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6091F">
      <w:pPr>
        <w:ind w:firstLine="480"/>
      </w:pPr>
    </w:p>
    <w:p w14:paraId="24AC9237">
      <w:pPr>
        <w:adjustRightInd w:val="0"/>
        <w:snapToGrid w:val="0"/>
        <w:ind w:firstLine="0" w:firstLineChars="0"/>
        <w:rPr>
          <w:szCs w:val="24"/>
        </w:rPr>
      </w:pPr>
    </w:p>
    <w:p w14:paraId="2CFF1C84">
      <w:pPr>
        <w:adjustRightInd w:val="0"/>
        <w:snapToGrid w:val="0"/>
        <w:ind w:firstLine="0" w:firstLineChars="0"/>
        <w:rPr>
          <w:szCs w:val="24"/>
        </w:rPr>
      </w:pPr>
    </w:p>
    <w:p w14:paraId="01995DDA">
      <w:pPr>
        <w:adjustRightInd w:val="0"/>
        <w:snapToGrid w:val="0"/>
        <w:ind w:firstLine="0" w:firstLineChars="0"/>
        <w:jc w:val="center"/>
        <w:rPr>
          <w:b/>
          <w:spacing w:val="-18"/>
          <w:sz w:val="44"/>
          <w:szCs w:val="44"/>
        </w:rPr>
      </w:pPr>
      <w:r>
        <w:rPr>
          <w:rFonts w:hint="eastAsia"/>
          <w:b/>
          <w:spacing w:val="-18"/>
          <w:sz w:val="44"/>
          <w:szCs w:val="44"/>
        </w:rPr>
        <w:t>新疆翱巡能源科技有限公司8万吨/年润滑油、2万吨/年润滑脂生产项目</w:t>
      </w:r>
    </w:p>
    <w:p w14:paraId="773514BF">
      <w:pPr>
        <w:adjustRightInd w:val="0"/>
        <w:snapToGrid w:val="0"/>
        <w:spacing w:before="156" w:beforeLines="50"/>
        <w:ind w:firstLine="0" w:firstLineChars="0"/>
        <w:jc w:val="center"/>
        <w:rPr>
          <w:b/>
          <w:spacing w:val="-18"/>
          <w:sz w:val="72"/>
          <w:szCs w:val="72"/>
        </w:rPr>
      </w:pPr>
      <w:r>
        <w:rPr>
          <w:b/>
          <w:spacing w:val="-18"/>
          <w:sz w:val="72"/>
          <w:szCs w:val="72"/>
        </w:rPr>
        <w:t>环境影响报告书</w:t>
      </w:r>
    </w:p>
    <w:p w14:paraId="5AE2885F">
      <w:pPr>
        <w:adjustRightInd w:val="0"/>
        <w:snapToGrid w:val="0"/>
        <w:ind w:firstLine="0" w:firstLineChars="0"/>
        <w:jc w:val="center"/>
        <w:rPr>
          <w:b/>
          <w:bCs/>
          <w:sz w:val="30"/>
          <w:szCs w:val="30"/>
        </w:rPr>
      </w:pPr>
    </w:p>
    <w:p w14:paraId="009FD250">
      <w:pPr>
        <w:adjustRightInd w:val="0"/>
        <w:snapToGrid w:val="0"/>
        <w:ind w:firstLine="0" w:firstLineChars="0"/>
        <w:rPr>
          <w:rFonts w:eastAsia="楷体"/>
          <w:bCs/>
          <w:sz w:val="32"/>
          <w:szCs w:val="32"/>
        </w:rPr>
      </w:pPr>
    </w:p>
    <w:p w14:paraId="005FB790">
      <w:pPr>
        <w:adjustRightInd w:val="0"/>
        <w:snapToGrid w:val="0"/>
        <w:ind w:firstLine="0" w:firstLineChars="0"/>
        <w:rPr>
          <w:rFonts w:eastAsia="楷体"/>
          <w:bCs/>
          <w:sz w:val="32"/>
          <w:szCs w:val="32"/>
        </w:rPr>
      </w:pPr>
    </w:p>
    <w:p w14:paraId="1F7BD0C4">
      <w:pPr>
        <w:adjustRightInd w:val="0"/>
        <w:snapToGrid w:val="0"/>
        <w:ind w:firstLine="0" w:firstLineChars="0"/>
        <w:rPr>
          <w:rFonts w:eastAsia="楷体"/>
          <w:bCs/>
          <w:sz w:val="32"/>
          <w:szCs w:val="32"/>
        </w:rPr>
      </w:pPr>
    </w:p>
    <w:p w14:paraId="63B4FAEE">
      <w:pPr>
        <w:adjustRightInd w:val="0"/>
        <w:snapToGrid w:val="0"/>
        <w:ind w:firstLine="0" w:firstLineChars="0"/>
        <w:rPr>
          <w:rFonts w:eastAsia="楷体"/>
          <w:bCs/>
          <w:sz w:val="32"/>
          <w:szCs w:val="32"/>
        </w:rPr>
      </w:pPr>
    </w:p>
    <w:p w14:paraId="267C9C37">
      <w:pPr>
        <w:adjustRightInd w:val="0"/>
        <w:snapToGrid w:val="0"/>
        <w:ind w:firstLine="0" w:firstLineChars="0"/>
        <w:rPr>
          <w:rFonts w:eastAsia="楷体"/>
          <w:bCs/>
          <w:sz w:val="32"/>
          <w:szCs w:val="32"/>
        </w:rPr>
      </w:pPr>
    </w:p>
    <w:p w14:paraId="099E3CFF">
      <w:pPr>
        <w:adjustRightInd w:val="0"/>
        <w:snapToGrid w:val="0"/>
        <w:ind w:firstLine="0" w:firstLineChars="0"/>
        <w:rPr>
          <w:rFonts w:eastAsia="楷体"/>
          <w:bCs/>
          <w:sz w:val="32"/>
          <w:szCs w:val="32"/>
        </w:rPr>
      </w:pPr>
    </w:p>
    <w:p w14:paraId="69B0E4AC">
      <w:pPr>
        <w:adjustRightInd w:val="0"/>
        <w:snapToGrid w:val="0"/>
        <w:ind w:firstLine="0" w:firstLineChars="0"/>
        <w:rPr>
          <w:rFonts w:eastAsia="楷体"/>
          <w:bCs/>
          <w:sz w:val="32"/>
          <w:szCs w:val="32"/>
        </w:rPr>
      </w:pPr>
    </w:p>
    <w:p w14:paraId="0AE9B849">
      <w:pPr>
        <w:adjustRightInd w:val="0"/>
        <w:snapToGrid w:val="0"/>
        <w:ind w:firstLine="0" w:firstLineChars="0"/>
        <w:rPr>
          <w:rFonts w:eastAsia="楷体"/>
          <w:bCs/>
          <w:sz w:val="32"/>
          <w:szCs w:val="32"/>
        </w:rPr>
      </w:pPr>
    </w:p>
    <w:p w14:paraId="4FEC6A81">
      <w:pPr>
        <w:adjustRightInd w:val="0"/>
        <w:snapToGrid w:val="0"/>
        <w:ind w:firstLine="0" w:firstLineChars="0"/>
        <w:rPr>
          <w:rFonts w:eastAsia="楷体"/>
          <w:bCs/>
          <w:sz w:val="32"/>
          <w:szCs w:val="32"/>
        </w:rPr>
      </w:pPr>
    </w:p>
    <w:p w14:paraId="566FBF47">
      <w:pPr>
        <w:adjustRightInd w:val="0"/>
        <w:snapToGrid w:val="0"/>
        <w:ind w:firstLine="0" w:firstLineChars="0"/>
        <w:rPr>
          <w:rFonts w:eastAsia="楷体"/>
          <w:bCs/>
          <w:sz w:val="32"/>
          <w:szCs w:val="32"/>
        </w:rPr>
      </w:pPr>
    </w:p>
    <w:p w14:paraId="33C8FF8B">
      <w:pPr>
        <w:adjustRightInd w:val="0"/>
        <w:snapToGrid w:val="0"/>
        <w:ind w:firstLine="0" w:firstLineChars="0"/>
        <w:rPr>
          <w:rFonts w:eastAsia="楷体"/>
          <w:bCs/>
          <w:sz w:val="32"/>
          <w:szCs w:val="32"/>
        </w:rPr>
      </w:pPr>
    </w:p>
    <w:p w14:paraId="0E82728D">
      <w:pPr>
        <w:tabs>
          <w:tab w:val="left" w:pos="851"/>
        </w:tabs>
        <w:adjustRightInd w:val="0"/>
        <w:snapToGrid w:val="0"/>
        <w:ind w:firstLine="0" w:firstLineChars="0"/>
        <w:jc w:val="center"/>
        <w:rPr>
          <w:sz w:val="32"/>
          <w:szCs w:val="30"/>
        </w:rPr>
      </w:pPr>
      <w:r>
        <w:rPr>
          <w:bCs/>
          <w:sz w:val="32"/>
          <w:szCs w:val="32"/>
        </w:rPr>
        <w:t>建设单位</w:t>
      </w:r>
      <w:r>
        <w:rPr>
          <w:rFonts w:hint="eastAsia"/>
          <w:bCs/>
          <w:sz w:val="32"/>
          <w:szCs w:val="32"/>
        </w:rPr>
        <w:t>：新疆翱巡能源科技有限公司</w:t>
      </w:r>
    </w:p>
    <w:p w14:paraId="65F0D00F">
      <w:pPr>
        <w:adjustRightInd w:val="0"/>
        <w:snapToGrid w:val="0"/>
        <w:ind w:firstLine="0" w:firstLineChars="0"/>
        <w:jc w:val="center"/>
        <w:rPr>
          <w:bCs/>
          <w:sz w:val="32"/>
          <w:szCs w:val="32"/>
        </w:rPr>
      </w:pPr>
      <w:r>
        <w:rPr>
          <w:bCs/>
          <w:sz w:val="32"/>
          <w:szCs w:val="32"/>
        </w:rPr>
        <w:t>评价单位</w:t>
      </w:r>
      <w:r>
        <w:rPr>
          <w:rFonts w:hint="eastAsia"/>
          <w:bCs/>
          <w:sz w:val="32"/>
          <w:szCs w:val="32"/>
        </w:rPr>
        <w:t>：新疆锦绣山河环境科技有限公司</w:t>
      </w:r>
    </w:p>
    <w:p w14:paraId="690997B6">
      <w:pPr>
        <w:adjustRightInd w:val="0"/>
        <w:snapToGrid w:val="0"/>
        <w:ind w:firstLine="0" w:firstLineChars="0"/>
        <w:jc w:val="center"/>
        <w:rPr>
          <w:sz w:val="32"/>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588" w:bottom="1440" w:left="1588" w:header="851" w:footer="992" w:gutter="0"/>
          <w:pgBorders>
            <w:top w:val="none" w:sz="0" w:space="0"/>
            <w:left w:val="none" w:sz="0" w:space="0"/>
            <w:bottom w:val="none" w:sz="0" w:space="0"/>
            <w:right w:val="none" w:sz="0" w:space="0"/>
          </w:pgBorders>
          <w:cols w:space="425" w:num="1"/>
          <w:docGrid w:type="linesAndChars" w:linePitch="312" w:charSpace="0"/>
        </w:sectPr>
      </w:pPr>
      <w:r>
        <w:rPr>
          <w:sz w:val="32"/>
          <w:szCs w:val="30"/>
        </w:rPr>
        <w:t>日期：2024</w:t>
      </w:r>
      <w:r>
        <w:rPr>
          <w:rFonts w:hint="eastAsia"/>
          <w:sz w:val="32"/>
          <w:szCs w:val="30"/>
        </w:rPr>
        <w:t>年</w:t>
      </w:r>
      <w:r>
        <w:rPr>
          <w:rFonts w:hint="eastAsia"/>
          <w:sz w:val="32"/>
          <w:szCs w:val="30"/>
          <w:lang w:val="en-US" w:eastAsia="zh-CN"/>
        </w:rPr>
        <w:t>12</w:t>
      </w:r>
      <w:r>
        <w:rPr>
          <w:rFonts w:hint="eastAsia"/>
          <w:sz w:val="32"/>
          <w:szCs w:val="30"/>
        </w:rPr>
        <w:t>月</w:t>
      </w:r>
    </w:p>
    <w:p w14:paraId="1DF2B0E2">
      <w:pPr>
        <w:adjustRightInd w:val="0"/>
        <w:snapToGrid w:val="0"/>
        <w:spacing w:line="240" w:lineRule="auto"/>
        <w:ind w:firstLine="0" w:firstLineChars="0"/>
        <w:jc w:val="center"/>
      </w:pPr>
    </w:p>
    <w:p w14:paraId="02DD9BD9">
      <w:pPr>
        <w:adjustRightInd w:val="0"/>
        <w:snapToGrid w:val="0"/>
        <w:spacing w:line="240" w:lineRule="auto"/>
        <w:ind w:firstLine="0" w:firstLineChars="0"/>
        <w:jc w:val="center"/>
      </w:pPr>
    </w:p>
    <w:p w14:paraId="2E4BA719">
      <w:pPr>
        <w:ind w:firstLine="480"/>
        <w:sectPr>
          <w:pgSz w:w="11906" w:h="16838"/>
          <w:pgMar w:top="1440" w:right="1588" w:bottom="1440" w:left="1588" w:header="851" w:footer="992" w:gutter="0"/>
          <w:pgBorders>
            <w:top w:val="none" w:sz="0" w:space="0"/>
            <w:left w:val="none" w:sz="0" w:space="0"/>
            <w:bottom w:val="none" w:sz="0" w:space="0"/>
            <w:right w:val="none" w:sz="0" w:space="0"/>
          </w:pgBorders>
          <w:cols w:space="425" w:num="1"/>
          <w:docGrid w:type="linesAndChars" w:linePitch="312" w:charSpace="0"/>
        </w:sectPr>
      </w:pPr>
    </w:p>
    <w:p w14:paraId="5608D491">
      <w:pPr>
        <w:sectPr>
          <w:pgSz w:w="11906" w:h="16838"/>
          <w:pgMar w:top="1134" w:right="1588" w:bottom="1134" w:left="1588" w:header="851" w:footer="680" w:gutter="0"/>
          <w:pgBorders>
            <w:top w:val="none" w:sz="0" w:space="0"/>
            <w:left w:val="none" w:sz="0" w:space="0"/>
            <w:bottom w:val="none" w:sz="0" w:space="0"/>
            <w:right w:val="none" w:sz="0" w:space="0"/>
          </w:pgBorders>
          <w:cols w:space="425" w:num="1"/>
          <w:docGrid w:type="linesAndChars" w:linePitch="312" w:charSpace="0"/>
        </w:sectPr>
      </w:pPr>
    </w:p>
    <w:p w14:paraId="5FAA4619">
      <w:pPr>
        <w:pStyle w:val="83"/>
        <w:spacing w:before="0"/>
        <w:jc w:val="center"/>
        <w:rPr>
          <w:color w:val="auto"/>
          <w:sz w:val="44"/>
          <w:szCs w:val="44"/>
        </w:rPr>
      </w:pPr>
      <w:r>
        <w:rPr>
          <w:color w:val="auto"/>
          <w:spacing w:val="330"/>
          <w:kern w:val="0"/>
          <w:sz w:val="44"/>
          <w:szCs w:val="44"/>
          <w:fitText w:val="1540" w:id="-1755011072"/>
        </w:rPr>
        <w:t>目</w:t>
      </w:r>
      <w:r>
        <w:rPr>
          <w:color w:val="auto"/>
          <w:spacing w:val="0"/>
          <w:kern w:val="0"/>
          <w:sz w:val="44"/>
          <w:szCs w:val="44"/>
          <w:fitText w:val="1540" w:id="-1755011072"/>
        </w:rPr>
        <w:t>录</w:t>
      </w:r>
    </w:p>
    <w:p w14:paraId="42111BCB">
      <w:pPr>
        <w:pStyle w:val="21"/>
        <w:tabs>
          <w:tab w:val="right" w:leader="dot" w:pos="8720"/>
        </w:tabs>
        <w:spacing w:line="264" w:lineRule="auto"/>
        <w:ind w:firstLine="480"/>
        <w:rPr>
          <w:rFonts w:ascii="等线" w:hAnsi="等线" w:eastAsia="等线"/>
          <w:sz w:val="21"/>
        </w:rPr>
      </w:pPr>
      <w:r>
        <w:fldChar w:fldCharType="begin"/>
      </w:r>
      <w:r>
        <w:instrText xml:space="preserve"> TOC \o "1-3" \h \z \u </w:instrText>
      </w:r>
      <w:r>
        <w:fldChar w:fldCharType="separate"/>
      </w:r>
      <w:r>
        <w:fldChar w:fldCharType="begin"/>
      </w:r>
      <w:r>
        <w:instrText xml:space="preserve"> HYPERLINK \l "_Toc152864127" </w:instrText>
      </w:r>
      <w:r>
        <w:fldChar w:fldCharType="separate"/>
      </w:r>
      <w:r>
        <w:rPr>
          <w:rStyle w:val="36"/>
        </w:rPr>
        <w:t>1 概述</w:t>
      </w:r>
      <w:r>
        <w:tab/>
      </w:r>
      <w:r>
        <w:fldChar w:fldCharType="begin"/>
      </w:r>
      <w:r>
        <w:instrText xml:space="preserve"> PAGEREF _Toc152864127 \h </w:instrText>
      </w:r>
      <w:r>
        <w:fldChar w:fldCharType="separate"/>
      </w:r>
      <w:r>
        <w:t>- 7 -</w:t>
      </w:r>
      <w:r>
        <w:fldChar w:fldCharType="end"/>
      </w:r>
      <w:r>
        <w:fldChar w:fldCharType="end"/>
      </w:r>
    </w:p>
    <w:p w14:paraId="23BE55FA">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"_Toc152864128" </w:instrText>
      </w:r>
      <w:r>
        <w:fldChar w:fldCharType="separate"/>
      </w:r>
      <w:r>
        <w:rPr>
          <w:rStyle w:val="36"/>
        </w:rPr>
        <w:t>1.1</w:t>
      </w:r>
      <w:r>
        <w:rPr>
          <w:rFonts w:ascii="等线" w:hAnsi="等线" w:eastAsia="等线"/>
          <w:sz w:val="21"/>
        </w:rPr>
        <w:tab/>
      </w:r>
      <w:r>
        <w:rPr>
          <w:rStyle w:val="36"/>
        </w:rPr>
        <w:t>项目背景</w:t>
      </w:r>
      <w:r>
        <w:tab/>
      </w:r>
      <w:r>
        <w:fldChar w:fldCharType="begin"/>
      </w:r>
      <w:r>
        <w:instrText xml:space="preserve"> PAGEREF _Toc152864128 \h </w:instrText>
      </w:r>
      <w:r>
        <w:fldChar w:fldCharType="separate"/>
      </w:r>
      <w:r>
        <w:t>- 7 -</w:t>
      </w:r>
      <w:r>
        <w:fldChar w:fldCharType="end"/>
      </w:r>
      <w:r>
        <w:fldChar w:fldCharType="end"/>
      </w:r>
    </w:p>
    <w:p w14:paraId="3C9D0BC0">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"_Toc152864129" </w:instrText>
      </w:r>
      <w:r>
        <w:fldChar w:fldCharType="separate"/>
      </w:r>
      <w:r>
        <w:rPr>
          <w:rStyle w:val="36"/>
        </w:rPr>
        <w:t>1.2</w:t>
      </w:r>
      <w:r>
        <w:rPr>
          <w:rFonts w:ascii="等线" w:hAnsi="等线" w:eastAsia="等线"/>
          <w:sz w:val="21"/>
        </w:rPr>
        <w:tab/>
      </w:r>
      <w:r>
        <w:rPr>
          <w:rStyle w:val="36"/>
        </w:rPr>
        <w:t>建设项目特点</w:t>
      </w:r>
      <w:r>
        <w:tab/>
      </w:r>
      <w:r>
        <w:fldChar w:fldCharType="begin"/>
      </w:r>
      <w:r>
        <w:instrText xml:space="preserve"> PAGEREF _Toc152864129 \h </w:instrText>
      </w:r>
      <w:r>
        <w:fldChar w:fldCharType="separate"/>
      </w:r>
      <w:r>
        <w:t>- 8 -</w:t>
      </w:r>
      <w:r>
        <w:fldChar w:fldCharType="end"/>
      </w:r>
      <w:r>
        <w:fldChar w:fldCharType="end"/>
      </w:r>
    </w:p>
    <w:p w14:paraId="34BFE6F3">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"_Toc152864130" </w:instrText>
      </w:r>
      <w:r>
        <w:fldChar w:fldCharType="separate"/>
      </w:r>
      <w:r>
        <w:rPr>
          <w:rStyle w:val="36"/>
        </w:rPr>
        <w:t>1.3</w:t>
      </w:r>
      <w:r>
        <w:rPr>
          <w:rFonts w:ascii="等线" w:hAnsi="等线" w:eastAsia="等线"/>
          <w:sz w:val="21"/>
        </w:rPr>
        <w:tab/>
      </w:r>
      <w:r>
        <w:rPr>
          <w:rStyle w:val="36"/>
        </w:rPr>
        <w:t>环评工作过程</w:t>
      </w:r>
      <w:r>
        <w:tab/>
      </w:r>
      <w:r>
        <w:fldChar w:fldCharType="begin"/>
      </w:r>
      <w:r>
        <w:instrText xml:space="preserve"> PAGEREF _Toc152864130 \h </w:instrText>
      </w:r>
      <w:r>
        <w:fldChar w:fldCharType="separate"/>
      </w:r>
      <w:r>
        <w:t>- 8 -</w:t>
      </w:r>
      <w:r>
        <w:fldChar w:fldCharType="end"/>
      </w:r>
      <w:r>
        <w:fldChar w:fldCharType="end"/>
      </w:r>
    </w:p>
    <w:p w14:paraId="020AD4B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"_Toc152864131" </w:instrText>
      </w:r>
      <w:r>
        <w:fldChar w:fldCharType="separate"/>
      </w:r>
      <w:r>
        <w:rPr>
          <w:rStyle w:val="36"/>
        </w:rPr>
        <w:t>1.4</w:t>
      </w:r>
      <w:r>
        <w:rPr>
          <w:rFonts w:ascii="等线" w:hAnsi="等线" w:eastAsia="等线"/>
          <w:sz w:val="21"/>
        </w:rPr>
        <w:tab/>
      </w:r>
      <w:r>
        <w:rPr>
          <w:rStyle w:val="36"/>
        </w:rPr>
        <w:t>分析判定相关情况</w:t>
      </w:r>
      <w:r>
        <w:tab/>
      </w:r>
      <w:r>
        <w:fldChar w:fldCharType="begin"/>
      </w:r>
      <w:r>
        <w:instrText xml:space="preserve"> PAGEREF _Toc152864131 \h </w:instrText>
      </w:r>
      <w:r>
        <w:fldChar w:fldCharType="separate"/>
      </w:r>
      <w:r>
        <w:t>- 9 -</w:t>
      </w:r>
      <w:r>
        <w:fldChar w:fldCharType="end"/>
      </w:r>
      <w:r>
        <w:fldChar w:fldCharType="end"/>
      </w:r>
    </w:p>
    <w:p w14:paraId="40B577DB">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"_Toc152864132" </w:instrText>
      </w:r>
      <w:r>
        <w:fldChar w:fldCharType="separate"/>
      </w:r>
      <w:r>
        <w:rPr>
          <w:rStyle w:val="36"/>
        </w:rPr>
        <w:t>1.5</w:t>
      </w:r>
      <w:r>
        <w:rPr>
          <w:rFonts w:ascii="等线" w:hAnsi="等线" w:eastAsia="等线"/>
          <w:sz w:val="21"/>
        </w:rPr>
        <w:tab/>
      </w:r>
      <w:r>
        <w:rPr>
          <w:rStyle w:val="36"/>
        </w:rPr>
        <w:t>关注的主要环境问题</w:t>
      </w:r>
      <w:r>
        <w:tab/>
      </w:r>
      <w:r>
        <w:fldChar w:fldCharType="begin"/>
      </w:r>
      <w:r>
        <w:instrText xml:space="preserve"> PAGEREF _Toc152864132 \h </w:instrText>
      </w:r>
      <w:r>
        <w:fldChar w:fldCharType="separate"/>
      </w:r>
      <w:r>
        <w:t>- 30 -</w:t>
      </w:r>
      <w:r>
        <w:fldChar w:fldCharType="end"/>
      </w:r>
      <w:r>
        <w:fldChar w:fldCharType="end"/>
      </w:r>
    </w:p>
    <w:p w14:paraId="7C0B7DF0">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"_Toc152864133" </w:instrText>
      </w:r>
      <w:r>
        <w:fldChar w:fldCharType="separate"/>
      </w:r>
      <w:r>
        <w:rPr>
          <w:rStyle w:val="36"/>
        </w:rPr>
        <w:t>1.6</w:t>
      </w:r>
      <w:r>
        <w:rPr>
          <w:rFonts w:ascii="等线" w:hAnsi="等线" w:eastAsia="等线"/>
          <w:sz w:val="21"/>
        </w:rPr>
        <w:tab/>
      </w:r>
      <w:r>
        <w:rPr>
          <w:rStyle w:val="36"/>
        </w:rPr>
        <w:t>环境影响评价的主要结论</w:t>
      </w:r>
      <w:r>
        <w:tab/>
      </w:r>
      <w:r>
        <w:fldChar w:fldCharType="begin"/>
      </w:r>
      <w:r>
        <w:instrText xml:space="preserve"> PAGEREF _Toc152864133 \h </w:instrText>
      </w:r>
      <w:r>
        <w:fldChar w:fldCharType="separate"/>
      </w:r>
      <w:r>
        <w:t>- 30 -</w:t>
      </w:r>
      <w:r>
        <w:fldChar w:fldCharType="end"/>
      </w:r>
      <w:r>
        <w:fldChar w:fldCharType="end"/>
      </w:r>
    </w:p>
    <w:p w14:paraId="3A312F31">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"_Toc152864134" </w:instrText>
      </w:r>
      <w:r>
        <w:fldChar w:fldCharType="separate"/>
      </w:r>
      <w:r>
        <w:rPr>
          <w:rStyle w:val="36"/>
        </w:rPr>
        <w:t>2 总则</w:t>
      </w:r>
      <w:r>
        <w:tab/>
      </w:r>
      <w:r>
        <w:fldChar w:fldCharType="begin"/>
      </w:r>
      <w:r>
        <w:instrText xml:space="preserve"> PAGEREF _Toc152864134 \h </w:instrText>
      </w:r>
      <w:r>
        <w:fldChar w:fldCharType="separate"/>
      </w:r>
      <w:r>
        <w:t>- 31 -</w:t>
      </w:r>
      <w:r>
        <w:fldChar w:fldCharType="end"/>
      </w:r>
      <w:r>
        <w:fldChar w:fldCharType="end"/>
      </w:r>
    </w:p>
    <w:p w14:paraId="6AA67B7F">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"_Toc152864135" </w:instrText>
      </w:r>
      <w:r>
        <w:fldChar w:fldCharType="separate"/>
      </w:r>
      <w:r>
        <w:rPr>
          <w:rStyle w:val="36"/>
        </w:rPr>
        <w:t>2.1</w:t>
      </w:r>
      <w:r>
        <w:rPr>
          <w:rFonts w:ascii="等线" w:hAnsi="等线" w:eastAsia="等线"/>
          <w:sz w:val="21"/>
        </w:rPr>
        <w:tab/>
      </w:r>
      <w:r>
        <w:rPr>
          <w:rStyle w:val="36"/>
        </w:rPr>
        <w:t>评价原则</w:t>
      </w:r>
      <w:r>
        <w:tab/>
      </w:r>
      <w:r>
        <w:fldChar w:fldCharType="begin"/>
      </w:r>
      <w:r>
        <w:instrText xml:space="preserve"> PAGEREF _Toc152864135 \h </w:instrText>
      </w:r>
      <w:r>
        <w:fldChar w:fldCharType="separate"/>
      </w:r>
      <w:r>
        <w:t>- 31 -</w:t>
      </w:r>
      <w:r>
        <w:fldChar w:fldCharType="end"/>
      </w:r>
      <w:r>
        <w:fldChar w:fldCharType="end"/>
      </w:r>
    </w:p>
    <w:p w14:paraId="244486C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"_Toc152864136" </w:instrText>
      </w:r>
      <w:r>
        <w:fldChar w:fldCharType="separate"/>
      </w:r>
      <w:r>
        <w:rPr>
          <w:rStyle w:val="36"/>
        </w:rPr>
        <w:t>2.2</w:t>
      </w:r>
      <w:r>
        <w:rPr>
          <w:rFonts w:ascii="等线" w:hAnsi="等线" w:eastAsia="等线"/>
          <w:sz w:val="21"/>
        </w:rPr>
        <w:tab/>
      </w:r>
      <w:r>
        <w:rPr>
          <w:rStyle w:val="36"/>
        </w:rPr>
        <w:t>编制依据</w:t>
      </w:r>
      <w:r>
        <w:tab/>
      </w:r>
      <w:r>
        <w:fldChar w:fldCharType="begin"/>
      </w:r>
      <w:r>
        <w:instrText xml:space="preserve"> PAGEREF _Toc152864136 \h </w:instrText>
      </w:r>
      <w:r>
        <w:fldChar w:fldCharType="separate"/>
      </w:r>
      <w:r>
        <w:t>- 31 -</w:t>
      </w:r>
      <w:r>
        <w:fldChar w:fldCharType="end"/>
      </w:r>
      <w:r>
        <w:fldChar w:fldCharType="end"/>
      </w:r>
    </w:p>
    <w:p w14:paraId="4930A4F0">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"_Toc152864141" </w:instrText>
      </w:r>
      <w:r>
        <w:fldChar w:fldCharType="separate"/>
      </w:r>
      <w:r>
        <w:rPr>
          <w:rStyle w:val="36"/>
        </w:rPr>
        <w:t>2.3</w:t>
      </w:r>
      <w:r>
        <w:rPr>
          <w:rFonts w:ascii="等线" w:hAnsi="等线" w:eastAsia="等线"/>
          <w:sz w:val="21"/>
        </w:rPr>
        <w:tab/>
      </w:r>
      <w:r>
        <w:rPr>
          <w:rStyle w:val="36"/>
        </w:rPr>
        <w:t>环境功能区划</w:t>
      </w:r>
      <w:r>
        <w:tab/>
      </w:r>
      <w:r>
        <w:fldChar w:fldCharType="begin"/>
      </w:r>
      <w:r>
        <w:instrText xml:space="preserve"> PAGEREF _Toc152864141 \h </w:instrText>
      </w:r>
      <w:r>
        <w:fldChar w:fldCharType="separate"/>
      </w:r>
      <w:r>
        <w:t>- 36 -</w:t>
      </w:r>
      <w:r>
        <w:fldChar w:fldCharType="end"/>
      </w:r>
      <w:r>
        <w:fldChar w:fldCharType="end"/>
      </w:r>
    </w:p>
    <w:p w14:paraId="366B63AF">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"_Toc152864142" </w:instrText>
      </w:r>
      <w:r>
        <w:fldChar w:fldCharType="separate"/>
      </w:r>
      <w:r>
        <w:rPr>
          <w:rStyle w:val="36"/>
        </w:rPr>
        <w:t>2.4</w:t>
      </w:r>
      <w:r>
        <w:rPr>
          <w:rFonts w:ascii="等线" w:hAnsi="等线" w:eastAsia="等线"/>
          <w:sz w:val="21"/>
        </w:rPr>
        <w:tab/>
      </w:r>
      <w:r>
        <w:rPr>
          <w:rStyle w:val="36"/>
        </w:rPr>
        <w:t>环境影响识别及评价因子筛选</w:t>
      </w:r>
      <w:r>
        <w:tab/>
      </w:r>
      <w:r>
        <w:fldChar w:fldCharType="begin"/>
      </w:r>
      <w:r>
        <w:instrText xml:space="preserve"> PAGEREF _Toc152864142 \h </w:instrText>
      </w:r>
      <w:r>
        <w:fldChar w:fldCharType="separate"/>
      </w:r>
      <w:r>
        <w:t>- 37 -</w:t>
      </w:r>
      <w:r>
        <w:fldChar w:fldCharType="end"/>
      </w:r>
      <w:r>
        <w:fldChar w:fldCharType="end"/>
      </w:r>
    </w:p>
    <w:p w14:paraId="65794A35">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"_Toc152864145" </w:instrText>
      </w:r>
      <w:r>
        <w:fldChar w:fldCharType="separate"/>
      </w:r>
      <w:r>
        <w:rPr>
          <w:rStyle w:val="36"/>
        </w:rPr>
        <w:t>2.5</w:t>
      </w:r>
      <w:r>
        <w:rPr>
          <w:rFonts w:ascii="等线" w:hAnsi="等线" w:eastAsia="等线"/>
          <w:sz w:val="21"/>
        </w:rPr>
        <w:tab/>
      </w:r>
      <w:r>
        <w:rPr>
          <w:rStyle w:val="36"/>
        </w:rPr>
        <w:t>评价标准</w:t>
      </w:r>
      <w:r>
        <w:tab/>
      </w:r>
      <w:r>
        <w:fldChar w:fldCharType="begin"/>
      </w:r>
      <w:r>
        <w:instrText xml:space="preserve"> PAGEREF _Toc152864145 \h </w:instrText>
      </w:r>
      <w:r>
        <w:fldChar w:fldCharType="separate"/>
      </w:r>
      <w:r>
        <w:t>- 39 -</w:t>
      </w:r>
      <w:r>
        <w:fldChar w:fldCharType="end"/>
      </w:r>
      <w:r>
        <w:fldChar w:fldCharType="end"/>
      </w:r>
    </w:p>
    <w:p w14:paraId="018BB22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"_Toc152864148" </w:instrText>
      </w:r>
      <w:r>
        <w:fldChar w:fldCharType="separate"/>
      </w:r>
      <w:r>
        <w:rPr>
          <w:rStyle w:val="36"/>
        </w:rPr>
        <w:t>2.6</w:t>
      </w:r>
      <w:r>
        <w:rPr>
          <w:rFonts w:ascii="等线" w:hAnsi="等线" w:eastAsia="等线"/>
          <w:sz w:val="21"/>
        </w:rPr>
        <w:tab/>
      </w:r>
      <w:r>
        <w:rPr>
          <w:rStyle w:val="36"/>
        </w:rPr>
        <w:t>评价工作等级</w:t>
      </w:r>
      <w:r>
        <w:tab/>
      </w:r>
      <w:r>
        <w:fldChar w:fldCharType="begin"/>
      </w:r>
      <w:r>
        <w:instrText xml:space="preserve"> PAGEREF _Toc152864148 \h </w:instrText>
      </w:r>
      <w:r>
        <w:fldChar w:fldCharType="separate"/>
      </w:r>
      <w:r>
        <w:t>- 43 -</w:t>
      </w:r>
      <w:r>
        <w:fldChar w:fldCharType="end"/>
      </w:r>
      <w:r>
        <w:fldChar w:fldCharType="end"/>
      </w:r>
    </w:p>
    <w:p w14:paraId="784005CD">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"_Toc152864156" </w:instrText>
      </w:r>
      <w:r>
        <w:fldChar w:fldCharType="separate"/>
      </w:r>
      <w:r>
        <w:rPr>
          <w:rStyle w:val="36"/>
        </w:rPr>
        <w:t>2.7</w:t>
      </w:r>
      <w:r>
        <w:rPr>
          <w:rFonts w:ascii="等线" w:hAnsi="等线" w:eastAsia="等线"/>
          <w:sz w:val="21"/>
        </w:rPr>
        <w:tab/>
      </w:r>
      <w:r>
        <w:rPr>
          <w:rStyle w:val="36"/>
        </w:rPr>
        <w:t>评价范围</w:t>
      </w:r>
      <w:r>
        <w:tab/>
      </w:r>
      <w:r>
        <w:fldChar w:fldCharType="begin"/>
      </w:r>
      <w:r>
        <w:instrText xml:space="preserve"> PAGEREF _Toc152864156 \h </w:instrText>
      </w:r>
      <w:r>
        <w:fldChar w:fldCharType="separate"/>
      </w:r>
      <w:r>
        <w:t>- 51 -</w:t>
      </w:r>
      <w:r>
        <w:fldChar w:fldCharType="end"/>
      </w:r>
      <w:r>
        <w:fldChar w:fldCharType="end"/>
      </w:r>
    </w:p>
    <w:p w14:paraId="206B5B51">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"_Toc152864157" </w:instrText>
      </w:r>
      <w:r>
        <w:fldChar w:fldCharType="separate"/>
      </w:r>
      <w:r>
        <w:rPr>
          <w:rStyle w:val="36"/>
        </w:rPr>
        <w:t>2.8</w:t>
      </w:r>
      <w:r>
        <w:rPr>
          <w:rFonts w:ascii="等线" w:hAnsi="等线" w:eastAsia="等线"/>
          <w:sz w:val="21"/>
        </w:rPr>
        <w:tab/>
      </w:r>
      <w:r>
        <w:rPr>
          <w:rStyle w:val="36"/>
        </w:rPr>
        <w:t>环境保护目标</w:t>
      </w:r>
      <w:r>
        <w:tab/>
      </w:r>
      <w:r>
        <w:fldChar w:fldCharType="begin"/>
      </w:r>
      <w:r>
        <w:instrText xml:space="preserve"> PAGEREF _Toc152864157 \h </w:instrText>
      </w:r>
      <w:r>
        <w:fldChar w:fldCharType="separate"/>
      </w:r>
      <w:r>
        <w:t>- 51 -</w:t>
      </w:r>
      <w:r>
        <w:fldChar w:fldCharType="end"/>
      </w:r>
      <w:r>
        <w:fldChar w:fldCharType="end"/>
      </w:r>
    </w:p>
    <w:p w14:paraId="4E24F57D">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"_Toc152864158" </w:instrText>
      </w:r>
      <w:r>
        <w:fldChar w:fldCharType="separate"/>
      </w:r>
      <w:r>
        <w:rPr>
          <w:rStyle w:val="36"/>
        </w:rPr>
        <w:t>3 工程分析</w:t>
      </w:r>
      <w:r>
        <w:tab/>
      </w:r>
      <w:r>
        <w:fldChar w:fldCharType="begin"/>
      </w:r>
      <w:r>
        <w:instrText xml:space="preserve"> PAGEREF _Toc152864158 \h </w:instrText>
      </w:r>
      <w:r>
        <w:fldChar w:fldCharType="separate"/>
      </w:r>
      <w:r>
        <w:t>- 53 -</w:t>
      </w:r>
      <w:r>
        <w:fldChar w:fldCharType="end"/>
      </w:r>
      <w:r>
        <w:fldChar w:fldCharType="end"/>
      </w:r>
    </w:p>
    <w:p w14:paraId="5B4CB47F">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"_Toc152864159" </w:instrText>
      </w:r>
      <w:r>
        <w:fldChar w:fldCharType="separate"/>
      </w:r>
      <w:r>
        <w:rPr>
          <w:rStyle w:val="36"/>
        </w:rPr>
        <w:t>3.1</w:t>
      </w:r>
      <w:r>
        <w:rPr>
          <w:rFonts w:ascii="等线" w:hAnsi="等线" w:eastAsia="等线"/>
          <w:sz w:val="21"/>
        </w:rPr>
        <w:tab/>
      </w:r>
      <w:r>
        <w:rPr>
          <w:rStyle w:val="36"/>
        </w:rPr>
        <w:t>项目概况</w:t>
      </w:r>
      <w:r>
        <w:tab/>
      </w:r>
      <w:r>
        <w:fldChar w:fldCharType="begin"/>
      </w:r>
      <w:r>
        <w:instrText xml:space="preserve"> PAGEREF _Toc152864159 \h </w:instrText>
      </w:r>
      <w:r>
        <w:fldChar w:fldCharType="separate"/>
      </w:r>
      <w:r>
        <w:t>- 53 -</w:t>
      </w:r>
      <w:r>
        <w:fldChar w:fldCharType="end"/>
      </w:r>
      <w:r>
        <w:fldChar w:fldCharType="end"/>
      </w:r>
    </w:p>
    <w:p w14:paraId="4BF71BF3">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"_Toc152864167" </w:instrText>
      </w:r>
      <w:r>
        <w:fldChar w:fldCharType="separate"/>
      </w:r>
      <w:r>
        <w:rPr>
          <w:rStyle w:val="36"/>
        </w:rPr>
        <w:t>3.2</w:t>
      </w:r>
      <w:r>
        <w:rPr>
          <w:rFonts w:ascii="等线" w:hAnsi="等线" w:eastAsia="等线"/>
          <w:sz w:val="21"/>
        </w:rPr>
        <w:tab/>
      </w:r>
      <w:r>
        <w:rPr>
          <w:rStyle w:val="36"/>
        </w:rPr>
        <w:t>生产工艺</w:t>
      </w:r>
      <w:r>
        <w:tab/>
      </w:r>
      <w:r>
        <w:fldChar w:fldCharType="begin"/>
      </w:r>
      <w:r>
        <w:instrText xml:space="preserve"> PAGEREF _Toc152864167 \h </w:instrText>
      </w:r>
      <w:r>
        <w:fldChar w:fldCharType="separate"/>
      </w:r>
      <w:r>
        <w:t>- 65 -</w:t>
      </w:r>
      <w:r>
        <w:fldChar w:fldCharType="end"/>
      </w:r>
      <w:r>
        <w:fldChar w:fldCharType="end"/>
      </w:r>
    </w:p>
    <w:p w14:paraId="7ECEE781">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"_Toc152864170" </w:instrText>
      </w:r>
      <w:r>
        <w:fldChar w:fldCharType="separate"/>
      </w:r>
      <w:r>
        <w:rPr>
          <w:rStyle w:val="36"/>
        </w:rPr>
        <w:t>3.3</w:t>
      </w:r>
      <w:r>
        <w:rPr>
          <w:rFonts w:ascii="等线" w:hAnsi="等线" w:eastAsia="等线"/>
          <w:sz w:val="21"/>
        </w:rPr>
        <w:tab/>
      </w:r>
      <w:r>
        <w:rPr>
          <w:rStyle w:val="36"/>
        </w:rPr>
        <w:t>平衡分析</w:t>
      </w:r>
      <w:r>
        <w:tab/>
      </w:r>
      <w:r>
        <w:fldChar w:fldCharType="begin"/>
      </w:r>
      <w:r>
        <w:instrText xml:space="preserve"> PAGEREF _Toc152864170 \h </w:instrText>
      </w:r>
      <w:r>
        <w:fldChar w:fldCharType="separate"/>
      </w:r>
      <w:r>
        <w:t>- 70 -</w:t>
      </w:r>
      <w:r>
        <w:fldChar w:fldCharType="end"/>
      </w:r>
      <w:r>
        <w:fldChar w:fldCharType="end"/>
      </w:r>
    </w:p>
    <w:p w14:paraId="06E994BB">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"_Toc152864171" </w:instrText>
      </w:r>
      <w:r>
        <w:fldChar w:fldCharType="separate"/>
      </w:r>
      <w:r>
        <w:rPr>
          <w:rStyle w:val="36"/>
        </w:rPr>
        <w:t>3.4</w:t>
      </w:r>
      <w:r>
        <w:rPr>
          <w:rFonts w:ascii="等线" w:hAnsi="等线" w:eastAsia="等线"/>
          <w:sz w:val="21"/>
        </w:rPr>
        <w:tab/>
      </w:r>
      <w:r>
        <w:rPr>
          <w:rStyle w:val="36"/>
        </w:rPr>
        <w:t>污染源强核算</w:t>
      </w:r>
      <w:r>
        <w:tab/>
      </w:r>
      <w:r>
        <w:fldChar w:fldCharType="begin"/>
      </w:r>
      <w:r>
        <w:instrText xml:space="preserve"> PAGEREF _Toc152864171 \h </w:instrText>
      </w:r>
      <w:r>
        <w:fldChar w:fldCharType="separate"/>
      </w:r>
      <w:r>
        <w:t>- 70 -</w:t>
      </w:r>
      <w:r>
        <w:fldChar w:fldCharType="end"/>
      </w:r>
      <w:r>
        <w:fldChar w:fldCharType="end"/>
      </w:r>
    </w:p>
    <w:p w14:paraId="390C135B">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"_Toc152864175" </w:instrText>
      </w:r>
      <w:r>
        <w:fldChar w:fldCharType="separate"/>
      </w:r>
      <w:r>
        <w:rPr>
          <w:rStyle w:val="36"/>
        </w:rPr>
        <w:t>3.5</w:t>
      </w:r>
      <w:r>
        <w:rPr>
          <w:rFonts w:ascii="等线" w:hAnsi="等线" w:eastAsia="等线"/>
          <w:sz w:val="21"/>
        </w:rPr>
        <w:tab/>
      </w:r>
      <w:r>
        <w:rPr>
          <w:rStyle w:val="36"/>
        </w:rPr>
        <w:t>清洁生产分析</w:t>
      </w:r>
      <w:r>
        <w:tab/>
      </w:r>
      <w:r>
        <w:fldChar w:fldCharType="begin"/>
      </w:r>
      <w:r>
        <w:instrText xml:space="preserve"> PAGEREF _Toc152864175 \h </w:instrText>
      </w:r>
      <w:r>
        <w:fldChar w:fldCharType="separate"/>
      </w:r>
      <w:r>
        <w:t>- 86 -</w:t>
      </w:r>
      <w:r>
        <w:fldChar w:fldCharType="end"/>
      </w:r>
      <w:r>
        <w:fldChar w:fldCharType="end"/>
      </w:r>
    </w:p>
    <w:p w14:paraId="2BD780E1">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"_Toc152864182" </w:instrText>
      </w:r>
      <w:r>
        <w:fldChar w:fldCharType="separate"/>
      </w:r>
      <w:r>
        <w:rPr>
          <w:rStyle w:val="36"/>
        </w:rPr>
        <w:t>3.6</w:t>
      </w:r>
      <w:r>
        <w:rPr>
          <w:rFonts w:ascii="等线" w:hAnsi="等线" w:eastAsia="等线"/>
          <w:sz w:val="21"/>
        </w:rPr>
        <w:tab/>
      </w:r>
      <w:r>
        <w:rPr>
          <w:rStyle w:val="36"/>
        </w:rPr>
        <w:t>循环经济分析</w:t>
      </w:r>
      <w:r>
        <w:tab/>
      </w:r>
      <w:r>
        <w:fldChar w:fldCharType="begin"/>
      </w:r>
      <w:r>
        <w:instrText xml:space="preserve"> PAGEREF _Toc152864182 \h </w:instrText>
      </w:r>
      <w:r>
        <w:fldChar w:fldCharType="separate"/>
      </w:r>
      <w:r>
        <w:t>- 92 -</w:t>
      </w:r>
      <w:r>
        <w:fldChar w:fldCharType="end"/>
      </w:r>
      <w:r>
        <w:fldChar w:fldCharType="end"/>
      </w:r>
    </w:p>
    <w:p w14:paraId="7D107A7B">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"_Toc152864183" </w:instrText>
      </w:r>
      <w:r>
        <w:fldChar w:fldCharType="separate"/>
      </w:r>
      <w:r>
        <w:rPr>
          <w:rStyle w:val="36"/>
        </w:rPr>
        <w:t>3.7</w:t>
      </w:r>
      <w:r>
        <w:rPr>
          <w:rFonts w:ascii="等线" w:hAnsi="等线" w:eastAsia="等线"/>
          <w:sz w:val="21"/>
        </w:rPr>
        <w:tab/>
      </w:r>
      <w:r>
        <w:rPr>
          <w:rStyle w:val="36"/>
        </w:rPr>
        <w:t>碳排放分析</w:t>
      </w:r>
      <w:r>
        <w:tab/>
      </w:r>
      <w:r>
        <w:fldChar w:fldCharType="begin"/>
      </w:r>
      <w:r>
        <w:instrText xml:space="preserve"> PAGEREF _Toc152864183 \h </w:instrText>
      </w:r>
      <w:r>
        <w:fldChar w:fldCharType="separate"/>
      </w:r>
      <w:r>
        <w:t>- 92 -</w:t>
      </w:r>
      <w:r>
        <w:fldChar w:fldCharType="end"/>
      </w:r>
      <w:r>
        <w:fldChar w:fldCharType="end"/>
      </w:r>
    </w:p>
    <w:p w14:paraId="67B5BAEC">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"_Toc152864186" </w:instrText>
      </w:r>
      <w:r>
        <w:fldChar w:fldCharType="separate"/>
      </w:r>
      <w:r>
        <w:rPr>
          <w:rStyle w:val="36"/>
        </w:rPr>
        <w:t>4 环境现状调查与评价</w:t>
      </w:r>
      <w:r>
        <w:tab/>
      </w:r>
      <w:r>
        <w:fldChar w:fldCharType="begin"/>
      </w:r>
      <w:r>
        <w:instrText xml:space="preserve"> PAGEREF _Toc152864186 \h </w:instrText>
      </w:r>
      <w:r>
        <w:fldChar w:fldCharType="separate"/>
      </w:r>
      <w:r>
        <w:t>- 95 -</w:t>
      </w:r>
      <w:r>
        <w:fldChar w:fldCharType="end"/>
      </w:r>
      <w:r>
        <w:fldChar w:fldCharType="end"/>
      </w:r>
    </w:p>
    <w:p w14:paraId="0AA880F0">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"_Toc152864187" </w:instrText>
      </w:r>
      <w:r>
        <w:fldChar w:fldCharType="separate"/>
      </w:r>
      <w:r>
        <w:rPr>
          <w:rStyle w:val="36"/>
        </w:rPr>
        <w:t>4.1</w:t>
      </w:r>
      <w:r>
        <w:rPr>
          <w:rFonts w:ascii="等线" w:hAnsi="等线" w:eastAsia="等线"/>
          <w:sz w:val="21"/>
        </w:rPr>
        <w:tab/>
      </w:r>
      <w:r>
        <w:rPr>
          <w:rStyle w:val="36"/>
        </w:rPr>
        <w:t>自然环境概况</w:t>
      </w:r>
      <w:r>
        <w:tab/>
      </w:r>
      <w:r>
        <w:fldChar w:fldCharType="begin"/>
      </w:r>
      <w:r>
        <w:instrText xml:space="preserve"> PAGEREF _Toc152864187 \h </w:instrText>
      </w:r>
      <w:r>
        <w:fldChar w:fldCharType="separate"/>
      </w:r>
      <w:r>
        <w:t>- 95 -</w:t>
      </w:r>
      <w:r>
        <w:fldChar w:fldCharType="end"/>
      </w:r>
      <w:r>
        <w:fldChar w:fldCharType="end"/>
      </w:r>
    </w:p>
    <w:p w14:paraId="2A8C616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"_Toc152864196" </w:instrText>
      </w:r>
      <w:r>
        <w:fldChar w:fldCharType="separate"/>
      </w:r>
      <w:r>
        <w:rPr>
          <w:rStyle w:val="36"/>
        </w:rPr>
        <w:t>4.2</w:t>
      </w:r>
      <w:r>
        <w:rPr>
          <w:rFonts w:ascii="等线" w:hAnsi="等线" w:eastAsia="等线"/>
          <w:sz w:val="21"/>
        </w:rPr>
        <w:tab/>
      </w:r>
      <w:r>
        <w:rPr>
          <w:rStyle w:val="36"/>
        </w:rPr>
        <w:t>胡杨河经济技术开发区简介</w:t>
      </w:r>
      <w:r>
        <w:tab/>
      </w:r>
      <w:r>
        <w:fldChar w:fldCharType="begin"/>
      </w:r>
      <w:r>
        <w:instrText xml:space="preserve"> PAGEREF _Toc152864196 \h </w:instrText>
      </w:r>
      <w:r>
        <w:fldChar w:fldCharType="separate"/>
      </w:r>
      <w:r>
        <w:t>- 104 -</w:t>
      </w:r>
      <w:r>
        <w:fldChar w:fldCharType="end"/>
      </w:r>
      <w:r>
        <w:fldChar w:fldCharType="end"/>
      </w:r>
    </w:p>
    <w:p w14:paraId="30247830">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"_Toc152864203" </w:instrText>
      </w:r>
      <w:r>
        <w:fldChar w:fldCharType="separate"/>
      </w:r>
      <w:r>
        <w:rPr>
          <w:rStyle w:val="36"/>
        </w:rPr>
        <w:t>4.3</w:t>
      </w:r>
      <w:r>
        <w:rPr>
          <w:rFonts w:ascii="等线" w:hAnsi="等线" w:eastAsia="等线"/>
          <w:sz w:val="21"/>
        </w:rPr>
        <w:tab/>
      </w:r>
      <w:r>
        <w:rPr>
          <w:rStyle w:val="36"/>
        </w:rPr>
        <w:t>环境质量现状调查与评价</w:t>
      </w:r>
      <w:r>
        <w:tab/>
      </w:r>
      <w:r>
        <w:fldChar w:fldCharType="begin"/>
      </w:r>
      <w:r>
        <w:instrText xml:space="preserve"> PAGEREF _Toc152864203 \h </w:instrText>
      </w:r>
      <w:r>
        <w:fldChar w:fldCharType="separate"/>
      </w:r>
      <w:r>
        <w:t>- 118 -</w:t>
      </w:r>
      <w:r>
        <w:fldChar w:fldCharType="end"/>
      </w:r>
      <w:r>
        <w:fldChar w:fldCharType="end"/>
      </w:r>
    </w:p>
    <w:p w14:paraId="1D9CFAA6">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"_Toc152864210" </w:instrText>
      </w:r>
      <w:r>
        <w:fldChar w:fldCharType="separate"/>
      </w:r>
      <w:r>
        <w:rPr>
          <w:rStyle w:val="36"/>
        </w:rPr>
        <w:t>5 环境影响预测与评价</w:t>
      </w:r>
      <w:r>
        <w:tab/>
      </w:r>
      <w:r>
        <w:fldChar w:fldCharType="begin"/>
      </w:r>
      <w:r>
        <w:instrText xml:space="preserve"> PAGEREF _Toc152864210 \h </w:instrText>
      </w:r>
      <w:r>
        <w:fldChar w:fldCharType="separate"/>
      </w:r>
      <w:r>
        <w:t>- 132 -</w:t>
      </w:r>
      <w:r>
        <w:fldChar w:fldCharType="end"/>
      </w:r>
      <w:r>
        <w:fldChar w:fldCharType="end"/>
      </w:r>
    </w:p>
    <w:p w14:paraId="3A1AFF80">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"_Toc152864211" </w:instrText>
      </w:r>
      <w:r>
        <w:fldChar w:fldCharType="separate"/>
      </w:r>
      <w:r>
        <w:rPr>
          <w:rStyle w:val="36"/>
        </w:rPr>
        <w:t>5.1</w:t>
      </w:r>
      <w:r>
        <w:rPr>
          <w:rFonts w:ascii="等线" w:hAnsi="等线" w:eastAsia="等线"/>
          <w:sz w:val="21"/>
        </w:rPr>
        <w:tab/>
      </w:r>
      <w:r>
        <w:rPr>
          <w:rStyle w:val="36"/>
        </w:rPr>
        <w:t>大气环境影响预测与评价</w:t>
      </w:r>
      <w:r>
        <w:tab/>
      </w:r>
      <w:r>
        <w:fldChar w:fldCharType="begin"/>
      </w:r>
      <w:r>
        <w:instrText xml:space="preserve"> PAGEREF _Toc152864211 \h </w:instrText>
      </w:r>
      <w:r>
        <w:fldChar w:fldCharType="separate"/>
      </w:r>
      <w:r>
        <w:t>- 132 -</w:t>
      </w:r>
      <w:r>
        <w:fldChar w:fldCharType="end"/>
      </w:r>
      <w:r>
        <w:fldChar w:fldCharType="end"/>
      </w:r>
    </w:p>
    <w:p w14:paraId="73D6110F">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"_Toc152864221" </w:instrText>
      </w:r>
      <w:r>
        <w:fldChar w:fldCharType="separate"/>
      </w:r>
      <w:r>
        <w:rPr>
          <w:rStyle w:val="36"/>
        </w:rPr>
        <w:t>5.2</w:t>
      </w:r>
      <w:r>
        <w:rPr>
          <w:rFonts w:ascii="等线" w:hAnsi="等线" w:eastAsia="等线"/>
          <w:sz w:val="21"/>
        </w:rPr>
        <w:tab/>
      </w:r>
      <w:r>
        <w:rPr>
          <w:rStyle w:val="36"/>
        </w:rPr>
        <w:t>地表水环境影响分析</w:t>
      </w:r>
      <w:r>
        <w:tab/>
      </w:r>
      <w:r>
        <w:fldChar w:fldCharType="begin"/>
      </w:r>
      <w:r>
        <w:instrText xml:space="preserve"> PAGEREF _Toc152864221 \h </w:instrText>
      </w:r>
      <w:r>
        <w:fldChar w:fldCharType="separate"/>
      </w:r>
      <w:r>
        <w:t>- 163 -</w:t>
      </w:r>
      <w:r>
        <w:fldChar w:fldCharType="end"/>
      </w:r>
      <w:r>
        <w:fldChar w:fldCharType="end"/>
      </w:r>
    </w:p>
    <w:p w14:paraId="0DD71512">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"_Toc152864222" </w:instrText>
      </w:r>
      <w:r>
        <w:fldChar w:fldCharType="separate"/>
      </w:r>
      <w:r>
        <w:rPr>
          <w:rStyle w:val="36"/>
        </w:rPr>
        <w:t>5.3</w:t>
      </w:r>
      <w:r>
        <w:rPr>
          <w:rFonts w:ascii="等线" w:hAnsi="等线" w:eastAsia="等线"/>
          <w:sz w:val="21"/>
        </w:rPr>
        <w:tab/>
      </w:r>
      <w:r>
        <w:rPr>
          <w:rStyle w:val="36"/>
        </w:rPr>
        <w:t>地下水环境影响预测与评价</w:t>
      </w:r>
      <w:r>
        <w:tab/>
      </w:r>
      <w:r>
        <w:fldChar w:fldCharType="begin"/>
      </w:r>
      <w:r>
        <w:instrText xml:space="preserve"> PAGEREF _Toc152864222 \h </w:instrText>
      </w:r>
      <w:r>
        <w:fldChar w:fldCharType="separate"/>
      </w:r>
      <w:r>
        <w:t>- 163 -</w:t>
      </w:r>
      <w:r>
        <w:fldChar w:fldCharType="end"/>
      </w:r>
      <w:r>
        <w:fldChar w:fldCharType="end"/>
      </w:r>
    </w:p>
    <w:p w14:paraId="2009701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"_Toc152864226" </w:instrText>
      </w:r>
      <w:r>
        <w:fldChar w:fldCharType="separate"/>
      </w:r>
      <w:r>
        <w:rPr>
          <w:rStyle w:val="36"/>
        </w:rPr>
        <w:t>5.4</w:t>
      </w:r>
      <w:r>
        <w:rPr>
          <w:rFonts w:ascii="等线" w:hAnsi="等线" w:eastAsia="等线"/>
          <w:sz w:val="21"/>
        </w:rPr>
        <w:tab/>
      </w:r>
      <w:r>
        <w:rPr>
          <w:rStyle w:val="36"/>
        </w:rPr>
        <w:t>声环境影响预测与评价</w:t>
      </w:r>
      <w:r>
        <w:tab/>
      </w:r>
      <w:r>
        <w:fldChar w:fldCharType="begin"/>
      </w:r>
      <w:r>
        <w:instrText xml:space="preserve"> PAGEREF _Toc152864226 \h </w:instrText>
      </w:r>
      <w:r>
        <w:fldChar w:fldCharType="separate"/>
      </w:r>
      <w:r>
        <w:t>- 183 -</w:t>
      </w:r>
      <w:r>
        <w:fldChar w:fldCharType="end"/>
      </w:r>
      <w:r>
        <w:fldChar w:fldCharType="end"/>
      </w:r>
    </w:p>
    <w:p w14:paraId="1907FDC4">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"_Toc152864230" </w:instrText>
      </w:r>
      <w:r>
        <w:fldChar w:fldCharType="separate"/>
      </w:r>
      <w:r>
        <w:rPr>
          <w:rStyle w:val="36"/>
        </w:rPr>
        <w:t>5.5</w:t>
      </w:r>
      <w:r>
        <w:rPr>
          <w:rFonts w:ascii="等线" w:hAnsi="等线" w:eastAsia="等线"/>
          <w:sz w:val="21"/>
        </w:rPr>
        <w:tab/>
      </w:r>
      <w:r>
        <w:rPr>
          <w:rStyle w:val="36"/>
        </w:rPr>
        <w:t>固体废物环境影响分析</w:t>
      </w:r>
      <w:r>
        <w:tab/>
      </w:r>
      <w:r>
        <w:fldChar w:fldCharType="begin"/>
      </w:r>
      <w:r>
        <w:instrText xml:space="preserve"> PAGEREF _Toc152864230 \h </w:instrText>
      </w:r>
      <w:r>
        <w:fldChar w:fldCharType="separate"/>
      </w:r>
      <w:r>
        <w:t>- 187 -</w:t>
      </w:r>
      <w:r>
        <w:fldChar w:fldCharType="end"/>
      </w:r>
      <w:r>
        <w:fldChar w:fldCharType="end"/>
      </w:r>
    </w:p>
    <w:p w14:paraId="66BC9F9B">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"_Toc152864233" </w:instrText>
      </w:r>
      <w:r>
        <w:fldChar w:fldCharType="separate"/>
      </w:r>
      <w:r>
        <w:rPr>
          <w:rStyle w:val="36"/>
        </w:rPr>
        <w:t>5.6</w:t>
      </w:r>
      <w:r>
        <w:rPr>
          <w:rFonts w:ascii="等线" w:hAnsi="等线" w:eastAsia="等线"/>
          <w:sz w:val="21"/>
        </w:rPr>
        <w:tab/>
      </w:r>
      <w:r>
        <w:rPr>
          <w:rStyle w:val="36"/>
        </w:rPr>
        <w:t>土壤环境影响评价</w:t>
      </w:r>
      <w:r>
        <w:tab/>
      </w:r>
      <w:r>
        <w:fldChar w:fldCharType="begin"/>
      </w:r>
      <w:r>
        <w:instrText xml:space="preserve"> PAGEREF _Toc152864233 \h </w:instrText>
      </w:r>
      <w:r>
        <w:fldChar w:fldCharType="separate"/>
      </w:r>
      <w:r>
        <w:t>- 189 -</w:t>
      </w:r>
      <w:r>
        <w:fldChar w:fldCharType="end"/>
      </w:r>
      <w:r>
        <w:fldChar w:fldCharType="end"/>
      </w:r>
    </w:p>
    <w:p w14:paraId="7B2C010F">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"_Toc152864238" </w:instrText>
      </w:r>
      <w:r>
        <w:fldChar w:fldCharType="separate"/>
      </w:r>
      <w:r>
        <w:rPr>
          <w:rStyle w:val="36"/>
        </w:rPr>
        <w:t>5.7</w:t>
      </w:r>
      <w:r>
        <w:rPr>
          <w:rFonts w:ascii="等线" w:hAnsi="等线" w:eastAsia="等线"/>
          <w:sz w:val="21"/>
        </w:rPr>
        <w:tab/>
      </w:r>
      <w:r>
        <w:rPr>
          <w:rStyle w:val="36"/>
        </w:rPr>
        <w:t>环境风险分析</w:t>
      </w:r>
      <w:r>
        <w:tab/>
      </w:r>
      <w:r>
        <w:fldChar w:fldCharType="begin"/>
      </w:r>
      <w:r>
        <w:instrText xml:space="preserve"> PAGEREF _Toc152864238 \h </w:instrText>
      </w:r>
      <w:r>
        <w:fldChar w:fldCharType="separate"/>
      </w:r>
      <w:r>
        <w:t>- 194 -</w:t>
      </w:r>
      <w:r>
        <w:fldChar w:fldCharType="end"/>
      </w:r>
      <w:r>
        <w:fldChar w:fldCharType="end"/>
      </w:r>
    </w:p>
    <w:p w14:paraId="001BFE9B">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"_Toc152864248" </w:instrText>
      </w:r>
      <w:r>
        <w:fldChar w:fldCharType="separate"/>
      </w:r>
      <w:r>
        <w:rPr>
          <w:rStyle w:val="36"/>
        </w:rPr>
        <w:t>5.8</w:t>
      </w:r>
      <w:r>
        <w:rPr>
          <w:rFonts w:ascii="等线" w:hAnsi="等线" w:eastAsia="等线"/>
          <w:sz w:val="21"/>
        </w:rPr>
        <w:tab/>
      </w:r>
      <w:r>
        <w:rPr>
          <w:rStyle w:val="36"/>
        </w:rPr>
        <w:t>施工期环境影响分析</w:t>
      </w:r>
      <w:r>
        <w:tab/>
      </w:r>
      <w:r>
        <w:fldChar w:fldCharType="begin"/>
      </w:r>
      <w:r>
        <w:instrText xml:space="preserve"> PAGEREF _Toc152864248 \h </w:instrText>
      </w:r>
      <w:r>
        <w:fldChar w:fldCharType="separate"/>
      </w:r>
      <w:r>
        <w:t>- 216 -</w:t>
      </w:r>
      <w:r>
        <w:fldChar w:fldCharType="end"/>
      </w:r>
      <w:r>
        <w:fldChar w:fldCharType="end"/>
      </w:r>
    </w:p>
    <w:p w14:paraId="0798C436">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"_Toc152864254" </w:instrText>
      </w:r>
      <w:r>
        <w:fldChar w:fldCharType="separate"/>
      </w:r>
      <w:r>
        <w:rPr>
          <w:rStyle w:val="36"/>
        </w:rPr>
        <w:t>6 环境保护措施及其可行性论证</w:t>
      </w:r>
      <w:r>
        <w:tab/>
      </w:r>
      <w:r>
        <w:fldChar w:fldCharType="begin"/>
      </w:r>
      <w:r>
        <w:instrText xml:space="preserve"> PAGEREF _Toc152864254 \h </w:instrText>
      </w:r>
      <w:r>
        <w:fldChar w:fldCharType="separate"/>
      </w:r>
      <w:r>
        <w:t>- 221 -</w:t>
      </w:r>
      <w:r>
        <w:fldChar w:fldCharType="end"/>
      </w:r>
      <w:r>
        <w:fldChar w:fldCharType="end"/>
      </w:r>
    </w:p>
    <w:p w14:paraId="21EADF51">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"_Toc152864255" </w:instrText>
      </w:r>
      <w:r>
        <w:fldChar w:fldCharType="separate"/>
      </w:r>
      <w:r>
        <w:rPr>
          <w:rStyle w:val="36"/>
        </w:rPr>
        <w:t>6.1</w:t>
      </w:r>
      <w:r>
        <w:rPr>
          <w:rFonts w:ascii="等线" w:hAnsi="等线" w:eastAsia="等线"/>
          <w:sz w:val="21"/>
        </w:rPr>
        <w:tab/>
      </w:r>
      <w:r>
        <w:rPr>
          <w:rStyle w:val="36"/>
        </w:rPr>
        <w:t>废气防治措施及可行性分析</w:t>
      </w:r>
      <w:r>
        <w:tab/>
      </w:r>
      <w:r>
        <w:fldChar w:fldCharType="begin"/>
      </w:r>
      <w:r>
        <w:instrText xml:space="preserve"> PAGEREF _Toc152864255 \h </w:instrText>
      </w:r>
      <w:r>
        <w:fldChar w:fldCharType="separate"/>
      </w:r>
      <w:r>
        <w:t>- 221 -</w:t>
      </w:r>
      <w:r>
        <w:fldChar w:fldCharType="end"/>
      </w:r>
      <w:r>
        <w:fldChar w:fldCharType="end"/>
      </w:r>
    </w:p>
    <w:p w14:paraId="6A312018">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"_Toc152864256" </w:instrText>
      </w:r>
      <w:r>
        <w:fldChar w:fldCharType="separate"/>
      </w:r>
      <w:r>
        <w:rPr>
          <w:rStyle w:val="36"/>
        </w:rPr>
        <w:t>6.2</w:t>
      </w:r>
      <w:r>
        <w:rPr>
          <w:rFonts w:ascii="等线" w:hAnsi="等线" w:eastAsia="等线"/>
          <w:sz w:val="21"/>
        </w:rPr>
        <w:tab/>
      </w:r>
      <w:r>
        <w:rPr>
          <w:rStyle w:val="36"/>
        </w:rPr>
        <w:t>废水污染防治措施及可行性分析</w:t>
      </w:r>
      <w:r>
        <w:tab/>
      </w:r>
      <w:r>
        <w:fldChar w:fldCharType="begin"/>
      </w:r>
      <w:r>
        <w:instrText xml:space="preserve"> PAGEREF _Toc152864256 \h </w:instrText>
      </w:r>
      <w:r>
        <w:fldChar w:fldCharType="separate"/>
      </w:r>
      <w:r>
        <w:t>- 224 -</w:t>
      </w:r>
      <w:r>
        <w:fldChar w:fldCharType="end"/>
      </w:r>
      <w:r>
        <w:fldChar w:fldCharType="end"/>
      </w:r>
    </w:p>
    <w:p w14:paraId="0BA259F5">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"_Toc152864259" </w:instrText>
      </w:r>
      <w:r>
        <w:fldChar w:fldCharType="separate"/>
      </w:r>
      <w:r>
        <w:rPr>
          <w:rStyle w:val="36"/>
        </w:rPr>
        <w:t>6.3</w:t>
      </w:r>
      <w:r>
        <w:rPr>
          <w:rFonts w:ascii="等线" w:hAnsi="等线" w:eastAsia="等线"/>
          <w:sz w:val="21"/>
        </w:rPr>
        <w:tab/>
      </w:r>
      <w:r>
        <w:rPr>
          <w:rStyle w:val="36"/>
        </w:rPr>
        <w:t>地下水污染防治措施</w:t>
      </w:r>
      <w:r>
        <w:tab/>
      </w:r>
      <w:r>
        <w:fldChar w:fldCharType="begin"/>
      </w:r>
      <w:r>
        <w:instrText xml:space="preserve"> PAGEREF _Toc152864259 \h </w:instrText>
      </w:r>
      <w:r>
        <w:fldChar w:fldCharType="separate"/>
      </w:r>
      <w:r>
        <w:t>- 227 -</w:t>
      </w:r>
      <w:r>
        <w:fldChar w:fldCharType="end"/>
      </w:r>
      <w:r>
        <w:fldChar w:fldCharType="end"/>
      </w:r>
    </w:p>
    <w:p w14:paraId="16EA2BA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"_Toc152864263" </w:instrText>
      </w:r>
      <w:r>
        <w:fldChar w:fldCharType="separate"/>
      </w:r>
      <w:r>
        <w:rPr>
          <w:rStyle w:val="36"/>
        </w:rPr>
        <w:t>6.4</w:t>
      </w:r>
      <w:r>
        <w:rPr>
          <w:rFonts w:ascii="等线" w:hAnsi="等线" w:eastAsia="等线"/>
          <w:sz w:val="21"/>
        </w:rPr>
        <w:tab/>
      </w:r>
      <w:r>
        <w:rPr>
          <w:rStyle w:val="36"/>
        </w:rPr>
        <w:t>噪声污染控制措施及可行性分析</w:t>
      </w:r>
      <w:r>
        <w:tab/>
      </w:r>
      <w:r>
        <w:fldChar w:fldCharType="begin"/>
      </w:r>
      <w:r>
        <w:instrText xml:space="preserve"> PAGEREF _Toc152864263 \h </w:instrText>
      </w:r>
      <w:r>
        <w:fldChar w:fldCharType="separate"/>
      </w:r>
      <w:r>
        <w:t>- 231 -</w:t>
      </w:r>
      <w:r>
        <w:fldChar w:fldCharType="end"/>
      </w:r>
      <w:r>
        <w:fldChar w:fldCharType="end"/>
      </w:r>
    </w:p>
    <w:p w14:paraId="34476B4F">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"_Toc152864264" </w:instrText>
      </w:r>
      <w:r>
        <w:fldChar w:fldCharType="separate"/>
      </w:r>
      <w:r>
        <w:rPr>
          <w:rStyle w:val="36"/>
        </w:rPr>
        <w:t>6.5</w:t>
      </w:r>
      <w:r>
        <w:rPr>
          <w:rFonts w:ascii="等线" w:hAnsi="等线" w:eastAsia="等线"/>
          <w:sz w:val="21"/>
        </w:rPr>
        <w:tab/>
      </w:r>
      <w:r>
        <w:rPr>
          <w:rStyle w:val="36"/>
        </w:rPr>
        <w:t>固体废物处理措施及可行性分析</w:t>
      </w:r>
      <w:r>
        <w:tab/>
      </w:r>
      <w:r>
        <w:fldChar w:fldCharType="begin"/>
      </w:r>
      <w:r>
        <w:instrText xml:space="preserve"> PAGEREF _Toc152864264 \h </w:instrText>
      </w:r>
      <w:r>
        <w:fldChar w:fldCharType="separate"/>
      </w:r>
      <w:r>
        <w:t>- 232 -</w:t>
      </w:r>
      <w:r>
        <w:fldChar w:fldCharType="end"/>
      </w:r>
      <w:r>
        <w:fldChar w:fldCharType="end"/>
      </w:r>
    </w:p>
    <w:p w14:paraId="2EB27D27">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"_Toc152864267" </w:instrText>
      </w:r>
      <w:r>
        <w:fldChar w:fldCharType="separate"/>
      </w:r>
      <w:r>
        <w:rPr>
          <w:rStyle w:val="36"/>
        </w:rPr>
        <w:t>6.6</w:t>
      </w:r>
      <w:r>
        <w:rPr>
          <w:rFonts w:ascii="等线" w:hAnsi="等线" w:eastAsia="等线"/>
          <w:sz w:val="21"/>
        </w:rPr>
        <w:tab/>
      </w:r>
      <w:r>
        <w:rPr>
          <w:rStyle w:val="36"/>
        </w:rPr>
        <w:t>土壤环境保护措施</w:t>
      </w:r>
      <w:r>
        <w:tab/>
      </w:r>
      <w:r>
        <w:fldChar w:fldCharType="begin"/>
      </w:r>
      <w:r>
        <w:instrText xml:space="preserve"> PAGEREF _Toc152864267 \h </w:instrText>
      </w:r>
      <w:r>
        <w:fldChar w:fldCharType="separate"/>
      </w:r>
      <w:r>
        <w:t>- 234 -</w:t>
      </w:r>
      <w:r>
        <w:fldChar w:fldCharType="end"/>
      </w:r>
      <w:r>
        <w:fldChar w:fldCharType="end"/>
      </w:r>
    </w:p>
    <w:p w14:paraId="582F7AD9">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"_Toc152864268" </w:instrText>
      </w:r>
      <w:r>
        <w:fldChar w:fldCharType="separate"/>
      </w:r>
      <w:r>
        <w:rPr>
          <w:rStyle w:val="36"/>
        </w:rPr>
        <w:t>6.7</w:t>
      </w:r>
      <w:r>
        <w:rPr>
          <w:rFonts w:ascii="等线" w:hAnsi="等线" w:eastAsia="等线"/>
          <w:sz w:val="21"/>
        </w:rPr>
        <w:tab/>
      </w:r>
      <w:r>
        <w:rPr>
          <w:rStyle w:val="36"/>
        </w:rPr>
        <w:t>防沙治沙措施</w:t>
      </w:r>
      <w:r>
        <w:tab/>
      </w:r>
      <w:r>
        <w:fldChar w:fldCharType="begin"/>
      </w:r>
      <w:r>
        <w:instrText xml:space="preserve"> PAGEREF _Toc152864268 \h </w:instrText>
      </w:r>
      <w:r>
        <w:fldChar w:fldCharType="separate"/>
      </w:r>
      <w:r>
        <w:t>- 234 -</w:t>
      </w:r>
      <w:r>
        <w:fldChar w:fldCharType="end"/>
      </w:r>
      <w:r>
        <w:fldChar w:fldCharType="end"/>
      </w:r>
    </w:p>
    <w:p w14:paraId="5B91028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"_Toc152864269" </w:instrText>
      </w:r>
      <w:r>
        <w:fldChar w:fldCharType="separate"/>
      </w:r>
      <w:r>
        <w:rPr>
          <w:rStyle w:val="36"/>
        </w:rPr>
        <w:t>6.8</w:t>
      </w:r>
      <w:r>
        <w:rPr>
          <w:rFonts w:ascii="等线" w:hAnsi="等线" w:eastAsia="等线"/>
          <w:sz w:val="21"/>
        </w:rPr>
        <w:tab/>
      </w:r>
      <w:r>
        <w:rPr>
          <w:rStyle w:val="36"/>
        </w:rPr>
        <w:t>施工期污染防治措施</w:t>
      </w:r>
      <w:r>
        <w:tab/>
      </w:r>
      <w:r>
        <w:fldChar w:fldCharType="begin"/>
      </w:r>
      <w:r>
        <w:instrText xml:space="preserve"> PAGEREF _Toc152864269 \h </w:instrText>
      </w:r>
      <w:r>
        <w:fldChar w:fldCharType="separate"/>
      </w:r>
      <w:r>
        <w:t>- 235 -</w:t>
      </w:r>
      <w:r>
        <w:fldChar w:fldCharType="end"/>
      </w:r>
      <w:r>
        <w:fldChar w:fldCharType="end"/>
      </w:r>
    </w:p>
    <w:p w14:paraId="757A9E96">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"_Toc152864275" </w:instrText>
      </w:r>
      <w:r>
        <w:fldChar w:fldCharType="separate"/>
      </w:r>
      <w:r>
        <w:rPr>
          <w:rStyle w:val="36"/>
        </w:rPr>
        <w:t>7 环境影响经济损益分析</w:t>
      </w:r>
      <w:r>
        <w:tab/>
      </w:r>
      <w:r>
        <w:fldChar w:fldCharType="begin"/>
      </w:r>
      <w:r>
        <w:instrText xml:space="preserve"> PAGEREF _Toc152864275 \h </w:instrText>
      </w:r>
      <w:r>
        <w:fldChar w:fldCharType="separate"/>
      </w:r>
      <w:r>
        <w:t>- 238 -</w:t>
      </w:r>
      <w:r>
        <w:fldChar w:fldCharType="end"/>
      </w:r>
      <w:r>
        <w:fldChar w:fldCharType="end"/>
      </w:r>
    </w:p>
    <w:p w14:paraId="45DACD0A">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"_Toc152864276" </w:instrText>
      </w:r>
      <w:r>
        <w:fldChar w:fldCharType="separate"/>
      </w:r>
      <w:r>
        <w:rPr>
          <w:rStyle w:val="36"/>
        </w:rPr>
        <w:t>7.1</w:t>
      </w:r>
      <w:r>
        <w:rPr>
          <w:rFonts w:ascii="等线" w:hAnsi="等线" w:eastAsia="等线"/>
          <w:sz w:val="21"/>
        </w:rPr>
        <w:tab/>
      </w:r>
      <w:r>
        <w:rPr>
          <w:rStyle w:val="36"/>
        </w:rPr>
        <w:t>社会和经济效益分析</w:t>
      </w:r>
      <w:r>
        <w:tab/>
      </w:r>
      <w:r>
        <w:fldChar w:fldCharType="begin"/>
      </w:r>
      <w:r>
        <w:instrText xml:space="preserve"> PAGEREF _Toc152864276 \h </w:instrText>
      </w:r>
      <w:r>
        <w:fldChar w:fldCharType="separate"/>
      </w:r>
      <w:r>
        <w:t>- 238 -</w:t>
      </w:r>
      <w:r>
        <w:fldChar w:fldCharType="end"/>
      </w:r>
      <w:r>
        <w:fldChar w:fldCharType="end"/>
      </w:r>
    </w:p>
    <w:p w14:paraId="0971427C">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"_Toc152864279" </w:instrText>
      </w:r>
      <w:r>
        <w:fldChar w:fldCharType="separate"/>
      </w:r>
      <w:r>
        <w:rPr>
          <w:rStyle w:val="36"/>
        </w:rPr>
        <w:t>7.2</w:t>
      </w:r>
      <w:r>
        <w:rPr>
          <w:rFonts w:ascii="等线" w:hAnsi="等线" w:eastAsia="等线"/>
          <w:sz w:val="21"/>
        </w:rPr>
        <w:tab/>
      </w:r>
      <w:r>
        <w:rPr>
          <w:rStyle w:val="36"/>
        </w:rPr>
        <w:t>环境经济损益分析</w:t>
      </w:r>
      <w:r>
        <w:tab/>
      </w:r>
      <w:r>
        <w:fldChar w:fldCharType="begin"/>
      </w:r>
      <w:r>
        <w:instrText xml:space="preserve"> PAGEREF _Toc152864279 \h </w:instrText>
      </w:r>
      <w:r>
        <w:fldChar w:fldCharType="separate"/>
      </w:r>
      <w:r>
        <w:t>- 238 -</w:t>
      </w:r>
      <w:r>
        <w:fldChar w:fldCharType="end"/>
      </w:r>
      <w:r>
        <w:fldChar w:fldCharType="end"/>
      </w:r>
    </w:p>
    <w:p w14:paraId="0D58F5CB">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"_Toc152864282" </w:instrText>
      </w:r>
      <w:r>
        <w:fldChar w:fldCharType="separate"/>
      </w:r>
      <w:r>
        <w:rPr>
          <w:rStyle w:val="36"/>
        </w:rPr>
        <w:t>8 环境管理及环境监测计划</w:t>
      </w:r>
      <w:r>
        <w:tab/>
      </w:r>
      <w:r>
        <w:fldChar w:fldCharType="begin"/>
      </w:r>
      <w:r>
        <w:instrText xml:space="preserve"> PAGEREF _Toc152864282 \h </w:instrText>
      </w:r>
      <w:r>
        <w:fldChar w:fldCharType="separate"/>
      </w:r>
      <w:r>
        <w:t>- 240 -</w:t>
      </w:r>
      <w:r>
        <w:fldChar w:fldCharType="end"/>
      </w:r>
      <w:r>
        <w:fldChar w:fldCharType="end"/>
      </w:r>
    </w:p>
    <w:p w14:paraId="19C6BE26">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"_Toc152864283" </w:instrText>
      </w:r>
      <w:r>
        <w:fldChar w:fldCharType="separate"/>
      </w:r>
      <w:r>
        <w:rPr>
          <w:rStyle w:val="36"/>
        </w:rPr>
        <w:t>8.1</w:t>
      </w:r>
      <w:r>
        <w:rPr>
          <w:rFonts w:ascii="等线" w:hAnsi="等线" w:eastAsia="等线"/>
          <w:sz w:val="21"/>
        </w:rPr>
        <w:tab/>
      </w:r>
      <w:r>
        <w:rPr>
          <w:rStyle w:val="36"/>
        </w:rPr>
        <w:t>环境管理</w:t>
      </w:r>
      <w:r>
        <w:tab/>
      </w:r>
      <w:r>
        <w:fldChar w:fldCharType="begin"/>
      </w:r>
      <w:r>
        <w:instrText xml:space="preserve"> PAGEREF _Toc152864283 \h </w:instrText>
      </w:r>
      <w:r>
        <w:fldChar w:fldCharType="separate"/>
      </w:r>
      <w:r>
        <w:t>- 240 -</w:t>
      </w:r>
      <w:r>
        <w:fldChar w:fldCharType="end"/>
      </w:r>
      <w:r>
        <w:fldChar w:fldCharType="end"/>
      </w:r>
    </w:p>
    <w:p w14:paraId="4D7225BD">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"_Toc152864288" </w:instrText>
      </w:r>
      <w:r>
        <w:fldChar w:fldCharType="separate"/>
      </w:r>
      <w:r>
        <w:rPr>
          <w:rStyle w:val="36"/>
        </w:rPr>
        <w:t>8.2</w:t>
      </w:r>
      <w:r>
        <w:rPr>
          <w:rFonts w:ascii="等线" w:hAnsi="等线" w:eastAsia="等线"/>
          <w:sz w:val="21"/>
        </w:rPr>
        <w:tab/>
      </w:r>
      <w:r>
        <w:rPr>
          <w:rStyle w:val="36"/>
        </w:rPr>
        <w:t>污染物排放清单</w:t>
      </w:r>
      <w:r>
        <w:tab/>
      </w:r>
      <w:r>
        <w:fldChar w:fldCharType="begin"/>
      </w:r>
      <w:r>
        <w:instrText xml:space="preserve"> PAGEREF _Toc152864288 \h </w:instrText>
      </w:r>
      <w:r>
        <w:fldChar w:fldCharType="separate"/>
      </w:r>
      <w:r>
        <w:t>- 244 -</w:t>
      </w:r>
      <w:r>
        <w:fldChar w:fldCharType="end"/>
      </w:r>
      <w:r>
        <w:fldChar w:fldCharType="end"/>
      </w:r>
    </w:p>
    <w:p w14:paraId="65D0F147">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"_Toc152864291" </w:instrText>
      </w:r>
      <w:r>
        <w:fldChar w:fldCharType="separate"/>
      </w:r>
      <w:r>
        <w:rPr>
          <w:rStyle w:val="36"/>
        </w:rPr>
        <w:t>8.3</w:t>
      </w:r>
      <w:r>
        <w:rPr>
          <w:rFonts w:ascii="等线" w:hAnsi="等线" w:eastAsia="等线"/>
          <w:sz w:val="21"/>
        </w:rPr>
        <w:tab/>
      </w:r>
      <w:r>
        <w:rPr>
          <w:rStyle w:val="36"/>
        </w:rPr>
        <w:t>总量控制</w:t>
      </w:r>
      <w:r>
        <w:tab/>
      </w:r>
      <w:r>
        <w:fldChar w:fldCharType="begin"/>
      </w:r>
      <w:r>
        <w:instrText xml:space="preserve"> PAGEREF _Toc152864291 \h </w:instrText>
      </w:r>
      <w:r>
        <w:fldChar w:fldCharType="separate"/>
      </w:r>
      <w:r>
        <w:t>- 249 -</w:t>
      </w:r>
      <w:r>
        <w:fldChar w:fldCharType="end"/>
      </w:r>
      <w:r>
        <w:fldChar w:fldCharType="end"/>
      </w:r>
    </w:p>
    <w:p w14:paraId="18BA8A57">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"_Toc152864292" </w:instrText>
      </w:r>
      <w:r>
        <w:fldChar w:fldCharType="separate"/>
      </w:r>
      <w:r>
        <w:rPr>
          <w:rStyle w:val="36"/>
        </w:rPr>
        <w:t>8.4</w:t>
      </w:r>
      <w:r>
        <w:rPr>
          <w:rFonts w:ascii="等线" w:hAnsi="等线" w:eastAsia="等线"/>
          <w:sz w:val="21"/>
        </w:rPr>
        <w:tab/>
      </w:r>
      <w:r>
        <w:rPr>
          <w:rStyle w:val="36"/>
        </w:rPr>
        <w:t>“三同时”验收</w:t>
      </w:r>
      <w:r>
        <w:tab/>
      </w:r>
      <w:r>
        <w:fldChar w:fldCharType="begin"/>
      </w:r>
      <w:r>
        <w:instrText xml:space="preserve"> PAGEREF _Toc152864292 \h </w:instrText>
      </w:r>
      <w:r>
        <w:fldChar w:fldCharType="separate"/>
      </w:r>
      <w:r>
        <w:t>- 249 -</w:t>
      </w:r>
      <w:r>
        <w:fldChar w:fldCharType="end"/>
      </w:r>
      <w:r>
        <w:fldChar w:fldCharType="end"/>
      </w:r>
    </w:p>
    <w:p w14:paraId="7E4A43F0">
      <w:pPr>
        <w:pStyle w:val="21"/>
        <w:tabs>
          <w:tab w:val="right" w:leader="dot" w:pos="8720"/>
        </w:tabs>
        <w:spacing w:line="264" w:lineRule="auto"/>
        <w:ind w:firstLine="480"/>
        <w:rPr>
          <w:rFonts w:ascii="等线" w:hAnsi="等线" w:eastAsia="等线"/>
          <w:sz w:val="21"/>
        </w:rPr>
      </w:pPr>
      <w:r>
        <w:fldChar w:fldCharType="begin"/>
      </w:r>
      <w:r>
        <w:instrText xml:space="preserve"> HYPERLINK \l "_Toc152864293" </w:instrText>
      </w:r>
      <w:r>
        <w:fldChar w:fldCharType="separate"/>
      </w:r>
      <w:r>
        <w:rPr>
          <w:rStyle w:val="36"/>
        </w:rPr>
        <w:t>9 环境影响评价结论</w:t>
      </w:r>
      <w:r>
        <w:tab/>
      </w:r>
      <w:r>
        <w:fldChar w:fldCharType="begin"/>
      </w:r>
      <w:r>
        <w:instrText xml:space="preserve"> PAGEREF _Toc152864293 \h </w:instrText>
      </w:r>
      <w:r>
        <w:fldChar w:fldCharType="separate"/>
      </w:r>
      <w:r>
        <w:t>- 251 -</w:t>
      </w:r>
      <w:r>
        <w:fldChar w:fldCharType="end"/>
      </w:r>
      <w:r>
        <w:fldChar w:fldCharType="end"/>
      </w:r>
    </w:p>
    <w:p w14:paraId="40CA6DA8">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"_Toc152864294" </w:instrText>
      </w:r>
      <w:r>
        <w:fldChar w:fldCharType="separate"/>
      </w:r>
      <w:r>
        <w:rPr>
          <w:rStyle w:val="36"/>
        </w:rPr>
        <w:t>9.1</w:t>
      </w:r>
      <w:r>
        <w:rPr>
          <w:rFonts w:ascii="等线" w:hAnsi="等线" w:eastAsia="等线"/>
          <w:sz w:val="21"/>
        </w:rPr>
        <w:tab/>
      </w:r>
      <w:r>
        <w:rPr>
          <w:rStyle w:val="36"/>
        </w:rPr>
        <w:t>综合结论</w:t>
      </w:r>
      <w:r>
        <w:tab/>
      </w:r>
      <w:r>
        <w:fldChar w:fldCharType="begin"/>
      </w:r>
      <w:r>
        <w:instrText xml:space="preserve"> PAGEREF _Toc152864294 \h </w:instrText>
      </w:r>
      <w:r>
        <w:fldChar w:fldCharType="separate"/>
      </w:r>
      <w:r>
        <w:t>- 254 -</w:t>
      </w:r>
      <w:r>
        <w:fldChar w:fldCharType="end"/>
      </w:r>
      <w:r>
        <w:fldChar w:fldCharType="end"/>
      </w:r>
    </w:p>
    <w:p w14:paraId="2F101671">
      <w:pPr>
        <w:pStyle w:val="25"/>
        <w:tabs>
          <w:tab w:val="left" w:pos="1680"/>
          <w:tab w:val="right" w:leader="dot" w:pos="8720"/>
        </w:tabs>
        <w:spacing w:line="264" w:lineRule="auto"/>
        <w:ind w:left="480" w:firstLine="480"/>
        <w:rPr>
          <w:rFonts w:ascii="等线" w:hAnsi="等线" w:eastAsia="等线"/>
          <w:sz w:val="21"/>
        </w:rPr>
      </w:pPr>
      <w:r>
        <w:fldChar w:fldCharType="begin"/>
      </w:r>
      <w:r>
        <w:instrText xml:space="preserve"> HYPERLINK \l "_Toc152864295" </w:instrText>
      </w:r>
      <w:r>
        <w:fldChar w:fldCharType="separate"/>
      </w:r>
      <w:r>
        <w:rPr>
          <w:rStyle w:val="36"/>
        </w:rPr>
        <w:t>9.2</w:t>
      </w:r>
      <w:r>
        <w:rPr>
          <w:rFonts w:ascii="等线" w:hAnsi="等线" w:eastAsia="等线"/>
          <w:sz w:val="21"/>
        </w:rPr>
        <w:tab/>
      </w:r>
      <w:r>
        <w:rPr>
          <w:rStyle w:val="36"/>
        </w:rPr>
        <w:t>建议</w:t>
      </w:r>
      <w:r>
        <w:tab/>
      </w:r>
      <w:r>
        <w:fldChar w:fldCharType="begin"/>
      </w:r>
      <w:r>
        <w:instrText xml:space="preserve"> PAGEREF _Toc152864295 \h </w:instrText>
      </w:r>
      <w:r>
        <w:fldChar w:fldCharType="separate"/>
      </w:r>
      <w:r>
        <w:t>- 254 -</w:t>
      </w:r>
      <w:r>
        <w:fldChar w:fldCharType="end"/>
      </w:r>
      <w:r>
        <w:fldChar w:fldCharType="end"/>
      </w:r>
    </w:p>
    <w:p w14:paraId="5F00F2BF">
      <w:pPr>
        <w:spacing w:line="264" w:lineRule="auto"/>
        <w:ind w:firstLine="0" w:firstLineChars="0"/>
      </w:pPr>
      <w:r>
        <w:rPr>
          <w:b/>
          <w:bCs/>
          <w:lang w:val="zh-CN"/>
        </w:rPr>
        <w:fldChar w:fldCharType="end"/>
      </w:r>
    </w:p>
    <w:p w14:paraId="0B0D6D3B">
      <w:pPr>
        <w:adjustRightInd w:val="0"/>
        <w:snapToGrid w:val="0"/>
        <w:ind w:firstLine="482"/>
        <w:rPr>
          <w:b/>
        </w:rPr>
      </w:pPr>
    </w:p>
    <w:p w14:paraId="6A386EFF">
      <w:pPr>
        <w:keepNext w:val="0"/>
        <w:keepLines w:val="0"/>
        <w:pageBreakBefore w:val="0"/>
        <w:widowControl w:val="0"/>
        <w:kinsoku/>
        <w:wordWrap/>
        <w:overflowPunct/>
        <w:topLinePunct w:val="0"/>
        <w:autoSpaceDE/>
        <w:autoSpaceDN/>
        <w:bidi w:val="0"/>
        <w:adjustRightInd w:val="0"/>
        <w:snapToGrid w:val="0"/>
        <w:ind w:firstLine="240" w:firstLineChars="100"/>
        <w:textAlignment w:val="auto"/>
      </w:pPr>
      <w:r>
        <w:rPr>
          <w:rFonts w:hint="eastAsia"/>
          <w:b/>
        </w:rPr>
        <w:t>附件：</w:t>
      </w:r>
    </w:p>
    <w:p w14:paraId="1F0C04C1">
      <w:pPr>
        <w:keepNext w:val="0"/>
        <w:keepLines w:val="0"/>
        <w:pageBreakBefore w:val="0"/>
        <w:widowControl w:val="0"/>
        <w:kinsoku/>
        <w:wordWrap/>
        <w:overflowPunct/>
        <w:topLinePunct w:val="0"/>
        <w:autoSpaceDE/>
        <w:autoSpaceDN/>
        <w:bidi w:val="0"/>
        <w:ind w:firstLine="240" w:firstLineChars="100"/>
        <w:textAlignment w:val="auto"/>
        <w:rPr>
          <w:b/>
        </w:rPr>
        <w:sectPr>
          <w:headerReference r:id="rId11" w:type="default"/>
          <w:footerReference r:id="rId12" w:type="default"/>
          <w:pgSz w:w="11906" w:h="16838"/>
          <w:pgMar w:top="1440" w:right="1588" w:bottom="1440" w:left="1588" w:header="709" w:footer="577" w:gutter="0"/>
          <w:pgBorders>
            <w:top w:val="none" w:sz="0" w:space="0"/>
            <w:left w:val="none" w:sz="0" w:space="0"/>
            <w:bottom w:val="none" w:sz="0" w:space="0"/>
            <w:right w:val="none" w:sz="0" w:space="0"/>
          </w:pgBorders>
          <w:pgNumType w:fmt="upperRoman" w:start="1"/>
          <w:cols w:space="425" w:num="1"/>
          <w:docGrid w:type="linesAndChars" w:linePitch="326" w:charSpace="0"/>
        </w:sectPr>
      </w:pPr>
    </w:p>
    <w:p w14:paraId="6D175599">
      <w:pPr>
        <w:keepNext w:val="0"/>
        <w:keepLines w:val="0"/>
        <w:pageBreakBefore w:val="0"/>
        <w:widowControl w:val="0"/>
        <w:kinsoku/>
        <w:wordWrap/>
        <w:overflowPunct/>
        <w:topLinePunct w:val="0"/>
        <w:autoSpaceDE/>
        <w:autoSpaceDN/>
        <w:bidi w:val="0"/>
        <w:ind w:firstLine="240" w:firstLineChars="100"/>
        <w:textAlignment w:val="auto"/>
        <w:rPr>
          <w:b/>
        </w:rPr>
      </w:pPr>
      <w:r>
        <w:rPr>
          <w:rFonts w:hint="eastAsia"/>
          <w:b/>
        </w:rPr>
        <w:t>附件1：环评委托书</w:t>
      </w:r>
    </w:p>
    <w:p w14:paraId="0C91076C">
      <w:pPr>
        <w:keepNext w:val="0"/>
        <w:keepLines w:val="0"/>
        <w:pageBreakBefore w:val="0"/>
        <w:widowControl w:val="0"/>
        <w:kinsoku/>
        <w:wordWrap/>
        <w:overflowPunct/>
        <w:topLinePunct w:val="0"/>
        <w:autoSpaceDE/>
        <w:autoSpaceDN/>
        <w:bidi w:val="0"/>
        <w:ind w:firstLine="240" w:firstLineChars="100"/>
        <w:textAlignment w:val="auto"/>
        <w:rPr>
          <w:b/>
        </w:rPr>
      </w:pPr>
      <w:r>
        <w:rPr>
          <w:rFonts w:hint="eastAsia"/>
          <w:b/>
        </w:rPr>
        <w:t>附件2：项目备案证明</w:t>
      </w:r>
    </w:p>
    <w:p w14:paraId="64BDD11D">
      <w:pPr>
        <w:keepNext w:val="0"/>
        <w:keepLines w:val="0"/>
        <w:pageBreakBefore w:val="0"/>
        <w:widowControl w:val="0"/>
        <w:kinsoku/>
        <w:wordWrap/>
        <w:overflowPunct/>
        <w:topLinePunct w:val="0"/>
        <w:autoSpaceDE/>
        <w:autoSpaceDN/>
        <w:bidi w:val="0"/>
        <w:ind w:firstLine="240" w:firstLineChars="100"/>
        <w:textAlignment w:val="auto"/>
        <w:rPr>
          <w:rFonts w:hint="eastAsia"/>
          <w:b/>
        </w:rPr>
      </w:pPr>
      <w:r>
        <w:rPr>
          <w:b/>
        </w:rPr>
        <w:t>附件</w:t>
      </w:r>
      <w:r>
        <w:rPr>
          <w:rFonts w:hint="eastAsia"/>
          <w:b/>
        </w:rPr>
        <w:t>3</w:t>
      </w:r>
      <w:r>
        <w:rPr>
          <w:b/>
        </w:rPr>
        <w:t>：</w:t>
      </w:r>
      <w:r>
        <w:rPr>
          <w:rFonts w:hint="eastAsia"/>
          <w:b/>
        </w:rPr>
        <w:t>园区规划环评审查意见</w:t>
      </w:r>
    </w:p>
    <w:p w14:paraId="02341289">
      <w:pPr>
        <w:keepNext w:val="0"/>
        <w:keepLines w:val="0"/>
        <w:pageBreakBefore w:val="0"/>
        <w:widowControl w:val="0"/>
        <w:kinsoku/>
        <w:wordWrap/>
        <w:overflowPunct/>
        <w:topLinePunct w:val="0"/>
        <w:autoSpaceDE/>
        <w:autoSpaceDN/>
        <w:bidi w:val="0"/>
        <w:ind w:firstLine="240" w:firstLineChars="100"/>
        <w:textAlignment w:val="auto"/>
        <w:rPr>
          <w:rFonts w:hint="eastAsia"/>
          <w:b/>
        </w:rPr>
      </w:pPr>
      <w:r>
        <w:rPr>
          <w:rFonts w:hint="eastAsia"/>
          <w:b/>
          <w:lang w:val="en-US" w:eastAsia="zh-CN"/>
        </w:rPr>
        <w:t>附件4：化工园区规划环评审查意见</w:t>
      </w:r>
    </w:p>
    <w:p w14:paraId="586272B4">
      <w:pPr>
        <w:keepNext w:val="0"/>
        <w:keepLines w:val="0"/>
        <w:pageBreakBefore w:val="0"/>
        <w:widowControl w:val="0"/>
        <w:kinsoku/>
        <w:wordWrap/>
        <w:overflowPunct/>
        <w:topLinePunct w:val="0"/>
        <w:autoSpaceDE/>
        <w:autoSpaceDN/>
        <w:bidi w:val="0"/>
        <w:ind w:firstLine="240" w:firstLineChars="100"/>
        <w:textAlignment w:val="auto"/>
        <w:rPr>
          <w:rFonts w:hint="eastAsia"/>
          <w:b/>
        </w:rPr>
      </w:pPr>
    </w:p>
    <w:p w14:paraId="5C038ACC">
      <w:pPr>
        <w:keepNext w:val="0"/>
        <w:keepLines w:val="0"/>
        <w:pageBreakBefore w:val="0"/>
        <w:widowControl w:val="0"/>
        <w:kinsoku/>
        <w:wordWrap/>
        <w:overflowPunct/>
        <w:topLinePunct w:val="0"/>
        <w:autoSpaceDE/>
        <w:autoSpaceDN/>
        <w:bidi w:val="0"/>
        <w:ind w:firstLine="240" w:firstLineChars="100"/>
        <w:textAlignment w:val="auto"/>
        <w:rPr>
          <w:b/>
        </w:rPr>
      </w:pPr>
      <w:r>
        <w:rPr>
          <w:rFonts w:hint="eastAsia"/>
          <w:b/>
        </w:rPr>
        <w:t>附件</w:t>
      </w:r>
      <w:r>
        <w:rPr>
          <w:rFonts w:hint="eastAsia"/>
          <w:b/>
          <w:lang w:val="en-US" w:eastAsia="zh-CN"/>
        </w:rPr>
        <w:t>5</w:t>
      </w:r>
      <w:r>
        <w:rPr>
          <w:rFonts w:hint="eastAsia"/>
          <w:b/>
        </w:rPr>
        <w:t>：本项目环境现状监测报告</w:t>
      </w:r>
    </w:p>
    <w:p w14:paraId="5565063E">
      <w:pPr>
        <w:keepNext w:val="0"/>
        <w:keepLines w:val="0"/>
        <w:pageBreakBefore w:val="0"/>
        <w:widowControl w:val="0"/>
        <w:kinsoku/>
        <w:wordWrap/>
        <w:overflowPunct/>
        <w:topLinePunct w:val="0"/>
        <w:autoSpaceDE/>
        <w:autoSpaceDN/>
        <w:bidi w:val="0"/>
        <w:ind w:firstLine="240" w:firstLineChars="100"/>
        <w:textAlignment w:val="auto"/>
        <w:rPr>
          <w:b/>
        </w:rPr>
      </w:pPr>
      <w:r>
        <w:rPr>
          <w:rFonts w:hint="eastAsia"/>
          <w:b/>
        </w:rPr>
        <w:t>附件</w:t>
      </w:r>
      <w:r>
        <w:rPr>
          <w:rFonts w:hint="eastAsia"/>
          <w:b/>
          <w:lang w:val="en-US" w:eastAsia="zh-CN"/>
        </w:rPr>
        <w:t>6</w:t>
      </w:r>
      <w:r>
        <w:rPr>
          <w:rFonts w:hint="eastAsia"/>
          <w:b/>
        </w:rPr>
        <w:t>：建设项目审批基础信息表</w:t>
      </w:r>
      <w:r>
        <w:rPr>
          <w:b/>
        </w:rPr>
        <w:t xml:space="preserve"> </w:t>
      </w:r>
    </w:p>
    <w:p w14:paraId="25C587F7">
      <w:pPr>
        <w:ind w:firstLine="482"/>
        <w:rPr>
          <w:b/>
        </w:rPr>
      </w:pPr>
    </w:p>
    <w:p w14:paraId="3707D209">
      <w:pPr>
        <w:ind w:firstLine="482"/>
        <w:rPr>
          <w:b/>
        </w:rPr>
        <w:sectPr>
          <w:type w:val="continuous"/>
          <w:pgSz w:w="11906" w:h="16838"/>
          <w:pgMar w:top="1440" w:right="1588" w:bottom="1440" w:left="1588" w:header="907" w:footer="907" w:gutter="0"/>
          <w:pgBorders>
            <w:top w:val="none" w:sz="0" w:space="0"/>
            <w:left w:val="none" w:sz="0" w:space="0"/>
            <w:bottom w:val="none" w:sz="0" w:space="0"/>
            <w:right w:val="none" w:sz="0" w:space="0"/>
          </w:pgBorders>
          <w:pgNumType w:fmt="upperRoman" w:start="1"/>
          <w:cols w:space="425" w:num="2"/>
          <w:docGrid w:type="linesAndChars" w:linePitch="326" w:charSpace="0"/>
        </w:sectPr>
      </w:pPr>
    </w:p>
    <w:p w14:paraId="6635355A">
      <w:pPr>
        <w:ind w:firstLine="480"/>
      </w:pPr>
    </w:p>
    <w:p w14:paraId="735ECFB3">
      <w:pPr>
        <w:ind w:firstLine="480"/>
        <w:sectPr>
          <w:type w:val="continuous"/>
          <w:pgSz w:w="11906" w:h="16838"/>
          <w:pgMar w:top="1440" w:right="1588" w:bottom="1440" w:left="1588" w:header="907" w:footer="907" w:gutter="0"/>
          <w:pgBorders>
            <w:top w:val="none" w:sz="0" w:space="0"/>
            <w:left w:val="none" w:sz="0" w:space="0"/>
            <w:bottom w:val="none" w:sz="0" w:space="0"/>
            <w:right w:val="none" w:sz="0" w:space="0"/>
          </w:pgBorders>
          <w:pgNumType w:fmt="upperRoman" w:start="1"/>
          <w:cols w:space="425" w:num="1"/>
          <w:docGrid w:type="linesAndChars" w:linePitch="326" w:charSpace="0"/>
        </w:sectPr>
      </w:pPr>
    </w:p>
    <w:p w14:paraId="79B9B059">
      <w:pPr>
        <w:pStyle w:val="40"/>
      </w:pPr>
      <w:bookmarkStart w:id="0" w:name="_Toc152864127"/>
      <w:r>
        <w:rPr>
          <w:rFonts w:hint="eastAsia"/>
        </w:rPr>
        <w:t>概述</w:t>
      </w:r>
      <w:bookmarkEnd w:id="0"/>
    </w:p>
    <w:p w14:paraId="15F59D33">
      <w:pPr>
        <w:pStyle w:val="41"/>
        <w:adjustRightInd w:val="0"/>
        <w:snapToGrid w:val="0"/>
        <w:spacing w:before="81" w:beforeLines="25" w:after="81" w:afterLines="25" w:line="240" w:lineRule="auto"/>
      </w:pPr>
      <w:bookmarkStart w:id="1" w:name="_Toc152864128"/>
      <w:r>
        <w:rPr>
          <w:rFonts w:hint="eastAsia"/>
        </w:rPr>
        <w:t>项目背景</w:t>
      </w:r>
      <w:bookmarkEnd w:id="1"/>
    </w:p>
    <w:p w14:paraId="55DAC9F1">
      <w:pPr>
        <w:ind w:firstLine="480"/>
      </w:pPr>
      <w:r>
        <w:rPr>
          <w:rFonts w:hint="eastAsia"/>
        </w:rPr>
        <w:t>新疆翱巡能源科技有限公司，成立于2</w:t>
      </w:r>
      <w:r>
        <w:t>013</w:t>
      </w:r>
      <w:r>
        <w:rPr>
          <w:rFonts w:hint="eastAsia"/>
        </w:rPr>
        <w:t>年</w:t>
      </w:r>
      <w:r>
        <w:t>6</w:t>
      </w:r>
      <w:r>
        <w:rPr>
          <w:rFonts w:hint="eastAsia"/>
        </w:rPr>
        <w:t>月</w:t>
      </w:r>
      <w:r>
        <w:t>24</w:t>
      </w:r>
      <w:r>
        <w:rPr>
          <w:rFonts w:hint="eastAsia"/>
        </w:rPr>
        <w:t>日，主要经营范围为：石油和天然气开采辅助活动；技术推广服务；专业技术服务；社会经济咨询；化工产品、矿产品、机械设备、五金产品、电子产品销售；机械设备、电子产品维修；金属密封件、橡胶零件制造；石油制品制造等。</w:t>
      </w:r>
    </w:p>
    <w:p w14:paraId="737E2D96">
      <w:pPr>
        <w:ind w:firstLine="480"/>
      </w:pPr>
      <w:r>
        <w:rPr>
          <w:rFonts w:hint="eastAsia"/>
        </w:rPr>
        <w:t>目前，润滑油与宏观经济、工业发展、汽车、机械、交通运输等行业的发展息息相关。长期以来，中国润滑油主要应用于工业润滑油和交通润滑油两个领域。润滑油行业的产业链基本完善，主要分为上中下游环节，产业链上游为石油初级炼制行业和添加剂行业，产业链中游为润滑油制造，产业链下游为汽车工业、船舶制造、工程机械、能源化工等润滑油应用行业。</w:t>
      </w:r>
    </w:p>
    <w:p w14:paraId="76DE662D">
      <w:pPr>
        <w:ind w:firstLine="480"/>
      </w:pPr>
      <w:r>
        <w:rPr>
          <w:rFonts w:hint="eastAsia"/>
        </w:rPr>
        <w:t>随着我国国民经济持续增长，世界各大润滑油企业都将我国润滑油市场作为其重点发展的区域，目前国内已形成跨国润滑油公司、中国石化、中国石油两大国有限公司和地方民营润滑油企业相互竞争的格局，行业竞争日益激烈。随着全球范围内润滑油产业结构升级以及对高品质润滑油的需求持续提高，行业内领先企业将通过资源整合进一步提高行业集中度。如果企业不能抓住机遇及时提升竞争力，应对更为激烈和复杂的市场竞争，产品市场占有率和盈利水平将面临下降的风险。</w:t>
      </w:r>
    </w:p>
    <w:p w14:paraId="1F13DA40">
      <w:pPr>
        <w:ind w:firstLine="480"/>
      </w:pPr>
      <w:r>
        <w:rPr>
          <w:rFonts w:hint="eastAsia"/>
        </w:rPr>
        <w:t>润滑油基础油主要分矿物基础油、合成基础油以及植物油基础油三大类。随着我国工程机械、电力、汽车、冶金、钢铁、模具、机床行业的快速增长，装备技术的不断提升，汽车产业已经成为推动我国经济发展的巨大动力之一，同时也带动了旺盛的中高端润滑油需求量的增长。润滑脂用于机械的摩擦部分，起润滑和密封作用。也用于金属表面，起填充空隙和防锈作用。主要由矿物油和稠化剂调制而成。根据稠化剂可分为皂基脂和非皂基脂两类。</w:t>
      </w:r>
    </w:p>
    <w:p w14:paraId="092E3767">
      <w:pPr>
        <w:ind w:firstLine="480"/>
      </w:pPr>
      <w:r>
        <w:rPr>
          <w:rFonts w:hint="eastAsia"/>
        </w:rPr>
        <w:t>本项目选址位于胡杨河经济技术开发区内，主要以新疆佳宇恒能源科技有限公司生产的减二线、减三线油为原料，采用“常减压蒸馏-溶剂精制-白土精制”的生产工艺，建设年产8万吨润滑油生产线（一期）和年产2万吨润滑脂生产线（二期）各1条。2</w:t>
      </w:r>
      <w:r>
        <w:t>023</w:t>
      </w:r>
      <w:r>
        <w:rPr>
          <w:rFonts w:hint="eastAsia"/>
        </w:rPr>
        <w:t>年8月4日，胡杨河经济技术开发区经济发展局对本项目一期出具了项目备案证，文号为：经发局备〔2</w:t>
      </w:r>
      <w:r>
        <w:t>023</w:t>
      </w:r>
      <w:r>
        <w:rPr>
          <w:rFonts w:hint="eastAsia"/>
        </w:rPr>
        <w:t>〕0</w:t>
      </w:r>
      <w:r>
        <w:t>38</w:t>
      </w:r>
      <w:r>
        <w:rPr>
          <w:rFonts w:hint="eastAsia"/>
        </w:rPr>
        <w:t>号；2</w:t>
      </w:r>
      <w:r>
        <w:t>023</w:t>
      </w:r>
      <w:r>
        <w:rPr>
          <w:rFonts w:hint="eastAsia"/>
        </w:rPr>
        <w:t>年1</w:t>
      </w:r>
      <w:r>
        <w:t>0</w:t>
      </w:r>
      <w:r>
        <w:rPr>
          <w:rFonts w:hint="eastAsia"/>
        </w:rPr>
        <w:t>月1</w:t>
      </w:r>
      <w:r>
        <w:t>3</w:t>
      </w:r>
      <w:r>
        <w:rPr>
          <w:rFonts w:hint="eastAsia"/>
        </w:rPr>
        <w:t>日，对本项目二期出具了项目备案证，文号为：经发局备〔2</w:t>
      </w:r>
      <w:r>
        <w:t>023</w:t>
      </w:r>
      <w:r>
        <w:rPr>
          <w:rFonts w:hint="eastAsia"/>
        </w:rPr>
        <w:t>〕0</w:t>
      </w:r>
      <w:r>
        <w:t>55</w:t>
      </w:r>
      <w:r>
        <w:rPr>
          <w:rFonts w:hint="eastAsia"/>
        </w:rPr>
        <w:t>号。</w:t>
      </w:r>
    </w:p>
    <w:p w14:paraId="773DE123">
      <w:pPr>
        <w:ind w:firstLine="480"/>
        <w:rPr>
          <w:rFonts w:hint="default"/>
          <w:color w:val="auto"/>
          <w:lang w:val="en-US" w:eastAsia="zh-CN"/>
        </w:rPr>
      </w:pPr>
      <w:r>
        <w:rPr>
          <w:rFonts w:hint="eastAsia"/>
          <w:color w:val="auto"/>
          <w:lang w:val="en-US" w:eastAsia="zh-CN"/>
        </w:rPr>
        <w:t>本项目于2024年3月21日取得第七师生态环境局出具的环评批复（师市环审〔2024〕20号）并开工建设，目前一期建设内容基本建成，建设单位在组织自查过程中发现已建成内容与批复的环境影响报告书中不一致，对照关于印发《污染影响类建设项目重大变动清单（试行）》的通知（环办环评函〔2020〕688号）并经论证分析后，确定本项目属于重大变动，根据《中华人民共和国环境影响评价法》第二十四条规定，建设单位应当重新报批建设项目的环境影响评价文件。</w:t>
      </w:r>
    </w:p>
    <w:p w14:paraId="53AF50DB">
      <w:pPr>
        <w:pStyle w:val="41"/>
      </w:pPr>
      <w:bookmarkStart w:id="2" w:name="_Toc152864129"/>
      <w:r>
        <w:rPr>
          <w:rFonts w:hint="eastAsia"/>
        </w:rPr>
        <w:t>建设项目特点</w:t>
      </w:r>
      <w:bookmarkEnd w:id="2"/>
    </w:p>
    <w:p w14:paraId="3D1E4FEA">
      <w:pPr>
        <w:ind w:firstLine="480"/>
      </w:pPr>
      <w:r>
        <w:rPr>
          <w:rFonts w:hint="eastAsia"/>
        </w:rPr>
        <w:t>（1）本项目涉及润滑油和润滑脂的生产，属于《国民经济行业分类》（</w:t>
      </w:r>
      <w:r>
        <w:t>GB/T4754-2017</w:t>
      </w:r>
      <w:r>
        <w:rPr>
          <w:rFonts w:hint="eastAsia"/>
        </w:rPr>
        <w:t>）中的“</w:t>
      </w:r>
      <w:r>
        <w:t>2511</w:t>
      </w:r>
      <w:r>
        <w:rPr>
          <w:rFonts w:hint="eastAsia"/>
        </w:rPr>
        <w:t xml:space="preserve"> 原油加工及石油制品制造”。根据《建设项目环境影响评价分类管理名录（2021年版）》可知，本项目属于“二十二、石油、煤炭及其他燃料加工业2</w:t>
      </w:r>
      <w:r>
        <w:t>5</w:t>
      </w:r>
      <w:r>
        <w:rPr>
          <w:rFonts w:hint="eastAsia"/>
        </w:rPr>
        <w:t>-精炼石油产品制造2</w:t>
      </w:r>
      <w:r>
        <w:t>51</w:t>
      </w:r>
      <w:r>
        <w:rPr>
          <w:rFonts w:hint="eastAsia"/>
        </w:rPr>
        <w:t>—全部（含单纯物理分离、物理提纯、混合、分装的除外；煤制品制造除外；其他煤炭加工除外）”，因此，本项目应编制环境影响报告书。</w:t>
      </w:r>
    </w:p>
    <w:p w14:paraId="188B8D9E">
      <w:pPr>
        <w:ind w:firstLine="480"/>
      </w:pPr>
      <w:r>
        <w:rPr>
          <w:rFonts w:hint="eastAsia"/>
        </w:rPr>
        <w:t>（2）本项目采取分期建设的方式进行，一期主要建设8万吨/年润滑油生产线及其配套设施，二期主要建设2万吨/年润滑脂生产线及其配套设施。</w:t>
      </w:r>
    </w:p>
    <w:p w14:paraId="0705112F">
      <w:pPr>
        <w:ind w:firstLine="480"/>
      </w:pPr>
      <w:r>
        <w:rPr>
          <w:rFonts w:hint="eastAsia"/>
        </w:rPr>
        <w:t>（3）本项目供水依托园区供水管网，并且厂区内新建7</w:t>
      </w:r>
      <w:r>
        <w:t>00</w:t>
      </w:r>
      <w:r>
        <w:rPr>
          <w:rFonts w:hint="eastAsia"/>
        </w:rPr>
        <w:t>m</w:t>
      </w:r>
      <w:r>
        <w:rPr>
          <w:vertAlign w:val="superscript"/>
        </w:rPr>
        <w:t>3</w:t>
      </w:r>
      <w:r>
        <w:rPr>
          <w:rFonts w:hint="eastAsia"/>
        </w:rPr>
        <w:t>储水罐1座；供热采用天然气导热油炉间接供热，天然气属于清洁能源，可以减少公辅工程运行对环境的污染。</w:t>
      </w:r>
    </w:p>
    <w:p w14:paraId="441A3BCF">
      <w:pPr>
        <w:ind w:firstLine="480"/>
      </w:pPr>
      <w:r>
        <w:rPr>
          <w:rFonts w:hint="eastAsia"/>
        </w:rPr>
        <w:t>（4）废气治理措施属于《排污许可证申请与核发技术规范 石化工业》（HJ</w:t>
      </w:r>
      <w:r>
        <w:t>853-2017</w:t>
      </w:r>
      <w:r>
        <w:rPr>
          <w:rFonts w:hint="eastAsia"/>
        </w:rPr>
        <w:t>）中推荐的“油气回收（冷凝+吸附）”，工艺成熟、可靠，能实现达标排放。</w:t>
      </w:r>
    </w:p>
    <w:p w14:paraId="3D95B31E">
      <w:pPr>
        <w:pStyle w:val="41"/>
      </w:pPr>
      <w:bookmarkStart w:id="3" w:name="_Toc152864130"/>
      <w:r>
        <w:rPr>
          <w:rFonts w:hint="eastAsia"/>
        </w:rPr>
        <w:t>环评工作过程</w:t>
      </w:r>
      <w:bookmarkEnd w:id="3"/>
    </w:p>
    <w:p w14:paraId="26FF862A">
      <w:pPr>
        <w:ind w:firstLine="480"/>
      </w:pPr>
      <w:r>
        <w:rPr>
          <w:rFonts w:hint="eastAsia"/>
        </w:rPr>
        <w:t>依据《中华人民共和国环境保护法》《中华人民共和国环境影响评价法》及《建设项目环境保护管理条例》中的规定，20</w:t>
      </w:r>
      <w:r>
        <w:t>23</w:t>
      </w:r>
      <w:r>
        <w:rPr>
          <w:rFonts w:hint="eastAsia"/>
        </w:rPr>
        <w:t>年</w:t>
      </w:r>
      <w:r>
        <w:t>9</w:t>
      </w:r>
      <w:r>
        <w:rPr>
          <w:rFonts w:hint="eastAsia"/>
        </w:rPr>
        <w:t>月1日，新疆翱巡能源科技有限公司委托</w:t>
      </w:r>
      <w:r>
        <w:rPr>
          <w:rFonts w:hint="eastAsia"/>
          <w:iCs/>
        </w:rPr>
        <w:t>新疆锦绣山河环境科技有限公司</w:t>
      </w:r>
      <w:r>
        <w:rPr>
          <w:rFonts w:hint="eastAsia"/>
        </w:rPr>
        <w:t>开展本项目环境影响评价工作。我公司接受委托后，通过现场踏勘、收集资料，依据环境影响评价技术导则、规范及环境保护行政管理部门的要求开展相关工作，评价工作程序见下图。</w:t>
      </w:r>
    </w:p>
    <w:p w14:paraId="1CE28300">
      <w:pPr>
        <w:adjustRightInd w:val="0"/>
        <w:snapToGrid w:val="0"/>
        <w:spacing w:line="240" w:lineRule="auto"/>
        <w:ind w:firstLine="0" w:firstLineChars="0"/>
        <w:jc w:val="center"/>
      </w:pPr>
      <w:r>
        <w:drawing>
          <wp:inline distT="0" distB="0" distL="114300" distR="114300">
            <wp:extent cx="4629150" cy="6343650"/>
            <wp:effectExtent l="0" t="0" r="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40"/>
                    <a:srcRect l="687" t="273" r="1553" b="1022"/>
                    <a:stretch>
                      <a:fillRect/>
                    </a:stretch>
                  </pic:blipFill>
                  <pic:spPr>
                    <a:xfrm>
                      <a:off x="0" y="0"/>
                      <a:ext cx="4629150" cy="6343650"/>
                    </a:xfrm>
                    <a:prstGeom prst="rect">
                      <a:avLst/>
                    </a:prstGeom>
                    <a:noFill/>
                    <a:ln>
                      <a:noFill/>
                    </a:ln>
                  </pic:spPr>
                </pic:pic>
              </a:graphicData>
            </a:graphic>
          </wp:inline>
        </w:drawing>
      </w:r>
    </w:p>
    <w:p w14:paraId="5F32F04B">
      <w:pPr>
        <w:pStyle w:val="49"/>
        <w:spacing w:before="163" w:after="163"/>
      </w:pPr>
      <w:r>
        <w:rPr>
          <w:rFonts w:hint="eastAsia"/>
        </w:rPr>
        <w:t>图</w:t>
      </w:r>
      <w:r>
        <w:t xml:space="preserve">1.3-1   </w:t>
      </w:r>
      <w:r>
        <w:rPr>
          <w:rFonts w:hint="eastAsia"/>
        </w:rPr>
        <w:t>环境影响评价工作程序框图</w:t>
      </w:r>
    </w:p>
    <w:p w14:paraId="4FA02650">
      <w:pPr>
        <w:pStyle w:val="41"/>
      </w:pPr>
      <w:bookmarkStart w:id="4" w:name="_Toc152864131"/>
      <w:r>
        <w:rPr>
          <w:rFonts w:hint="eastAsia"/>
        </w:rPr>
        <w:t>分析判定相关情况</w:t>
      </w:r>
      <w:bookmarkEnd w:id="4"/>
    </w:p>
    <w:p w14:paraId="02EE5688">
      <w:pPr>
        <w:ind w:firstLine="480"/>
      </w:pPr>
      <w:r>
        <w:rPr>
          <w:rFonts w:hint="eastAsia"/>
        </w:rPr>
        <w:t>（1）与《产业结构调整指导目录（</w:t>
      </w:r>
      <w:r>
        <w:t>2024</w:t>
      </w:r>
      <w:r>
        <w:rPr>
          <w:rFonts w:hint="eastAsia"/>
        </w:rPr>
        <w:t>年本）》符合性分析</w:t>
      </w:r>
    </w:p>
    <w:p w14:paraId="7A1A98F4">
      <w:pPr>
        <w:ind w:firstLine="480"/>
        <w:rPr>
          <w:bCs/>
        </w:rPr>
      </w:pPr>
      <w:r>
        <w:rPr>
          <w:rFonts w:hint="eastAsia"/>
        </w:rPr>
        <w:t>本项目主要以新疆佳宇恒能源科技有限公司生产的减二线、减三线油为原料，采用“常减压蒸馏-溶剂精制-白土精制”的生产工艺年产8万吨润滑油（一期）、以一期8万吨润滑油为原料，采用“氢氧化锂皂化”工艺年产2万吨润滑脂（二期），一期与二期建设内容均不属于《产业结构调整指导目录（</w:t>
      </w:r>
      <w:r>
        <w:t>2024</w:t>
      </w:r>
      <w:r>
        <w:rPr>
          <w:rFonts w:hint="eastAsia"/>
        </w:rPr>
        <w:t>年本）》中的鼓励类</w:t>
      </w:r>
      <w:r>
        <w:rPr>
          <w:bCs/>
        </w:rPr>
        <w:t>、限制类及淘汰类，同时</w:t>
      </w:r>
      <w:r>
        <w:rPr>
          <w:rFonts w:hint="eastAsia"/>
          <w:bCs/>
        </w:rPr>
        <w:t>本</w:t>
      </w:r>
      <w:r>
        <w:rPr>
          <w:bCs/>
        </w:rPr>
        <w:t>项目生产工艺装备不属于《产业结构调整指导目录（2024年本）》中规定的限制类和淘汰类设备和工艺。按照《促进产业结构调整暂行规定》（国发</w:t>
      </w:r>
      <w:r>
        <w:rPr>
          <w:rFonts w:hint="eastAsia"/>
          <w:bCs/>
        </w:rPr>
        <w:t>〔</w:t>
      </w:r>
      <w:r>
        <w:rPr>
          <w:bCs/>
        </w:rPr>
        <w:t>2005</w:t>
      </w:r>
      <w:r>
        <w:rPr>
          <w:rFonts w:hint="eastAsia"/>
          <w:bCs/>
        </w:rPr>
        <w:t>〕</w:t>
      </w:r>
      <w:r>
        <w:rPr>
          <w:bCs/>
        </w:rPr>
        <w:t>40号）中第十三条的规定：</w:t>
      </w:r>
      <w:r>
        <w:rPr>
          <w:rFonts w:ascii="宋体" w:hAnsi="宋体"/>
          <w:bCs/>
        </w:rPr>
        <w:t>“不属于鼓励类、限制类和淘汰类，且符合国家有关法律、法规和政策规定的，为允许类”</w:t>
      </w:r>
      <w:r>
        <w:rPr>
          <w:bCs/>
        </w:rPr>
        <w:t>，故本项目属于允许类。因此，本项目建设符合国家的产业政策要求。</w:t>
      </w:r>
    </w:p>
    <w:p w14:paraId="587DC577">
      <w:pPr>
        <w:ind w:firstLine="480"/>
        <w:rPr>
          <w:bCs/>
        </w:rPr>
      </w:pPr>
      <w:r>
        <w:rPr>
          <w:rFonts w:hint="eastAsia"/>
          <w:bCs/>
        </w:rPr>
        <w:t>（2）与《中共中央国务院关于深入打好污染防治攻坚战的意见》符合性分析</w:t>
      </w:r>
    </w:p>
    <w:p w14:paraId="436F44E1">
      <w:pPr>
        <w:ind w:firstLine="480"/>
        <w:rPr>
          <w:szCs w:val="24"/>
        </w:rPr>
      </w:pPr>
      <w:r>
        <w:rPr>
          <w:rFonts w:hint="eastAsia"/>
          <w:bCs/>
        </w:rPr>
        <w:t>本项目与</w:t>
      </w:r>
      <w:r>
        <w:rPr>
          <w:rFonts w:hint="eastAsia"/>
          <w:szCs w:val="24"/>
        </w:rPr>
        <w:t>《中共中央国务院关于深入打好污染防治攻坚战的意见》符合性对照分析情况见表1</w:t>
      </w:r>
      <w:r>
        <w:rPr>
          <w:szCs w:val="24"/>
        </w:rPr>
        <w:t>.4-1</w:t>
      </w:r>
      <w:r>
        <w:rPr>
          <w:rFonts w:hint="eastAsia"/>
          <w:szCs w:val="24"/>
        </w:rPr>
        <w:t>。</w:t>
      </w:r>
    </w:p>
    <w:p w14:paraId="3DE86B0F">
      <w:pPr>
        <w:pStyle w:val="47"/>
        <w:spacing w:before="65"/>
        <w:rPr>
          <w:bCs/>
        </w:rPr>
      </w:pPr>
      <w:r>
        <w:rPr>
          <w:rFonts w:hint="eastAsia"/>
        </w:rPr>
        <w:t>表1.</w:t>
      </w:r>
      <w:r>
        <w:t xml:space="preserve">4-1   </w:t>
      </w:r>
      <w:r>
        <w:rPr>
          <w:rFonts w:hint="eastAsia"/>
        </w:rPr>
        <w:t>与《意见》符合性分析一览表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9"/>
        <w:gridCol w:w="3656"/>
        <w:gridCol w:w="3432"/>
        <w:gridCol w:w="933"/>
      </w:tblGrid>
      <w:tr w14:paraId="39A0D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39EE15E1">
            <w:pPr>
              <w:pStyle w:val="90"/>
              <w:rPr>
                <w:rStyle w:val="100"/>
                <w:sz w:val="21"/>
                <w:lang w:val="zh-CN"/>
              </w:rPr>
            </w:pPr>
            <w:r>
              <w:rPr>
                <w:rStyle w:val="100"/>
                <w:rFonts w:hint="eastAsia"/>
                <w:sz w:val="21"/>
                <w:lang w:val="zh-CN"/>
              </w:rPr>
              <w:t>序号</w:t>
            </w:r>
          </w:p>
        </w:tc>
        <w:tc>
          <w:tcPr>
            <w:tcW w:w="3656" w:type="dxa"/>
            <w:shd w:val="clear" w:color="auto" w:fill="auto"/>
            <w:vAlign w:val="center"/>
          </w:tcPr>
          <w:p w14:paraId="53AC6E76">
            <w:pPr>
              <w:pStyle w:val="90"/>
              <w:rPr>
                <w:rStyle w:val="100"/>
                <w:sz w:val="21"/>
                <w:lang w:val="zh-CN"/>
              </w:rPr>
            </w:pPr>
            <w:r>
              <w:rPr>
                <w:rStyle w:val="100"/>
                <w:rFonts w:hint="eastAsia"/>
                <w:sz w:val="21"/>
                <w:lang w:val="zh-CN"/>
              </w:rPr>
              <w:t>原文内容</w:t>
            </w:r>
          </w:p>
        </w:tc>
        <w:tc>
          <w:tcPr>
            <w:tcW w:w="3432" w:type="dxa"/>
            <w:shd w:val="clear" w:color="auto" w:fill="auto"/>
            <w:vAlign w:val="center"/>
          </w:tcPr>
          <w:p w14:paraId="29095F0B">
            <w:pPr>
              <w:pStyle w:val="90"/>
              <w:rPr>
                <w:rStyle w:val="100"/>
                <w:sz w:val="21"/>
                <w:lang w:val="zh-CN"/>
              </w:rPr>
            </w:pPr>
            <w:r>
              <w:rPr>
                <w:rStyle w:val="100"/>
                <w:sz w:val="21"/>
                <w:lang w:val="zh-CN"/>
              </w:rPr>
              <w:t>本项目情况</w:t>
            </w:r>
          </w:p>
        </w:tc>
        <w:tc>
          <w:tcPr>
            <w:tcW w:w="933" w:type="dxa"/>
            <w:shd w:val="clear" w:color="auto" w:fill="auto"/>
            <w:vAlign w:val="center"/>
          </w:tcPr>
          <w:p w14:paraId="4A1AA44D">
            <w:pPr>
              <w:pStyle w:val="90"/>
              <w:rPr>
                <w:rStyle w:val="100"/>
                <w:sz w:val="21"/>
                <w:lang w:val="zh-CN"/>
              </w:rPr>
            </w:pPr>
            <w:r>
              <w:rPr>
                <w:rStyle w:val="100"/>
                <w:rFonts w:hint="eastAsia"/>
                <w:sz w:val="21"/>
                <w:lang w:val="zh-CN"/>
              </w:rPr>
              <w:t>符合性</w:t>
            </w:r>
          </w:p>
        </w:tc>
      </w:tr>
      <w:tr w14:paraId="0E8DE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77A25C09">
            <w:pPr>
              <w:pStyle w:val="90"/>
              <w:rPr>
                <w:rStyle w:val="100"/>
                <w:sz w:val="21"/>
                <w:lang w:val="zh-CN"/>
              </w:rPr>
            </w:pPr>
            <w:r>
              <w:rPr>
                <w:rStyle w:val="100"/>
                <w:rFonts w:hint="eastAsia"/>
                <w:sz w:val="21"/>
                <w:lang w:val="zh-CN"/>
              </w:rPr>
              <w:t>1</w:t>
            </w:r>
          </w:p>
        </w:tc>
        <w:tc>
          <w:tcPr>
            <w:tcW w:w="3656" w:type="dxa"/>
            <w:shd w:val="clear" w:color="auto" w:fill="auto"/>
            <w:vAlign w:val="center"/>
          </w:tcPr>
          <w:p w14:paraId="6D0A6316">
            <w:pPr>
              <w:pStyle w:val="90"/>
              <w:rPr>
                <w:rStyle w:val="100"/>
                <w:sz w:val="21"/>
                <w:lang w:val="zh-CN"/>
              </w:rPr>
            </w:pPr>
            <w:r>
              <w:rPr>
                <w:rStyle w:val="100"/>
                <w:rFonts w:hint="eastAsia"/>
                <w:sz w:val="21"/>
                <w:lang w:val="zh-CN"/>
              </w:rPr>
              <w:t>到2025年，生态环境持续改善，主要污染物排放总量持续下降，单位国内生产总值二氧化碳排放比2020年下降18%，地级及以上城市细颗粒物（PM2.5）浓度下降10%，空气质量优良天数比率达到87.5%，地表水Ⅰ－Ⅲ类水体比例达到85%，近岸海域水质优良（一、二类）比例达到79%左右，重污染天气、城市黑臭水体基本消除，土壤污染风险得到有效管控，固体废物和新污染物治理能力明显增强，生态系统质量和稳定性持续提升，生态环境治理体系更加完善，生态文明建设实现新进步。</w:t>
            </w:r>
          </w:p>
        </w:tc>
        <w:tc>
          <w:tcPr>
            <w:tcW w:w="3432" w:type="dxa"/>
            <w:shd w:val="clear" w:color="auto" w:fill="auto"/>
            <w:vAlign w:val="center"/>
          </w:tcPr>
          <w:p w14:paraId="10C45450">
            <w:pPr>
              <w:pStyle w:val="90"/>
              <w:rPr>
                <w:rStyle w:val="100"/>
                <w:sz w:val="21"/>
                <w:lang w:val="zh-CN"/>
              </w:rPr>
            </w:pPr>
            <w:r>
              <w:rPr>
                <w:rStyle w:val="100"/>
                <w:rFonts w:hint="eastAsia"/>
                <w:sz w:val="21"/>
                <w:lang w:val="zh-CN"/>
              </w:rPr>
              <w:t>（1）废气：本项目废气主要为挥发性有机物，产生后设置冷凝回收及吸附装置处理后达标排放，排放量较小。</w:t>
            </w:r>
          </w:p>
          <w:p w14:paraId="1B7E4BD0">
            <w:pPr>
              <w:pStyle w:val="90"/>
              <w:rPr>
                <w:rStyle w:val="100"/>
                <w:sz w:val="21"/>
                <w:lang w:val="zh-CN"/>
              </w:rPr>
            </w:pPr>
            <w:r>
              <w:rPr>
                <w:rStyle w:val="100"/>
                <w:rFonts w:hint="eastAsia"/>
                <w:sz w:val="21"/>
                <w:lang w:val="zh-CN"/>
              </w:rPr>
              <w:t>（2）废水：本项目生产废水及生活污水均妥善处置，不外排进入地表水体。</w:t>
            </w:r>
          </w:p>
          <w:p w14:paraId="630AEFAC">
            <w:pPr>
              <w:pStyle w:val="90"/>
              <w:rPr>
                <w:rStyle w:val="100"/>
                <w:sz w:val="21"/>
                <w:lang w:val="zh-CN"/>
              </w:rPr>
            </w:pPr>
            <w:r>
              <w:rPr>
                <w:rStyle w:val="100"/>
                <w:rFonts w:hint="eastAsia"/>
                <w:sz w:val="21"/>
                <w:lang w:val="zh-CN"/>
              </w:rPr>
              <w:t>（3）固体废物：本项目设置危险废物暂存库并委托有资质单位处置危险废物；一般固废和生活垃圾妥善处置；</w:t>
            </w:r>
          </w:p>
          <w:p w14:paraId="436B2477">
            <w:pPr>
              <w:pStyle w:val="90"/>
              <w:rPr>
                <w:rStyle w:val="100"/>
                <w:sz w:val="21"/>
                <w:lang w:val="zh-CN"/>
              </w:rPr>
            </w:pPr>
            <w:r>
              <w:rPr>
                <w:rStyle w:val="100"/>
                <w:rFonts w:hint="eastAsia"/>
                <w:sz w:val="21"/>
                <w:lang w:val="zh-CN"/>
              </w:rPr>
              <w:t>（4）土壤风险：本项目占地位于已规划的工业用地，土壤现状监测结果满足环境质量标准，厂区分区防渗。</w:t>
            </w:r>
          </w:p>
        </w:tc>
        <w:tc>
          <w:tcPr>
            <w:tcW w:w="933" w:type="dxa"/>
            <w:shd w:val="clear" w:color="auto" w:fill="auto"/>
            <w:vAlign w:val="center"/>
          </w:tcPr>
          <w:p w14:paraId="3902F2B2">
            <w:pPr>
              <w:pStyle w:val="90"/>
              <w:rPr>
                <w:rStyle w:val="100"/>
                <w:sz w:val="21"/>
                <w:lang w:val="zh-CN"/>
              </w:rPr>
            </w:pPr>
            <w:r>
              <w:rPr>
                <w:rStyle w:val="100"/>
                <w:rFonts w:hint="eastAsia"/>
                <w:sz w:val="21"/>
                <w:lang w:val="zh-CN"/>
              </w:rPr>
              <w:t>符合</w:t>
            </w:r>
          </w:p>
        </w:tc>
      </w:tr>
      <w:tr w14:paraId="44FE6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7513D9A1">
            <w:pPr>
              <w:pStyle w:val="90"/>
              <w:rPr>
                <w:rStyle w:val="100"/>
                <w:sz w:val="21"/>
                <w:lang w:val="zh-CN"/>
              </w:rPr>
            </w:pPr>
            <w:r>
              <w:rPr>
                <w:rStyle w:val="100"/>
                <w:rFonts w:hint="eastAsia"/>
                <w:sz w:val="21"/>
                <w:lang w:val="zh-CN"/>
              </w:rPr>
              <w:t>2</w:t>
            </w:r>
          </w:p>
        </w:tc>
        <w:tc>
          <w:tcPr>
            <w:tcW w:w="3656" w:type="dxa"/>
            <w:shd w:val="clear" w:color="auto" w:fill="auto"/>
            <w:vAlign w:val="center"/>
          </w:tcPr>
          <w:p w14:paraId="36819BEB">
            <w:pPr>
              <w:pStyle w:val="90"/>
              <w:rPr>
                <w:rStyle w:val="100"/>
                <w:sz w:val="21"/>
                <w:lang w:val="zh-CN"/>
              </w:rPr>
            </w:pPr>
            <w:r>
              <w:rPr>
                <w:rStyle w:val="100"/>
                <w:rFonts w:hint="eastAsia"/>
                <w:sz w:val="21"/>
                <w:lang w:val="zh-CN"/>
              </w:rPr>
              <w:t>推动能源清洁低碳转型。“十四五”时期，严控煤炭消费增长，</w:t>
            </w:r>
            <w:r>
              <w:rPr>
                <w:rFonts w:hint="eastAsia"/>
              </w:rPr>
              <w:t>坚持“增气减煤”同步，新增天然气优先保障居民生活和清洁取暖需求。提高电能占终端能源消费比重。重点区域的平原地区散煤基本清零。有序扩大清洁取暖试点城市范围，稳步提升北方地区清洁取暖水平。</w:t>
            </w:r>
          </w:p>
        </w:tc>
        <w:tc>
          <w:tcPr>
            <w:tcW w:w="3432" w:type="dxa"/>
            <w:shd w:val="clear" w:color="auto" w:fill="auto"/>
            <w:vAlign w:val="center"/>
          </w:tcPr>
          <w:p w14:paraId="56C059EB">
            <w:pPr>
              <w:pStyle w:val="90"/>
              <w:rPr>
                <w:rStyle w:val="100"/>
                <w:sz w:val="21"/>
                <w:lang w:val="zh-CN"/>
              </w:rPr>
            </w:pPr>
            <w:r>
              <w:rPr>
                <w:rStyle w:val="100"/>
                <w:rFonts w:hint="eastAsia"/>
                <w:sz w:val="21"/>
                <w:lang w:val="zh-CN"/>
              </w:rPr>
              <w:t>本项目生产供热采用天然气导热油炉；生活供暖依托园区供热，不新增煤炭使用。</w:t>
            </w:r>
          </w:p>
        </w:tc>
        <w:tc>
          <w:tcPr>
            <w:tcW w:w="933" w:type="dxa"/>
            <w:shd w:val="clear" w:color="auto" w:fill="auto"/>
            <w:vAlign w:val="center"/>
          </w:tcPr>
          <w:p w14:paraId="04B388E5">
            <w:pPr>
              <w:pStyle w:val="90"/>
              <w:rPr>
                <w:rStyle w:val="100"/>
                <w:sz w:val="21"/>
                <w:lang w:val="zh-CN"/>
              </w:rPr>
            </w:pPr>
            <w:r>
              <w:rPr>
                <w:rStyle w:val="100"/>
                <w:rFonts w:hint="eastAsia"/>
                <w:sz w:val="21"/>
                <w:lang w:val="zh-CN"/>
              </w:rPr>
              <w:t>符合</w:t>
            </w:r>
          </w:p>
        </w:tc>
      </w:tr>
      <w:tr w14:paraId="2CF03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33A2B7E4">
            <w:pPr>
              <w:pStyle w:val="90"/>
              <w:rPr>
                <w:rStyle w:val="100"/>
                <w:sz w:val="21"/>
                <w:lang w:val="zh-CN"/>
              </w:rPr>
            </w:pPr>
            <w:r>
              <w:rPr>
                <w:rStyle w:val="100"/>
                <w:rFonts w:hint="eastAsia"/>
                <w:sz w:val="21"/>
                <w:lang w:val="zh-CN"/>
              </w:rPr>
              <w:t>3</w:t>
            </w:r>
          </w:p>
        </w:tc>
        <w:tc>
          <w:tcPr>
            <w:tcW w:w="3656" w:type="dxa"/>
            <w:shd w:val="clear" w:color="auto" w:fill="auto"/>
            <w:vAlign w:val="center"/>
          </w:tcPr>
          <w:p w14:paraId="0736E714">
            <w:pPr>
              <w:pStyle w:val="90"/>
              <w:rPr>
                <w:rStyle w:val="100"/>
                <w:sz w:val="21"/>
                <w:lang w:val="zh-CN"/>
              </w:rPr>
            </w:pPr>
            <w:r>
              <w:rPr>
                <w:rFonts w:hint="eastAsia"/>
              </w:rPr>
              <w:t>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w:t>
            </w:r>
          </w:p>
        </w:tc>
        <w:tc>
          <w:tcPr>
            <w:tcW w:w="3432" w:type="dxa"/>
            <w:shd w:val="clear" w:color="auto" w:fill="auto"/>
            <w:vAlign w:val="center"/>
          </w:tcPr>
          <w:p w14:paraId="0B72CB5E">
            <w:pPr>
              <w:pStyle w:val="90"/>
              <w:rPr>
                <w:rStyle w:val="100"/>
                <w:sz w:val="21"/>
                <w:lang w:val="zh-CN"/>
              </w:rPr>
            </w:pPr>
            <w:r>
              <w:rPr>
                <w:rStyle w:val="100"/>
                <w:rFonts w:hint="eastAsia"/>
                <w:sz w:val="21"/>
                <w:lang w:val="zh-CN"/>
              </w:rPr>
              <w:t>根据后文分析，本项目建设位于胡杨河经济技术开发区内，符合</w:t>
            </w:r>
            <w:r>
              <w:rPr>
                <w:rFonts w:hint="eastAsia"/>
              </w:rPr>
              <w:t>《第七师胡杨河市“三线一单”生态环境分区管控方案》中的相应要求。</w:t>
            </w:r>
          </w:p>
        </w:tc>
        <w:tc>
          <w:tcPr>
            <w:tcW w:w="933" w:type="dxa"/>
            <w:shd w:val="clear" w:color="auto" w:fill="auto"/>
            <w:vAlign w:val="center"/>
          </w:tcPr>
          <w:p w14:paraId="4575FB00">
            <w:pPr>
              <w:pStyle w:val="90"/>
              <w:rPr>
                <w:rStyle w:val="100"/>
                <w:sz w:val="21"/>
                <w:lang w:val="zh-CN"/>
              </w:rPr>
            </w:pPr>
            <w:r>
              <w:rPr>
                <w:rStyle w:val="100"/>
                <w:rFonts w:hint="eastAsia"/>
                <w:sz w:val="21"/>
                <w:lang w:val="zh-CN"/>
              </w:rPr>
              <w:t>符合</w:t>
            </w:r>
          </w:p>
        </w:tc>
      </w:tr>
      <w:tr w14:paraId="2DA32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201642C6">
            <w:pPr>
              <w:pStyle w:val="90"/>
              <w:rPr>
                <w:rStyle w:val="100"/>
                <w:sz w:val="21"/>
                <w:lang w:val="zh-CN"/>
              </w:rPr>
            </w:pPr>
            <w:r>
              <w:rPr>
                <w:rStyle w:val="100"/>
                <w:rFonts w:hint="eastAsia"/>
                <w:sz w:val="21"/>
                <w:lang w:val="zh-CN"/>
              </w:rPr>
              <w:t>4</w:t>
            </w:r>
          </w:p>
        </w:tc>
        <w:tc>
          <w:tcPr>
            <w:tcW w:w="3656" w:type="dxa"/>
            <w:shd w:val="clear" w:color="auto" w:fill="auto"/>
            <w:vAlign w:val="center"/>
          </w:tcPr>
          <w:p w14:paraId="36C2B596">
            <w:pPr>
              <w:pStyle w:val="90"/>
              <w:rPr>
                <w:rStyle w:val="100"/>
                <w:sz w:val="21"/>
                <w:lang w:val="zh-CN"/>
              </w:rPr>
            </w:pPr>
            <w:r>
              <w:rPr>
                <w:rFonts w:hint="eastAsia"/>
              </w:rPr>
              <w:t>有效管控建设用地土壤污染风险。严格建设用地土壤污染风险管控和修复名录内地块的准入管理。未依法完成土壤污染状况调查和风险评估的地块，不得开工建设与风险管控和修复无关的项目。</w:t>
            </w:r>
          </w:p>
        </w:tc>
        <w:tc>
          <w:tcPr>
            <w:tcW w:w="3432" w:type="dxa"/>
            <w:shd w:val="clear" w:color="auto" w:fill="auto"/>
            <w:vAlign w:val="center"/>
          </w:tcPr>
          <w:p w14:paraId="7E821E2F">
            <w:pPr>
              <w:pStyle w:val="90"/>
              <w:rPr>
                <w:rStyle w:val="100"/>
                <w:sz w:val="21"/>
                <w:lang w:val="zh-CN"/>
              </w:rPr>
            </w:pPr>
            <w:r>
              <w:rPr>
                <w:rStyle w:val="100"/>
                <w:rFonts w:hint="eastAsia"/>
                <w:sz w:val="21"/>
                <w:lang w:val="zh-CN"/>
              </w:rPr>
              <w:t>根据本次评价的土壤环境现状监测结果，各测点的监测因子满足环境质量标准，项目厂区占地范围及评价范围内的不存在土壤污染。</w:t>
            </w:r>
          </w:p>
        </w:tc>
        <w:tc>
          <w:tcPr>
            <w:tcW w:w="933" w:type="dxa"/>
            <w:shd w:val="clear" w:color="auto" w:fill="auto"/>
            <w:vAlign w:val="center"/>
          </w:tcPr>
          <w:p w14:paraId="146B3571">
            <w:pPr>
              <w:pStyle w:val="90"/>
              <w:rPr>
                <w:rStyle w:val="100"/>
                <w:sz w:val="21"/>
                <w:lang w:val="zh-CN"/>
              </w:rPr>
            </w:pPr>
            <w:r>
              <w:rPr>
                <w:rStyle w:val="100"/>
                <w:rFonts w:hint="eastAsia"/>
                <w:sz w:val="21"/>
                <w:lang w:val="zh-CN"/>
              </w:rPr>
              <w:t>符合</w:t>
            </w:r>
          </w:p>
        </w:tc>
      </w:tr>
      <w:tr w14:paraId="00184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2F4E48CE">
            <w:pPr>
              <w:pStyle w:val="90"/>
              <w:rPr>
                <w:rStyle w:val="100"/>
                <w:sz w:val="21"/>
                <w:lang w:val="zh-CN"/>
              </w:rPr>
            </w:pPr>
            <w:r>
              <w:rPr>
                <w:rStyle w:val="100"/>
                <w:rFonts w:hint="eastAsia"/>
                <w:sz w:val="21"/>
                <w:lang w:val="zh-CN"/>
              </w:rPr>
              <w:t>5</w:t>
            </w:r>
          </w:p>
        </w:tc>
        <w:tc>
          <w:tcPr>
            <w:tcW w:w="3656" w:type="dxa"/>
            <w:shd w:val="clear" w:color="auto" w:fill="auto"/>
            <w:vAlign w:val="center"/>
          </w:tcPr>
          <w:p w14:paraId="09687BCE">
            <w:pPr>
              <w:pStyle w:val="90"/>
              <w:rPr>
                <w:rStyle w:val="100"/>
                <w:sz w:val="21"/>
                <w:lang w:val="zh-CN"/>
              </w:rPr>
            </w:pPr>
            <w:r>
              <w:rPr>
                <w:rFonts w:hint="eastAsia"/>
              </w:rPr>
              <w:t>强化地下水污染协同防治。持续开展地下水环境状况调查评估，划定地下水型饮用水水源补给区并强化保护措施，开展地下水污染防治重点区划定及污染风险管控。健全分级分类的地下水环境监测评价体系。</w:t>
            </w:r>
          </w:p>
        </w:tc>
        <w:tc>
          <w:tcPr>
            <w:tcW w:w="3432" w:type="dxa"/>
            <w:shd w:val="clear" w:color="auto" w:fill="auto"/>
            <w:vAlign w:val="center"/>
          </w:tcPr>
          <w:p w14:paraId="72D63271">
            <w:pPr>
              <w:pStyle w:val="90"/>
              <w:rPr>
                <w:rStyle w:val="100"/>
                <w:sz w:val="21"/>
                <w:lang w:val="zh-CN"/>
              </w:rPr>
            </w:pPr>
            <w:r>
              <w:rPr>
                <w:rStyle w:val="100"/>
                <w:rFonts w:hint="eastAsia"/>
                <w:sz w:val="21"/>
                <w:lang w:val="zh-CN"/>
              </w:rPr>
              <w:t>本次评价过程，按照地下水导则要求开展了地下水环境质量现状调查，厂区采取分区防渗措施；按照行业排污许可证申请与核发技术规范制定了地下水监测方案。</w:t>
            </w:r>
          </w:p>
        </w:tc>
        <w:tc>
          <w:tcPr>
            <w:tcW w:w="933" w:type="dxa"/>
            <w:shd w:val="clear" w:color="auto" w:fill="auto"/>
            <w:vAlign w:val="center"/>
          </w:tcPr>
          <w:p w14:paraId="0E4BBF6E">
            <w:pPr>
              <w:pStyle w:val="90"/>
              <w:rPr>
                <w:rStyle w:val="100"/>
                <w:sz w:val="21"/>
                <w:lang w:val="zh-CN"/>
              </w:rPr>
            </w:pPr>
            <w:r>
              <w:rPr>
                <w:rStyle w:val="100"/>
                <w:rFonts w:hint="eastAsia"/>
                <w:sz w:val="21"/>
                <w:lang w:val="zh-CN"/>
              </w:rPr>
              <w:t>符合</w:t>
            </w:r>
          </w:p>
        </w:tc>
      </w:tr>
    </w:tbl>
    <w:p w14:paraId="59C72A7E">
      <w:pPr>
        <w:ind w:firstLine="480"/>
        <w:rPr>
          <w:bCs/>
        </w:rPr>
      </w:pPr>
      <w:r>
        <w:rPr>
          <w:rFonts w:hint="eastAsia"/>
          <w:bCs/>
        </w:rPr>
        <w:t>综上所述，本项目符合《中共中央国务院关于深入打好污染防治攻坚战的意见》中的相关要求。</w:t>
      </w:r>
    </w:p>
    <w:p w14:paraId="72D1D76E">
      <w:pPr>
        <w:ind w:firstLine="480"/>
        <w:rPr>
          <w:bCs/>
        </w:rPr>
      </w:pPr>
      <w:r>
        <w:rPr>
          <w:rFonts w:hint="eastAsia"/>
          <w:bCs/>
        </w:rPr>
        <w:t>（3）与《关于加强重点行业建设项目区域削减措施监督管理的通知》的符合性分析</w:t>
      </w:r>
    </w:p>
    <w:p w14:paraId="10C11B90">
      <w:pPr>
        <w:ind w:firstLine="480"/>
        <w:rPr>
          <w:bCs/>
        </w:rPr>
      </w:pPr>
      <w:r>
        <w:rPr>
          <w:rFonts w:hint="eastAsia"/>
          <w:bCs/>
        </w:rPr>
        <w:t>本项目与《关于加强重点行业建设项目区域削减措施监督管理的通知》的符合性分析具体如下：</w:t>
      </w:r>
    </w:p>
    <w:p w14:paraId="77DA20B3">
      <w:pPr>
        <w:ind w:firstLine="480"/>
        <w:rPr>
          <w:bCs/>
        </w:rPr>
      </w:pPr>
      <w:r>
        <w:rPr>
          <w:rFonts w:hint="eastAsia"/>
          <w:bCs/>
        </w:rPr>
        <w:t>文件原文：（一）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14:paraId="50BDA24D">
      <w:pPr>
        <w:ind w:firstLine="480"/>
      </w:pPr>
      <w:r>
        <w:rPr>
          <w:rFonts w:hint="eastAsia"/>
        </w:rPr>
        <w:t>符合性分析：本项目选址位于胡杨河经济技术开发区南园区，根据后文达标区判定及补充监测结果可知，项目所在区域是达标区，补充监测结果满足环境质量要求，涉及VOCs的排放，并依照等量替代的要求提出了总量控制指标要求，因此符合文件要求。</w:t>
      </w:r>
    </w:p>
    <w:p w14:paraId="6936381C">
      <w:pPr>
        <w:ind w:firstLine="480"/>
      </w:pPr>
      <w:r>
        <w:rPr>
          <w:rFonts w:hint="eastAsia"/>
        </w:rPr>
        <w:t>文件原文：（五）建设单位推动区域削减措施落实的主体责任。建设单位应积极推动落实区域削减方案，全部削减措施应在建设项目取得排污许可证前完成。建设项目申领排污许可证时，应说明区域削减措施落实情况并附具证明材料，对其完整性、真实性负责。未提交区域削减措施落实情况证明材料或证明材料不全的，排污许可证核发部门不予核发其排污许可证，建设单位不得排污。</w:t>
      </w:r>
    </w:p>
    <w:p w14:paraId="67D27A25">
      <w:pPr>
        <w:ind w:firstLine="480"/>
      </w:pPr>
      <w:r>
        <w:rPr>
          <w:rFonts w:hint="eastAsia"/>
        </w:rPr>
        <w:t>建设项目开展竣工环境保护验收时，应说明区域削减方案落实情况，并上传至全国建设项目竣工环境保护验收信息系统。建设项目开展环境影响后评价时，应将区域削减方案落实情况作为环境影响后评价的内容之一。</w:t>
      </w:r>
    </w:p>
    <w:p w14:paraId="2338A37B">
      <w:pPr>
        <w:ind w:firstLine="480"/>
      </w:pPr>
      <w:r>
        <w:rPr>
          <w:rFonts w:hint="eastAsia"/>
        </w:rPr>
        <w:t>符合性分析：本次评价对项目建成后提出按照行业排污许可证申请与核发技术规范依法申请排污许可证，作为项目竣工验收通过的条件之一，明确了总量控制指标，因此符合要求。</w:t>
      </w:r>
    </w:p>
    <w:p w14:paraId="5B00F799">
      <w:pPr>
        <w:ind w:firstLine="480"/>
      </w:pPr>
      <w:r>
        <w:rPr>
          <w:rFonts w:hint="eastAsia"/>
        </w:rPr>
        <w:t>（4）与《十四五工业绿色发展规划》符合性分析</w:t>
      </w:r>
    </w:p>
    <w:p w14:paraId="760AC9E6">
      <w:pPr>
        <w:ind w:firstLine="480"/>
      </w:pPr>
      <w:r>
        <w:rPr>
          <w:rFonts w:hint="eastAsia" w:ascii="宋体" w:hAnsi="宋体" w:cs="宋体"/>
        </w:rPr>
        <w:t>①</w:t>
      </w:r>
      <w:r>
        <w:rPr>
          <w:rFonts w:hint="eastAsia"/>
        </w:rPr>
        <w:t>文件原文：提升清洁能源消费比重。鼓励氢能、生物燃料、垃圾衍生燃料等替代能源在钢铁、水泥、化工等行业的应用。严格控制钢铁、煤化工、水泥等主要用煤行业煤炭消费，鼓励有条件地区新建、改扩建项目实行用煤减量替代。提升工业终端用能电气化水平，在具备条件的行业和地区加快推广应用电窑炉、电锅炉、电动力设备。鼓励工厂、园区开展工业绿色低碳微电网建设，发展屋顶光伏、分散式风电、多元储能、高效热泵等推进多能高效互补利用。</w:t>
      </w:r>
    </w:p>
    <w:p w14:paraId="24CC57F1">
      <w:pPr>
        <w:ind w:firstLine="480"/>
      </w:pPr>
      <w:r>
        <w:rPr>
          <w:rFonts w:hint="eastAsia"/>
        </w:rPr>
        <w:t>符合性分析：本项目不使用煤炭，生产工艺用热采用天然气导热油炉提供，符合要求。</w:t>
      </w:r>
    </w:p>
    <w:p w14:paraId="190EA84F">
      <w:pPr>
        <w:ind w:firstLine="480"/>
      </w:pPr>
      <w:r>
        <w:rPr>
          <w:rFonts w:hint="eastAsia" w:ascii="宋体" w:hAnsi="宋体" w:cs="宋体"/>
        </w:rPr>
        <w:t>②</w:t>
      </w:r>
      <w:r>
        <w:rPr>
          <w:rFonts w:hint="eastAsia"/>
        </w:rPr>
        <w:t>文件原文：升级改造末端治理设施。在重点行业推广先进适用环保治理装备，推动形成稳定、高效的治理能力。在大气污染防治领域，聚焦烟气排放量大、成分复杂、治理难度大的重点行业，开展多污染物协同治理应用示范。深入推进钢铁行业超低排放改造，稳步实施水泥、焦化等行业超低排放改造。加快推进有机废气</w:t>
      </w:r>
      <w:r>
        <w:rPr>
          <w:rFonts w:hint="eastAsia"/>
          <w:lang w:eastAsia="zh-CN"/>
        </w:rPr>
        <w:t>（</w:t>
      </w:r>
      <w:r>
        <w:rPr>
          <w:rFonts w:hint="eastAsia"/>
        </w:rPr>
        <w:t>VOCs</w:t>
      </w:r>
      <w:r>
        <w:rPr>
          <w:rFonts w:hint="eastAsia"/>
          <w:lang w:eastAsia="zh-CN"/>
        </w:rPr>
        <w:t>）</w:t>
      </w:r>
      <w:r>
        <w:rPr>
          <w:rFonts w:hint="eastAsia"/>
        </w:rPr>
        <w:t>回收和处理，鼓励选取低耗高效组合工艺进行治理。在水污染防治重点领域，聚焦涉重金属、高盐、高有机物等高难度废水，开展深度高效治理应用示范，逐步提升印染、造纸、化学原料药、煤化工、有色金属等行业废水治理水平。</w:t>
      </w:r>
    </w:p>
    <w:p w14:paraId="77824025">
      <w:pPr>
        <w:ind w:firstLine="480"/>
        <w:rPr>
          <w:color w:val="auto"/>
          <w:highlight w:val="none"/>
        </w:rPr>
      </w:pPr>
      <w:r>
        <w:rPr>
          <w:rFonts w:hint="eastAsia"/>
          <w:color w:val="auto"/>
          <w:highlight w:val="none"/>
        </w:rPr>
        <w:t>符合性分析：本项目外排废气污染物主要为VOCs，采用集气罩收集后通过冷凝</w:t>
      </w:r>
      <w:r>
        <w:rPr>
          <w:rFonts w:hint="eastAsia"/>
          <w:color w:val="auto"/>
          <w:highlight w:val="none"/>
          <w:lang w:val="en-US" w:eastAsia="zh-CN"/>
        </w:rPr>
        <w:t>+</w:t>
      </w:r>
      <w:r>
        <w:rPr>
          <w:rFonts w:hint="eastAsia"/>
          <w:color w:val="auto"/>
          <w:highlight w:val="none"/>
        </w:rPr>
        <w:t>吸附处理，经1</w:t>
      </w:r>
      <w:r>
        <w:rPr>
          <w:color w:val="auto"/>
          <w:highlight w:val="none"/>
        </w:rPr>
        <w:t>5</w:t>
      </w:r>
      <w:r>
        <w:rPr>
          <w:rFonts w:hint="eastAsia"/>
          <w:color w:val="auto"/>
          <w:highlight w:val="none"/>
        </w:rPr>
        <w:t>m排气筒排放，属于列明的可行治理技术，对VOCs有稳定、高效的治理能力，符合要求。</w:t>
      </w:r>
    </w:p>
    <w:p w14:paraId="144E62E1">
      <w:pPr>
        <w:ind w:firstLine="480"/>
      </w:pPr>
      <w:r>
        <w:rPr>
          <w:rFonts w:hint="eastAsia"/>
        </w:rPr>
        <w:t>（5）与《国家发展改革委等部门关于促进炼油行业绿色创新高质量发展的指导意见》（</w:t>
      </w:r>
      <w:r>
        <w:t>发改能源〔2023〕1364号</w:t>
      </w:r>
      <w:r>
        <w:rPr>
          <w:rFonts w:hint="eastAsia"/>
        </w:rPr>
        <w:t>）的符合性分析</w:t>
      </w:r>
    </w:p>
    <w:p w14:paraId="03E700B3">
      <w:pPr>
        <w:ind w:firstLine="480"/>
      </w:pPr>
      <w:r>
        <w:rPr>
          <w:rFonts w:hint="eastAsia"/>
        </w:rPr>
        <w:t>本项目与《国家发展改革委等部门关于促进炼油行业绿色创新高质量发展的指导意见》（</w:t>
      </w:r>
      <w:r>
        <w:t>发改能源〔2023〕1364号</w:t>
      </w:r>
      <w:r>
        <w:rPr>
          <w:rFonts w:hint="eastAsia"/>
        </w:rPr>
        <w:t>）的符合性分析具体见下表。</w:t>
      </w:r>
    </w:p>
    <w:p w14:paraId="6B39BCFA">
      <w:pPr>
        <w:pStyle w:val="47"/>
        <w:spacing w:before="65"/>
      </w:pPr>
      <w:r>
        <w:rPr>
          <w:rFonts w:hint="eastAsia"/>
        </w:rPr>
        <w:t>表1</w:t>
      </w:r>
      <w:r>
        <w:t xml:space="preserve">.4-2   </w:t>
      </w:r>
      <w:r>
        <w:rPr>
          <w:rFonts w:hint="eastAsia"/>
        </w:rPr>
        <w:t>与《意见》的符合性分析</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9"/>
        <w:gridCol w:w="3656"/>
        <w:gridCol w:w="3432"/>
        <w:gridCol w:w="933"/>
      </w:tblGrid>
      <w:tr w14:paraId="193D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399E9DBA">
            <w:pPr>
              <w:pStyle w:val="90"/>
              <w:rPr>
                <w:rStyle w:val="100"/>
                <w:sz w:val="21"/>
                <w:lang w:val="zh-CN"/>
              </w:rPr>
            </w:pPr>
            <w:r>
              <w:rPr>
                <w:rStyle w:val="100"/>
                <w:rFonts w:hint="eastAsia"/>
                <w:sz w:val="21"/>
                <w:lang w:val="zh-CN"/>
              </w:rPr>
              <w:t>序号</w:t>
            </w:r>
          </w:p>
        </w:tc>
        <w:tc>
          <w:tcPr>
            <w:tcW w:w="3656" w:type="dxa"/>
            <w:shd w:val="clear" w:color="auto" w:fill="auto"/>
            <w:vAlign w:val="center"/>
          </w:tcPr>
          <w:p w14:paraId="16D513CB">
            <w:pPr>
              <w:pStyle w:val="90"/>
              <w:rPr>
                <w:rStyle w:val="100"/>
                <w:sz w:val="21"/>
                <w:lang w:val="zh-CN"/>
              </w:rPr>
            </w:pPr>
            <w:r>
              <w:rPr>
                <w:rStyle w:val="100"/>
                <w:rFonts w:hint="eastAsia"/>
                <w:sz w:val="21"/>
                <w:lang w:val="zh-CN"/>
              </w:rPr>
              <w:t>原文内容</w:t>
            </w:r>
          </w:p>
        </w:tc>
        <w:tc>
          <w:tcPr>
            <w:tcW w:w="3432" w:type="dxa"/>
            <w:shd w:val="clear" w:color="auto" w:fill="auto"/>
            <w:vAlign w:val="center"/>
          </w:tcPr>
          <w:p w14:paraId="453CE083">
            <w:pPr>
              <w:pStyle w:val="90"/>
              <w:rPr>
                <w:rStyle w:val="100"/>
                <w:sz w:val="21"/>
                <w:lang w:val="zh-CN"/>
              </w:rPr>
            </w:pPr>
            <w:r>
              <w:rPr>
                <w:rStyle w:val="100"/>
                <w:sz w:val="21"/>
                <w:lang w:val="zh-CN"/>
              </w:rPr>
              <w:t>本项目情况</w:t>
            </w:r>
          </w:p>
        </w:tc>
        <w:tc>
          <w:tcPr>
            <w:tcW w:w="933" w:type="dxa"/>
            <w:shd w:val="clear" w:color="auto" w:fill="auto"/>
            <w:vAlign w:val="center"/>
          </w:tcPr>
          <w:p w14:paraId="51A10D8B">
            <w:pPr>
              <w:pStyle w:val="90"/>
              <w:rPr>
                <w:rStyle w:val="100"/>
                <w:sz w:val="21"/>
                <w:lang w:val="zh-CN"/>
              </w:rPr>
            </w:pPr>
            <w:r>
              <w:rPr>
                <w:rStyle w:val="100"/>
                <w:rFonts w:hint="eastAsia"/>
                <w:sz w:val="21"/>
                <w:lang w:val="zh-CN"/>
              </w:rPr>
              <w:t>符合性</w:t>
            </w:r>
          </w:p>
        </w:tc>
      </w:tr>
      <w:tr w14:paraId="0D776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518EFE9A">
            <w:pPr>
              <w:pStyle w:val="90"/>
              <w:rPr>
                <w:rStyle w:val="100"/>
                <w:sz w:val="21"/>
                <w:lang w:val="zh-CN"/>
              </w:rPr>
            </w:pPr>
            <w:r>
              <w:rPr>
                <w:rStyle w:val="100"/>
                <w:rFonts w:hint="eastAsia"/>
                <w:sz w:val="21"/>
                <w:lang w:val="zh-CN"/>
              </w:rPr>
              <w:t>1</w:t>
            </w:r>
          </w:p>
        </w:tc>
        <w:tc>
          <w:tcPr>
            <w:tcW w:w="3656" w:type="dxa"/>
            <w:shd w:val="clear" w:color="auto" w:fill="auto"/>
            <w:vAlign w:val="center"/>
          </w:tcPr>
          <w:p w14:paraId="031CBD83">
            <w:pPr>
              <w:pStyle w:val="90"/>
              <w:rPr>
                <w:rStyle w:val="100"/>
                <w:sz w:val="21"/>
                <w:lang w:val="zh-CN"/>
              </w:rPr>
            </w:pPr>
            <w:r>
              <w:rPr>
                <w:rFonts w:hint="eastAsia"/>
              </w:rPr>
              <w:t>到2025年，国内原油一次加工能力控制在10亿吨以内，千万吨级炼油产能占比55%左右，产能结构和生产力布局逐步优化，技术装备实力进一步增强，能源资源利用效率进一步提升，炼油产能能效原则上达到基准水平、优于标杆水平的超过30%。“十四五”期间污染物排放和碳排放强度进一步下降，绿色发展取得显著成效。</w:t>
            </w:r>
          </w:p>
        </w:tc>
        <w:tc>
          <w:tcPr>
            <w:tcW w:w="3432" w:type="dxa"/>
            <w:shd w:val="clear" w:color="auto" w:fill="auto"/>
            <w:vAlign w:val="center"/>
          </w:tcPr>
          <w:p w14:paraId="46E03A64">
            <w:pPr>
              <w:pStyle w:val="90"/>
              <w:rPr>
                <w:rStyle w:val="100"/>
                <w:sz w:val="21"/>
                <w:lang w:val="zh-CN"/>
              </w:rPr>
            </w:pPr>
            <w:r>
              <w:rPr>
                <w:rStyle w:val="100"/>
                <w:rFonts w:hint="eastAsia"/>
                <w:sz w:val="21"/>
                <w:lang w:val="zh-CN"/>
              </w:rPr>
              <w:t>本项目以新疆佳宇恒企业的减线油为原料，采用白土精制工艺生产润滑油，属于下游产业链延伸，有利于资源利用效率进一步提升。</w:t>
            </w:r>
          </w:p>
        </w:tc>
        <w:tc>
          <w:tcPr>
            <w:tcW w:w="933" w:type="dxa"/>
            <w:shd w:val="clear" w:color="auto" w:fill="auto"/>
            <w:vAlign w:val="center"/>
          </w:tcPr>
          <w:p w14:paraId="767745C7">
            <w:pPr>
              <w:pStyle w:val="90"/>
              <w:rPr>
                <w:rStyle w:val="100"/>
                <w:sz w:val="21"/>
                <w:lang w:val="zh-CN"/>
              </w:rPr>
            </w:pPr>
            <w:r>
              <w:rPr>
                <w:rStyle w:val="100"/>
                <w:rFonts w:hint="eastAsia"/>
                <w:sz w:val="21"/>
                <w:lang w:val="zh-CN"/>
              </w:rPr>
              <w:t>符合</w:t>
            </w:r>
          </w:p>
        </w:tc>
      </w:tr>
      <w:tr w14:paraId="6EE34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2E188BE7">
            <w:pPr>
              <w:pStyle w:val="90"/>
              <w:rPr>
                <w:rStyle w:val="100"/>
                <w:sz w:val="21"/>
                <w:lang w:val="zh-CN"/>
              </w:rPr>
            </w:pPr>
            <w:r>
              <w:rPr>
                <w:rStyle w:val="100"/>
                <w:rFonts w:hint="eastAsia"/>
                <w:sz w:val="21"/>
                <w:lang w:val="zh-CN"/>
              </w:rPr>
              <w:t>2</w:t>
            </w:r>
          </w:p>
        </w:tc>
        <w:tc>
          <w:tcPr>
            <w:tcW w:w="3656" w:type="dxa"/>
            <w:shd w:val="clear" w:color="auto" w:fill="auto"/>
            <w:vAlign w:val="center"/>
          </w:tcPr>
          <w:p w14:paraId="2C199438">
            <w:pPr>
              <w:pStyle w:val="90"/>
              <w:rPr>
                <w:rStyle w:val="100"/>
                <w:sz w:val="21"/>
                <w:lang w:val="zh-CN"/>
              </w:rPr>
            </w:pPr>
            <w:r>
              <w:rPr>
                <w:b/>
              </w:rPr>
              <w:t>严控新增炼油产能。</w:t>
            </w:r>
            <w:r>
              <w:rPr>
                <w:rFonts w:hint="eastAsia"/>
              </w:rPr>
              <w:t>新建炼油及扩建一次炼油项目应纳入经国家批准的相关规划，实行产能减量置换和污染物总量控制，能效达到标杆水平，环保满足重污染天气重点行业绩效分级A级指标要求。严格执行《产业结构调整指导目录》，新建炼厂的常减压装置规模不得低于1000万吨/年。强化安全生产、生态环保、碳排放等指标约束，原则上不再新增燃煤自备电厂（锅炉）。</w:t>
            </w:r>
          </w:p>
        </w:tc>
        <w:tc>
          <w:tcPr>
            <w:tcW w:w="3432" w:type="dxa"/>
            <w:shd w:val="clear" w:color="auto" w:fill="auto"/>
            <w:vAlign w:val="center"/>
          </w:tcPr>
          <w:p w14:paraId="51C3B79F">
            <w:pPr>
              <w:pStyle w:val="90"/>
              <w:rPr>
                <w:rStyle w:val="100"/>
                <w:sz w:val="21"/>
                <w:lang w:val="zh-CN"/>
              </w:rPr>
            </w:pPr>
            <w:r>
              <w:rPr>
                <w:rStyle w:val="100"/>
                <w:rFonts w:hint="eastAsia"/>
                <w:sz w:val="21"/>
                <w:lang w:val="zh-CN"/>
              </w:rPr>
              <w:t>本项目不属于一次炼油项目，所用工艺不属于《产业结构调整指导目录（2</w:t>
            </w:r>
            <w:r>
              <w:rPr>
                <w:rStyle w:val="100"/>
                <w:sz w:val="21"/>
                <w:lang w:val="zh-CN"/>
              </w:rPr>
              <w:t>024</w:t>
            </w:r>
            <w:r>
              <w:rPr>
                <w:rStyle w:val="100"/>
                <w:rFonts w:hint="eastAsia"/>
                <w:sz w:val="21"/>
                <w:lang w:val="zh-CN"/>
              </w:rPr>
              <w:t>年本）》中的限制类和淘汰类；生产供热采用天然气导热油炉；生活供暖依托园区供热，不新增燃煤自备电厂。</w:t>
            </w:r>
          </w:p>
        </w:tc>
        <w:tc>
          <w:tcPr>
            <w:tcW w:w="933" w:type="dxa"/>
            <w:shd w:val="clear" w:color="auto" w:fill="auto"/>
            <w:vAlign w:val="center"/>
          </w:tcPr>
          <w:p w14:paraId="11D29635">
            <w:pPr>
              <w:pStyle w:val="90"/>
              <w:rPr>
                <w:rStyle w:val="100"/>
                <w:sz w:val="21"/>
                <w:lang w:val="zh-CN"/>
              </w:rPr>
            </w:pPr>
            <w:r>
              <w:rPr>
                <w:rStyle w:val="100"/>
                <w:rFonts w:hint="eastAsia"/>
                <w:sz w:val="21"/>
                <w:lang w:val="zh-CN"/>
              </w:rPr>
              <w:t>符合</w:t>
            </w:r>
          </w:p>
        </w:tc>
      </w:tr>
      <w:tr w14:paraId="32A11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384B585B">
            <w:pPr>
              <w:pStyle w:val="90"/>
              <w:rPr>
                <w:rStyle w:val="100"/>
                <w:sz w:val="21"/>
                <w:lang w:val="zh-CN"/>
              </w:rPr>
            </w:pPr>
            <w:r>
              <w:rPr>
                <w:rStyle w:val="100"/>
                <w:rFonts w:hint="eastAsia"/>
                <w:sz w:val="21"/>
                <w:lang w:val="zh-CN"/>
              </w:rPr>
              <w:t>3</w:t>
            </w:r>
          </w:p>
        </w:tc>
        <w:tc>
          <w:tcPr>
            <w:tcW w:w="3656" w:type="dxa"/>
            <w:shd w:val="clear" w:color="auto" w:fill="auto"/>
            <w:vAlign w:val="center"/>
          </w:tcPr>
          <w:p w14:paraId="46EF1C5F">
            <w:pPr>
              <w:pStyle w:val="90"/>
              <w:rPr>
                <w:rStyle w:val="100"/>
                <w:sz w:val="21"/>
                <w:lang w:val="zh-CN"/>
              </w:rPr>
            </w:pPr>
            <w:r>
              <w:rPr>
                <w:rStyle w:val="33"/>
                <w:bCs w:val="0"/>
              </w:rPr>
              <w:t>引导炼油过程降碳。</w:t>
            </w:r>
            <w:r>
              <w:t>积极引导清洁能源、绿电替代，推进现有燃煤自备电厂（锅炉）清洁能源替代，鼓励企业积极探索研究太阳能供热在炼油过程中的应用，鼓励企业因地制宜优先采用公用电、集中供热、天然气、新能源分布式发电和源网荷储一体化等方式逐步降低煤炭消费比例，提升可再生能源消纳水平，提高系统运行效率和电源开发综合效益。鼓励应用短流程、反应过程强化、催化裂化余热发生超高压蒸汽技术等低碳生产工艺。加强甲烷与挥发性有机物（VOCs）协同管控。</w:t>
            </w:r>
          </w:p>
        </w:tc>
        <w:tc>
          <w:tcPr>
            <w:tcW w:w="3432" w:type="dxa"/>
            <w:shd w:val="clear" w:color="auto" w:fill="auto"/>
            <w:vAlign w:val="center"/>
          </w:tcPr>
          <w:p w14:paraId="20456463">
            <w:pPr>
              <w:pStyle w:val="90"/>
              <w:rPr>
                <w:rStyle w:val="100"/>
                <w:sz w:val="21"/>
                <w:lang w:val="zh-CN"/>
              </w:rPr>
            </w:pPr>
            <w:r>
              <w:rPr>
                <w:rFonts w:hint="eastAsia"/>
              </w:rPr>
              <w:t>本项目工艺用热采用天然气导热油炉，不新增燃煤使用；进料设置预加热系统，多级换热，提高原料与导热油的热交换效率。</w:t>
            </w:r>
          </w:p>
        </w:tc>
        <w:tc>
          <w:tcPr>
            <w:tcW w:w="933" w:type="dxa"/>
            <w:shd w:val="clear" w:color="auto" w:fill="auto"/>
            <w:vAlign w:val="center"/>
          </w:tcPr>
          <w:p w14:paraId="5B7919A1">
            <w:pPr>
              <w:pStyle w:val="90"/>
              <w:rPr>
                <w:rStyle w:val="100"/>
                <w:sz w:val="21"/>
                <w:lang w:val="zh-CN"/>
              </w:rPr>
            </w:pPr>
            <w:r>
              <w:rPr>
                <w:rStyle w:val="100"/>
                <w:rFonts w:hint="eastAsia"/>
                <w:sz w:val="21"/>
                <w:lang w:val="zh-CN"/>
              </w:rPr>
              <w:t>符合</w:t>
            </w:r>
          </w:p>
        </w:tc>
      </w:tr>
    </w:tbl>
    <w:p w14:paraId="7BF6F702">
      <w:pPr>
        <w:ind w:firstLine="480"/>
      </w:pPr>
      <w:r>
        <w:rPr>
          <w:rFonts w:hint="eastAsia"/>
        </w:rPr>
        <w:t>综上所</w:t>
      </w:r>
      <w:r>
        <w:rPr>
          <w:rFonts w:hint="eastAsia"/>
          <w:lang w:val="en-US" w:eastAsia="zh-CN"/>
        </w:rPr>
        <w:t>述</w:t>
      </w:r>
      <w:bookmarkStart w:id="810" w:name="_GoBack"/>
      <w:bookmarkEnd w:id="810"/>
      <w:r>
        <w:rPr>
          <w:rFonts w:hint="eastAsia"/>
        </w:rPr>
        <w:t>，本项目符合《国家发展改革委等部门关于促进炼油行业绿色创新高质量发展的指导意见》（</w:t>
      </w:r>
      <w:r>
        <w:t>发改能源〔2023〕1364号</w:t>
      </w:r>
      <w:r>
        <w:rPr>
          <w:rFonts w:hint="eastAsia"/>
        </w:rPr>
        <w:t>）的相关要求。</w:t>
      </w:r>
    </w:p>
    <w:p w14:paraId="012AAEB1">
      <w:pPr>
        <w:ind w:firstLine="480"/>
        <w:rPr>
          <w:szCs w:val="24"/>
        </w:rPr>
      </w:pPr>
      <w:r>
        <w:rPr>
          <w:rFonts w:hint="eastAsia"/>
        </w:rPr>
        <w:t>（6）与</w:t>
      </w:r>
      <w:r>
        <w:rPr>
          <w:rFonts w:hint="eastAsia"/>
          <w:szCs w:val="24"/>
        </w:rPr>
        <w:t>《工业和信息化部 发展改革委 科技部 生态环境部 应急部能源局关于“十四五”推动石化化工行业高质量发展的指导意见》（工信部联原〔2022〕34号）符合性分析</w:t>
      </w:r>
    </w:p>
    <w:p w14:paraId="29E7FF56">
      <w:pPr>
        <w:ind w:firstLine="480"/>
        <w:rPr>
          <w:szCs w:val="24"/>
        </w:rPr>
      </w:pPr>
      <w:r>
        <w:rPr>
          <w:rFonts w:hint="eastAsia"/>
          <w:szCs w:val="24"/>
        </w:rPr>
        <w:t>本项目与《意见》的符合性分析见表1</w:t>
      </w:r>
      <w:r>
        <w:rPr>
          <w:szCs w:val="24"/>
        </w:rPr>
        <w:t>.4-3</w:t>
      </w:r>
      <w:r>
        <w:rPr>
          <w:rFonts w:hint="eastAsia"/>
          <w:szCs w:val="24"/>
        </w:rPr>
        <w:t>。</w:t>
      </w:r>
    </w:p>
    <w:p w14:paraId="5540E9E3">
      <w:pPr>
        <w:pStyle w:val="47"/>
        <w:spacing w:before="65"/>
      </w:pPr>
      <w:r>
        <w:rPr>
          <w:rFonts w:hint="eastAsia"/>
        </w:rPr>
        <w:t>表1</w:t>
      </w:r>
      <w:r>
        <w:t xml:space="preserve">.4-3   </w:t>
      </w:r>
      <w:r>
        <w:rPr>
          <w:rFonts w:hint="eastAsia"/>
        </w:rPr>
        <w:t>与《意见》的符合性分析一览表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9"/>
        <w:gridCol w:w="5134"/>
        <w:gridCol w:w="1954"/>
        <w:gridCol w:w="933"/>
      </w:tblGrid>
      <w:tr w14:paraId="25C82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590CB70F">
            <w:pPr>
              <w:pStyle w:val="90"/>
              <w:rPr>
                <w:rStyle w:val="100"/>
                <w:sz w:val="21"/>
                <w:lang w:val="zh-CN"/>
              </w:rPr>
            </w:pPr>
            <w:r>
              <w:rPr>
                <w:rStyle w:val="100"/>
                <w:rFonts w:hint="eastAsia"/>
                <w:sz w:val="21"/>
                <w:lang w:val="zh-CN"/>
              </w:rPr>
              <w:t>序号</w:t>
            </w:r>
          </w:p>
        </w:tc>
        <w:tc>
          <w:tcPr>
            <w:tcW w:w="5134" w:type="dxa"/>
            <w:shd w:val="clear" w:color="auto" w:fill="auto"/>
            <w:vAlign w:val="center"/>
          </w:tcPr>
          <w:p w14:paraId="054FC3B5">
            <w:pPr>
              <w:pStyle w:val="90"/>
              <w:rPr>
                <w:rStyle w:val="100"/>
                <w:sz w:val="21"/>
                <w:lang w:val="zh-CN"/>
              </w:rPr>
            </w:pPr>
            <w:r>
              <w:rPr>
                <w:rStyle w:val="100"/>
                <w:rFonts w:hint="eastAsia"/>
                <w:sz w:val="21"/>
                <w:lang w:val="zh-CN"/>
              </w:rPr>
              <w:t>原文内容</w:t>
            </w:r>
          </w:p>
        </w:tc>
        <w:tc>
          <w:tcPr>
            <w:tcW w:w="1954" w:type="dxa"/>
            <w:shd w:val="clear" w:color="auto" w:fill="auto"/>
            <w:vAlign w:val="center"/>
          </w:tcPr>
          <w:p w14:paraId="7BB1F2E3">
            <w:pPr>
              <w:pStyle w:val="90"/>
              <w:rPr>
                <w:rStyle w:val="100"/>
                <w:sz w:val="21"/>
                <w:lang w:val="zh-CN"/>
              </w:rPr>
            </w:pPr>
            <w:r>
              <w:rPr>
                <w:rStyle w:val="100"/>
                <w:sz w:val="21"/>
                <w:lang w:val="zh-CN"/>
              </w:rPr>
              <w:t>本项目情况</w:t>
            </w:r>
          </w:p>
        </w:tc>
        <w:tc>
          <w:tcPr>
            <w:tcW w:w="933" w:type="dxa"/>
            <w:shd w:val="clear" w:color="auto" w:fill="auto"/>
            <w:vAlign w:val="center"/>
          </w:tcPr>
          <w:p w14:paraId="3117E30D">
            <w:pPr>
              <w:pStyle w:val="90"/>
              <w:rPr>
                <w:rStyle w:val="100"/>
                <w:sz w:val="21"/>
                <w:lang w:val="zh-CN"/>
              </w:rPr>
            </w:pPr>
            <w:r>
              <w:rPr>
                <w:rStyle w:val="100"/>
                <w:rFonts w:hint="eastAsia"/>
                <w:sz w:val="21"/>
                <w:lang w:val="zh-CN"/>
              </w:rPr>
              <w:t>符合性</w:t>
            </w:r>
          </w:p>
        </w:tc>
      </w:tr>
      <w:tr w14:paraId="5243D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0E52F45B">
            <w:pPr>
              <w:pStyle w:val="90"/>
              <w:rPr>
                <w:rStyle w:val="100"/>
                <w:sz w:val="21"/>
                <w:lang w:val="zh-CN"/>
              </w:rPr>
            </w:pPr>
            <w:r>
              <w:rPr>
                <w:rStyle w:val="100"/>
                <w:rFonts w:hint="eastAsia"/>
                <w:sz w:val="21"/>
                <w:lang w:val="zh-CN"/>
              </w:rPr>
              <w:t>1</w:t>
            </w:r>
          </w:p>
        </w:tc>
        <w:tc>
          <w:tcPr>
            <w:tcW w:w="5134" w:type="dxa"/>
            <w:shd w:val="clear" w:color="auto" w:fill="auto"/>
            <w:vAlign w:val="center"/>
          </w:tcPr>
          <w:p w14:paraId="154ABE2D">
            <w:pPr>
              <w:pStyle w:val="90"/>
              <w:rPr>
                <w:rStyle w:val="100"/>
                <w:sz w:val="21"/>
                <w:lang w:val="zh-CN"/>
              </w:rPr>
            </w:pPr>
            <w:r>
              <w:rPr>
                <w:rFonts w:hint="eastAsia"/>
              </w:rPr>
              <w:t>（三）实施“三品”行动，提升化工产品供给质量。围绕新一代信息技术、生物技术、新能源、高端装备等战略性新兴产业，增加有机氟硅、聚氨酯、聚酰胺等材料品种规格，加快发展高端聚烯烃、电子化学品、工业特种气体、高性能橡塑材料、高性能纤维、生物基材料、专用润滑油脂等产品。积极布局形状记忆高分子材料、金属-有机框架材料、金属元素高效分离介质、反应-分离一体化膜装置等新产品开发。提高化肥、轮胎、涂料、染料、胶粘剂等行业绿色产品占比。鼓励企业提升品质，培育创建品牌。</w:t>
            </w:r>
          </w:p>
        </w:tc>
        <w:tc>
          <w:tcPr>
            <w:tcW w:w="1954" w:type="dxa"/>
            <w:shd w:val="clear" w:color="auto" w:fill="auto"/>
            <w:vAlign w:val="center"/>
          </w:tcPr>
          <w:p w14:paraId="57FEA3AD">
            <w:pPr>
              <w:pStyle w:val="90"/>
              <w:rPr>
                <w:rStyle w:val="100"/>
                <w:sz w:val="21"/>
                <w:lang w:val="zh-CN"/>
              </w:rPr>
            </w:pPr>
            <w:r>
              <w:rPr>
                <w:rStyle w:val="100"/>
                <w:rFonts w:hint="eastAsia"/>
                <w:sz w:val="21"/>
                <w:lang w:val="zh-CN"/>
              </w:rPr>
              <w:t>本项目以新疆佳宇恒企业的减线油为原料，采用白土精制工艺生产润滑油，属于下游产业链延伸，有利于资源利用效率进一步提升。</w:t>
            </w:r>
          </w:p>
        </w:tc>
        <w:tc>
          <w:tcPr>
            <w:tcW w:w="933" w:type="dxa"/>
            <w:shd w:val="clear" w:color="auto" w:fill="auto"/>
            <w:vAlign w:val="center"/>
          </w:tcPr>
          <w:p w14:paraId="59FEF5D0">
            <w:pPr>
              <w:pStyle w:val="90"/>
              <w:rPr>
                <w:rStyle w:val="100"/>
                <w:sz w:val="21"/>
                <w:lang w:val="zh-CN"/>
              </w:rPr>
            </w:pPr>
            <w:r>
              <w:rPr>
                <w:rStyle w:val="100"/>
                <w:rFonts w:hint="eastAsia"/>
                <w:sz w:val="21"/>
                <w:lang w:val="zh-CN"/>
              </w:rPr>
              <w:t>符合</w:t>
            </w:r>
          </w:p>
        </w:tc>
      </w:tr>
      <w:tr w14:paraId="0BEFD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7F7586A2">
            <w:pPr>
              <w:pStyle w:val="90"/>
              <w:rPr>
                <w:rStyle w:val="100"/>
                <w:sz w:val="21"/>
                <w:lang w:val="zh-CN"/>
              </w:rPr>
            </w:pPr>
            <w:r>
              <w:rPr>
                <w:rStyle w:val="100"/>
                <w:rFonts w:hint="eastAsia"/>
                <w:sz w:val="21"/>
                <w:lang w:val="zh-CN"/>
              </w:rPr>
              <w:t>2</w:t>
            </w:r>
          </w:p>
        </w:tc>
        <w:tc>
          <w:tcPr>
            <w:tcW w:w="5134" w:type="dxa"/>
            <w:shd w:val="clear" w:color="auto" w:fill="auto"/>
            <w:vAlign w:val="center"/>
          </w:tcPr>
          <w:p w14:paraId="184369EC">
            <w:pPr>
              <w:pStyle w:val="90"/>
              <w:rPr>
                <w:rStyle w:val="100"/>
                <w:sz w:val="21"/>
                <w:lang w:val="zh-CN"/>
              </w:rPr>
            </w:pPr>
            <w:r>
              <w:rPr>
                <w:rFonts w:hint="eastAsia"/>
              </w:rPr>
              <w:t>（四）强化分类施策，科学调控产业规模。有序推进炼化项目“降油增化”，延长石油化工产业链。增强高端聚合物、专用化学品等产品供给能力。严控炼油、磷铵、电石、黄磷等行业新增产能，禁止新建用汞的（聚）氯乙烯产能，加快低效落后产能退出。促进煤化工产业高端化、多元化、低碳化发展，按照生态优先、以水定产、总量控制、集聚发展的要求，稳妥有序发展现代煤化工。</w:t>
            </w:r>
          </w:p>
        </w:tc>
        <w:tc>
          <w:tcPr>
            <w:tcW w:w="1954" w:type="dxa"/>
            <w:shd w:val="clear" w:color="auto" w:fill="auto"/>
            <w:vAlign w:val="center"/>
          </w:tcPr>
          <w:p w14:paraId="2920A522">
            <w:pPr>
              <w:pStyle w:val="90"/>
              <w:rPr>
                <w:rStyle w:val="100"/>
                <w:sz w:val="21"/>
                <w:lang w:val="zh-CN"/>
              </w:rPr>
            </w:pPr>
            <w:r>
              <w:rPr>
                <w:rStyle w:val="100"/>
                <w:rFonts w:hint="eastAsia"/>
                <w:sz w:val="21"/>
                <w:lang w:val="zh-CN"/>
              </w:rPr>
              <w:t>本项目以新疆佳宇恒原油减压蒸馏制备BS光亮油过程的减二线、减三线油为原料，通过白土精制、调配等工序生产润滑油和润滑脂，视为原油下游产业链延伸。</w:t>
            </w:r>
          </w:p>
        </w:tc>
        <w:tc>
          <w:tcPr>
            <w:tcW w:w="933" w:type="dxa"/>
            <w:shd w:val="clear" w:color="auto" w:fill="auto"/>
            <w:vAlign w:val="center"/>
          </w:tcPr>
          <w:p w14:paraId="21A638D8">
            <w:pPr>
              <w:pStyle w:val="90"/>
              <w:rPr>
                <w:rStyle w:val="100"/>
                <w:sz w:val="21"/>
                <w:lang w:val="zh-CN"/>
              </w:rPr>
            </w:pPr>
            <w:r>
              <w:rPr>
                <w:rStyle w:val="100"/>
                <w:rFonts w:hint="eastAsia"/>
                <w:sz w:val="21"/>
                <w:lang w:val="zh-CN"/>
              </w:rPr>
              <w:t>符合</w:t>
            </w:r>
          </w:p>
        </w:tc>
      </w:tr>
      <w:tr w14:paraId="4C1CC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57D9D6E0">
            <w:pPr>
              <w:pStyle w:val="90"/>
              <w:rPr>
                <w:rStyle w:val="100"/>
                <w:sz w:val="21"/>
                <w:lang w:val="zh-CN"/>
              </w:rPr>
            </w:pPr>
            <w:r>
              <w:rPr>
                <w:rStyle w:val="100"/>
                <w:rFonts w:hint="eastAsia"/>
                <w:sz w:val="21"/>
                <w:lang w:val="zh-CN"/>
              </w:rPr>
              <w:t>3</w:t>
            </w:r>
          </w:p>
        </w:tc>
        <w:tc>
          <w:tcPr>
            <w:tcW w:w="5134" w:type="dxa"/>
            <w:shd w:val="clear" w:color="auto" w:fill="auto"/>
            <w:vAlign w:val="center"/>
          </w:tcPr>
          <w:p w14:paraId="76A89651">
            <w:pPr>
              <w:pStyle w:val="90"/>
              <w:rPr>
                <w:rStyle w:val="100"/>
                <w:b/>
                <w:sz w:val="21"/>
                <w:lang w:val="zh-CN"/>
              </w:rPr>
            </w:pPr>
            <w:r>
              <w:rPr>
                <w:rStyle w:val="33"/>
                <w:rFonts w:hint="eastAsia"/>
                <w:b w:val="0"/>
                <w:bCs w:val="0"/>
              </w:rPr>
              <w:t>（七）引导化工项目进区入园，促进高水平集聚发展。推动化工园区规范化发展，依法依规利用综合标准倒逼园区防范化解安全环境风险，加快园区污染防治等基础设施建设，加强园区污水管网排查整治，提升本质安全和清洁生产水平。引导园区内企业循环生产、产业耦合发展，鼓励化工园区间错位、差异化发展，与冶金、建材、纺织、电子等行业协同布局。鼓励化工园区建设科技创新及科研成果孵化平台、智能化管理系统。严格执行危险化学品“禁限控”目录，新建危险化学品生产项目必须进入一般或较低安全风险的化工园区（与其他行业生产装置配套建设的项目除外），引导其他石化化工项目在化工园区发展。</w:t>
            </w:r>
          </w:p>
        </w:tc>
        <w:tc>
          <w:tcPr>
            <w:tcW w:w="1954" w:type="dxa"/>
            <w:shd w:val="clear" w:color="auto" w:fill="auto"/>
            <w:vAlign w:val="center"/>
          </w:tcPr>
          <w:p w14:paraId="7B774DC6">
            <w:pPr>
              <w:pStyle w:val="90"/>
              <w:rPr>
                <w:rStyle w:val="100"/>
                <w:sz w:val="21"/>
                <w:lang w:val="zh-CN"/>
              </w:rPr>
            </w:pPr>
            <w:r>
              <w:rPr>
                <w:rFonts w:hint="eastAsia"/>
              </w:rPr>
              <w:t>本项目选址位于胡杨河经济技术开发区南园区内的精细化工产业区块，属于是原油产业链的延伸，符合精细化工产业布局，满足文件要求。</w:t>
            </w:r>
          </w:p>
        </w:tc>
        <w:tc>
          <w:tcPr>
            <w:tcW w:w="933" w:type="dxa"/>
            <w:shd w:val="clear" w:color="auto" w:fill="auto"/>
            <w:vAlign w:val="center"/>
          </w:tcPr>
          <w:p w14:paraId="7DB0DE02">
            <w:pPr>
              <w:pStyle w:val="90"/>
              <w:rPr>
                <w:rStyle w:val="100"/>
                <w:sz w:val="21"/>
                <w:lang w:val="zh-CN"/>
              </w:rPr>
            </w:pPr>
            <w:r>
              <w:rPr>
                <w:rStyle w:val="100"/>
                <w:rFonts w:hint="eastAsia"/>
                <w:sz w:val="21"/>
                <w:lang w:val="zh-CN"/>
              </w:rPr>
              <w:t>符合</w:t>
            </w:r>
          </w:p>
        </w:tc>
      </w:tr>
      <w:tr w14:paraId="7E455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09" w:type="dxa"/>
            <w:shd w:val="clear" w:color="auto" w:fill="auto"/>
            <w:vAlign w:val="center"/>
          </w:tcPr>
          <w:p w14:paraId="3BB18728">
            <w:pPr>
              <w:pStyle w:val="90"/>
              <w:rPr>
                <w:rStyle w:val="100"/>
                <w:sz w:val="21"/>
                <w:lang w:val="zh-CN"/>
              </w:rPr>
            </w:pPr>
            <w:r>
              <w:rPr>
                <w:rStyle w:val="100"/>
                <w:rFonts w:hint="eastAsia"/>
                <w:sz w:val="21"/>
                <w:lang w:val="zh-CN"/>
              </w:rPr>
              <w:t>4</w:t>
            </w:r>
          </w:p>
        </w:tc>
        <w:tc>
          <w:tcPr>
            <w:tcW w:w="5134" w:type="dxa"/>
            <w:shd w:val="clear" w:color="auto" w:fill="auto"/>
            <w:vAlign w:val="center"/>
          </w:tcPr>
          <w:p w14:paraId="20E5B9B2">
            <w:pPr>
              <w:pStyle w:val="90"/>
              <w:rPr>
                <w:rStyle w:val="33"/>
                <w:b w:val="0"/>
                <w:bCs w:val="0"/>
              </w:rPr>
            </w:pPr>
            <w:r>
              <w:rPr>
                <w:rStyle w:val="33"/>
                <w:rFonts w:hint="eastAsia"/>
                <w:b w:val="0"/>
                <w:bCs w:val="0"/>
              </w:rPr>
              <w:t>（十四）增强原料资源保障，维护产业链供应链安全稳定。拓展石化原料供给渠道，构建国内基础稳固、国际多元稳定的供给体系，适度增加轻质低碳富氢原料进口。按照市场化原则，推进国际钾盐等资源开发合作。加强国内钾资源勘探，积极推进中低品位磷矿高效采选技术、非水溶性钾资源高效利用技术开发。多措并举推进磷石膏减量化、资源化、无害化，稳妥推进磷化工“以渣定产”。加强化肥生产要素保障，提高生产集中度和骨干企业产能利用率，确保化肥稳定供应。保护性开采萤石资源，鼓励开发利用伴生氟资源。</w:t>
            </w:r>
          </w:p>
        </w:tc>
        <w:tc>
          <w:tcPr>
            <w:tcW w:w="1954" w:type="dxa"/>
            <w:shd w:val="clear" w:color="auto" w:fill="auto"/>
            <w:vAlign w:val="center"/>
          </w:tcPr>
          <w:p w14:paraId="3CAC6960">
            <w:pPr>
              <w:pStyle w:val="90"/>
            </w:pPr>
            <w:r>
              <w:rPr>
                <w:rFonts w:hint="eastAsia"/>
              </w:rPr>
              <w:t>本项目原料来源之一为新疆佳宇恒1</w:t>
            </w:r>
            <w:r>
              <w:t>0</w:t>
            </w:r>
            <w:r>
              <w:rPr>
                <w:rFonts w:hint="eastAsia"/>
              </w:rPr>
              <w:t>万吨/年BS光亮油生产线，原料来源稳定，且同在胡杨河经济技术开发区南园区，运输便利；同时周边还有多家石油化工企业，均可作为本项目的原料来源。</w:t>
            </w:r>
          </w:p>
        </w:tc>
        <w:tc>
          <w:tcPr>
            <w:tcW w:w="933" w:type="dxa"/>
            <w:shd w:val="clear" w:color="auto" w:fill="auto"/>
            <w:vAlign w:val="center"/>
          </w:tcPr>
          <w:p w14:paraId="595FEC76">
            <w:pPr>
              <w:pStyle w:val="90"/>
              <w:rPr>
                <w:rStyle w:val="100"/>
                <w:sz w:val="21"/>
                <w:lang w:val="zh-CN"/>
              </w:rPr>
            </w:pPr>
            <w:r>
              <w:rPr>
                <w:rStyle w:val="100"/>
                <w:rFonts w:hint="eastAsia"/>
                <w:sz w:val="21"/>
                <w:lang w:val="zh-CN"/>
              </w:rPr>
              <w:t>符合</w:t>
            </w:r>
          </w:p>
        </w:tc>
      </w:tr>
    </w:tbl>
    <w:p w14:paraId="404B7CC0">
      <w:pPr>
        <w:ind w:firstLine="480"/>
        <w:rPr>
          <w:rFonts w:hint="eastAsia"/>
        </w:rPr>
      </w:pPr>
      <w:r>
        <w:rPr>
          <w:rFonts w:hint="eastAsia"/>
        </w:rPr>
        <w:t>综上所述，本项目符合《工业和信息化部 发展改革委 科技部 生态环境部 应急部能源局关于“十四五”推动石化化工行业高质量发展的指导意见》（工信部联原〔2022〕34号）文件中的相关要求。</w:t>
      </w:r>
    </w:p>
    <w:p w14:paraId="01DA753A">
      <w:pPr>
        <w:ind w:firstLine="480"/>
        <w:rPr>
          <w:rFonts w:hint="default" w:eastAsia="宋体"/>
          <w:color w:val="auto"/>
          <w:lang w:val="en-US" w:eastAsia="zh-CN"/>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lang w:val="en-US" w:eastAsia="zh-CN"/>
        </w:rPr>
        <w:t>与《关于印发钢铁/焦化、现代煤化工、石化、火电四个行业建设项目环境影响评价文件审批原则的通知》（环办环评</w:t>
      </w:r>
      <w:r>
        <w:rPr>
          <w:rFonts w:hint="eastAsia" w:ascii="宋体" w:hAnsi="宋体" w:eastAsia="宋体" w:cs="宋体"/>
          <w:color w:val="auto"/>
          <w:lang w:val="en-US" w:eastAsia="zh-CN"/>
        </w:rPr>
        <w:t>〔</w:t>
      </w:r>
      <w:r>
        <w:rPr>
          <w:rFonts w:hint="eastAsia"/>
          <w:color w:val="auto"/>
          <w:lang w:val="en-US" w:eastAsia="zh-CN"/>
        </w:rPr>
        <w:t>2022〕31号）</w:t>
      </w:r>
    </w:p>
    <w:p w14:paraId="347564E2">
      <w:pPr>
        <w:ind w:firstLine="480"/>
        <w:rPr>
          <w:rFonts w:hint="default" w:eastAsia="宋体"/>
          <w:color w:val="auto"/>
          <w:lang w:val="en-US" w:eastAsia="zh-CN"/>
        </w:rPr>
      </w:pPr>
      <w:r>
        <w:rPr>
          <w:rFonts w:hint="eastAsia"/>
          <w:color w:val="auto"/>
          <w:lang w:val="en-US" w:eastAsia="zh-CN"/>
        </w:rPr>
        <w:t>本项目属于石化行业，与石化建设项目环境影响评价文件审批原则的符合性分析见下表。</w:t>
      </w:r>
    </w:p>
    <w:p w14:paraId="1CE5CCB0">
      <w:pPr>
        <w:pStyle w:val="47"/>
        <w:spacing w:before="65"/>
        <w:rPr>
          <w:rFonts w:hint="eastAsia"/>
          <w:color w:val="auto"/>
          <w:lang w:val="en-US" w:eastAsia="zh-CN"/>
        </w:rPr>
      </w:pPr>
      <w:r>
        <w:rPr>
          <w:rFonts w:hint="eastAsia"/>
          <w:color w:val="auto"/>
          <w:lang w:val="en-US" w:eastAsia="zh-CN"/>
        </w:rPr>
        <w:t>表1.4-4   与《通知》（石化行业）符合性分析表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63"/>
        <w:gridCol w:w="4017"/>
        <w:gridCol w:w="3293"/>
        <w:gridCol w:w="871"/>
      </w:tblGrid>
      <w:tr w14:paraId="5DC79A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0BCF6E77">
            <w:pPr>
              <w:pStyle w:val="90"/>
              <w:bidi w:val="0"/>
            </w:pPr>
            <w:r>
              <w:t>序号</w:t>
            </w:r>
          </w:p>
        </w:tc>
        <w:tc>
          <w:tcPr>
            <w:tcW w:w="2270" w:type="pct"/>
            <w:tcBorders>
              <w:tl2br w:val="nil"/>
              <w:tr2bl w:val="nil"/>
            </w:tcBorders>
            <w:noWrap w:val="0"/>
            <w:vAlign w:val="center"/>
          </w:tcPr>
          <w:p w14:paraId="1A2BD241">
            <w:pPr>
              <w:pStyle w:val="90"/>
              <w:bidi w:val="0"/>
            </w:pPr>
            <w:r>
              <w:t>主要内容</w:t>
            </w:r>
          </w:p>
        </w:tc>
        <w:tc>
          <w:tcPr>
            <w:tcW w:w="1861" w:type="pct"/>
            <w:tcBorders>
              <w:tl2br w:val="nil"/>
              <w:tr2bl w:val="nil"/>
            </w:tcBorders>
            <w:noWrap w:val="0"/>
            <w:vAlign w:val="center"/>
          </w:tcPr>
          <w:p w14:paraId="6EC2485A">
            <w:pPr>
              <w:pStyle w:val="90"/>
              <w:bidi w:val="0"/>
            </w:pPr>
            <w:r>
              <w:t>本项目情况</w:t>
            </w:r>
          </w:p>
        </w:tc>
        <w:tc>
          <w:tcPr>
            <w:tcW w:w="492" w:type="pct"/>
            <w:tcBorders>
              <w:tl2br w:val="nil"/>
              <w:tr2bl w:val="nil"/>
            </w:tcBorders>
            <w:noWrap w:val="0"/>
            <w:vAlign w:val="center"/>
          </w:tcPr>
          <w:p w14:paraId="0862B074">
            <w:pPr>
              <w:pStyle w:val="90"/>
              <w:bidi w:val="0"/>
            </w:pPr>
            <w:r>
              <w:t>符合性</w:t>
            </w:r>
          </w:p>
        </w:tc>
      </w:tr>
      <w:tr w14:paraId="4E602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26C93F0F">
            <w:pPr>
              <w:pStyle w:val="90"/>
              <w:bidi w:val="0"/>
            </w:pPr>
            <w:r>
              <w:t>1</w:t>
            </w:r>
          </w:p>
        </w:tc>
        <w:tc>
          <w:tcPr>
            <w:tcW w:w="2270" w:type="pct"/>
            <w:tcBorders>
              <w:tl2br w:val="nil"/>
              <w:tr2bl w:val="nil"/>
            </w:tcBorders>
            <w:noWrap w:val="0"/>
            <w:vAlign w:val="center"/>
          </w:tcPr>
          <w:p w14:paraId="0367F93B">
            <w:pPr>
              <w:pStyle w:val="90"/>
              <w:bidi w:val="0"/>
            </w:pPr>
            <w:r>
              <w:t>项目应符合生态环境保护相关法律法规、法定规划以及相关产业结构调整、区域及行业碳达峰碳中和目标、煤炭消费总量控制、重点污染物排放总量控制等政策要求。新建、改扩建炼油和新建乙烯、对二甲苯、二苯基甲烷二异氰酸酯（MDI）项目应符合国家批准的石化产业规划布局方案等有关产业规划。</w:t>
            </w:r>
          </w:p>
        </w:tc>
        <w:tc>
          <w:tcPr>
            <w:tcW w:w="1861" w:type="pct"/>
            <w:tcBorders>
              <w:tl2br w:val="nil"/>
              <w:tr2bl w:val="nil"/>
            </w:tcBorders>
            <w:noWrap w:val="0"/>
            <w:vAlign w:val="center"/>
          </w:tcPr>
          <w:p w14:paraId="021EF59C">
            <w:pPr>
              <w:pStyle w:val="90"/>
              <w:bidi w:val="0"/>
            </w:pPr>
            <w:r>
              <w:t>本项目不新增煤炭消费；</w:t>
            </w:r>
            <w:r>
              <w:rPr>
                <w:rFonts w:hint="eastAsia"/>
                <w:lang w:val="en-US" w:eastAsia="zh-CN"/>
              </w:rPr>
              <w:t>依法申请污染物排放总量控制指标</w:t>
            </w:r>
            <w:r>
              <w:t>。本项目位于化工园区南园区，企业原料</w:t>
            </w:r>
            <w:r>
              <w:rPr>
                <w:rFonts w:hint="eastAsia"/>
                <w:lang w:val="en-US" w:eastAsia="zh-CN"/>
              </w:rPr>
              <w:t>采用园区企业（</w:t>
            </w:r>
            <w:r>
              <w:rPr>
                <w:rFonts w:hint="eastAsia"/>
              </w:rPr>
              <w:t>新疆佳宇恒能源科技有限公司生产</w:t>
            </w:r>
            <w:r>
              <w:rPr>
                <w:rFonts w:hint="eastAsia"/>
                <w:lang w:val="en-US" w:eastAsia="zh-CN"/>
              </w:rPr>
              <w:t>）</w:t>
            </w:r>
            <w:r>
              <w:rPr>
                <w:rFonts w:hint="eastAsia"/>
              </w:rPr>
              <w:t>的减二线、减三线油</w:t>
            </w:r>
            <w:r>
              <w:rPr>
                <w:rFonts w:hint="eastAsia"/>
                <w:lang w:eastAsia="zh-CN"/>
              </w:rPr>
              <w:t>，</w:t>
            </w:r>
            <w:r>
              <w:rPr>
                <w:rFonts w:hint="eastAsia"/>
                <w:lang w:val="en-US" w:eastAsia="zh-CN"/>
              </w:rPr>
              <w:t>属于石油炼制企业的下游产业链，</w:t>
            </w:r>
            <w:r>
              <w:t>符合产业政策、相关法律法规。</w:t>
            </w:r>
            <w:r>
              <w:rPr>
                <w:rFonts w:hint="eastAsia"/>
              </w:rPr>
              <w:t>符合园区</w:t>
            </w:r>
            <w:r>
              <w:t>规划要求。</w:t>
            </w:r>
          </w:p>
        </w:tc>
        <w:tc>
          <w:tcPr>
            <w:tcW w:w="492" w:type="pct"/>
            <w:tcBorders>
              <w:tl2br w:val="nil"/>
              <w:tr2bl w:val="nil"/>
            </w:tcBorders>
            <w:noWrap w:val="0"/>
            <w:vAlign w:val="center"/>
          </w:tcPr>
          <w:p w14:paraId="0BE13529">
            <w:pPr>
              <w:pStyle w:val="90"/>
              <w:bidi w:val="0"/>
            </w:pPr>
            <w:r>
              <w:t>符合</w:t>
            </w:r>
          </w:p>
        </w:tc>
      </w:tr>
      <w:tr w14:paraId="7371CF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5647A1D0">
            <w:pPr>
              <w:pStyle w:val="90"/>
              <w:bidi w:val="0"/>
            </w:pPr>
            <w:r>
              <w:t>2</w:t>
            </w:r>
          </w:p>
        </w:tc>
        <w:tc>
          <w:tcPr>
            <w:tcW w:w="2270" w:type="pct"/>
            <w:tcBorders>
              <w:tl2br w:val="nil"/>
              <w:tr2bl w:val="nil"/>
            </w:tcBorders>
            <w:noWrap w:val="0"/>
            <w:vAlign w:val="center"/>
          </w:tcPr>
          <w:p w14:paraId="26EBB8D9">
            <w:pPr>
              <w:pStyle w:val="90"/>
              <w:bidi w:val="0"/>
            </w:pPr>
            <w:r>
              <w:t>项目选址应符合生态环境分区管控要求。新建、扩建建设项目应布设在依法合规设立的产业园区，并符合园区规划及规划环境影响评价要求。项目选址不得位于长江干支流岸线一公里范围内、黄河干支流岸线管控范围内等法律法规明令禁止的区域，应避开生态保护红线，尽可能远离居民集中区、医院、学校等环境敏感区。</w:t>
            </w:r>
          </w:p>
        </w:tc>
        <w:tc>
          <w:tcPr>
            <w:tcW w:w="1861" w:type="pct"/>
            <w:tcBorders>
              <w:tl2br w:val="nil"/>
              <w:tr2bl w:val="nil"/>
            </w:tcBorders>
            <w:noWrap w:val="0"/>
            <w:vAlign w:val="center"/>
          </w:tcPr>
          <w:p w14:paraId="53DF21AB">
            <w:pPr>
              <w:pStyle w:val="90"/>
              <w:bidi w:val="0"/>
            </w:pPr>
            <w:r>
              <w:t>项目位于已批准的胡杨河市经济技术开发区南</w:t>
            </w:r>
            <w:r>
              <w:rPr>
                <w:rFonts w:hint="eastAsia"/>
                <w:lang w:val="en-US" w:eastAsia="zh-CN"/>
              </w:rPr>
              <w:t>园</w:t>
            </w:r>
            <w:r>
              <w:t>区，并与园区规划及审查意见相符；项目不涉及长江干支流岸线，不涉及生态红线，防护距离内不涉及居民集中区、医院、学校等环境敏感区。</w:t>
            </w:r>
          </w:p>
        </w:tc>
        <w:tc>
          <w:tcPr>
            <w:tcW w:w="492" w:type="pct"/>
            <w:tcBorders>
              <w:tl2br w:val="nil"/>
              <w:tr2bl w:val="nil"/>
            </w:tcBorders>
            <w:noWrap w:val="0"/>
            <w:vAlign w:val="center"/>
          </w:tcPr>
          <w:p w14:paraId="2399A50A">
            <w:pPr>
              <w:pStyle w:val="90"/>
              <w:bidi w:val="0"/>
            </w:pPr>
            <w:r>
              <w:t>符合</w:t>
            </w:r>
          </w:p>
        </w:tc>
      </w:tr>
      <w:tr w14:paraId="63A28D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restart"/>
            <w:tcBorders>
              <w:tl2br w:val="nil"/>
              <w:tr2bl w:val="nil"/>
            </w:tcBorders>
            <w:noWrap w:val="0"/>
            <w:vAlign w:val="center"/>
          </w:tcPr>
          <w:p w14:paraId="30DA270F">
            <w:pPr>
              <w:pStyle w:val="90"/>
              <w:bidi w:val="0"/>
            </w:pPr>
            <w:r>
              <w:t>3</w:t>
            </w:r>
          </w:p>
        </w:tc>
        <w:tc>
          <w:tcPr>
            <w:tcW w:w="2270" w:type="pct"/>
            <w:tcBorders>
              <w:tl2br w:val="nil"/>
              <w:tr2bl w:val="nil"/>
            </w:tcBorders>
            <w:noWrap w:val="0"/>
            <w:vAlign w:val="center"/>
          </w:tcPr>
          <w:p w14:paraId="54144198">
            <w:pPr>
              <w:pStyle w:val="90"/>
              <w:bidi w:val="0"/>
            </w:pPr>
            <w:r>
              <w:t>新建、扩建项目应采用先进适用的工艺技术和装备，单位产品物耗、能耗、水耗、污染物排放量和资源综合利用等应达到行业先进水平。炼油、乙烯、对二甲苯项目能效应达到行业标杆水平。</w:t>
            </w:r>
          </w:p>
        </w:tc>
        <w:tc>
          <w:tcPr>
            <w:tcW w:w="1861" w:type="pct"/>
            <w:tcBorders>
              <w:tl2br w:val="nil"/>
              <w:tr2bl w:val="nil"/>
            </w:tcBorders>
            <w:noWrap w:val="0"/>
            <w:vAlign w:val="center"/>
          </w:tcPr>
          <w:p w14:paraId="1C5BFC31">
            <w:pPr>
              <w:pStyle w:val="90"/>
              <w:bidi w:val="0"/>
            </w:pPr>
            <w:r>
              <w:t>根据清洁生产分析结果可知，本项目单位产品物耗、能耗、水耗、污染物排放量和资源综合利用等能达到行业先进水平。本项目不涉及二甲苯项目</w:t>
            </w:r>
          </w:p>
        </w:tc>
        <w:tc>
          <w:tcPr>
            <w:tcW w:w="492" w:type="pct"/>
            <w:tcBorders>
              <w:tl2br w:val="nil"/>
              <w:tr2bl w:val="nil"/>
            </w:tcBorders>
            <w:noWrap w:val="0"/>
            <w:vAlign w:val="center"/>
          </w:tcPr>
          <w:p w14:paraId="020E6CAC">
            <w:pPr>
              <w:pStyle w:val="90"/>
              <w:bidi w:val="0"/>
            </w:pPr>
            <w:r>
              <w:t>符合</w:t>
            </w:r>
          </w:p>
        </w:tc>
      </w:tr>
      <w:tr w14:paraId="75113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405808B8">
            <w:pPr>
              <w:pStyle w:val="90"/>
              <w:bidi w:val="0"/>
            </w:pPr>
          </w:p>
        </w:tc>
        <w:tc>
          <w:tcPr>
            <w:tcW w:w="2270" w:type="pct"/>
            <w:tcBorders>
              <w:tl2br w:val="nil"/>
              <w:tr2bl w:val="nil"/>
            </w:tcBorders>
            <w:noWrap w:val="0"/>
            <w:vAlign w:val="center"/>
          </w:tcPr>
          <w:p w14:paraId="5F206D61">
            <w:pPr>
              <w:pStyle w:val="90"/>
              <w:bidi w:val="0"/>
            </w:pPr>
            <w:r>
              <w:t>鼓励使用绿色原料、工艺及产品，使用清洁燃料、绿电、绿氢。鼓励实施循环经济，统筹利用园区内上下游资源</w:t>
            </w:r>
          </w:p>
        </w:tc>
        <w:tc>
          <w:tcPr>
            <w:tcW w:w="1861" w:type="pct"/>
            <w:tcBorders>
              <w:tl2br w:val="nil"/>
              <w:tr2bl w:val="nil"/>
            </w:tcBorders>
            <w:noWrap w:val="0"/>
            <w:vAlign w:val="center"/>
          </w:tcPr>
          <w:p w14:paraId="13B88398">
            <w:pPr>
              <w:pStyle w:val="90"/>
              <w:bidi w:val="0"/>
            </w:pPr>
            <w:r>
              <w:t>项目主要燃料为天然气，属于清洁燃料。</w:t>
            </w:r>
          </w:p>
        </w:tc>
        <w:tc>
          <w:tcPr>
            <w:tcW w:w="492" w:type="pct"/>
            <w:tcBorders>
              <w:tl2br w:val="nil"/>
              <w:tr2bl w:val="nil"/>
            </w:tcBorders>
            <w:noWrap w:val="0"/>
            <w:vAlign w:val="center"/>
          </w:tcPr>
          <w:p w14:paraId="623DDF02">
            <w:pPr>
              <w:pStyle w:val="90"/>
              <w:bidi w:val="0"/>
            </w:pPr>
            <w:r>
              <w:t>符合</w:t>
            </w:r>
          </w:p>
        </w:tc>
      </w:tr>
      <w:tr w14:paraId="6A4B3B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5993642F">
            <w:pPr>
              <w:pStyle w:val="90"/>
              <w:bidi w:val="0"/>
            </w:pPr>
          </w:p>
        </w:tc>
        <w:tc>
          <w:tcPr>
            <w:tcW w:w="2270" w:type="pct"/>
            <w:tcBorders>
              <w:tl2br w:val="nil"/>
              <w:tr2bl w:val="nil"/>
            </w:tcBorders>
            <w:noWrap w:val="0"/>
            <w:vAlign w:val="center"/>
          </w:tcPr>
          <w:p w14:paraId="3B49596B">
            <w:pPr>
              <w:pStyle w:val="90"/>
              <w:bidi w:val="0"/>
            </w:pPr>
            <w:r>
              <w:t>强化节水措施，减少新鲜水用量。具备条件的地区，优先使用再生水、海水淡化水，采用海水作为循环冷却水；缺水地区优先采用空冷、闭式循环等节水技术。</w:t>
            </w:r>
          </w:p>
        </w:tc>
        <w:tc>
          <w:tcPr>
            <w:tcW w:w="1861" w:type="pct"/>
            <w:tcBorders>
              <w:tl2br w:val="nil"/>
              <w:tr2bl w:val="nil"/>
            </w:tcBorders>
            <w:noWrap w:val="0"/>
            <w:vAlign w:val="center"/>
          </w:tcPr>
          <w:p w14:paraId="6E77366A">
            <w:pPr>
              <w:pStyle w:val="90"/>
              <w:bidi w:val="0"/>
            </w:pPr>
            <w:r>
              <w:t>厂区已强化节水措施，减少新鲜水用量。</w:t>
            </w:r>
          </w:p>
        </w:tc>
        <w:tc>
          <w:tcPr>
            <w:tcW w:w="492" w:type="pct"/>
            <w:tcBorders>
              <w:tl2br w:val="nil"/>
              <w:tr2bl w:val="nil"/>
            </w:tcBorders>
            <w:noWrap w:val="0"/>
            <w:vAlign w:val="center"/>
          </w:tcPr>
          <w:p w14:paraId="131B039B">
            <w:pPr>
              <w:pStyle w:val="90"/>
              <w:bidi w:val="0"/>
            </w:pPr>
            <w:r>
              <w:t>基本符合</w:t>
            </w:r>
          </w:p>
        </w:tc>
      </w:tr>
      <w:tr w14:paraId="06FA60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2707EAB6">
            <w:pPr>
              <w:pStyle w:val="90"/>
              <w:bidi w:val="0"/>
            </w:pPr>
            <w:r>
              <w:t>4</w:t>
            </w:r>
          </w:p>
        </w:tc>
        <w:tc>
          <w:tcPr>
            <w:tcW w:w="2270" w:type="pct"/>
            <w:tcBorders>
              <w:tl2br w:val="nil"/>
              <w:tr2bl w:val="nil"/>
            </w:tcBorders>
            <w:noWrap w:val="0"/>
            <w:vAlign w:val="center"/>
          </w:tcPr>
          <w:p w14:paraId="6C945DBE">
            <w:pPr>
              <w:pStyle w:val="90"/>
              <w:bidi w:val="0"/>
            </w:pPr>
            <w:r>
              <w:t>项目优先采用园区集中供热供汽，鼓励使用可再生能源，原则上不得配备燃煤自备电厂，不设或少设自备锅炉。确需建设自备电厂的，应符合国家及地方的相关规划和排放控制要求。加热炉、转化炉、裂解炉等应使用脱硫干气等清洁燃料，采取低氮燃烧等氮氧化物控制措施；催化裂化装置和动力站锅炉等应采取必要的脱硫、脱硝和除尘措施；其他有组织工艺废气应采取有效治理措施，减少污染物排放；原则上不得设置废气旁路，确需保留的应急类旁路，应安装流量计等自动监测设备。</w:t>
            </w:r>
          </w:p>
        </w:tc>
        <w:tc>
          <w:tcPr>
            <w:tcW w:w="1861" w:type="pct"/>
            <w:tcBorders>
              <w:tl2br w:val="nil"/>
              <w:tr2bl w:val="nil"/>
            </w:tcBorders>
            <w:noWrap w:val="0"/>
            <w:vAlign w:val="center"/>
          </w:tcPr>
          <w:p w14:paraId="7CE3F95F">
            <w:pPr>
              <w:pStyle w:val="90"/>
              <w:bidi w:val="0"/>
            </w:pPr>
            <w:r>
              <w:t>本项目导热油炉采用</w:t>
            </w:r>
            <w:r>
              <w:rPr>
                <w:rFonts w:hint="eastAsia"/>
              </w:rPr>
              <w:t>天然气</w:t>
            </w:r>
            <w:r>
              <w:t>为燃料，硫含量较低，导热油炉配备</w:t>
            </w:r>
            <w:r>
              <w:rPr>
                <w:rFonts w:hint="eastAsia"/>
              </w:rPr>
              <w:t>超</w:t>
            </w:r>
            <w:r>
              <w:t>低氮燃烧器</w:t>
            </w:r>
            <w:r>
              <w:rPr>
                <w:rFonts w:hint="eastAsia"/>
              </w:rPr>
              <w:t>，</w:t>
            </w:r>
            <w:r>
              <w:t>罐区和装卸环节采用油气回收装置，减少无组织排放。本项目装置和储罐间通过管道直接输送，减少中间储罐。本项目不设置废气旁路。</w:t>
            </w:r>
          </w:p>
          <w:p w14:paraId="5E1D4259">
            <w:pPr>
              <w:pStyle w:val="90"/>
              <w:bidi w:val="0"/>
            </w:pPr>
          </w:p>
        </w:tc>
        <w:tc>
          <w:tcPr>
            <w:tcW w:w="492" w:type="pct"/>
            <w:tcBorders>
              <w:tl2br w:val="nil"/>
              <w:tr2bl w:val="nil"/>
            </w:tcBorders>
            <w:noWrap w:val="0"/>
            <w:vAlign w:val="center"/>
          </w:tcPr>
          <w:p w14:paraId="17C35C1E">
            <w:pPr>
              <w:pStyle w:val="90"/>
              <w:bidi w:val="0"/>
            </w:pPr>
            <w:r>
              <w:t>符合</w:t>
            </w:r>
          </w:p>
        </w:tc>
      </w:tr>
      <w:tr w14:paraId="5E8AF3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restart"/>
            <w:tcBorders>
              <w:tl2br w:val="nil"/>
              <w:tr2bl w:val="nil"/>
            </w:tcBorders>
            <w:noWrap w:val="0"/>
            <w:vAlign w:val="center"/>
          </w:tcPr>
          <w:p w14:paraId="107556F2">
            <w:pPr>
              <w:pStyle w:val="90"/>
              <w:bidi w:val="0"/>
            </w:pPr>
            <w:r>
              <w:t>5</w:t>
            </w:r>
          </w:p>
        </w:tc>
        <w:tc>
          <w:tcPr>
            <w:tcW w:w="2270" w:type="pct"/>
            <w:tcBorders>
              <w:tl2br w:val="nil"/>
              <w:tr2bl w:val="nil"/>
            </w:tcBorders>
            <w:noWrap w:val="0"/>
            <w:vAlign w:val="center"/>
          </w:tcPr>
          <w:p w14:paraId="351901B3">
            <w:pPr>
              <w:pStyle w:val="90"/>
              <w:bidi w:val="0"/>
            </w:pPr>
            <w:r>
              <w:t>上下游装置间宜通过管道直接输送，减少中间储罐；通过优化设备、储罐选型，加强源头、过程、末端全流程管控，减少污染物无组织排放；挥发性有机液体装载优先采用底部装载，采用顶部浸没式装载的应采用高效密封方式；废水预处理、污泥储存处置等环节密闭化；有机废气应收尽收，鼓励污水均质罐、污油罐、浮渣罐及酸性水罐有机废气收集处理；依据废气特征、挥发性有机物组分及浓度、生产工况等合理选择治理技术，高、低浓度有机废气分质收集处理，高浓度有机废气宜单独收集治理，优先回收利用，无法回收利用的采用预处理+催化氧化、焚烧等高效处理工艺， 除单一恶臭异味治理外，一般不单独使用低温等离子、光催化、光氧化等技术；明确设备泄漏检测与修复（LDAR）制度。</w:t>
            </w:r>
          </w:p>
        </w:tc>
        <w:tc>
          <w:tcPr>
            <w:tcW w:w="1861" w:type="pct"/>
            <w:tcBorders>
              <w:tl2br w:val="nil"/>
              <w:tr2bl w:val="nil"/>
            </w:tcBorders>
            <w:noWrap w:val="0"/>
            <w:vAlign w:val="center"/>
          </w:tcPr>
          <w:p w14:paraId="34F74A03">
            <w:pPr>
              <w:pStyle w:val="90"/>
              <w:bidi w:val="0"/>
            </w:pPr>
            <w:r>
              <w:t>上下游装置间通过管道直接输送；挥发性有机液体装载优先采用底部装载，采用顶部浸没式装载的采用高效密封方式。项目通过实施工艺改进、生产环节和废水废液废渣系统密闭性改造、设备泄漏检测与修复（LDAR）和装卸方式改进等措施，从源头减少VOCS的泄漏排放。罐区和装卸区废气统计收集送</w:t>
            </w:r>
            <w:r>
              <w:rPr>
                <w:rFonts w:hint="eastAsia"/>
                <w:lang w:val="en-US" w:eastAsia="zh-CN"/>
              </w:rPr>
              <w:t>油气回收装置（冷凝+活性炭吸附）</w:t>
            </w:r>
            <w:r>
              <w:t>。项目严格执行设备泄漏检测与修复（LDAR）制度。</w:t>
            </w:r>
          </w:p>
        </w:tc>
        <w:tc>
          <w:tcPr>
            <w:tcW w:w="492" w:type="pct"/>
            <w:tcBorders>
              <w:tl2br w:val="nil"/>
              <w:tr2bl w:val="nil"/>
            </w:tcBorders>
            <w:noWrap w:val="0"/>
            <w:vAlign w:val="center"/>
          </w:tcPr>
          <w:p w14:paraId="711E9364">
            <w:pPr>
              <w:pStyle w:val="90"/>
              <w:bidi w:val="0"/>
            </w:pPr>
            <w:r>
              <w:t>符合</w:t>
            </w:r>
          </w:p>
        </w:tc>
      </w:tr>
      <w:tr w14:paraId="2B0AFC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0A61053D">
            <w:pPr>
              <w:pStyle w:val="90"/>
              <w:bidi w:val="0"/>
            </w:pPr>
          </w:p>
        </w:tc>
        <w:tc>
          <w:tcPr>
            <w:tcW w:w="2270" w:type="pct"/>
            <w:tcBorders>
              <w:tl2br w:val="nil"/>
              <w:tr2bl w:val="nil"/>
            </w:tcBorders>
            <w:noWrap w:val="0"/>
            <w:vAlign w:val="center"/>
          </w:tcPr>
          <w:p w14:paraId="7E19B6CD">
            <w:pPr>
              <w:pStyle w:val="90"/>
              <w:bidi w:val="0"/>
            </w:pPr>
            <w:r>
              <w:t>非正常工况排气应收集处理，优先回收利用。</w:t>
            </w:r>
          </w:p>
        </w:tc>
        <w:tc>
          <w:tcPr>
            <w:tcW w:w="1861" w:type="pct"/>
            <w:tcBorders>
              <w:tl2br w:val="nil"/>
              <w:tr2bl w:val="nil"/>
            </w:tcBorders>
            <w:noWrap w:val="0"/>
            <w:vAlign w:val="center"/>
          </w:tcPr>
          <w:p w14:paraId="7EAF6C22">
            <w:pPr>
              <w:pStyle w:val="90"/>
              <w:bidi w:val="0"/>
            </w:pPr>
            <w:r>
              <w:rPr>
                <w:rFonts w:hint="eastAsia"/>
                <w:lang w:val="en-US" w:eastAsia="zh-CN"/>
              </w:rPr>
              <w:t>出现</w:t>
            </w:r>
            <w:r>
              <w:t>非正常工况</w:t>
            </w:r>
            <w:r>
              <w:rPr>
                <w:rFonts w:hint="eastAsia"/>
                <w:lang w:eastAsia="zh-CN"/>
              </w:rPr>
              <w:t>，</w:t>
            </w:r>
            <w:r>
              <w:rPr>
                <w:rFonts w:hint="eastAsia"/>
                <w:lang w:val="en-US" w:eastAsia="zh-CN"/>
              </w:rPr>
              <w:t>及时停车检修，废气送油气回收装置处理</w:t>
            </w:r>
            <w:r>
              <w:t>。</w:t>
            </w:r>
          </w:p>
        </w:tc>
        <w:tc>
          <w:tcPr>
            <w:tcW w:w="492" w:type="pct"/>
            <w:tcBorders>
              <w:tl2br w:val="nil"/>
              <w:tr2bl w:val="nil"/>
            </w:tcBorders>
            <w:noWrap w:val="0"/>
            <w:vAlign w:val="center"/>
          </w:tcPr>
          <w:p w14:paraId="565F89B4">
            <w:pPr>
              <w:pStyle w:val="90"/>
              <w:bidi w:val="0"/>
            </w:pPr>
            <w:r>
              <w:t>符合</w:t>
            </w:r>
          </w:p>
        </w:tc>
      </w:tr>
      <w:tr w14:paraId="55F4B7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66485735">
            <w:pPr>
              <w:pStyle w:val="90"/>
              <w:bidi w:val="0"/>
            </w:pPr>
          </w:p>
        </w:tc>
        <w:tc>
          <w:tcPr>
            <w:tcW w:w="2270" w:type="pct"/>
            <w:tcBorders>
              <w:tl2br w:val="nil"/>
              <w:tr2bl w:val="nil"/>
            </w:tcBorders>
            <w:noWrap w:val="0"/>
            <w:vAlign w:val="center"/>
          </w:tcPr>
          <w:p w14:paraId="57502976">
            <w:pPr>
              <w:pStyle w:val="90"/>
              <w:bidi w:val="0"/>
              <w:rPr>
                <w:rFonts w:hint="eastAsia" w:eastAsia="宋体"/>
                <w:lang w:eastAsia="zh-CN"/>
              </w:rPr>
            </w:pPr>
            <w:r>
              <w:t>动力站锅炉烟气应符合《锅炉大气污染物排放标准》（GB13271）或《火电厂大气污染物排放标准》（GB 13223）要求；恶臭污染物应符合《恶臭污染物排放标准》（GB 14554）要求；其他污染物排放及控制应符合《石油炼制工业污染物排放标准》（GB31570）、《石油化学工业污染物排放标准》（GB31571）、《合成树脂工业污染物排放标准》（GB31572）等要求</w:t>
            </w:r>
            <w:r>
              <w:rPr>
                <w:rFonts w:hint="eastAsia"/>
                <w:lang w:eastAsia="zh-CN"/>
              </w:rPr>
              <w:t>。</w:t>
            </w:r>
          </w:p>
        </w:tc>
        <w:tc>
          <w:tcPr>
            <w:tcW w:w="1861" w:type="pct"/>
            <w:tcBorders>
              <w:tl2br w:val="nil"/>
              <w:tr2bl w:val="nil"/>
            </w:tcBorders>
            <w:noWrap w:val="0"/>
            <w:vAlign w:val="center"/>
          </w:tcPr>
          <w:p w14:paraId="1B15F96A">
            <w:pPr>
              <w:pStyle w:val="90"/>
              <w:bidi w:val="0"/>
            </w:pPr>
            <w:r>
              <w:rPr>
                <w:rFonts w:hint="eastAsia"/>
              </w:rPr>
              <w:t>①</w:t>
            </w:r>
            <w:r>
              <w:t>本项目</w:t>
            </w:r>
            <w:r>
              <w:rPr>
                <w:rFonts w:hint="eastAsia"/>
                <w:lang w:val="en-US" w:eastAsia="zh-CN"/>
              </w:rPr>
              <w:t>不设置动力站锅炉，导热油炉排放污染物限制</w:t>
            </w:r>
            <w:r>
              <w:t>，符合</w:t>
            </w:r>
            <w:r>
              <w:rPr>
                <w:rFonts w:hint="eastAsia"/>
              </w:rPr>
              <w:t>《石油炼制工业污染物排放标准》（GB31570-2015）表4</w:t>
            </w:r>
            <w:r>
              <w:t>相应排放标准；</w:t>
            </w:r>
          </w:p>
          <w:p w14:paraId="0B1D438F">
            <w:pPr>
              <w:pStyle w:val="90"/>
              <w:bidi w:val="0"/>
            </w:pPr>
            <w:r>
              <w:rPr>
                <w:rFonts w:hint="eastAsia"/>
              </w:rPr>
              <w:t>②</w:t>
            </w:r>
            <w:r>
              <w:t>恶臭污染物符合《恶臭污染物排放标准》（</w:t>
            </w:r>
            <w:r>
              <w:rPr>
                <w:rFonts w:hint="eastAsia"/>
                <w:lang w:val="en-US" w:eastAsia="zh-CN"/>
              </w:rPr>
              <w:t>GB14554</w:t>
            </w:r>
            <w:r>
              <w:t>）要求；</w:t>
            </w:r>
          </w:p>
          <w:p w14:paraId="13C63729">
            <w:pPr>
              <w:pStyle w:val="90"/>
              <w:bidi w:val="0"/>
            </w:pPr>
            <w:r>
              <w:rPr>
                <w:rFonts w:hint="eastAsia"/>
              </w:rPr>
              <w:t>③</w:t>
            </w:r>
            <w:r>
              <w:t>其他污染物排放及控制符合《石油炼制工业污染物排放标准》（GB31570）等要求。</w:t>
            </w:r>
          </w:p>
        </w:tc>
        <w:tc>
          <w:tcPr>
            <w:tcW w:w="492" w:type="pct"/>
            <w:tcBorders>
              <w:tl2br w:val="nil"/>
              <w:tr2bl w:val="nil"/>
            </w:tcBorders>
            <w:noWrap w:val="0"/>
            <w:vAlign w:val="center"/>
          </w:tcPr>
          <w:p w14:paraId="64742921">
            <w:pPr>
              <w:pStyle w:val="90"/>
              <w:bidi w:val="0"/>
            </w:pPr>
            <w:r>
              <w:t>符合</w:t>
            </w:r>
          </w:p>
        </w:tc>
      </w:tr>
      <w:tr w14:paraId="56C27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0F89BA53">
            <w:pPr>
              <w:pStyle w:val="90"/>
              <w:bidi w:val="0"/>
            </w:pPr>
          </w:p>
        </w:tc>
        <w:tc>
          <w:tcPr>
            <w:tcW w:w="2270" w:type="pct"/>
            <w:tcBorders>
              <w:tl2br w:val="nil"/>
              <w:tr2bl w:val="nil"/>
            </w:tcBorders>
            <w:noWrap w:val="0"/>
            <w:vAlign w:val="center"/>
          </w:tcPr>
          <w:p w14:paraId="0185A2B1">
            <w:pPr>
              <w:pStyle w:val="90"/>
              <w:bidi w:val="0"/>
            </w:pPr>
            <w:r>
              <w:t>大宗物料中长距离运输优先采用铁路、管道或水路运输，厂区内或短途接驳优先使用国六排放标准的运输工具或新能源车辆、管道或管状带式输送机等清洁运输方式。</w:t>
            </w:r>
          </w:p>
        </w:tc>
        <w:tc>
          <w:tcPr>
            <w:tcW w:w="1861" w:type="pct"/>
            <w:tcBorders>
              <w:tl2br w:val="nil"/>
              <w:tr2bl w:val="nil"/>
            </w:tcBorders>
            <w:noWrap w:val="0"/>
            <w:vAlign w:val="center"/>
          </w:tcPr>
          <w:p w14:paraId="0B37938F">
            <w:pPr>
              <w:pStyle w:val="90"/>
              <w:bidi w:val="0"/>
              <w:rPr>
                <w:rFonts w:hint="eastAsia" w:eastAsia="宋体"/>
                <w:lang w:eastAsia="zh-CN"/>
              </w:rPr>
            </w:pPr>
            <w:r>
              <w:t>项目原辅料采用槽罐车公路运输，厂区内通过管道运输方式</w:t>
            </w:r>
            <w:r>
              <w:rPr>
                <w:rFonts w:hint="eastAsia"/>
                <w:lang w:eastAsia="zh-CN"/>
              </w:rPr>
              <w:t>。</w:t>
            </w:r>
          </w:p>
        </w:tc>
        <w:tc>
          <w:tcPr>
            <w:tcW w:w="492" w:type="pct"/>
            <w:tcBorders>
              <w:tl2br w:val="nil"/>
              <w:tr2bl w:val="nil"/>
            </w:tcBorders>
            <w:noWrap w:val="0"/>
            <w:vAlign w:val="center"/>
          </w:tcPr>
          <w:p w14:paraId="2D59EFD6">
            <w:pPr>
              <w:pStyle w:val="90"/>
              <w:bidi w:val="0"/>
            </w:pPr>
            <w:r>
              <w:t>符合</w:t>
            </w:r>
          </w:p>
        </w:tc>
      </w:tr>
      <w:tr w14:paraId="76D079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07564BD3">
            <w:pPr>
              <w:pStyle w:val="90"/>
              <w:bidi w:val="0"/>
            </w:pPr>
          </w:p>
        </w:tc>
        <w:tc>
          <w:tcPr>
            <w:tcW w:w="2270" w:type="pct"/>
            <w:tcBorders>
              <w:tl2br w:val="nil"/>
              <w:tr2bl w:val="nil"/>
            </w:tcBorders>
            <w:noWrap w:val="0"/>
            <w:vAlign w:val="center"/>
          </w:tcPr>
          <w:p w14:paraId="21B2F587">
            <w:pPr>
              <w:pStyle w:val="90"/>
              <w:bidi w:val="0"/>
            </w:pPr>
            <w:r>
              <w:t>合理设置大气环境防护距离，环境防护距离范围内不应有居民区、学校、医院等环境敏感目标。</w:t>
            </w:r>
          </w:p>
        </w:tc>
        <w:tc>
          <w:tcPr>
            <w:tcW w:w="1861" w:type="pct"/>
            <w:tcBorders>
              <w:tl2br w:val="nil"/>
              <w:tr2bl w:val="nil"/>
            </w:tcBorders>
            <w:noWrap w:val="0"/>
            <w:vAlign w:val="center"/>
          </w:tcPr>
          <w:p w14:paraId="0EDD2D4B">
            <w:pPr>
              <w:pStyle w:val="90"/>
              <w:bidi w:val="0"/>
              <w:rPr>
                <w:rFonts w:hint="eastAsia" w:eastAsia="宋体"/>
                <w:lang w:eastAsia="zh-CN"/>
              </w:rPr>
            </w:pPr>
            <w:r>
              <w:rPr>
                <w:rFonts w:hint="eastAsia"/>
              </w:rPr>
              <w:t>本项目无需设置大气环境防护距离</w:t>
            </w:r>
            <w:r>
              <w:rPr>
                <w:rFonts w:hint="eastAsia"/>
                <w:lang w:eastAsia="zh-CN"/>
              </w:rPr>
              <w:t>。</w:t>
            </w:r>
          </w:p>
        </w:tc>
        <w:tc>
          <w:tcPr>
            <w:tcW w:w="492" w:type="pct"/>
            <w:tcBorders>
              <w:tl2br w:val="nil"/>
              <w:tr2bl w:val="nil"/>
            </w:tcBorders>
            <w:noWrap w:val="0"/>
            <w:vAlign w:val="center"/>
          </w:tcPr>
          <w:p w14:paraId="69C37F00">
            <w:pPr>
              <w:pStyle w:val="90"/>
              <w:bidi w:val="0"/>
            </w:pPr>
            <w:r>
              <w:t>符合</w:t>
            </w:r>
          </w:p>
        </w:tc>
      </w:tr>
      <w:tr w14:paraId="1553F8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01873B39">
            <w:pPr>
              <w:pStyle w:val="90"/>
              <w:bidi w:val="0"/>
            </w:pPr>
            <w:r>
              <w:t>6</w:t>
            </w:r>
          </w:p>
        </w:tc>
        <w:tc>
          <w:tcPr>
            <w:tcW w:w="2270" w:type="pct"/>
            <w:tcBorders>
              <w:tl2br w:val="nil"/>
              <w:tr2bl w:val="nil"/>
            </w:tcBorders>
            <w:noWrap w:val="0"/>
            <w:vAlign w:val="center"/>
          </w:tcPr>
          <w:p w14:paraId="563FF956">
            <w:pPr>
              <w:pStyle w:val="90"/>
              <w:bidi w:val="0"/>
            </w:pPr>
            <w:r>
              <w:t>将温室气体排放纳入建设项目环境影响评价，核算建设项目温室气体排放量，推进减污降碳协同增效，推动减碳技术创新示范应用。鼓励有条件的地区、企业采取风光水电、非粮生物质等可再生能源资源制氢，二氧化碳合成甲醇、烯烃、芳烃、可降解塑料、碳酸二甲酯、聚酯、二甲醚等化工产品，二氧化碳高效和低成本捕集、输送、长期稳定封存等减碳技术。</w:t>
            </w:r>
          </w:p>
        </w:tc>
        <w:tc>
          <w:tcPr>
            <w:tcW w:w="1861" w:type="pct"/>
            <w:tcBorders>
              <w:tl2br w:val="nil"/>
              <w:tr2bl w:val="nil"/>
            </w:tcBorders>
            <w:noWrap w:val="0"/>
            <w:vAlign w:val="center"/>
          </w:tcPr>
          <w:p w14:paraId="11DD6A2D">
            <w:pPr>
              <w:pStyle w:val="90"/>
              <w:bidi w:val="0"/>
            </w:pPr>
            <w:r>
              <w:t>本报告设置专节对温室气体排放进行了核算，同时推进减污降碳协同增效。</w:t>
            </w:r>
          </w:p>
        </w:tc>
        <w:tc>
          <w:tcPr>
            <w:tcW w:w="492" w:type="pct"/>
            <w:tcBorders>
              <w:tl2br w:val="nil"/>
              <w:tr2bl w:val="nil"/>
            </w:tcBorders>
            <w:noWrap w:val="0"/>
            <w:vAlign w:val="center"/>
          </w:tcPr>
          <w:p w14:paraId="0C2FF8D6">
            <w:pPr>
              <w:pStyle w:val="90"/>
              <w:bidi w:val="0"/>
            </w:pPr>
            <w:r>
              <w:t>符合</w:t>
            </w:r>
          </w:p>
        </w:tc>
      </w:tr>
      <w:tr w14:paraId="50C72E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1D045FBF">
            <w:pPr>
              <w:pStyle w:val="90"/>
              <w:bidi w:val="0"/>
            </w:pPr>
            <w:r>
              <w:t>7</w:t>
            </w:r>
          </w:p>
        </w:tc>
        <w:tc>
          <w:tcPr>
            <w:tcW w:w="2270" w:type="pct"/>
            <w:tcBorders>
              <w:tl2br w:val="nil"/>
              <w:tr2bl w:val="nil"/>
            </w:tcBorders>
            <w:noWrap w:val="0"/>
            <w:vAlign w:val="center"/>
          </w:tcPr>
          <w:p w14:paraId="58EA8822">
            <w:pPr>
              <w:pStyle w:val="90"/>
              <w:bidi w:val="0"/>
            </w:pPr>
            <w:r>
              <w:t>做好雨污分流、清污分流、污污分流。废水分类收集、分质处理、优先回用，含油废水、含硫废水经处理后最大限度回用，含盐废水进行适当深度处理，污染雨水收集处理。严禁生产废水未经处理或未有效处理直接排入城镇污水处理系统。项目排放的废水污染物应符合《石油炼制工业污染物排放标准》（GB31570）、《石油化学工业污染物排放标准》（GB31571）、《合成树脂工业污染物排放标准》（GB31572）等要求</w:t>
            </w:r>
          </w:p>
        </w:tc>
        <w:tc>
          <w:tcPr>
            <w:tcW w:w="1861" w:type="pct"/>
            <w:tcBorders>
              <w:tl2br w:val="nil"/>
              <w:tr2bl w:val="nil"/>
            </w:tcBorders>
            <w:noWrap w:val="0"/>
            <w:vAlign w:val="center"/>
          </w:tcPr>
          <w:p w14:paraId="16926EB9">
            <w:pPr>
              <w:pStyle w:val="90"/>
              <w:bidi w:val="0"/>
            </w:pPr>
            <w:r>
              <w:rPr>
                <w:rFonts w:hint="eastAsia"/>
                <w:lang w:val="en-US" w:eastAsia="zh-CN"/>
              </w:rPr>
              <w:t>本</w:t>
            </w:r>
            <w:r>
              <w:t>项目废水经厂内污水</w:t>
            </w:r>
            <w:r>
              <w:rPr>
                <w:rFonts w:hint="eastAsia"/>
                <w:lang w:val="en-US" w:eastAsia="zh-CN"/>
              </w:rPr>
              <w:t>站</w:t>
            </w:r>
            <w:r>
              <w:t>处理达到《石油炼制工业污染物排放标准》（GB31570）后排入园区污水处理厂处理。</w:t>
            </w:r>
          </w:p>
        </w:tc>
        <w:tc>
          <w:tcPr>
            <w:tcW w:w="492" w:type="pct"/>
            <w:tcBorders>
              <w:tl2br w:val="nil"/>
              <w:tr2bl w:val="nil"/>
            </w:tcBorders>
            <w:noWrap w:val="0"/>
            <w:vAlign w:val="center"/>
          </w:tcPr>
          <w:p w14:paraId="27C8B6ED">
            <w:pPr>
              <w:pStyle w:val="90"/>
              <w:bidi w:val="0"/>
            </w:pPr>
            <w:r>
              <w:t>基本符合</w:t>
            </w:r>
          </w:p>
        </w:tc>
      </w:tr>
      <w:tr w14:paraId="7526E4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688DDA37">
            <w:pPr>
              <w:pStyle w:val="90"/>
              <w:bidi w:val="0"/>
            </w:pPr>
            <w:r>
              <w:t>8</w:t>
            </w:r>
          </w:p>
        </w:tc>
        <w:tc>
          <w:tcPr>
            <w:tcW w:w="2270" w:type="pct"/>
            <w:tcBorders>
              <w:tl2br w:val="nil"/>
              <w:tr2bl w:val="nil"/>
            </w:tcBorders>
            <w:noWrap w:val="0"/>
            <w:vAlign w:val="center"/>
          </w:tcPr>
          <w:p w14:paraId="65ABAE41">
            <w:pPr>
              <w:pStyle w:val="90"/>
              <w:bidi w:val="0"/>
            </w:pPr>
            <w:r>
              <w:t>土壤和地下水污染防治应坚持源头控制、分区防控、跟踪监测和应急响应的防控原则。对涉及有毒有害物质的生产装置、设备设施及场所，需提出防腐蚀、防渗漏、防扬散等土壤污染防治具体措施，并根据环境保护目标的敏感程度、项目平面布局、水文地质条件等采取防渗措施，提出有效的土壤、地下水监控和应急方案，符合《石油化工工程防渗技术规范》（GB/T 50934）等相关要求。对于可能受影响的地下水环境敏感目标，应提出保护措施，涉及饮用水功能的，强化地下水环境保护措施，确保饮用水安全。可能造成地下水污染的建设项目不得位于泉域保护范围以及岩溶强发育、存在较多落水洞和岩溶漏斗的区域。</w:t>
            </w:r>
          </w:p>
        </w:tc>
        <w:tc>
          <w:tcPr>
            <w:tcW w:w="1861" w:type="pct"/>
            <w:tcBorders>
              <w:tl2br w:val="nil"/>
              <w:tr2bl w:val="nil"/>
            </w:tcBorders>
            <w:noWrap w:val="0"/>
            <w:vAlign w:val="center"/>
          </w:tcPr>
          <w:p w14:paraId="4B23B21C">
            <w:pPr>
              <w:pStyle w:val="90"/>
              <w:bidi w:val="0"/>
            </w:pPr>
            <w:r>
              <w:rPr>
                <w:rFonts w:hint="eastAsia"/>
              </w:rPr>
              <w:t>①</w:t>
            </w:r>
            <w:r>
              <w:t>项目按照</w:t>
            </w:r>
            <w:r>
              <w:rPr>
                <w:rFonts w:hint="eastAsia" w:ascii="宋体" w:hAnsi="宋体" w:eastAsia="宋体" w:cs="宋体"/>
              </w:rPr>
              <w:t>“源头控制、末端防治、污染监控、应急响应”</w:t>
            </w:r>
            <w:r>
              <w:t>相结合的原则，从污染物的产生、入渗、扩散、应急响应全阶段进行控制；</w:t>
            </w:r>
            <w:r>
              <w:rPr>
                <w:rFonts w:hint="eastAsia"/>
              </w:rPr>
              <w:t>②</w:t>
            </w:r>
            <w:r>
              <w:t>按照《石油化工工程防渗技术规范》（GB/T50934-2013）进行防渗设计；</w:t>
            </w:r>
            <w:r>
              <w:rPr>
                <w:rFonts w:hint="eastAsia"/>
              </w:rPr>
              <w:t>③</w:t>
            </w:r>
            <w:r>
              <w:t>项目周边无集中或分散式饮用水保护目标，项目所在区域不属于泉域保护范围以及岩溶强发育、存在较多落水洞和岩溶漏斗的区域。</w:t>
            </w:r>
          </w:p>
        </w:tc>
        <w:tc>
          <w:tcPr>
            <w:tcW w:w="492" w:type="pct"/>
            <w:tcBorders>
              <w:tl2br w:val="nil"/>
              <w:tr2bl w:val="nil"/>
            </w:tcBorders>
            <w:noWrap w:val="0"/>
            <w:vAlign w:val="center"/>
          </w:tcPr>
          <w:p w14:paraId="04E4D59E">
            <w:pPr>
              <w:pStyle w:val="90"/>
              <w:bidi w:val="0"/>
            </w:pPr>
            <w:r>
              <w:t>符合</w:t>
            </w:r>
          </w:p>
        </w:tc>
      </w:tr>
      <w:tr w14:paraId="5BE8DC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restart"/>
            <w:tcBorders>
              <w:tl2br w:val="nil"/>
              <w:tr2bl w:val="nil"/>
            </w:tcBorders>
            <w:noWrap w:val="0"/>
            <w:vAlign w:val="center"/>
          </w:tcPr>
          <w:p w14:paraId="0A2D49F7">
            <w:pPr>
              <w:pStyle w:val="90"/>
              <w:bidi w:val="0"/>
            </w:pPr>
            <w:r>
              <w:t>9</w:t>
            </w:r>
          </w:p>
        </w:tc>
        <w:tc>
          <w:tcPr>
            <w:tcW w:w="2270" w:type="pct"/>
            <w:tcBorders>
              <w:tl2br w:val="nil"/>
              <w:tr2bl w:val="nil"/>
            </w:tcBorders>
            <w:noWrap w:val="0"/>
            <w:vAlign w:val="center"/>
          </w:tcPr>
          <w:p w14:paraId="1B5E2174">
            <w:pPr>
              <w:pStyle w:val="90"/>
              <w:bidi w:val="0"/>
            </w:pPr>
            <w:r>
              <w:t>按照减量化、资源化、无害化的原则，妥善处理处置固体废物。一般工业固体废物应通过项目自身或委托其他企业综合利用，无法综合利用的就近妥善处置，需要在厂内贮存的应按规定建设贮存设施、场所。大型炼化一体化等产生危险废物量较大的石化项目宜立足于自身或依托园区危险废物集中设施处置。</w:t>
            </w:r>
          </w:p>
        </w:tc>
        <w:tc>
          <w:tcPr>
            <w:tcW w:w="1861" w:type="pct"/>
            <w:tcBorders>
              <w:tl2br w:val="nil"/>
              <w:tr2bl w:val="nil"/>
            </w:tcBorders>
            <w:noWrap w:val="0"/>
            <w:vAlign w:val="center"/>
          </w:tcPr>
          <w:p w14:paraId="2336DA9D">
            <w:pPr>
              <w:pStyle w:val="90"/>
              <w:bidi w:val="0"/>
            </w:pPr>
            <w:r>
              <w:rPr>
                <w:rFonts w:hint="eastAsia"/>
              </w:rPr>
              <w:t>①</w:t>
            </w:r>
            <w:r>
              <w:t>本项目已按照减量化、资源化、无害化的原则，妥善处理处置固体废物；</w:t>
            </w:r>
            <w:r>
              <w:rPr>
                <w:rFonts w:hint="eastAsia"/>
              </w:rPr>
              <w:t>②</w:t>
            </w:r>
            <w:r>
              <w:t>一般固废依托厂内现有暂存库贮存，综合利用；</w:t>
            </w:r>
            <w:r>
              <w:rPr>
                <w:rFonts w:hint="eastAsia"/>
              </w:rPr>
              <w:t>③</w:t>
            </w:r>
            <w:r>
              <w:t>危险废物依托厂内现有的危废暂存间（</w:t>
            </w:r>
            <w:r>
              <w:rPr>
                <w:rFonts w:hint="eastAsia"/>
                <w:lang w:val="en-US" w:eastAsia="zh-CN"/>
              </w:rPr>
              <w:t>36</w:t>
            </w:r>
            <w:r>
              <w:t>m</w:t>
            </w:r>
            <w:r>
              <w:rPr>
                <w:vertAlign w:val="superscript"/>
              </w:rPr>
              <w:t>2</w:t>
            </w:r>
            <w:r>
              <w:t>）临时贮存，交有资质单位处置。</w:t>
            </w:r>
          </w:p>
        </w:tc>
        <w:tc>
          <w:tcPr>
            <w:tcW w:w="492" w:type="pct"/>
            <w:tcBorders>
              <w:tl2br w:val="nil"/>
              <w:tr2bl w:val="nil"/>
            </w:tcBorders>
            <w:noWrap w:val="0"/>
            <w:vAlign w:val="center"/>
          </w:tcPr>
          <w:p w14:paraId="6832E32E">
            <w:pPr>
              <w:pStyle w:val="90"/>
              <w:bidi w:val="0"/>
            </w:pPr>
            <w:r>
              <w:t>符合</w:t>
            </w:r>
          </w:p>
        </w:tc>
      </w:tr>
      <w:tr w14:paraId="6FA79A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vMerge w:val="continue"/>
            <w:tcBorders>
              <w:tl2br w:val="nil"/>
              <w:tr2bl w:val="nil"/>
            </w:tcBorders>
            <w:noWrap w:val="0"/>
            <w:vAlign w:val="center"/>
          </w:tcPr>
          <w:p w14:paraId="191068C0">
            <w:pPr>
              <w:pStyle w:val="90"/>
              <w:bidi w:val="0"/>
            </w:pPr>
          </w:p>
        </w:tc>
        <w:tc>
          <w:tcPr>
            <w:tcW w:w="2270" w:type="pct"/>
            <w:tcBorders>
              <w:tl2br w:val="nil"/>
              <w:tr2bl w:val="nil"/>
            </w:tcBorders>
            <w:noWrap w:val="0"/>
            <w:vAlign w:val="center"/>
          </w:tcPr>
          <w:p w14:paraId="4E097092">
            <w:pPr>
              <w:pStyle w:val="90"/>
              <w:bidi w:val="0"/>
            </w:pPr>
            <w:r>
              <w:t>危险废物和一般工业固体废物贮存和处置应符合《危险废物贮存污染控制标准》（GB18597）及其修改单、《危险废物填埋污染控制标准》（GB18598）、《一般工业固体废物贮存和填埋污染控制标准》（GB18599）、《危险废物焚烧污染控制标准》（GB18484）等相关要求。</w:t>
            </w:r>
          </w:p>
        </w:tc>
        <w:tc>
          <w:tcPr>
            <w:tcW w:w="1861" w:type="pct"/>
            <w:tcBorders>
              <w:tl2br w:val="nil"/>
              <w:tr2bl w:val="nil"/>
            </w:tcBorders>
            <w:noWrap w:val="0"/>
            <w:vAlign w:val="center"/>
          </w:tcPr>
          <w:p w14:paraId="498A80BB">
            <w:pPr>
              <w:pStyle w:val="90"/>
              <w:bidi w:val="0"/>
            </w:pPr>
            <w:r>
              <w:t>一般固废贮存过程满足相应防渗漏、防雨淋、防扬尘等环境保护要求；危险废物临时贮存执行《危险废物贮存污染控制标准》（GB18597-2023）要求。</w:t>
            </w:r>
          </w:p>
        </w:tc>
        <w:tc>
          <w:tcPr>
            <w:tcW w:w="492" w:type="pct"/>
            <w:tcBorders>
              <w:tl2br w:val="nil"/>
              <w:tr2bl w:val="nil"/>
            </w:tcBorders>
            <w:noWrap w:val="0"/>
            <w:vAlign w:val="center"/>
          </w:tcPr>
          <w:p w14:paraId="208452C8">
            <w:pPr>
              <w:pStyle w:val="90"/>
              <w:bidi w:val="0"/>
            </w:pPr>
            <w:r>
              <w:t>符合</w:t>
            </w:r>
          </w:p>
        </w:tc>
      </w:tr>
      <w:tr w14:paraId="23130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6979E512">
            <w:pPr>
              <w:pStyle w:val="90"/>
              <w:bidi w:val="0"/>
            </w:pPr>
            <w:r>
              <w:t>10</w:t>
            </w:r>
          </w:p>
        </w:tc>
        <w:tc>
          <w:tcPr>
            <w:tcW w:w="2270" w:type="pct"/>
            <w:tcBorders>
              <w:tl2br w:val="nil"/>
              <w:tr2bl w:val="nil"/>
            </w:tcBorders>
            <w:noWrap w:val="0"/>
            <w:vAlign w:val="center"/>
          </w:tcPr>
          <w:p w14:paraId="35938A84">
            <w:pPr>
              <w:pStyle w:val="90"/>
              <w:bidi w:val="0"/>
            </w:pPr>
            <w:r>
              <w:t>优化厂区平面布置，优先选用低噪声设备和工艺，采取减振、隔声、消声等措施有效控制噪声污染，厂界噪声满足《工业企业厂界环境噪声排放标准》</w:t>
            </w:r>
            <w:r>
              <w:rPr>
                <w:rFonts w:hint="eastAsia"/>
                <w:lang w:eastAsia="zh-CN"/>
              </w:rPr>
              <w:t>（</w:t>
            </w:r>
            <w:r>
              <w:t>GB12348</w:t>
            </w:r>
            <w:r>
              <w:rPr>
                <w:rFonts w:hint="eastAsia"/>
                <w:lang w:eastAsia="zh-CN"/>
              </w:rPr>
              <w:t>）</w:t>
            </w:r>
            <w:r>
              <w:t>要求。位于噪声敏感建筑物集中区域的改建、扩建项目，应强化噪声污染防治措施，防止噪声污染。</w:t>
            </w:r>
          </w:p>
        </w:tc>
        <w:tc>
          <w:tcPr>
            <w:tcW w:w="1861" w:type="pct"/>
            <w:tcBorders>
              <w:tl2br w:val="nil"/>
              <w:tr2bl w:val="nil"/>
            </w:tcBorders>
            <w:noWrap w:val="0"/>
            <w:vAlign w:val="center"/>
          </w:tcPr>
          <w:p w14:paraId="3462A1EF">
            <w:pPr>
              <w:pStyle w:val="90"/>
              <w:bidi w:val="0"/>
              <w:rPr>
                <w:rFonts w:hint="eastAsia" w:eastAsia="宋体"/>
                <w:lang w:eastAsia="zh-CN"/>
              </w:rPr>
            </w:pPr>
            <w:r>
              <w:t>项目通过优化厂区平面布置，优先选用低噪声设备和工艺，采取减振、隔声、消声等措施有效控制噪声污染，经预测，厂界噪声满足《工业企业厂界环境噪声排放标准》</w:t>
            </w:r>
            <w:r>
              <w:rPr>
                <w:rFonts w:hint="eastAsia"/>
                <w:lang w:eastAsia="zh-CN"/>
              </w:rPr>
              <w:t>（</w:t>
            </w:r>
            <w:r>
              <w:t>GB12348</w:t>
            </w:r>
            <w:r>
              <w:rPr>
                <w:rFonts w:hint="eastAsia"/>
                <w:lang w:eastAsia="zh-CN"/>
              </w:rPr>
              <w:t>）</w:t>
            </w:r>
            <w:r>
              <w:t>3类标准要求</w:t>
            </w:r>
            <w:r>
              <w:rPr>
                <w:rFonts w:hint="eastAsia"/>
                <w:lang w:eastAsia="zh-CN"/>
              </w:rPr>
              <w:t>。</w:t>
            </w:r>
          </w:p>
        </w:tc>
        <w:tc>
          <w:tcPr>
            <w:tcW w:w="492" w:type="pct"/>
            <w:tcBorders>
              <w:tl2br w:val="nil"/>
              <w:tr2bl w:val="nil"/>
            </w:tcBorders>
            <w:noWrap w:val="0"/>
            <w:vAlign w:val="center"/>
          </w:tcPr>
          <w:p w14:paraId="31DA7170">
            <w:pPr>
              <w:pStyle w:val="90"/>
              <w:bidi w:val="0"/>
            </w:pPr>
            <w:r>
              <w:t>符合</w:t>
            </w:r>
          </w:p>
        </w:tc>
      </w:tr>
      <w:tr w14:paraId="6EB20C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5CE49E7F">
            <w:pPr>
              <w:pStyle w:val="90"/>
              <w:bidi w:val="0"/>
            </w:pPr>
            <w:r>
              <w:t>11</w:t>
            </w:r>
          </w:p>
        </w:tc>
        <w:tc>
          <w:tcPr>
            <w:tcW w:w="2270" w:type="pct"/>
            <w:tcBorders>
              <w:tl2br w:val="nil"/>
              <w:tr2bl w:val="nil"/>
            </w:tcBorders>
            <w:noWrap w:val="0"/>
            <w:vAlign w:val="center"/>
          </w:tcPr>
          <w:p w14:paraId="406349B9">
            <w:pPr>
              <w:pStyle w:val="90"/>
              <w:bidi w:val="0"/>
              <w:rPr>
                <w:rFonts w:hint="eastAsia" w:eastAsia="宋体"/>
                <w:lang w:eastAsia="zh-CN"/>
              </w:rPr>
            </w:pPr>
            <w: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区域、园区环境风险防范与应急管理体系，提出运行期突发环境事件应急预案编制要求</w:t>
            </w:r>
            <w:r>
              <w:rPr>
                <w:rFonts w:hint="eastAsia"/>
                <w:lang w:eastAsia="zh-CN"/>
              </w:rPr>
              <w:t>。</w:t>
            </w:r>
          </w:p>
        </w:tc>
        <w:tc>
          <w:tcPr>
            <w:tcW w:w="1861" w:type="pct"/>
            <w:tcBorders>
              <w:tl2br w:val="nil"/>
              <w:tr2bl w:val="nil"/>
            </w:tcBorders>
            <w:noWrap w:val="0"/>
            <w:vAlign w:val="center"/>
          </w:tcPr>
          <w:p w14:paraId="5F47DF0C">
            <w:pPr>
              <w:pStyle w:val="90"/>
              <w:bidi w:val="0"/>
            </w:pPr>
            <w:r>
              <w:rPr>
                <w:rFonts w:hint="eastAsia"/>
              </w:rPr>
              <w:t>①</w:t>
            </w:r>
            <w:r>
              <w:t>项目建成后，建设单位将对突发环境事件应急预案进行修编，建立项目及区域、园区环境风险防范与应急管理体系；</w:t>
            </w:r>
            <w:r>
              <w:rPr>
                <w:rFonts w:hint="eastAsia"/>
              </w:rPr>
              <w:t>②</w:t>
            </w:r>
            <w:r>
              <w:t>根据环境风险评价章节可知，项目环境风险防范和应急措施合理、有效，项目环境风险可控；</w:t>
            </w:r>
            <w:r>
              <w:rPr>
                <w:rFonts w:hint="eastAsia"/>
              </w:rPr>
              <w:t>③</w:t>
            </w:r>
            <w:r>
              <w:t>厂区</w:t>
            </w:r>
            <w:r>
              <w:rPr>
                <w:rFonts w:hint="eastAsia"/>
                <w:lang w:val="en-US" w:eastAsia="zh-CN"/>
              </w:rPr>
              <w:t>新建</w:t>
            </w:r>
            <w:r>
              <w:t>有事故应急池</w:t>
            </w:r>
            <w:r>
              <w:rPr>
                <w:rFonts w:hint="eastAsia"/>
                <w:lang w:val="en-US" w:eastAsia="zh-CN"/>
              </w:rPr>
              <w:t>75</w:t>
            </w:r>
            <w:r>
              <w:t>0m</w:t>
            </w:r>
            <w:r>
              <w:rPr>
                <w:vertAlign w:val="superscript"/>
              </w:rPr>
              <w:t>3</w:t>
            </w:r>
            <w:r>
              <w:t>。园区已建成园区事故水储存设施并建立应急管理体系。</w:t>
            </w:r>
          </w:p>
        </w:tc>
        <w:tc>
          <w:tcPr>
            <w:tcW w:w="492" w:type="pct"/>
            <w:tcBorders>
              <w:tl2br w:val="nil"/>
              <w:tr2bl w:val="nil"/>
            </w:tcBorders>
            <w:noWrap w:val="0"/>
            <w:vAlign w:val="center"/>
          </w:tcPr>
          <w:p w14:paraId="7B3F30EB">
            <w:pPr>
              <w:pStyle w:val="90"/>
              <w:bidi w:val="0"/>
            </w:pPr>
            <w:r>
              <w:t>符合</w:t>
            </w:r>
          </w:p>
        </w:tc>
      </w:tr>
      <w:tr w14:paraId="6A6F7A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58B1BCE5">
            <w:pPr>
              <w:pStyle w:val="90"/>
              <w:bidi w:val="0"/>
            </w:pPr>
            <w:r>
              <w:t>12</w:t>
            </w:r>
          </w:p>
        </w:tc>
        <w:tc>
          <w:tcPr>
            <w:tcW w:w="2270" w:type="pct"/>
            <w:tcBorders>
              <w:tl2br w:val="nil"/>
              <w:tr2bl w:val="nil"/>
            </w:tcBorders>
            <w:noWrap w:val="0"/>
            <w:vAlign w:val="center"/>
          </w:tcPr>
          <w:p w14:paraId="2036D20F">
            <w:pPr>
              <w:pStyle w:val="90"/>
              <w:bidi w:val="0"/>
            </w:pPr>
            <w:r>
              <w:t>改、扩建项目全面梳理涉及的现有工程存在的环保问题或减排潜力，应提出有效整改或改进措施。</w:t>
            </w:r>
          </w:p>
        </w:tc>
        <w:tc>
          <w:tcPr>
            <w:tcW w:w="1861" w:type="pct"/>
            <w:tcBorders>
              <w:tl2br w:val="nil"/>
              <w:tr2bl w:val="nil"/>
            </w:tcBorders>
            <w:noWrap w:val="0"/>
            <w:vAlign w:val="center"/>
          </w:tcPr>
          <w:p w14:paraId="65598C35">
            <w:pPr>
              <w:pStyle w:val="90"/>
              <w:bidi w:val="0"/>
            </w:pPr>
            <w:r>
              <w:rPr>
                <w:rFonts w:hint="eastAsia"/>
                <w:lang w:val="en-US" w:eastAsia="zh-CN"/>
              </w:rPr>
              <w:t>本项目属于新建项目，不存在现有环保问题</w:t>
            </w:r>
            <w:r>
              <w:t>。</w:t>
            </w:r>
          </w:p>
        </w:tc>
        <w:tc>
          <w:tcPr>
            <w:tcW w:w="492" w:type="pct"/>
            <w:tcBorders>
              <w:tl2br w:val="nil"/>
              <w:tr2bl w:val="nil"/>
            </w:tcBorders>
            <w:noWrap w:val="0"/>
            <w:vAlign w:val="center"/>
          </w:tcPr>
          <w:p w14:paraId="58A30091">
            <w:pPr>
              <w:pStyle w:val="90"/>
              <w:bidi w:val="0"/>
            </w:pPr>
            <w:r>
              <w:t>符合</w:t>
            </w:r>
          </w:p>
        </w:tc>
      </w:tr>
      <w:tr w14:paraId="450253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7D320FF5">
            <w:pPr>
              <w:pStyle w:val="90"/>
              <w:bidi w:val="0"/>
            </w:pPr>
            <w:r>
              <w:t>13</w:t>
            </w:r>
          </w:p>
        </w:tc>
        <w:tc>
          <w:tcPr>
            <w:tcW w:w="2270" w:type="pct"/>
            <w:tcBorders>
              <w:tl2br w:val="nil"/>
              <w:tr2bl w:val="nil"/>
            </w:tcBorders>
            <w:noWrap w:val="0"/>
            <w:vAlign w:val="center"/>
          </w:tcPr>
          <w:p w14:paraId="19A9252B">
            <w:pPr>
              <w:pStyle w:val="90"/>
              <w:bidi w:val="0"/>
            </w:pPr>
            <w:r>
              <w:t>新增主要污染物排放量的建设项目应执行《关于加强重点行业建设项目区域削减措施监督管理的通知》（环办环评〔2020〕36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和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1861" w:type="pct"/>
            <w:tcBorders>
              <w:tl2br w:val="nil"/>
              <w:tr2bl w:val="nil"/>
            </w:tcBorders>
            <w:noWrap w:val="0"/>
            <w:vAlign w:val="center"/>
          </w:tcPr>
          <w:p w14:paraId="44D50524">
            <w:pPr>
              <w:pStyle w:val="90"/>
              <w:bidi w:val="0"/>
            </w:pPr>
            <w:r>
              <w:t>项目所在区域环境空气属于达标区，对应的国家实施排放总量管控的重点污染物实行区域等量削减。</w:t>
            </w:r>
          </w:p>
        </w:tc>
        <w:tc>
          <w:tcPr>
            <w:tcW w:w="492" w:type="pct"/>
            <w:tcBorders>
              <w:tl2br w:val="nil"/>
              <w:tr2bl w:val="nil"/>
            </w:tcBorders>
            <w:noWrap w:val="0"/>
            <w:vAlign w:val="center"/>
          </w:tcPr>
          <w:p w14:paraId="6687D176">
            <w:pPr>
              <w:pStyle w:val="90"/>
              <w:bidi w:val="0"/>
            </w:pPr>
            <w:r>
              <w:t>符合</w:t>
            </w:r>
          </w:p>
        </w:tc>
      </w:tr>
      <w:tr w14:paraId="6CB039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01DF1D02">
            <w:pPr>
              <w:pStyle w:val="90"/>
              <w:bidi w:val="0"/>
            </w:pPr>
            <w:r>
              <w:t>14</w:t>
            </w:r>
          </w:p>
        </w:tc>
        <w:tc>
          <w:tcPr>
            <w:tcW w:w="2270" w:type="pct"/>
            <w:tcBorders>
              <w:tl2br w:val="nil"/>
              <w:tr2bl w:val="nil"/>
            </w:tcBorders>
            <w:noWrap w:val="0"/>
            <w:vAlign w:val="center"/>
          </w:tcPr>
          <w:p w14:paraId="5A009A28">
            <w:pPr>
              <w:pStyle w:val="90"/>
              <w:bidi w:val="0"/>
            </w:pPr>
            <w: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1861" w:type="pct"/>
            <w:tcBorders>
              <w:tl2br w:val="nil"/>
              <w:tr2bl w:val="nil"/>
            </w:tcBorders>
            <w:noWrap w:val="0"/>
            <w:vAlign w:val="center"/>
          </w:tcPr>
          <w:p w14:paraId="14BC7A15">
            <w:pPr>
              <w:pStyle w:val="90"/>
              <w:bidi w:val="0"/>
            </w:pPr>
            <w:r>
              <w:rPr>
                <w:rFonts w:hint="eastAsia"/>
              </w:rPr>
              <w:t>①</w:t>
            </w:r>
            <w:r>
              <w:t>本项目制定了环境管理要求和环境监测计划；</w:t>
            </w:r>
            <w:r>
              <w:rPr>
                <w:rFonts w:hint="eastAsia"/>
              </w:rPr>
              <w:t>②</w:t>
            </w:r>
            <w:r>
              <w:t>按照规范要求设置排污口或监测位置；</w:t>
            </w:r>
            <w:r>
              <w:rPr>
                <w:rFonts w:hint="eastAsia"/>
              </w:rPr>
              <w:t>③</w:t>
            </w:r>
            <w:r>
              <w:t>本项目按照导则要求，制定了周边环境监测计划。</w:t>
            </w:r>
          </w:p>
        </w:tc>
        <w:tc>
          <w:tcPr>
            <w:tcW w:w="492" w:type="pct"/>
            <w:tcBorders>
              <w:tl2br w:val="nil"/>
              <w:tr2bl w:val="nil"/>
            </w:tcBorders>
            <w:noWrap w:val="0"/>
            <w:vAlign w:val="center"/>
          </w:tcPr>
          <w:p w14:paraId="5C00CCC4">
            <w:pPr>
              <w:pStyle w:val="90"/>
              <w:bidi w:val="0"/>
            </w:pPr>
            <w:r>
              <w:t>符合</w:t>
            </w:r>
          </w:p>
        </w:tc>
      </w:tr>
      <w:tr w14:paraId="53D635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5D3F27B1">
            <w:pPr>
              <w:pStyle w:val="90"/>
              <w:bidi w:val="0"/>
            </w:pPr>
            <w:r>
              <w:t>15</w:t>
            </w:r>
          </w:p>
        </w:tc>
        <w:tc>
          <w:tcPr>
            <w:tcW w:w="2270" w:type="pct"/>
            <w:tcBorders>
              <w:tl2br w:val="nil"/>
              <w:tr2bl w:val="nil"/>
            </w:tcBorders>
            <w:noWrap w:val="0"/>
            <w:vAlign w:val="center"/>
          </w:tcPr>
          <w:p w14:paraId="3C321ACE">
            <w:pPr>
              <w:pStyle w:val="90"/>
              <w:bidi w:val="0"/>
            </w:pPr>
            <w:r>
              <w:t>按相关规定开展信息公开和公众参与。</w:t>
            </w:r>
          </w:p>
        </w:tc>
        <w:tc>
          <w:tcPr>
            <w:tcW w:w="1861" w:type="pct"/>
            <w:tcBorders>
              <w:tl2br w:val="nil"/>
              <w:tr2bl w:val="nil"/>
            </w:tcBorders>
            <w:noWrap w:val="0"/>
            <w:vAlign w:val="center"/>
          </w:tcPr>
          <w:p w14:paraId="5EB541B2">
            <w:pPr>
              <w:pStyle w:val="90"/>
              <w:bidi w:val="0"/>
            </w:pPr>
            <w:r>
              <w:t>本项目已按照公众参与管理办法（生态环境保护部4号令）要求开展了信息公开和公众参与。</w:t>
            </w:r>
          </w:p>
        </w:tc>
        <w:tc>
          <w:tcPr>
            <w:tcW w:w="492" w:type="pct"/>
            <w:tcBorders>
              <w:tl2br w:val="nil"/>
              <w:tr2bl w:val="nil"/>
            </w:tcBorders>
            <w:noWrap w:val="0"/>
            <w:vAlign w:val="center"/>
          </w:tcPr>
          <w:p w14:paraId="197237AB">
            <w:pPr>
              <w:pStyle w:val="90"/>
              <w:bidi w:val="0"/>
            </w:pPr>
            <w:r>
              <w:t>符合</w:t>
            </w:r>
          </w:p>
        </w:tc>
      </w:tr>
      <w:tr w14:paraId="0BC1E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375" w:type="pct"/>
            <w:tcBorders>
              <w:tl2br w:val="nil"/>
              <w:tr2bl w:val="nil"/>
            </w:tcBorders>
            <w:noWrap w:val="0"/>
            <w:vAlign w:val="center"/>
          </w:tcPr>
          <w:p w14:paraId="6EF34D22">
            <w:pPr>
              <w:pStyle w:val="90"/>
              <w:bidi w:val="0"/>
            </w:pPr>
            <w:r>
              <w:t>16</w:t>
            </w:r>
          </w:p>
        </w:tc>
        <w:tc>
          <w:tcPr>
            <w:tcW w:w="2270" w:type="pct"/>
            <w:tcBorders>
              <w:tl2br w:val="nil"/>
              <w:tr2bl w:val="nil"/>
            </w:tcBorders>
            <w:noWrap w:val="0"/>
            <w:vAlign w:val="center"/>
          </w:tcPr>
          <w:p w14:paraId="339E83B2">
            <w:pPr>
              <w:pStyle w:val="90"/>
              <w:bidi w:val="0"/>
            </w:pPr>
            <w:r>
              <w:t>环境影响评价文件编制规范，基础资料数据应符合实际情况，内容完整、准确，环境影响评价结论明确、合理，符合环境影响评价技术导则或建设项目环境影响报告表编制技术指南要求。</w:t>
            </w:r>
          </w:p>
        </w:tc>
        <w:tc>
          <w:tcPr>
            <w:tcW w:w="1861" w:type="pct"/>
            <w:tcBorders>
              <w:tl2br w:val="nil"/>
              <w:tr2bl w:val="nil"/>
            </w:tcBorders>
            <w:noWrap w:val="0"/>
            <w:vAlign w:val="center"/>
          </w:tcPr>
          <w:p w14:paraId="3246C6C0">
            <w:pPr>
              <w:pStyle w:val="90"/>
              <w:bidi w:val="0"/>
              <w:rPr>
                <w:rFonts w:hint="eastAsia" w:eastAsia="宋体"/>
                <w:lang w:eastAsia="zh-CN"/>
              </w:rPr>
            </w:pPr>
            <w:r>
              <w:t>本项目按照《建设项目环境影响评价技术导则 总纲》要求编制，基础资料数据符合实际情况，环境影响评价结论明确、合理</w:t>
            </w:r>
            <w:r>
              <w:rPr>
                <w:rFonts w:hint="eastAsia"/>
                <w:lang w:eastAsia="zh-CN"/>
              </w:rPr>
              <w:t>。</w:t>
            </w:r>
          </w:p>
        </w:tc>
        <w:tc>
          <w:tcPr>
            <w:tcW w:w="492" w:type="pct"/>
            <w:tcBorders>
              <w:tl2br w:val="nil"/>
              <w:tr2bl w:val="nil"/>
            </w:tcBorders>
            <w:noWrap w:val="0"/>
            <w:vAlign w:val="center"/>
          </w:tcPr>
          <w:p w14:paraId="5845CBEE">
            <w:pPr>
              <w:pStyle w:val="90"/>
              <w:bidi w:val="0"/>
            </w:pPr>
            <w:r>
              <w:t>符合</w:t>
            </w:r>
          </w:p>
        </w:tc>
      </w:tr>
    </w:tbl>
    <w:p w14:paraId="5D1E79D1">
      <w:pPr>
        <w:ind w:firstLine="480"/>
        <w:rPr>
          <w:color w:val="auto"/>
        </w:rPr>
      </w:pPr>
      <w:r>
        <w:rPr>
          <w:rFonts w:hint="eastAsia"/>
          <w:color w:val="auto"/>
        </w:rPr>
        <w:t>（</w:t>
      </w:r>
      <w:r>
        <w:rPr>
          <w:rFonts w:hint="eastAsia"/>
          <w:color w:val="auto"/>
          <w:lang w:val="en-US" w:eastAsia="zh-CN"/>
        </w:rPr>
        <w:t>8</w:t>
      </w:r>
      <w:r>
        <w:rPr>
          <w:rFonts w:hint="eastAsia"/>
          <w:color w:val="auto"/>
        </w:rPr>
        <w:t>）与园区规划、规划环评及其审查意见符合性分析</w:t>
      </w:r>
    </w:p>
    <w:p w14:paraId="641930BD">
      <w:pPr>
        <w:ind w:firstLine="480"/>
        <w:rPr>
          <w:color w:val="auto"/>
        </w:rPr>
      </w:pPr>
      <w:r>
        <w:rPr>
          <w:rFonts w:hint="eastAsia"/>
          <w:color w:val="auto"/>
        </w:rPr>
        <w:t>根据《</w:t>
      </w:r>
      <w:r>
        <w:rPr>
          <w:color w:val="auto"/>
        </w:rPr>
        <w:t>胡杨河经济技术开发区总体规划（2021-2035</w:t>
      </w:r>
      <w:r>
        <w:rPr>
          <w:rFonts w:hint="eastAsia"/>
          <w:color w:val="auto"/>
        </w:rPr>
        <w:t>年</w:t>
      </w:r>
      <w:r>
        <w:rPr>
          <w:color w:val="auto"/>
        </w:rPr>
        <w:t>）</w:t>
      </w:r>
      <w:r>
        <w:rPr>
          <w:rFonts w:hint="eastAsia"/>
          <w:color w:val="auto"/>
        </w:rPr>
        <w:t>》可知，本项目位于胡杨河经济技术开发区南园区规划的工业用地，符合规划要求。具体见图1</w:t>
      </w:r>
      <w:r>
        <w:rPr>
          <w:color w:val="auto"/>
        </w:rPr>
        <w:t>.4-1</w:t>
      </w:r>
      <w:r>
        <w:rPr>
          <w:rFonts w:hint="eastAsia"/>
          <w:color w:val="auto"/>
        </w:rPr>
        <w:t>。</w:t>
      </w:r>
    </w:p>
    <w:p w14:paraId="182C5B49">
      <w:pPr>
        <w:ind w:firstLine="480"/>
        <w:rPr>
          <w:color w:val="auto"/>
        </w:rPr>
      </w:pPr>
      <w:r>
        <w:rPr>
          <w:rFonts w:hint="eastAsia"/>
          <w:color w:val="auto"/>
        </w:rPr>
        <w:t>根据《关于胡杨河经济技术开发区总体规划（2021-2035年）环境影响报告书的审查意见》（兵环审〔2</w:t>
      </w:r>
      <w:r>
        <w:rPr>
          <w:color w:val="auto"/>
        </w:rPr>
        <w:t>022</w:t>
      </w:r>
      <w:r>
        <w:rPr>
          <w:rFonts w:hint="eastAsia"/>
          <w:color w:val="auto"/>
        </w:rPr>
        <w:t>〕</w:t>
      </w:r>
      <w:r>
        <w:rPr>
          <w:color w:val="auto"/>
        </w:rPr>
        <w:t>2</w:t>
      </w:r>
      <w:r>
        <w:rPr>
          <w:rFonts w:hint="eastAsia"/>
          <w:color w:val="auto"/>
        </w:rPr>
        <w:t>号）可知：南园区</w:t>
      </w:r>
      <w:r>
        <w:rPr>
          <w:color w:val="auto"/>
        </w:rPr>
        <w:t>着力发展精细化工、新材料为主导产业；新型建材、仓储物流业为辅助产业；装备制造业、创新科技产业、农产品加工</w:t>
      </w:r>
      <w:r>
        <w:rPr>
          <w:rFonts w:hint="eastAsia"/>
          <w:color w:val="auto"/>
        </w:rPr>
        <w:t>、</w:t>
      </w:r>
      <w:r>
        <w:rPr>
          <w:color w:val="auto"/>
        </w:rPr>
        <w:t>电子元器件产业作为淮安援疆产城融合发展产业。</w:t>
      </w:r>
    </w:p>
    <w:p w14:paraId="649E0C69">
      <w:pPr>
        <w:ind w:firstLine="480"/>
      </w:pPr>
      <w:r>
        <w:rPr>
          <w:rFonts w:hint="eastAsia"/>
          <w:color w:val="auto"/>
        </w:rPr>
        <w:t>本项目所用原料主要来自新疆佳宇恒能源科技有限公司10万吨/年BS光亮油项目减压蒸馏过程的减二线、减三线油。新疆佳宇恒能源科技有限公司10万吨/年BS光亮油项目是以原油为原料，采用减压蒸馏工艺，生产BS光亮油，属于</w:t>
      </w:r>
      <w:r>
        <w:rPr>
          <w:rFonts w:hint="eastAsia"/>
          <w:color w:val="auto"/>
          <w:lang w:val="en-US" w:eastAsia="zh-CN"/>
        </w:rPr>
        <w:t>石化</w:t>
      </w:r>
      <w:r>
        <w:rPr>
          <w:rFonts w:hint="eastAsia"/>
          <w:color w:val="auto"/>
        </w:rPr>
        <w:t>化工产业，本项目采用其中的减二线和减三线油，属于其下游产业链的延伸，符合园区规划环评及其审查意见的要求，具体见</w:t>
      </w:r>
      <w:r>
        <w:rPr>
          <w:color w:val="auto"/>
        </w:rPr>
        <w:t>表</w:t>
      </w:r>
      <w:r>
        <w:rPr>
          <w:rFonts w:hint="eastAsia"/>
          <w:color w:val="auto"/>
        </w:rPr>
        <w:t>1.4-</w:t>
      </w:r>
      <w:r>
        <w:rPr>
          <w:rFonts w:hint="eastAsia"/>
          <w:color w:val="auto"/>
          <w:lang w:val="en-US" w:eastAsia="zh-CN"/>
        </w:rPr>
        <w:t>5</w:t>
      </w:r>
      <w:r>
        <w:rPr>
          <w:rFonts w:hint="eastAsia"/>
          <w:color w:val="auto"/>
        </w:rPr>
        <w:t>和</w:t>
      </w:r>
      <w:r>
        <w:rPr>
          <w:color w:val="auto"/>
        </w:rPr>
        <w:t>图</w:t>
      </w:r>
      <w:r>
        <w:rPr>
          <w:rFonts w:hint="eastAsia"/>
          <w:color w:val="auto"/>
        </w:rPr>
        <w:t>1.4-2。</w:t>
      </w:r>
    </w:p>
    <w:p w14:paraId="3E591ABD">
      <w:pPr>
        <w:pStyle w:val="47"/>
        <w:spacing w:before="65"/>
      </w:pPr>
      <w:r>
        <w:rPr>
          <w:rFonts w:hint="eastAsia"/>
        </w:rPr>
        <w:t>表1.4-</w:t>
      </w:r>
      <w:r>
        <w:rPr>
          <w:rFonts w:hint="eastAsia"/>
          <w:lang w:val="en-US" w:eastAsia="zh-CN"/>
        </w:rPr>
        <w:t>5</w:t>
      </w:r>
      <w:r>
        <w:rPr>
          <w:rFonts w:hint="eastAsia"/>
        </w:rPr>
        <w:t xml:space="preserve">   本项目</w:t>
      </w:r>
      <w:r>
        <w:t>与园区规划环评及其审查意见符合性分析表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5"/>
        <w:gridCol w:w="4938"/>
        <w:gridCol w:w="2387"/>
        <w:gridCol w:w="770"/>
      </w:tblGrid>
      <w:tr w14:paraId="4EB6D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0289DA7D">
            <w:pPr>
              <w:pStyle w:val="90"/>
              <w:rPr>
                <w:rStyle w:val="100"/>
                <w:sz w:val="21"/>
                <w:lang w:val="zh-CN"/>
              </w:rPr>
            </w:pPr>
            <w:r>
              <w:rPr>
                <w:rStyle w:val="100"/>
                <w:sz w:val="21"/>
                <w:lang w:val="zh-CN"/>
              </w:rPr>
              <w:t>序号</w:t>
            </w:r>
          </w:p>
        </w:tc>
        <w:tc>
          <w:tcPr>
            <w:tcW w:w="2828" w:type="pct"/>
            <w:shd w:val="clear" w:color="auto" w:fill="auto"/>
            <w:vAlign w:val="center"/>
          </w:tcPr>
          <w:p w14:paraId="7971CB1F">
            <w:pPr>
              <w:pStyle w:val="90"/>
              <w:rPr>
                <w:rStyle w:val="100"/>
                <w:sz w:val="21"/>
                <w:lang w:val="zh-CN"/>
              </w:rPr>
            </w:pPr>
            <w:r>
              <w:rPr>
                <w:rStyle w:val="100"/>
                <w:sz w:val="21"/>
                <w:lang w:val="zh-CN"/>
              </w:rPr>
              <w:t>文件要求</w:t>
            </w:r>
          </w:p>
        </w:tc>
        <w:tc>
          <w:tcPr>
            <w:tcW w:w="1367" w:type="pct"/>
            <w:shd w:val="clear" w:color="auto" w:fill="auto"/>
            <w:vAlign w:val="center"/>
          </w:tcPr>
          <w:p w14:paraId="4408B53D">
            <w:pPr>
              <w:pStyle w:val="90"/>
              <w:rPr>
                <w:rStyle w:val="100"/>
                <w:sz w:val="21"/>
                <w:lang w:val="zh-CN"/>
              </w:rPr>
            </w:pPr>
            <w:r>
              <w:rPr>
                <w:rStyle w:val="100"/>
                <w:rFonts w:hint="eastAsia"/>
                <w:sz w:val="21"/>
                <w:lang w:val="zh-CN"/>
              </w:rPr>
              <w:t>本项目情况</w:t>
            </w:r>
          </w:p>
        </w:tc>
        <w:tc>
          <w:tcPr>
            <w:tcW w:w="441" w:type="pct"/>
            <w:shd w:val="clear" w:color="auto" w:fill="auto"/>
            <w:vAlign w:val="center"/>
          </w:tcPr>
          <w:p w14:paraId="6E3E5402">
            <w:pPr>
              <w:pStyle w:val="90"/>
              <w:rPr>
                <w:rStyle w:val="100"/>
                <w:sz w:val="21"/>
                <w:lang w:val="zh-CN"/>
              </w:rPr>
            </w:pPr>
            <w:r>
              <w:rPr>
                <w:rStyle w:val="100"/>
                <w:rFonts w:hint="eastAsia"/>
                <w:sz w:val="21"/>
                <w:lang w:val="zh-CN"/>
              </w:rPr>
              <w:t>符合性</w:t>
            </w:r>
          </w:p>
        </w:tc>
      </w:tr>
      <w:tr w14:paraId="2A51D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0D64C581">
            <w:pPr>
              <w:pStyle w:val="90"/>
              <w:rPr>
                <w:rStyle w:val="100"/>
                <w:sz w:val="21"/>
                <w:lang w:val="zh-CN"/>
              </w:rPr>
            </w:pPr>
            <w:r>
              <w:rPr>
                <w:rStyle w:val="100"/>
                <w:rFonts w:hint="eastAsia"/>
                <w:sz w:val="21"/>
                <w:lang w:val="zh-CN"/>
              </w:rPr>
              <w:t>（一）</w:t>
            </w:r>
          </w:p>
        </w:tc>
        <w:tc>
          <w:tcPr>
            <w:tcW w:w="2828" w:type="pct"/>
            <w:shd w:val="clear" w:color="auto" w:fill="auto"/>
            <w:vAlign w:val="center"/>
          </w:tcPr>
          <w:p w14:paraId="14055789">
            <w:pPr>
              <w:pStyle w:val="90"/>
              <w:rPr>
                <w:rStyle w:val="100"/>
                <w:sz w:val="21"/>
                <w:lang w:val="zh-CN"/>
              </w:rPr>
            </w:pPr>
            <w:r>
              <w:rPr>
                <w:rStyle w:val="100"/>
                <w:rFonts w:hint="eastAsia"/>
                <w:sz w:val="21"/>
                <w:lang w:val="zh-CN"/>
              </w:rPr>
              <w:t>优化开发区产业结构和布局，坚持绿色发展。坚持以环境质量改善为核心，遵循环保优先和绿色发展原则，结合区域实际及上位规划，依据所在产业区块功能及环保要求，确保产业区块的完整性和延续性，按照新兵函〔2020〕24号文件批复的主导产业，合理确定开发区产业结构和布局，不同功能区之间应设置必要的缓冲带。严格按照《关于公布第一批兵团化工园区名单的通知》（新兵发〔2021〕8号）中确定的化工区范围布局化工产业。南园区不再布局资源型源头加工类产业，禁止新建、扩建以原煤、原油、重油等为原料的化工产业项目，通过产业链引导化工区块向精细化工、新材料产业方向发展。避免开发区内各园区产业重复布局，纺织园区不再布局电子元器件产业。结合生态环境管控、环境风险防控要求，对开发区企业实现清单式管理，制定产业发展负面清单和东西部产业转移优先准入清单。根据开发区产业结构和产业链，结合资源利用上线、环境质量底线，完善生态环境准入清单。</w:t>
            </w:r>
          </w:p>
        </w:tc>
        <w:tc>
          <w:tcPr>
            <w:tcW w:w="1367" w:type="pct"/>
            <w:shd w:val="clear" w:color="auto" w:fill="auto"/>
            <w:vAlign w:val="center"/>
          </w:tcPr>
          <w:p w14:paraId="0A279572">
            <w:pPr>
              <w:pStyle w:val="90"/>
              <w:rPr>
                <w:rStyle w:val="100"/>
                <w:sz w:val="21"/>
                <w:lang w:val="zh-CN"/>
              </w:rPr>
            </w:pPr>
            <w:r>
              <w:rPr>
                <w:rStyle w:val="100"/>
                <w:rFonts w:hint="eastAsia"/>
                <w:sz w:val="21"/>
                <w:lang w:val="zh-CN"/>
              </w:rPr>
              <w:t>本项目选址位于南园区规划工业用地范围内，位于精细化工产业、新材料产业、新型建材产业布局区内，主要是以新疆佳宇恒能源科技有限公司生产的减二线、减三线油为原料，采用“常减压蒸馏-溶剂精制-白土精制”的生产工艺，建设年产8万吨润滑油生产线（一期）和年产2万吨润滑脂生产线（二期）各1条。属于佳宇恒公司BS光亮油项目下游产业链。</w:t>
            </w:r>
          </w:p>
          <w:p w14:paraId="382D982B">
            <w:pPr>
              <w:pStyle w:val="90"/>
              <w:rPr>
                <w:rStyle w:val="100"/>
                <w:sz w:val="21"/>
                <w:lang w:val="zh-CN"/>
              </w:rPr>
            </w:pPr>
            <w:r>
              <w:rPr>
                <w:rStyle w:val="100"/>
                <w:rFonts w:hint="eastAsia"/>
                <w:sz w:val="21"/>
                <w:lang w:val="zh-CN"/>
              </w:rPr>
              <w:t>不属于新建、扩建以原煤、原油、重油等为原料的化工产业项目。</w:t>
            </w:r>
          </w:p>
        </w:tc>
        <w:tc>
          <w:tcPr>
            <w:tcW w:w="441" w:type="pct"/>
            <w:shd w:val="clear" w:color="auto" w:fill="auto"/>
            <w:vAlign w:val="center"/>
          </w:tcPr>
          <w:p w14:paraId="4E72C5D5">
            <w:pPr>
              <w:pStyle w:val="90"/>
              <w:rPr>
                <w:rStyle w:val="100"/>
                <w:sz w:val="21"/>
                <w:lang w:val="zh-CN"/>
              </w:rPr>
            </w:pPr>
            <w:r>
              <w:rPr>
                <w:rStyle w:val="100"/>
                <w:rFonts w:hint="eastAsia"/>
                <w:sz w:val="21"/>
                <w:lang w:val="zh-CN"/>
              </w:rPr>
              <w:t>符合</w:t>
            </w:r>
          </w:p>
        </w:tc>
      </w:tr>
      <w:tr w14:paraId="56454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0320E435">
            <w:pPr>
              <w:pStyle w:val="90"/>
              <w:rPr>
                <w:rStyle w:val="100"/>
                <w:sz w:val="21"/>
                <w:lang w:val="zh-CN"/>
              </w:rPr>
            </w:pPr>
            <w:r>
              <w:rPr>
                <w:rStyle w:val="100"/>
                <w:rFonts w:hint="eastAsia"/>
                <w:sz w:val="21"/>
                <w:lang w:val="zh-CN"/>
              </w:rPr>
              <w:t>（二）</w:t>
            </w:r>
          </w:p>
        </w:tc>
        <w:tc>
          <w:tcPr>
            <w:tcW w:w="2828" w:type="pct"/>
            <w:shd w:val="clear" w:color="auto" w:fill="auto"/>
            <w:vAlign w:val="center"/>
          </w:tcPr>
          <w:p w14:paraId="3E628EED">
            <w:pPr>
              <w:pStyle w:val="90"/>
              <w:rPr>
                <w:rStyle w:val="100"/>
                <w:sz w:val="21"/>
                <w:lang w:val="zh-CN"/>
              </w:rPr>
            </w:pPr>
            <w:r>
              <w:rPr>
                <w:rStyle w:val="100"/>
                <w:rFonts w:hint="eastAsia"/>
                <w:sz w:val="21"/>
                <w:lang w:val="zh-CN"/>
              </w:rPr>
              <w:t>严格控制“两高”行业发展规模，优化规划布局、产业结构与实施时序。通过积极转变生产和生活方式、调整能源消费结构、加强资源节约，统筹协调推进经济和社会发展。深入开展应对气候变化工作，切实增强控制温室气体排放能力。促进经济绿色低碳可持续发展，引导重点行业向绿色低碳方向转型，针对开发区规划从碳排放产业规模、结构调整、原料替代、能源利用效率提升、绿色清洁能源利用、废物节能与低碳化处置等方面提出节能、减煤和碳减排建议，推动减污治污减碳协同共治。对于生产技术落后、清洁生产水平偏低和不符合开发区规划的现状企业，采取逐步退出机制。</w:t>
            </w:r>
          </w:p>
        </w:tc>
        <w:tc>
          <w:tcPr>
            <w:tcW w:w="1367" w:type="pct"/>
            <w:shd w:val="clear" w:color="auto" w:fill="auto"/>
            <w:vAlign w:val="center"/>
          </w:tcPr>
          <w:p w14:paraId="2AA1F01E">
            <w:pPr>
              <w:pStyle w:val="90"/>
              <w:rPr>
                <w:rStyle w:val="100"/>
                <w:sz w:val="21"/>
                <w:lang w:val="zh-CN"/>
              </w:rPr>
            </w:pPr>
            <w:r>
              <w:rPr>
                <w:rStyle w:val="100"/>
                <w:rFonts w:hint="eastAsia"/>
                <w:sz w:val="21"/>
                <w:lang w:val="zh-CN"/>
              </w:rPr>
              <w:t>本项目属于新建项目，不属于高污染和高耗能的产业的“两高”行业；润滑油生产线生产用热采用天然气导热油炉方式提供，不使用煤炭。</w:t>
            </w:r>
          </w:p>
        </w:tc>
        <w:tc>
          <w:tcPr>
            <w:tcW w:w="441" w:type="pct"/>
            <w:shd w:val="clear" w:color="auto" w:fill="auto"/>
            <w:vAlign w:val="center"/>
          </w:tcPr>
          <w:p w14:paraId="13287536">
            <w:pPr>
              <w:pStyle w:val="90"/>
              <w:rPr>
                <w:rStyle w:val="100"/>
                <w:sz w:val="21"/>
                <w:lang w:val="zh-CN"/>
              </w:rPr>
            </w:pPr>
            <w:r>
              <w:rPr>
                <w:rStyle w:val="100"/>
                <w:rFonts w:hint="eastAsia"/>
                <w:sz w:val="21"/>
                <w:lang w:val="zh-CN"/>
              </w:rPr>
              <w:t>符合</w:t>
            </w:r>
          </w:p>
        </w:tc>
      </w:tr>
      <w:tr w14:paraId="23F58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3D864FC6">
            <w:pPr>
              <w:pStyle w:val="90"/>
              <w:rPr>
                <w:rStyle w:val="100"/>
                <w:sz w:val="21"/>
                <w:lang w:val="zh-CN"/>
              </w:rPr>
            </w:pPr>
            <w:r>
              <w:rPr>
                <w:rStyle w:val="100"/>
                <w:rFonts w:hint="eastAsia"/>
                <w:sz w:val="21"/>
                <w:lang w:val="zh-CN"/>
              </w:rPr>
              <w:t>（三）</w:t>
            </w:r>
          </w:p>
        </w:tc>
        <w:tc>
          <w:tcPr>
            <w:tcW w:w="2828" w:type="pct"/>
            <w:shd w:val="clear" w:color="auto" w:fill="auto"/>
            <w:vAlign w:val="center"/>
          </w:tcPr>
          <w:p w14:paraId="2C5E1D68">
            <w:pPr>
              <w:pStyle w:val="90"/>
              <w:rPr>
                <w:rStyle w:val="100"/>
                <w:sz w:val="21"/>
                <w:lang w:val="zh-CN"/>
              </w:rPr>
            </w:pPr>
            <w:r>
              <w:rPr>
                <w:rStyle w:val="100"/>
                <w:rFonts w:hint="eastAsia"/>
                <w:sz w:val="21"/>
                <w:lang w:val="zh-CN"/>
              </w:rPr>
              <w:t>严守生态保护红线，加强空间管控。进一步优化开发区的空间布局，通过优化开发区产业空间布局、调整土地用途等方式，完善生态保障空间要求。重点关注大气污染综合治理、保护区域大气环境质量、开发区周边地表水水体水质、区域地下水环境、土壤环境、生态环境，对开发区内企业提出具体管控要求衔接兵团和师市“三线一单”成果，落实、细化开发区所在生态环境管控单元的管控要求，保障规划实施不突破区域生态保护红线环境质量底线和资源利用上线。做好与师市国土空间规划的衔接从全局的角度以资源承载能力和国土空间开发适宜性评价来支撑开发区规划实施。</w:t>
            </w:r>
          </w:p>
        </w:tc>
        <w:tc>
          <w:tcPr>
            <w:tcW w:w="1367" w:type="pct"/>
            <w:shd w:val="clear" w:color="auto" w:fill="auto"/>
            <w:vAlign w:val="center"/>
          </w:tcPr>
          <w:p w14:paraId="38DA5928">
            <w:pPr>
              <w:pStyle w:val="90"/>
              <w:rPr>
                <w:rStyle w:val="100"/>
                <w:sz w:val="21"/>
                <w:lang w:val="zh-CN"/>
              </w:rPr>
            </w:pPr>
            <w:r>
              <w:rPr>
                <w:rStyle w:val="100"/>
                <w:rFonts w:hint="eastAsia"/>
                <w:sz w:val="21"/>
                <w:lang w:val="zh-CN"/>
              </w:rPr>
              <w:t>本项目选址全部在南园区已规划的工业用地范围内，不触及生态保护红线，根据下文与区域“三线一单”符合性分析结论可知，本项目符合要求。</w:t>
            </w:r>
          </w:p>
          <w:p w14:paraId="7FD6AC98">
            <w:pPr>
              <w:pStyle w:val="90"/>
              <w:rPr>
                <w:rStyle w:val="100"/>
                <w:sz w:val="21"/>
                <w:lang w:val="zh-CN"/>
              </w:rPr>
            </w:pPr>
            <w:r>
              <w:rPr>
                <w:rStyle w:val="100"/>
                <w:rFonts w:hint="eastAsia"/>
                <w:sz w:val="21"/>
                <w:lang w:val="zh-CN"/>
              </w:rPr>
              <w:t>本次环评开展大气环境、地下水环境、土壤环境等现状调查，周围不涉及地表水环境，且本项目废水处理后依托园区污水处理厂处理，不排入地表水体。</w:t>
            </w:r>
          </w:p>
        </w:tc>
        <w:tc>
          <w:tcPr>
            <w:tcW w:w="441" w:type="pct"/>
            <w:shd w:val="clear" w:color="auto" w:fill="auto"/>
            <w:vAlign w:val="center"/>
          </w:tcPr>
          <w:p w14:paraId="3A0EB72C">
            <w:pPr>
              <w:pStyle w:val="90"/>
              <w:rPr>
                <w:rStyle w:val="100"/>
                <w:sz w:val="21"/>
                <w:lang w:val="zh-CN"/>
              </w:rPr>
            </w:pPr>
            <w:r>
              <w:rPr>
                <w:rStyle w:val="100"/>
                <w:rFonts w:hint="eastAsia"/>
                <w:sz w:val="21"/>
                <w:lang w:val="zh-CN"/>
              </w:rPr>
              <w:t>符合</w:t>
            </w:r>
          </w:p>
        </w:tc>
      </w:tr>
      <w:tr w14:paraId="44476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651F3ECC">
            <w:pPr>
              <w:pStyle w:val="90"/>
              <w:rPr>
                <w:rStyle w:val="100"/>
                <w:sz w:val="21"/>
                <w:lang w:val="zh-CN"/>
              </w:rPr>
            </w:pPr>
            <w:r>
              <w:rPr>
                <w:rStyle w:val="100"/>
                <w:rFonts w:hint="eastAsia"/>
                <w:sz w:val="21"/>
                <w:lang w:val="zh-CN"/>
              </w:rPr>
              <w:t>（四）</w:t>
            </w:r>
          </w:p>
        </w:tc>
        <w:tc>
          <w:tcPr>
            <w:tcW w:w="2828" w:type="pct"/>
            <w:shd w:val="clear" w:color="auto" w:fill="auto"/>
            <w:vAlign w:val="center"/>
          </w:tcPr>
          <w:p w14:paraId="333C0D02">
            <w:pPr>
              <w:pStyle w:val="90"/>
              <w:rPr>
                <w:rStyle w:val="100"/>
                <w:sz w:val="21"/>
                <w:lang w:val="zh-CN"/>
              </w:rPr>
            </w:pPr>
            <w:r>
              <w:rPr>
                <w:rStyle w:val="100"/>
                <w:rFonts w:hint="eastAsia"/>
                <w:sz w:val="21"/>
                <w:lang w:val="zh-CN"/>
              </w:rPr>
              <w:t>坚守环境质量底线，严格污染物总量管控。对标《自治区严禁“三高”项目进新疆推进经济高质量发展实施方案》严格开发区项目准入。依据规划区域及周边环境质量改善目标建立开发区污染物削减台账，落实重点行业区域削减措施，纳入日常环境管理工作，建立考核机制，并与排污许可制度衔接，确保区域环境质量有效改善。推进现有企业工艺技术和污染治理技术改造，各类污染物排放须满足国家及自治区最新污染物排放标准要求。</w:t>
            </w:r>
          </w:p>
        </w:tc>
        <w:tc>
          <w:tcPr>
            <w:tcW w:w="1367" w:type="pct"/>
            <w:shd w:val="clear" w:color="auto" w:fill="auto"/>
            <w:vAlign w:val="center"/>
          </w:tcPr>
          <w:p w14:paraId="365E6732">
            <w:pPr>
              <w:pStyle w:val="90"/>
              <w:rPr>
                <w:rStyle w:val="100"/>
                <w:sz w:val="21"/>
                <w:lang w:val="zh-CN"/>
              </w:rPr>
            </w:pPr>
            <w:r>
              <w:rPr>
                <w:rStyle w:val="100"/>
                <w:rFonts w:hint="eastAsia"/>
                <w:sz w:val="21"/>
                <w:lang w:val="zh-CN"/>
              </w:rPr>
              <w:t>本项目不属于自治区及兵团严禁的高污染（排放）、高环境风险、高能（水）耗“三高”项目。</w:t>
            </w:r>
          </w:p>
        </w:tc>
        <w:tc>
          <w:tcPr>
            <w:tcW w:w="441" w:type="pct"/>
            <w:shd w:val="clear" w:color="auto" w:fill="auto"/>
            <w:vAlign w:val="center"/>
          </w:tcPr>
          <w:p w14:paraId="6AA1E4A1">
            <w:pPr>
              <w:pStyle w:val="90"/>
              <w:rPr>
                <w:rStyle w:val="100"/>
                <w:sz w:val="21"/>
                <w:lang w:val="zh-CN"/>
              </w:rPr>
            </w:pPr>
            <w:r>
              <w:rPr>
                <w:rStyle w:val="100"/>
                <w:rFonts w:hint="eastAsia"/>
                <w:sz w:val="21"/>
                <w:lang w:val="zh-CN"/>
              </w:rPr>
              <w:t>符合</w:t>
            </w:r>
          </w:p>
        </w:tc>
      </w:tr>
      <w:tr w14:paraId="0737A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4EEB0A87">
            <w:pPr>
              <w:pStyle w:val="90"/>
              <w:rPr>
                <w:rStyle w:val="100"/>
                <w:sz w:val="21"/>
                <w:lang w:val="zh-CN"/>
              </w:rPr>
            </w:pPr>
            <w:r>
              <w:rPr>
                <w:rStyle w:val="100"/>
                <w:rFonts w:hint="eastAsia"/>
                <w:sz w:val="21"/>
                <w:lang w:val="zh-CN"/>
              </w:rPr>
              <w:t>（五）</w:t>
            </w:r>
          </w:p>
        </w:tc>
        <w:tc>
          <w:tcPr>
            <w:tcW w:w="2828" w:type="pct"/>
            <w:shd w:val="clear" w:color="auto" w:fill="auto"/>
            <w:vAlign w:val="center"/>
          </w:tcPr>
          <w:p w14:paraId="1D09697E">
            <w:pPr>
              <w:pStyle w:val="90"/>
              <w:rPr>
                <w:rStyle w:val="100"/>
                <w:sz w:val="21"/>
                <w:lang w:val="zh-CN"/>
              </w:rPr>
            </w:pPr>
            <w:r>
              <w:rPr>
                <w:rStyle w:val="100"/>
                <w:rFonts w:hint="eastAsia"/>
                <w:sz w:val="21"/>
                <w:lang w:val="zh-CN"/>
              </w:rPr>
              <w:t>严格能源消费总量和消耗强度“双控”，坚持“以水定产以水定量”，严格入园产业和项目的生态环境准入。严格按照规划产业布局入驻企业，结合区域发展定位、开发布局、生态环境保护目标，实行入园企业环保准入审核制度，不符合产业政策、行业准入条件、生态环境准入清单及自治区党委明令禁止的“三高”项目一律不得入驻园区。引进项目的生产工艺、设备、污染治理技术，以及单位产品能耗、物耗、污染物排放和资源利用效率均需达到同行业国内先进水平，积极推进产业的技术进步和园区循环化改造，构建绿色、低碳园区。开发区水资源利用不得突破《新疆用水总量控制方案》确定的第七师水资源利用上线指标，土地资源利用不得突破第七师国土空间规划确定的新增建设用地规模。</w:t>
            </w:r>
          </w:p>
        </w:tc>
        <w:tc>
          <w:tcPr>
            <w:tcW w:w="1367" w:type="pct"/>
            <w:shd w:val="clear" w:color="auto" w:fill="auto"/>
            <w:vAlign w:val="center"/>
          </w:tcPr>
          <w:p w14:paraId="2845750A">
            <w:pPr>
              <w:pStyle w:val="90"/>
              <w:rPr>
                <w:rStyle w:val="100"/>
                <w:sz w:val="21"/>
                <w:lang w:val="zh-CN"/>
              </w:rPr>
            </w:pPr>
            <w:r>
              <w:rPr>
                <w:rStyle w:val="100"/>
                <w:rFonts w:hint="eastAsia"/>
                <w:sz w:val="21"/>
                <w:lang w:val="zh-CN"/>
              </w:rPr>
              <w:t>本项目不属于自治区严禁的高污染（排放）、高环境风险、高能（水）耗“三高”项目。使用的生产工艺、设备、污染治理技术不属于淘汰落后类，用水依托园区管网供给，不超过水资源使用指标。</w:t>
            </w:r>
          </w:p>
        </w:tc>
        <w:tc>
          <w:tcPr>
            <w:tcW w:w="441" w:type="pct"/>
            <w:shd w:val="clear" w:color="auto" w:fill="auto"/>
            <w:vAlign w:val="center"/>
          </w:tcPr>
          <w:p w14:paraId="6C6E8C1D">
            <w:pPr>
              <w:pStyle w:val="90"/>
              <w:rPr>
                <w:rStyle w:val="100"/>
                <w:sz w:val="21"/>
                <w:lang w:val="zh-CN"/>
              </w:rPr>
            </w:pPr>
            <w:r>
              <w:rPr>
                <w:rStyle w:val="100"/>
                <w:rFonts w:hint="eastAsia"/>
                <w:sz w:val="21"/>
                <w:lang w:val="zh-CN"/>
              </w:rPr>
              <w:t>符合</w:t>
            </w:r>
          </w:p>
        </w:tc>
      </w:tr>
      <w:tr w14:paraId="12C2F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2B9A71B2">
            <w:pPr>
              <w:pStyle w:val="90"/>
              <w:rPr>
                <w:rStyle w:val="100"/>
                <w:sz w:val="21"/>
                <w:lang w:val="zh-CN"/>
              </w:rPr>
            </w:pPr>
            <w:r>
              <w:rPr>
                <w:rStyle w:val="100"/>
                <w:rFonts w:hint="eastAsia"/>
                <w:sz w:val="21"/>
                <w:lang w:val="zh-CN"/>
              </w:rPr>
              <w:t>（六）</w:t>
            </w:r>
          </w:p>
        </w:tc>
        <w:tc>
          <w:tcPr>
            <w:tcW w:w="2828" w:type="pct"/>
            <w:shd w:val="clear" w:color="auto" w:fill="auto"/>
            <w:vAlign w:val="center"/>
          </w:tcPr>
          <w:p w14:paraId="5F0B8C7A">
            <w:pPr>
              <w:pStyle w:val="90"/>
              <w:rPr>
                <w:rStyle w:val="100"/>
                <w:sz w:val="21"/>
                <w:lang w:val="zh-CN"/>
              </w:rPr>
            </w:pPr>
            <w:r>
              <w:rPr>
                <w:rStyle w:val="100"/>
                <w:rFonts w:hint="eastAsia"/>
                <w:sz w:val="21"/>
                <w:lang w:val="zh-CN"/>
              </w:rPr>
              <w:t>加快完善开发区环境基础设施建设，推进区域环境质量持续改善和提升。按照“清污分流”、“污污分治”原则规划、设计和建设开发区排水系统、废（污）水处理系统和中水回用系统逐步建成完整的排水和中水回用体系，提高废（污）水回用率，北园区新建一般工业固体废物处置场。根据开发区发展实际，制定切实可行的一般固体废物综合利用方案，严格按照国家有关规定，依法、依规、合理地贮存、处置和处理危险废物。</w:t>
            </w:r>
          </w:p>
        </w:tc>
        <w:tc>
          <w:tcPr>
            <w:tcW w:w="1367" w:type="pct"/>
            <w:shd w:val="clear" w:color="auto" w:fill="auto"/>
            <w:vAlign w:val="center"/>
          </w:tcPr>
          <w:p w14:paraId="6D6248F8">
            <w:pPr>
              <w:pStyle w:val="90"/>
              <w:rPr>
                <w:rStyle w:val="100"/>
                <w:sz w:val="21"/>
                <w:lang w:val="zh-CN"/>
              </w:rPr>
            </w:pPr>
            <w:r>
              <w:rPr>
                <w:rStyle w:val="100"/>
                <w:rFonts w:hint="eastAsia"/>
                <w:sz w:val="21"/>
                <w:lang w:val="zh-CN"/>
              </w:rPr>
              <w:t>本项目废水经厂区污水处理站处理后依托园区污水处理厂处理；危险废物设置危废库房暂存，并委托有资质单位处置；厂区设置事故池，对事故状态下废水收集后妥善处置。</w:t>
            </w:r>
          </w:p>
        </w:tc>
        <w:tc>
          <w:tcPr>
            <w:tcW w:w="441" w:type="pct"/>
            <w:shd w:val="clear" w:color="auto" w:fill="auto"/>
            <w:vAlign w:val="center"/>
          </w:tcPr>
          <w:p w14:paraId="49FCEDB2">
            <w:pPr>
              <w:pStyle w:val="90"/>
              <w:rPr>
                <w:rStyle w:val="100"/>
                <w:sz w:val="21"/>
                <w:lang w:val="zh-CN"/>
              </w:rPr>
            </w:pPr>
            <w:r>
              <w:rPr>
                <w:rStyle w:val="100"/>
                <w:rFonts w:hint="eastAsia"/>
                <w:sz w:val="21"/>
                <w:lang w:val="zh-CN"/>
              </w:rPr>
              <w:t>符合</w:t>
            </w:r>
          </w:p>
        </w:tc>
      </w:tr>
      <w:tr w14:paraId="2D17F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4" w:type="pct"/>
            <w:shd w:val="clear" w:color="auto" w:fill="auto"/>
            <w:vAlign w:val="center"/>
          </w:tcPr>
          <w:p w14:paraId="7D41FD79">
            <w:pPr>
              <w:pStyle w:val="90"/>
              <w:rPr>
                <w:rStyle w:val="100"/>
                <w:sz w:val="21"/>
                <w:lang w:val="zh-CN"/>
              </w:rPr>
            </w:pPr>
            <w:r>
              <w:rPr>
                <w:rStyle w:val="100"/>
                <w:rFonts w:hint="eastAsia"/>
                <w:sz w:val="21"/>
                <w:lang w:val="zh-CN"/>
              </w:rPr>
              <w:t>（七）</w:t>
            </w:r>
          </w:p>
        </w:tc>
        <w:tc>
          <w:tcPr>
            <w:tcW w:w="2828" w:type="pct"/>
            <w:shd w:val="clear" w:color="auto" w:fill="auto"/>
            <w:vAlign w:val="center"/>
          </w:tcPr>
          <w:p w14:paraId="784F56BC">
            <w:pPr>
              <w:pStyle w:val="90"/>
              <w:rPr>
                <w:rStyle w:val="100"/>
                <w:sz w:val="21"/>
                <w:lang w:val="zh-CN"/>
              </w:rPr>
            </w:pPr>
            <w:r>
              <w:rPr>
                <w:rStyle w:val="100"/>
                <w:rFonts w:hint="eastAsia"/>
                <w:sz w:val="21"/>
                <w:lang w:val="zh-CN"/>
              </w:rPr>
              <w:t>强化开发区环境风险管理，强化应急响应联动机制，保障城市人居环境安全和生态环境安全。配备应急物资，建设化工园区事故水池，定期开展应急演习，不断完善环境风险应急预案，防控开发区储运中可能引发的环境风险</w:t>
            </w:r>
          </w:p>
        </w:tc>
        <w:tc>
          <w:tcPr>
            <w:tcW w:w="1367" w:type="pct"/>
            <w:shd w:val="clear" w:color="auto" w:fill="auto"/>
            <w:vAlign w:val="center"/>
          </w:tcPr>
          <w:p w14:paraId="56F6968A">
            <w:pPr>
              <w:pStyle w:val="90"/>
              <w:rPr>
                <w:rStyle w:val="100"/>
                <w:sz w:val="21"/>
                <w:lang w:val="zh-CN"/>
              </w:rPr>
            </w:pPr>
            <w:r>
              <w:rPr>
                <w:rStyle w:val="100"/>
                <w:rFonts w:hint="eastAsia"/>
                <w:sz w:val="21"/>
                <w:lang w:val="zh-CN"/>
              </w:rPr>
              <w:t>本环评建议建设单位在开展环保竣工验收前完成企业应急预案编制，并与园区应急预案衔接，形成应急响应联动机制。</w:t>
            </w:r>
          </w:p>
        </w:tc>
        <w:tc>
          <w:tcPr>
            <w:tcW w:w="441" w:type="pct"/>
            <w:shd w:val="clear" w:color="auto" w:fill="auto"/>
            <w:vAlign w:val="center"/>
          </w:tcPr>
          <w:p w14:paraId="6AF77FD4">
            <w:pPr>
              <w:pStyle w:val="90"/>
              <w:rPr>
                <w:rStyle w:val="100"/>
                <w:sz w:val="21"/>
                <w:lang w:val="zh-CN"/>
              </w:rPr>
            </w:pPr>
            <w:r>
              <w:rPr>
                <w:rStyle w:val="100"/>
                <w:rFonts w:hint="eastAsia"/>
                <w:sz w:val="21"/>
                <w:lang w:val="zh-CN"/>
              </w:rPr>
              <w:t>符合</w:t>
            </w:r>
          </w:p>
        </w:tc>
      </w:tr>
    </w:tbl>
    <w:p w14:paraId="01A77CEF">
      <w:pPr>
        <w:pStyle w:val="49"/>
        <w:spacing w:before="65" w:beforeLines="20" w:after="0" w:afterLines="0"/>
      </w:pPr>
    </w:p>
    <w:p w14:paraId="3ECA3837">
      <w:pPr>
        <w:ind w:firstLine="480"/>
        <w:rPr>
          <w:rFonts w:hint="default" w:eastAsia="宋体"/>
          <w:lang w:val="en-US" w:eastAsia="zh-CN"/>
        </w:rPr>
      </w:pPr>
      <w:r>
        <w:rPr>
          <w:rFonts w:hint="eastAsia"/>
          <w:lang w:eastAsia="zh-CN"/>
        </w:rPr>
        <w:t>（</w:t>
      </w:r>
      <w:r>
        <w:rPr>
          <w:rFonts w:hint="eastAsia"/>
          <w:lang w:val="en-US" w:eastAsia="zh-CN"/>
        </w:rPr>
        <w:t>9</w:t>
      </w:r>
      <w:r>
        <w:rPr>
          <w:rFonts w:hint="eastAsia"/>
          <w:lang w:eastAsia="zh-CN"/>
        </w:rPr>
        <w:t>）</w:t>
      </w:r>
      <w:r>
        <w:rPr>
          <w:rFonts w:hint="eastAsia"/>
          <w:lang w:val="en-US" w:eastAsia="zh-CN"/>
        </w:rPr>
        <w:t>与</w:t>
      </w:r>
      <w:r>
        <w:rPr>
          <w:rFonts w:hint="eastAsia"/>
        </w:rPr>
        <w:t>化工园区总体规划</w:t>
      </w:r>
      <w:r>
        <w:rPr>
          <w:rFonts w:hint="eastAsia"/>
          <w:lang w:val="en-US" w:eastAsia="zh-CN"/>
        </w:rPr>
        <w:t>环评及其审查意见符合性分析</w:t>
      </w:r>
    </w:p>
    <w:p w14:paraId="0C8D000E">
      <w:pPr>
        <w:ind w:firstLine="480"/>
      </w:pPr>
      <w:r>
        <w:rPr>
          <w:rFonts w:hint="eastAsia"/>
        </w:rPr>
        <w:t>根据</w:t>
      </w:r>
      <w:r>
        <w:rPr>
          <w:rFonts w:hint="eastAsia"/>
          <w:lang w:eastAsia="zh-CN"/>
        </w:rPr>
        <w:t>《</w:t>
      </w:r>
      <w:r>
        <w:rPr>
          <w:rFonts w:hint="eastAsia"/>
        </w:rPr>
        <w:t>第七师胡杨河经济技术开发区化工园区总体规划</w:t>
      </w:r>
      <w:r>
        <w:rPr>
          <w:rFonts w:hint="eastAsia"/>
          <w:lang w:eastAsia="zh-CN"/>
        </w:rPr>
        <w:t>（</w:t>
      </w:r>
      <w:r>
        <w:rPr>
          <w:rFonts w:hint="eastAsia"/>
        </w:rPr>
        <w:t>2023-2035年</w:t>
      </w:r>
      <w:r>
        <w:rPr>
          <w:rFonts w:hint="eastAsia"/>
          <w:lang w:eastAsia="zh-CN"/>
        </w:rPr>
        <w:t>）</w:t>
      </w:r>
      <w:r>
        <w:rPr>
          <w:rFonts w:hint="eastAsia"/>
        </w:rPr>
        <w:t>环境影响报告书</w:t>
      </w:r>
      <w:r>
        <w:rPr>
          <w:rFonts w:hint="eastAsia"/>
          <w:lang w:eastAsia="zh-CN"/>
        </w:rPr>
        <w:t>》</w:t>
      </w:r>
      <w:r>
        <w:rPr>
          <w:rFonts w:hint="eastAsia"/>
          <w:lang w:val="en-US" w:eastAsia="zh-CN"/>
        </w:rPr>
        <w:t>及其审查意见</w:t>
      </w:r>
      <w:r>
        <w:rPr>
          <w:rFonts w:hint="eastAsia"/>
        </w:rPr>
        <w:t>（兵环审〔2</w:t>
      </w:r>
      <w:r>
        <w:t>02</w:t>
      </w:r>
      <w:r>
        <w:rPr>
          <w:rFonts w:hint="eastAsia"/>
          <w:lang w:val="en-US" w:eastAsia="zh-CN"/>
        </w:rPr>
        <w:t>4</w:t>
      </w:r>
      <w:r>
        <w:rPr>
          <w:rFonts w:hint="eastAsia"/>
        </w:rPr>
        <w:t>〕</w:t>
      </w:r>
      <w:r>
        <w:t>2</w:t>
      </w:r>
      <w:r>
        <w:rPr>
          <w:rFonts w:hint="eastAsia"/>
          <w:lang w:val="en-US" w:eastAsia="zh-CN"/>
        </w:rPr>
        <w:t>8</w:t>
      </w:r>
      <w:r>
        <w:rPr>
          <w:rFonts w:hint="eastAsia"/>
        </w:rPr>
        <w:t>号）可知：</w:t>
      </w:r>
      <w:r>
        <w:rPr>
          <w:rFonts w:hint="eastAsia"/>
          <w:lang w:val="en-US" w:eastAsia="zh-CN"/>
        </w:rPr>
        <w:t>胡杨河经济技术开发区化工园区位于胡杨河经济技术开发区内，属于“区中园”，规划用地面积41.01km</w:t>
      </w:r>
      <w:r>
        <w:rPr>
          <w:rFonts w:hint="eastAsia"/>
          <w:vertAlign w:val="superscript"/>
          <w:lang w:val="en-US" w:eastAsia="zh-CN"/>
        </w:rPr>
        <w:t>2</w:t>
      </w:r>
      <w:r>
        <w:rPr>
          <w:rFonts w:hint="eastAsia"/>
          <w:vertAlign w:val="baseline"/>
          <w:lang w:val="en-US" w:eastAsia="zh-CN"/>
        </w:rPr>
        <w:t>，分为南园区、北园区，其中南园区规划面积26.48km</w:t>
      </w:r>
      <w:r>
        <w:rPr>
          <w:rFonts w:hint="eastAsia"/>
          <w:vertAlign w:val="superscript"/>
          <w:lang w:val="en-US" w:eastAsia="zh-CN"/>
        </w:rPr>
        <w:t>2</w:t>
      </w:r>
      <w:r>
        <w:rPr>
          <w:rFonts w:hint="eastAsia"/>
          <w:vertAlign w:val="baseline"/>
          <w:lang w:val="en-US" w:eastAsia="zh-CN"/>
        </w:rPr>
        <w:t>，规划发展化工及新材料（石化新材料、无机新材料、硅基新材料）、精细化工。</w:t>
      </w:r>
    </w:p>
    <w:p w14:paraId="06CE3421">
      <w:pPr>
        <w:ind w:firstLine="480"/>
      </w:pPr>
      <w:r>
        <w:rPr>
          <w:rFonts w:hint="eastAsia"/>
        </w:rPr>
        <w:t>本项目</w:t>
      </w:r>
      <w:r>
        <w:rPr>
          <w:rFonts w:hint="eastAsia"/>
          <w:lang w:val="en-US" w:eastAsia="zh-CN"/>
        </w:rPr>
        <w:t>位于南园区，</w:t>
      </w:r>
      <w:r>
        <w:rPr>
          <w:rFonts w:hint="eastAsia"/>
        </w:rPr>
        <w:t>主要</w:t>
      </w:r>
      <w:r>
        <w:rPr>
          <w:rFonts w:hint="eastAsia"/>
          <w:lang w:val="en-US" w:eastAsia="zh-CN"/>
        </w:rPr>
        <w:t>以</w:t>
      </w:r>
      <w:r>
        <w:rPr>
          <w:rFonts w:hint="eastAsia"/>
        </w:rPr>
        <w:t>来自新疆佳宇恒能源科技有限公司10万吨/年BS光亮油项目减压蒸馏过程的减二线、减三线油</w:t>
      </w:r>
      <w:r>
        <w:rPr>
          <w:rFonts w:hint="eastAsia"/>
          <w:lang w:val="en-US" w:eastAsia="zh-CN"/>
        </w:rPr>
        <w:t>为原料，采用“白土精制”工艺生产润滑油</w:t>
      </w:r>
      <w:r>
        <w:rPr>
          <w:rFonts w:hint="eastAsia"/>
        </w:rPr>
        <w:t>。</w:t>
      </w:r>
      <w:r>
        <w:rPr>
          <w:rFonts w:hint="eastAsia"/>
          <w:highlight w:val="none"/>
        </w:rPr>
        <w:t>属于化工产业</w:t>
      </w:r>
      <w:r>
        <w:rPr>
          <w:rFonts w:hint="eastAsia"/>
        </w:rPr>
        <w:t>，</w:t>
      </w:r>
      <w:r>
        <w:rPr>
          <w:rFonts w:hint="eastAsia"/>
          <w:lang w:val="en-US" w:eastAsia="zh-CN"/>
        </w:rPr>
        <w:t>也是BS光亮油项目</w:t>
      </w:r>
      <w:r>
        <w:rPr>
          <w:rFonts w:hint="eastAsia"/>
        </w:rPr>
        <w:t>下游产业链的延伸，符合</w:t>
      </w:r>
      <w:r>
        <w:rPr>
          <w:rFonts w:hint="eastAsia"/>
          <w:lang w:val="en-US" w:eastAsia="zh-CN"/>
        </w:rPr>
        <w:t>化工</w:t>
      </w:r>
      <w:r>
        <w:rPr>
          <w:rFonts w:hint="eastAsia"/>
        </w:rPr>
        <w:t>园区规划环评及其审查意见的要求，具体见</w:t>
      </w:r>
      <w:r>
        <w:t>表</w:t>
      </w:r>
      <w:r>
        <w:rPr>
          <w:rFonts w:hint="eastAsia"/>
        </w:rPr>
        <w:t>1.4-</w:t>
      </w:r>
      <w:r>
        <w:rPr>
          <w:rFonts w:hint="eastAsia"/>
          <w:lang w:val="en-US" w:eastAsia="zh-CN"/>
        </w:rPr>
        <w:t>6</w:t>
      </w:r>
      <w:r>
        <w:rPr>
          <w:rFonts w:hint="eastAsia"/>
        </w:rPr>
        <w:t>和</w:t>
      </w:r>
      <w:r>
        <w:t>图</w:t>
      </w:r>
      <w:r>
        <w:rPr>
          <w:rFonts w:hint="eastAsia"/>
          <w:lang w:val="en-US" w:eastAsia="zh-CN"/>
        </w:rPr>
        <w:t>1.4-3、图</w:t>
      </w:r>
      <w:r>
        <w:rPr>
          <w:rFonts w:hint="eastAsia"/>
        </w:rPr>
        <w:t>1.4-</w:t>
      </w:r>
      <w:r>
        <w:rPr>
          <w:rFonts w:hint="eastAsia"/>
          <w:lang w:val="en-US" w:eastAsia="zh-CN"/>
        </w:rPr>
        <w:t>4</w:t>
      </w:r>
      <w:r>
        <w:rPr>
          <w:rFonts w:hint="eastAsia"/>
        </w:rPr>
        <w:t>。</w:t>
      </w:r>
    </w:p>
    <w:p w14:paraId="43638883">
      <w:pPr>
        <w:pStyle w:val="47"/>
        <w:spacing w:before="65"/>
      </w:pPr>
      <w:r>
        <w:rPr>
          <w:rFonts w:hint="eastAsia"/>
        </w:rPr>
        <w:t>表1.4-</w:t>
      </w:r>
      <w:r>
        <w:rPr>
          <w:rFonts w:hint="eastAsia"/>
          <w:lang w:val="en-US" w:eastAsia="zh-CN"/>
        </w:rPr>
        <w:t>6</w:t>
      </w:r>
      <w:r>
        <w:rPr>
          <w:rFonts w:hint="eastAsia"/>
        </w:rPr>
        <w:t xml:space="preserve">   本项目</w:t>
      </w:r>
      <w:r>
        <w:t>与园区规划环评及其审查意见符合性分析表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5"/>
        <w:gridCol w:w="4623"/>
        <w:gridCol w:w="2702"/>
        <w:gridCol w:w="770"/>
      </w:tblGrid>
      <w:tr w14:paraId="28FC0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3" w:type="pct"/>
            <w:shd w:val="clear" w:color="auto" w:fill="auto"/>
            <w:vAlign w:val="center"/>
          </w:tcPr>
          <w:p w14:paraId="2E3F6758">
            <w:pPr>
              <w:pStyle w:val="90"/>
              <w:rPr>
                <w:rStyle w:val="100"/>
                <w:sz w:val="21"/>
                <w:lang w:val="zh-CN"/>
              </w:rPr>
            </w:pPr>
            <w:r>
              <w:rPr>
                <w:rStyle w:val="100"/>
                <w:sz w:val="21"/>
                <w:lang w:val="zh-CN"/>
              </w:rPr>
              <w:t>序号</w:t>
            </w:r>
          </w:p>
        </w:tc>
        <w:tc>
          <w:tcPr>
            <w:tcW w:w="2647" w:type="pct"/>
            <w:shd w:val="clear" w:color="auto" w:fill="auto"/>
            <w:vAlign w:val="center"/>
          </w:tcPr>
          <w:p w14:paraId="5966A48E">
            <w:pPr>
              <w:pStyle w:val="90"/>
              <w:rPr>
                <w:rStyle w:val="100"/>
                <w:sz w:val="21"/>
                <w:lang w:val="zh-CN"/>
              </w:rPr>
            </w:pPr>
            <w:r>
              <w:rPr>
                <w:rStyle w:val="100"/>
                <w:sz w:val="21"/>
                <w:lang w:val="zh-CN"/>
              </w:rPr>
              <w:t>文件要求</w:t>
            </w:r>
          </w:p>
        </w:tc>
        <w:tc>
          <w:tcPr>
            <w:tcW w:w="1547" w:type="pct"/>
            <w:shd w:val="clear" w:color="auto" w:fill="auto"/>
            <w:vAlign w:val="center"/>
          </w:tcPr>
          <w:p w14:paraId="4BCC8041">
            <w:pPr>
              <w:pStyle w:val="90"/>
              <w:rPr>
                <w:rStyle w:val="100"/>
                <w:sz w:val="21"/>
                <w:lang w:val="zh-CN"/>
              </w:rPr>
            </w:pPr>
            <w:r>
              <w:rPr>
                <w:rStyle w:val="100"/>
                <w:rFonts w:hint="eastAsia"/>
                <w:sz w:val="21"/>
                <w:lang w:val="zh-CN"/>
              </w:rPr>
              <w:t>本项目情况</w:t>
            </w:r>
          </w:p>
        </w:tc>
        <w:tc>
          <w:tcPr>
            <w:tcW w:w="441" w:type="pct"/>
            <w:shd w:val="clear" w:color="auto" w:fill="auto"/>
            <w:vAlign w:val="center"/>
          </w:tcPr>
          <w:p w14:paraId="1346C58A">
            <w:pPr>
              <w:pStyle w:val="90"/>
              <w:rPr>
                <w:rStyle w:val="100"/>
                <w:sz w:val="21"/>
                <w:lang w:val="zh-CN"/>
              </w:rPr>
            </w:pPr>
            <w:r>
              <w:rPr>
                <w:rStyle w:val="100"/>
                <w:rFonts w:hint="eastAsia"/>
                <w:sz w:val="21"/>
                <w:lang w:val="zh-CN"/>
              </w:rPr>
              <w:t>符合性</w:t>
            </w:r>
          </w:p>
        </w:tc>
      </w:tr>
      <w:tr w14:paraId="58C46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3" w:type="pct"/>
            <w:shd w:val="clear" w:color="auto" w:fill="auto"/>
            <w:vAlign w:val="center"/>
          </w:tcPr>
          <w:p w14:paraId="329177DF">
            <w:pPr>
              <w:pStyle w:val="90"/>
              <w:rPr>
                <w:rStyle w:val="100"/>
                <w:sz w:val="21"/>
                <w:lang w:val="zh-CN"/>
              </w:rPr>
            </w:pPr>
            <w:r>
              <w:rPr>
                <w:rStyle w:val="100"/>
                <w:rFonts w:hint="eastAsia"/>
                <w:sz w:val="21"/>
                <w:lang w:val="zh-CN"/>
              </w:rPr>
              <w:t>（一）</w:t>
            </w:r>
          </w:p>
        </w:tc>
        <w:tc>
          <w:tcPr>
            <w:tcW w:w="2647" w:type="pct"/>
            <w:shd w:val="clear" w:color="auto" w:fill="auto"/>
            <w:vAlign w:val="center"/>
          </w:tcPr>
          <w:p w14:paraId="177F84B9">
            <w:pPr>
              <w:pStyle w:val="90"/>
              <w:rPr>
                <w:rStyle w:val="100"/>
                <w:sz w:val="21"/>
                <w:lang w:val="zh-CN"/>
              </w:rPr>
            </w:pPr>
            <w:r>
              <w:rPr>
                <w:rStyle w:val="100"/>
                <w:rFonts w:hint="eastAsia"/>
                <w:sz w:val="21"/>
                <w:lang w:val="zh-CN"/>
              </w:rPr>
              <w:t>细化园区产业发展定位，结合资源利用上线、环境质量底线，依据《产业结构调整指导目录》《市场准入负面清单》完善重点产业生态环境准入清单。推动减污治污减碳协同共治，促进经济绿色低碳发展、引导重点行业和园区产业向绿色低碳方向可持续发展。</w:t>
            </w:r>
          </w:p>
        </w:tc>
        <w:tc>
          <w:tcPr>
            <w:tcW w:w="1547" w:type="pct"/>
            <w:shd w:val="clear" w:color="auto" w:fill="auto"/>
            <w:vAlign w:val="center"/>
          </w:tcPr>
          <w:p w14:paraId="4D88811A">
            <w:pPr>
              <w:pStyle w:val="90"/>
              <w:rPr>
                <w:rStyle w:val="100"/>
                <w:rFonts w:hint="default"/>
                <w:sz w:val="21"/>
                <w:lang w:val="en-US"/>
              </w:rPr>
            </w:pPr>
            <w:r>
              <w:rPr>
                <w:rStyle w:val="100"/>
                <w:rFonts w:hint="eastAsia"/>
                <w:sz w:val="21"/>
                <w:lang w:val="en-US"/>
              </w:rPr>
              <w:t>根据《产业结构调整指导目录（2024年本）》中的划分，本项目不属于淘汰类和限制类，符合要求。</w:t>
            </w:r>
          </w:p>
        </w:tc>
        <w:tc>
          <w:tcPr>
            <w:tcW w:w="441" w:type="pct"/>
            <w:shd w:val="clear" w:color="auto" w:fill="auto"/>
            <w:vAlign w:val="center"/>
          </w:tcPr>
          <w:p w14:paraId="3C6F4C56">
            <w:pPr>
              <w:pStyle w:val="90"/>
              <w:rPr>
                <w:rStyle w:val="100"/>
                <w:sz w:val="21"/>
                <w:lang w:val="zh-CN"/>
              </w:rPr>
            </w:pPr>
            <w:r>
              <w:rPr>
                <w:rStyle w:val="100"/>
                <w:rFonts w:hint="eastAsia"/>
                <w:sz w:val="21"/>
                <w:lang w:val="zh-CN"/>
              </w:rPr>
              <w:t>符合</w:t>
            </w:r>
          </w:p>
        </w:tc>
      </w:tr>
      <w:tr w14:paraId="6C69D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3" w:type="pct"/>
            <w:shd w:val="clear" w:color="auto" w:fill="auto"/>
            <w:vAlign w:val="center"/>
          </w:tcPr>
          <w:p w14:paraId="750D2E89">
            <w:pPr>
              <w:pStyle w:val="90"/>
              <w:rPr>
                <w:rStyle w:val="100"/>
                <w:sz w:val="21"/>
                <w:lang w:val="zh-CN"/>
              </w:rPr>
            </w:pPr>
            <w:r>
              <w:rPr>
                <w:rStyle w:val="100"/>
                <w:rFonts w:hint="eastAsia"/>
                <w:sz w:val="21"/>
                <w:lang w:val="zh-CN"/>
              </w:rPr>
              <w:t>（二）</w:t>
            </w:r>
          </w:p>
        </w:tc>
        <w:tc>
          <w:tcPr>
            <w:tcW w:w="2647" w:type="pct"/>
            <w:shd w:val="clear" w:color="auto" w:fill="auto"/>
            <w:vAlign w:val="center"/>
          </w:tcPr>
          <w:p w14:paraId="16439713">
            <w:pPr>
              <w:pStyle w:val="90"/>
              <w:rPr>
                <w:rStyle w:val="100"/>
                <w:sz w:val="21"/>
                <w:lang w:val="zh-CN"/>
              </w:rPr>
            </w:pPr>
            <w:r>
              <w:rPr>
                <w:rStyle w:val="100"/>
                <w:rFonts w:hint="eastAsia"/>
                <w:sz w:val="21"/>
                <w:lang w:val="zh-CN"/>
              </w:rPr>
              <w:t>坚守环境质量底线，细化环境准入及管控。以区域环境质量改善为导向，在不突破环境承载力的前提下，以推进减污降碳协同增效为抓手，加强“两高”行业生态环境源头防控，落实主要污染物区域削减措施。衔接最新环境管理政策及上位规划深入实施“三线一单”生态环境分区管控，在确保产业区块完整性和延续性的前提下，实现区域、园区、项目的系统衔接和协同管理。实行入园企业环保准入审核制度，结合生态环境管控、环境风险防控要求，对产业园区企业实施清单式管理。</w:t>
            </w:r>
          </w:p>
        </w:tc>
        <w:tc>
          <w:tcPr>
            <w:tcW w:w="1547" w:type="pct"/>
            <w:shd w:val="clear" w:color="auto" w:fill="auto"/>
            <w:vAlign w:val="center"/>
          </w:tcPr>
          <w:p w14:paraId="3BE74769">
            <w:pPr>
              <w:pStyle w:val="90"/>
              <w:rPr>
                <w:rStyle w:val="100"/>
                <w:sz w:val="21"/>
                <w:lang w:val="zh-CN"/>
              </w:rPr>
            </w:pPr>
            <w:r>
              <w:rPr>
                <w:rStyle w:val="100"/>
                <w:rFonts w:hint="eastAsia"/>
                <w:sz w:val="21"/>
                <w:lang w:val="en-US"/>
              </w:rPr>
              <w:t>根据后文分析，本项目符合区域“三线一单”要求</w:t>
            </w:r>
            <w:r>
              <w:rPr>
                <w:rStyle w:val="100"/>
                <w:rFonts w:hint="eastAsia"/>
                <w:sz w:val="21"/>
                <w:lang w:val="zh-CN"/>
              </w:rPr>
              <w:t>，不属于高污染和高耗能的产业的“两高”行业。</w:t>
            </w:r>
          </w:p>
        </w:tc>
        <w:tc>
          <w:tcPr>
            <w:tcW w:w="441" w:type="pct"/>
            <w:shd w:val="clear" w:color="auto" w:fill="auto"/>
            <w:vAlign w:val="center"/>
          </w:tcPr>
          <w:p w14:paraId="7E4F7521">
            <w:pPr>
              <w:pStyle w:val="90"/>
              <w:rPr>
                <w:rStyle w:val="100"/>
                <w:sz w:val="21"/>
                <w:lang w:val="zh-CN"/>
              </w:rPr>
            </w:pPr>
            <w:r>
              <w:rPr>
                <w:rStyle w:val="100"/>
                <w:rFonts w:hint="eastAsia"/>
                <w:sz w:val="21"/>
                <w:lang w:val="zh-CN"/>
              </w:rPr>
              <w:t>符合</w:t>
            </w:r>
          </w:p>
        </w:tc>
      </w:tr>
      <w:tr w14:paraId="099D5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3" w:type="pct"/>
            <w:shd w:val="clear" w:color="auto" w:fill="auto"/>
            <w:vAlign w:val="center"/>
          </w:tcPr>
          <w:p w14:paraId="19D13221">
            <w:pPr>
              <w:pStyle w:val="90"/>
              <w:rPr>
                <w:rStyle w:val="100"/>
                <w:sz w:val="21"/>
                <w:lang w:val="zh-CN"/>
              </w:rPr>
            </w:pPr>
            <w:r>
              <w:rPr>
                <w:rStyle w:val="100"/>
                <w:rFonts w:hint="eastAsia"/>
                <w:sz w:val="21"/>
                <w:lang w:val="zh-CN"/>
              </w:rPr>
              <w:t>（三）</w:t>
            </w:r>
          </w:p>
        </w:tc>
        <w:tc>
          <w:tcPr>
            <w:tcW w:w="2647" w:type="pct"/>
            <w:shd w:val="clear" w:color="auto" w:fill="auto"/>
            <w:vAlign w:val="center"/>
          </w:tcPr>
          <w:p w14:paraId="6827AF99">
            <w:pPr>
              <w:pStyle w:val="90"/>
              <w:rPr>
                <w:rStyle w:val="100"/>
                <w:sz w:val="21"/>
                <w:lang w:val="zh-CN"/>
              </w:rPr>
            </w:pPr>
            <w:r>
              <w:rPr>
                <w:rStyle w:val="100"/>
                <w:rFonts w:hint="eastAsia"/>
                <w:sz w:val="21"/>
                <w:lang w:val="zh-CN"/>
              </w:rPr>
              <w:t>严格资源利用总量和强度“双控”，制定入园产业和项目的环境准入条件。坚持“以水定产、以水定量”，按照园区水资源论证成果及批复中用水红线，优化调整园区的产业结构、规模和布局，严格入园产业和项目的环境准入，严格按照规划产业布局入驻企业，结合区域发展定位、开发布局、生态环境保护目标入园企业须符合产业政策、行业准入条件、生态环境准入清单要求，引进的项目应采用资源利用率高、污染物产生量小的清洁生产技术、工艺和设备，积极推进产业的技术进步和园区循环化改造。园区水资源利用不得突破《新疆用水总量控制方案》确定的区域水资源利用上线指标，土地资源利用不得突破国土空间规划确定的新增建设用地规模。</w:t>
            </w:r>
          </w:p>
        </w:tc>
        <w:tc>
          <w:tcPr>
            <w:tcW w:w="1547" w:type="pct"/>
            <w:shd w:val="clear" w:color="auto" w:fill="auto"/>
            <w:vAlign w:val="center"/>
          </w:tcPr>
          <w:p w14:paraId="07AFE869">
            <w:pPr>
              <w:pStyle w:val="90"/>
              <w:rPr>
                <w:rStyle w:val="100"/>
                <w:sz w:val="21"/>
                <w:lang w:val="zh-CN"/>
              </w:rPr>
            </w:pPr>
            <w:r>
              <w:rPr>
                <w:rStyle w:val="100"/>
                <w:rFonts w:hint="eastAsia"/>
                <w:sz w:val="21"/>
                <w:lang w:val="zh-CN"/>
              </w:rPr>
              <w:t>本项目不属于自治区严禁的高污染（排放）、高环境风险、高能（水）耗“三高”项目。使用的生产工艺、设备、污染治理技术不属于淘汰落后类，用水依托园区管网供给，不超过水资源使用指标。</w:t>
            </w:r>
          </w:p>
        </w:tc>
        <w:tc>
          <w:tcPr>
            <w:tcW w:w="441" w:type="pct"/>
            <w:shd w:val="clear" w:color="auto" w:fill="auto"/>
            <w:vAlign w:val="center"/>
          </w:tcPr>
          <w:p w14:paraId="04B89003">
            <w:pPr>
              <w:pStyle w:val="90"/>
              <w:rPr>
                <w:rStyle w:val="100"/>
                <w:sz w:val="21"/>
                <w:lang w:val="zh-CN"/>
              </w:rPr>
            </w:pPr>
            <w:r>
              <w:rPr>
                <w:rStyle w:val="100"/>
                <w:rFonts w:hint="eastAsia"/>
                <w:sz w:val="21"/>
                <w:lang w:val="zh-CN"/>
              </w:rPr>
              <w:t>符合</w:t>
            </w:r>
          </w:p>
        </w:tc>
      </w:tr>
      <w:tr w14:paraId="61F0F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3" w:type="pct"/>
            <w:shd w:val="clear" w:color="auto" w:fill="auto"/>
            <w:vAlign w:val="center"/>
          </w:tcPr>
          <w:p w14:paraId="1FE483A3">
            <w:pPr>
              <w:pStyle w:val="90"/>
              <w:rPr>
                <w:rStyle w:val="100"/>
                <w:sz w:val="21"/>
                <w:lang w:val="zh-CN"/>
              </w:rPr>
            </w:pPr>
            <w:r>
              <w:rPr>
                <w:rStyle w:val="100"/>
                <w:rFonts w:hint="eastAsia"/>
                <w:sz w:val="21"/>
                <w:lang w:val="zh-CN"/>
              </w:rPr>
              <w:t>（四）</w:t>
            </w:r>
          </w:p>
        </w:tc>
        <w:tc>
          <w:tcPr>
            <w:tcW w:w="2647" w:type="pct"/>
            <w:shd w:val="clear" w:color="auto" w:fill="auto"/>
            <w:vAlign w:val="center"/>
          </w:tcPr>
          <w:p w14:paraId="60FF1F3A">
            <w:pPr>
              <w:pStyle w:val="90"/>
              <w:rPr>
                <w:rStyle w:val="100"/>
                <w:sz w:val="21"/>
                <w:lang w:val="zh-CN"/>
              </w:rPr>
            </w:pPr>
            <w:r>
              <w:rPr>
                <w:rStyle w:val="100"/>
                <w:rFonts w:hint="eastAsia"/>
                <w:sz w:val="21"/>
                <w:lang w:val="zh-CN"/>
              </w:rPr>
              <w:t>推动共建共享，优化环境基础设施。按照“清污分流”“污污分治”原则优化园区排水系统、废(污)水处理系统和中水回用系统，提高废(污)水回用率。制定切实可行的一般固体废弃物综合利用方案，严格按照国家有关规定，依法、依规、合理地贮存、处置和处理危险废物。</w:t>
            </w:r>
          </w:p>
        </w:tc>
        <w:tc>
          <w:tcPr>
            <w:tcW w:w="1547" w:type="pct"/>
            <w:shd w:val="clear" w:color="auto" w:fill="auto"/>
            <w:vAlign w:val="center"/>
          </w:tcPr>
          <w:p w14:paraId="79C25152">
            <w:pPr>
              <w:pStyle w:val="90"/>
              <w:rPr>
                <w:rStyle w:val="100"/>
                <w:rFonts w:hint="default"/>
                <w:sz w:val="21"/>
                <w:lang w:val="en-US"/>
              </w:rPr>
            </w:pPr>
            <w:r>
              <w:rPr>
                <w:rStyle w:val="100"/>
                <w:rFonts w:hint="eastAsia"/>
                <w:sz w:val="21"/>
                <w:lang w:val="zh-CN"/>
              </w:rPr>
              <w:t>本次环评开展大气环境、地下水环境、土壤环境等现状调查，周围不涉及地表水环境，且本项目废水处理后依托园区污水处理厂处理，不排入地表水体；</w:t>
            </w:r>
            <w:r>
              <w:rPr>
                <w:rStyle w:val="100"/>
                <w:rFonts w:hint="eastAsia"/>
                <w:sz w:val="21"/>
                <w:lang w:val="en-US"/>
              </w:rPr>
              <w:t>危险废物委托处置。</w:t>
            </w:r>
          </w:p>
        </w:tc>
        <w:tc>
          <w:tcPr>
            <w:tcW w:w="441" w:type="pct"/>
            <w:shd w:val="clear" w:color="auto" w:fill="auto"/>
            <w:vAlign w:val="center"/>
          </w:tcPr>
          <w:p w14:paraId="7708493E">
            <w:pPr>
              <w:pStyle w:val="90"/>
              <w:rPr>
                <w:rStyle w:val="100"/>
                <w:sz w:val="21"/>
                <w:lang w:val="zh-CN"/>
              </w:rPr>
            </w:pPr>
            <w:r>
              <w:rPr>
                <w:rStyle w:val="100"/>
                <w:rFonts w:hint="eastAsia"/>
                <w:sz w:val="21"/>
                <w:lang w:val="zh-CN"/>
              </w:rPr>
              <w:t>符合</w:t>
            </w:r>
          </w:p>
        </w:tc>
      </w:tr>
      <w:tr w14:paraId="298BA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63" w:type="pct"/>
            <w:shd w:val="clear" w:color="auto" w:fill="auto"/>
            <w:vAlign w:val="center"/>
          </w:tcPr>
          <w:p w14:paraId="2FEA7DEB">
            <w:pPr>
              <w:pStyle w:val="90"/>
              <w:rPr>
                <w:rStyle w:val="100"/>
                <w:sz w:val="21"/>
                <w:lang w:val="zh-CN"/>
              </w:rPr>
            </w:pPr>
            <w:r>
              <w:rPr>
                <w:rStyle w:val="100"/>
                <w:rFonts w:hint="eastAsia"/>
                <w:sz w:val="21"/>
                <w:lang w:val="zh-CN"/>
              </w:rPr>
              <w:t>（五）</w:t>
            </w:r>
          </w:p>
        </w:tc>
        <w:tc>
          <w:tcPr>
            <w:tcW w:w="2647" w:type="pct"/>
            <w:shd w:val="clear" w:color="auto" w:fill="auto"/>
            <w:vAlign w:val="center"/>
          </w:tcPr>
          <w:p w14:paraId="3AF974F9">
            <w:pPr>
              <w:pStyle w:val="90"/>
              <w:rPr>
                <w:rStyle w:val="100"/>
                <w:sz w:val="21"/>
                <w:lang w:val="zh-CN"/>
              </w:rPr>
            </w:pPr>
            <w:r>
              <w:rPr>
                <w:rStyle w:val="100"/>
                <w:rFonts w:hint="eastAsia"/>
                <w:sz w:val="21"/>
                <w:lang w:val="zh-CN"/>
              </w:rPr>
              <w:t>强化园区环境风险管理。构建以企业为主体，胡杨河市人民政府、园区主管部门、安全监督管理部门、生态环境行政主管部门及其它相关部门共同参与的环境风险应急联动平台，强化应急响应联动机制，保障生态环境安全。配备应急物资，定期开展应急演练，不断完善环境风险应急预案，防控园区可能引发的环境风险。</w:t>
            </w:r>
          </w:p>
        </w:tc>
        <w:tc>
          <w:tcPr>
            <w:tcW w:w="1547" w:type="pct"/>
            <w:shd w:val="clear" w:color="auto" w:fill="auto"/>
            <w:vAlign w:val="center"/>
          </w:tcPr>
          <w:p w14:paraId="6FE18778">
            <w:pPr>
              <w:pStyle w:val="90"/>
              <w:rPr>
                <w:rStyle w:val="100"/>
                <w:sz w:val="21"/>
                <w:lang w:val="zh-CN"/>
              </w:rPr>
            </w:pPr>
            <w:r>
              <w:rPr>
                <w:rStyle w:val="100"/>
                <w:rFonts w:hint="eastAsia"/>
                <w:sz w:val="21"/>
                <w:lang w:val="zh-CN"/>
              </w:rPr>
              <w:t>本环评建议建设单位在开展环保竣工验收前完成企业应急预案编制，并与园区应急预案衔接，形成应急响应联动机制。</w:t>
            </w:r>
          </w:p>
        </w:tc>
        <w:tc>
          <w:tcPr>
            <w:tcW w:w="441" w:type="pct"/>
            <w:shd w:val="clear" w:color="auto" w:fill="auto"/>
            <w:vAlign w:val="center"/>
          </w:tcPr>
          <w:p w14:paraId="2536A770">
            <w:pPr>
              <w:pStyle w:val="90"/>
              <w:rPr>
                <w:rStyle w:val="100"/>
                <w:sz w:val="21"/>
                <w:lang w:val="zh-CN"/>
              </w:rPr>
            </w:pPr>
            <w:r>
              <w:rPr>
                <w:rStyle w:val="100"/>
                <w:rFonts w:hint="eastAsia"/>
                <w:sz w:val="21"/>
                <w:lang w:val="zh-CN"/>
              </w:rPr>
              <w:t>符合</w:t>
            </w:r>
          </w:p>
        </w:tc>
      </w:tr>
    </w:tbl>
    <w:p w14:paraId="7580C044">
      <w:pPr>
        <w:pStyle w:val="49"/>
        <w:spacing w:before="65" w:beforeLines="20" w:after="0" w:afterLines="0"/>
        <w:rPr>
          <w:rFonts w:hint="eastAsia"/>
        </w:rPr>
      </w:pPr>
    </w:p>
    <w:p w14:paraId="152D7A5B">
      <w:pPr>
        <w:ind w:firstLine="480"/>
      </w:pPr>
      <w:r>
        <w:rPr>
          <w:rFonts w:hint="eastAsia"/>
        </w:rPr>
        <w:t>（</w:t>
      </w:r>
      <w:r>
        <w:rPr>
          <w:rFonts w:hint="eastAsia"/>
          <w:lang w:val="en-US" w:eastAsia="zh-CN"/>
        </w:rPr>
        <w:t>10</w:t>
      </w:r>
      <w:r>
        <w:rPr>
          <w:rFonts w:hint="eastAsia"/>
        </w:rPr>
        <w:t>）与《新疆生产建设兵团“三线一单”生态环境分区管控方案》符合性分析</w:t>
      </w:r>
    </w:p>
    <w:p w14:paraId="6D0D11C4">
      <w:pPr>
        <w:ind w:firstLine="480"/>
      </w:pPr>
      <w:r>
        <w:rPr>
          <w:rFonts w:hint="eastAsia"/>
        </w:rPr>
        <w:t>根据关于印发《新疆生产建设兵团“三线一单”生态环境分区管控方案》的通知（新兵发〔2</w:t>
      </w:r>
      <w:r>
        <w:t>021</w:t>
      </w:r>
      <w:r>
        <w:rPr>
          <w:rFonts w:hint="eastAsia"/>
        </w:rPr>
        <w:t>〕1</w:t>
      </w:r>
      <w:r>
        <w:t>6</w:t>
      </w:r>
      <w:r>
        <w:rPr>
          <w:rFonts w:hint="eastAsia"/>
        </w:rPr>
        <w:t>号）文件可知，兵团共划定862个环境管控单元，分为优先保护单元、重点管控单元、一般管控单元。其中，第七师胡杨河市环境管控单元6</w:t>
      </w:r>
      <w:r>
        <w:t>6</w:t>
      </w:r>
      <w:r>
        <w:rPr>
          <w:rFonts w:hint="eastAsia"/>
        </w:rPr>
        <w:t>个，包括：优先保护单元2</w:t>
      </w:r>
      <w:r>
        <w:t>3</w:t>
      </w:r>
      <w:r>
        <w:rPr>
          <w:rFonts w:hint="eastAsia"/>
        </w:rPr>
        <w:t>个、重点管控单元3</w:t>
      </w:r>
      <w:r>
        <w:t>1</w:t>
      </w:r>
      <w:r>
        <w:rPr>
          <w:rFonts w:hint="eastAsia"/>
        </w:rPr>
        <w:t>个、一般管控单元1</w:t>
      </w:r>
      <w:r>
        <w:t>2</w:t>
      </w:r>
      <w:r>
        <w:rPr>
          <w:rFonts w:hint="eastAsia"/>
        </w:rPr>
        <w:t>个。</w:t>
      </w:r>
    </w:p>
    <w:p w14:paraId="14846410">
      <w:pPr>
        <w:ind w:firstLine="480"/>
      </w:pPr>
      <w:r>
        <w:rPr>
          <w:rFonts w:hint="eastAsia"/>
        </w:rPr>
        <w:t>本项目位于胡杨河经济技术开发区南园区，属于第七师胡杨河市重点管控单元，根据文件要求，重点管控单元应优化空间布局，加强污染物排放控制和环境风险防控，不断提升资源利用效率，重点解决突出生态环境问题，切实推动生态环境质量持续改善。本项目以新疆佳宇恒能源科技有限公司生产的减二线、减三线油为原料，采用“常减压蒸馏-溶剂精制-白土精制”的生产工艺，建设年产8万吨润滑油生产线（一期）和年产2万吨润滑脂生产线（二期）各1条，属于精细化工下游产业，有助于完善园区产业链，符合《新疆生产建设兵团“三线一单”生态环境分区管控方案》的相关要求。</w:t>
      </w:r>
    </w:p>
    <w:p w14:paraId="3FC823C5">
      <w:pPr>
        <w:ind w:firstLine="480"/>
      </w:pPr>
      <w:r>
        <w:rPr>
          <w:rFonts w:hint="eastAsia"/>
        </w:rPr>
        <w:t>（</w:t>
      </w:r>
      <w:r>
        <w:rPr>
          <w:rFonts w:hint="eastAsia"/>
          <w:lang w:val="en-US" w:eastAsia="zh-CN"/>
        </w:rPr>
        <w:t>11</w:t>
      </w:r>
      <w:r>
        <w:rPr>
          <w:rFonts w:hint="eastAsia"/>
        </w:rPr>
        <w:t>）与《第七师胡杨河市“三线一单”生态环境分区管控方案》</w:t>
      </w:r>
      <w:r>
        <w:rPr>
          <w:rFonts w:hint="eastAsia"/>
          <w:lang w:eastAsia="zh-CN"/>
        </w:rPr>
        <w:t>（师市环委办发〔2024〕2号）</w:t>
      </w:r>
      <w:r>
        <w:rPr>
          <w:rFonts w:hint="eastAsia"/>
        </w:rPr>
        <w:t>符合性分析</w:t>
      </w:r>
    </w:p>
    <w:p w14:paraId="724C9E3C">
      <w:pPr>
        <w:ind w:firstLine="480"/>
      </w:pPr>
      <w:r>
        <w:rPr>
          <w:rFonts w:hint="eastAsia" w:ascii="宋体" w:hAnsi="宋体" w:cs="宋体"/>
        </w:rPr>
        <w:t>①</w:t>
      </w:r>
      <w:r>
        <w:rPr>
          <w:rFonts w:hint="eastAsia"/>
        </w:rPr>
        <w:t>生态保护红线</w:t>
      </w:r>
    </w:p>
    <w:p w14:paraId="137C4361">
      <w:pPr>
        <w:ind w:firstLine="480"/>
      </w:pPr>
      <w:r>
        <w:rPr>
          <w:rFonts w:hint="eastAsia"/>
        </w:rPr>
        <w:t>第七师胡杨河市生态保护红线</w:t>
      </w:r>
      <w:r>
        <w:t>主要为各类法定保护地和评估确定的极重要</w:t>
      </w:r>
      <w:r>
        <w:rPr>
          <w:rFonts w:hint="eastAsia"/>
        </w:rPr>
        <w:t>、极敏感区</w:t>
      </w:r>
      <w:r>
        <w:t>，生态</w:t>
      </w:r>
      <w:r>
        <w:rPr>
          <w:rFonts w:hint="eastAsia"/>
        </w:rPr>
        <w:t>保护</w:t>
      </w:r>
      <w:r>
        <w:t>红线面积587.57平方公里</w:t>
      </w:r>
      <w:r>
        <w:rPr>
          <w:rFonts w:hint="eastAsia"/>
        </w:rPr>
        <w:t>，本项目位于胡杨河经济技术开发区南园区规划工业用地范围内，不涉及生态保护红线范围。</w:t>
      </w:r>
    </w:p>
    <w:p w14:paraId="70FCD854">
      <w:pPr>
        <w:ind w:firstLine="480"/>
      </w:pPr>
      <w:r>
        <w:rPr>
          <w:rFonts w:hint="eastAsia" w:ascii="宋体" w:hAnsi="宋体" w:cs="宋体"/>
        </w:rPr>
        <w:t>②</w:t>
      </w:r>
      <w:r>
        <w:rPr>
          <w:rFonts w:hint="eastAsia"/>
        </w:rPr>
        <w:t>环境质量底线</w:t>
      </w:r>
    </w:p>
    <w:p w14:paraId="7A3FC636">
      <w:pPr>
        <w:ind w:firstLine="480"/>
      </w:pPr>
      <w:r>
        <w:t>根据《方案》中的要求，师市河流、湖库、水源地水质总体保持稳定，饮用水安全保障水平持续提升，水生态环境状况继续好转。奎屯河老龙口断面和黄沟二库断面水质保持Ⅱ类标准，奎屯河大桥断面、白杨河乌尔禾断面和古尔图河柳沟水库断面水质保持Ⅲ类标准，泉沟水库、奎屯水库、车排子水库和柳沟水库断面水质保持Ⅲ类标准。环境空气质量稳步提升，重污染天数持续减少。土壤环境质量保持稳定，农用地和建设用地土壤环境安全得到有效保障，土壤环境风险得到有效管控。受污染耕地安全利用率达到93%以上，污染地块安全利用率达到93%以上。</w:t>
      </w:r>
    </w:p>
    <w:p w14:paraId="16BDD8B0">
      <w:pPr>
        <w:ind w:firstLine="480"/>
      </w:pPr>
      <w:r>
        <w:rPr>
          <w:rFonts w:hint="eastAsia"/>
        </w:rPr>
        <w:t>本项目生产废水和生活污水均依托园区污水处理厂处理，不外排，且项目区周围无上述地表水体分布，与地表水不发生水力联系，不会对周围地表水产生影响；本项目废气处理措施符合相关排污许可申请与核发技术规范中推荐的污染防治措施，可实现达标排放，对环境空气影响较小；本项目占地属于规划的工业用地，不占用农用地。综上所述，本项目建设符合环境质量底线要求。</w:t>
      </w:r>
    </w:p>
    <w:p w14:paraId="2A5FFCD5">
      <w:pPr>
        <w:ind w:firstLine="480"/>
      </w:pPr>
      <w:r>
        <w:rPr>
          <w:rFonts w:hint="eastAsia" w:ascii="宋体" w:hAnsi="宋体" w:cs="宋体"/>
        </w:rPr>
        <w:t>③</w:t>
      </w:r>
      <w:r>
        <w:rPr>
          <w:rFonts w:hint="eastAsia"/>
        </w:rPr>
        <w:t>资源利用上线</w:t>
      </w:r>
    </w:p>
    <w:p w14:paraId="4BD8BB9F">
      <w:pPr>
        <w:ind w:firstLine="480"/>
      </w:pPr>
      <w:r>
        <w:rPr>
          <w:rFonts w:hint="eastAsia"/>
        </w:rPr>
        <w:t>文件要求，项目所在地应</w:t>
      </w:r>
      <w:r>
        <w:t>强化节约集约利用，持续提升资源能源利用效率，水资源、土地资源、能源消耗达到国家、兵团下达的总量和强度控制目标，地下水超采得到严格控制。加快低碳发展，积极推动低碳试点建设，发挥低碳试点示范引领作用。</w:t>
      </w:r>
    </w:p>
    <w:p w14:paraId="2F2E11CF">
      <w:pPr>
        <w:ind w:firstLine="480"/>
      </w:pPr>
      <w:r>
        <w:rPr>
          <w:rFonts w:hint="eastAsia"/>
        </w:rPr>
        <w:t>本项目主要生产润滑油和润滑脂，新鲜水使用量和废水排放量均较小，能有效提高水资源的利用效率，不新增用煤量，用水和用电依托园区现有设施，不开采地下水。综上所述，本项目建设不会突破资源利用上线。</w:t>
      </w:r>
    </w:p>
    <w:p w14:paraId="7CF1D100">
      <w:pPr>
        <w:ind w:firstLine="480"/>
      </w:pPr>
      <w:r>
        <w:rPr>
          <w:rFonts w:hint="eastAsia" w:ascii="宋体" w:hAnsi="宋体" w:cs="宋体"/>
        </w:rPr>
        <w:t>④</w:t>
      </w:r>
      <w:r>
        <w:rPr>
          <w:rFonts w:hint="eastAsia"/>
        </w:rPr>
        <w:t>生态环境准入清单</w:t>
      </w:r>
    </w:p>
    <w:p w14:paraId="0DE85325">
      <w:pPr>
        <w:ind w:firstLine="480"/>
      </w:pPr>
      <w:r>
        <w:rPr>
          <w:rFonts w:hint="eastAsia"/>
        </w:rPr>
        <w:t>本项目位于胡杨河经济技术开发区南园区内，根据《第七师胡杨河市生态环境准入清单》文件，胡杨河经济技术开发区南园区属于重点管控单元，空间布局约束要求禁止新建《产业结构调整指导目录》中的淘汰类项目；污染排放管控要求废水应加强高盐污水处理处置；废气应加强企业的粉尘、烟尘污染治理，</w:t>
      </w:r>
      <w:r>
        <w:t>开展金属制品业酸雾等工艺废气污染控制与治理</w:t>
      </w:r>
      <w:r>
        <w:rPr>
          <w:rFonts w:hint="eastAsia"/>
        </w:rPr>
        <w:t>；固体废物处置方面要求</w:t>
      </w:r>
      <w:r>
        <w:t>生活垃圾近期依托五五新镇生活垃圾填埋场进行处理</w:t>
      </w:r>
      <w:r>
        <w:rPr>
          <w:rFonts w:hint="eastAsia"/>
        </w:rPr>
        <w:t>，</w:t>
      </w:r>
      <w:r>
        <w:t>一般固体废物实行综合利用，对不可综合利用的一般固体废物，应送往一般工业固体废物处理处置场所，进行安全填埋处置</w:t>
      </w:r>
      <w:r>
        <w:rPr>
          <w:rFonts w:hint="eastAsia"/>
        </w:rPr>
        <w:t>；提高</w:t>
      </w:r>
      <w:r>
        <w:t>园区工业用水循环利用</w:t>
      </w:r>
      <w:r>
        <w:rPr>
          <w:rFonts w:hint="eastAsia"/>
        </w:rPr>
        <w:t>率，到2</w:t>
      </w:r>
      <w:r>
        <w:t>035</w:t>
      </w:r>
      <w:r>
        <w:rPr>
          <w:rFonts w:hint="eastAsia"/>
        </w:rPr>
        <w:t>年达到8</w:t>
      </w:r>
      <w:r>
        <w:t>0</w:t>
      </w:r>
      <w:r>
        <w:rPr>
          <w:rFonts w:hint="eastAsia"/>
        </w:rPr>
        <w:t>%。</w:t>
      </w:r>
    </w:p>
    <w:p w14:paraId="0C63A6C1">
      <w:pPr>
        <w:ind w:firstLine="480"/>
        <w:rPr>
          <w:rFonts w:hint="eastAsia"/>
        </w:rPr>
      </w:pPr>
      <w:r>
        <w:rPr>
          <w:rFonts w:hint="eastAsia"/>
        </w:rPr>
        <w:t>本项目不属于《产业结构调整指导目录（2024年本）》中的鼓励类、限制类及淘汰类，同时项目生产工艺装备不属于《产业结构调整指导目录（2024年本）》中规定的限制类和淘汰类设备和工艺。按照《促进产业结构调整暂行规定》（国发〔2005〕40号）中第十三条的规定：“不属于鼓励类、限制类和淘汰类，且符合国家有关法律、法规和政策规定的，为允许类”；本项目建设可完善园区产业链，保证区域润滑油和润滑脂的供应量，同时促进区域经济发展，酸雾采取了有效措施处理，固体废物均妥善处理。综上所述，本项目建设符合生态环境准入清单要求。</w:t>
      </w:r>
    </w:p>
    <w:p w14:paraId="279C039F">
      <w:pPr>
        <w:ind w:firstLine="480"/>
      </w:pPr>
      <w:r>
        <w:rPr>
          <w:rFonts w:hint="eastAsia"/>
        </w:rPr>
        <w:t>第七师胡杨河市环境管控单元分布见图1</w:t>
      </w:r>
      <w:r>
        <w:t>.4-</w:t>
      </w:r>
      <w:r>
        <w:rPr>
          <w:rFonts w:hint="eastAsia"/>
          <w:lang w:val="en-US" w:eastAsia="zh-CN"/>
        </w:rPr>
        <w:t>5</w:t>
      </w:r>
      <w:r>
        <w:rPr>
          <w:rFonts w:hint="eastAsia"/>
        </w:rPr>
        <w:t>。</w:t>
      </w:r>
    </w:p>
    <w:p w14:paraId="35F38651">
      <w:pPr>
        <w:pStyle w:val="49"/>
        <w:spacing w:before="0" w:beforeLines="0" w:after="0" w:afterLines="0"/>
      </w:pPr>
    </w:p>
    <w:p w14:paraId="46047E02">
      <w:pPr>
        <w:ind w:firstLine="480"/>
      </w:pPr>
      <w:r>
        <w:rPr>
          <w:rFonts w:hint="eastAsia"/>
        </w:rPr>
        <w:t>根据《新疆生产建设兵团水污染防治工作方案》要求，扎实推进河（湖）长制，坚持污染减排和生态扩容两手发力，加快工业、农业、生活污染源和水生态系统整治，保障饮用水安全，消除城市黑臭水体，减少污染严重水体和不达标水体。</w:t>
      </w:r>
    </w:p>
    <w:p w14:paraId="77E9B0B6">
      <w:pPr>
        <w:ind w:firstLine="480"/>
      </w:pPr>
      <w:r>
        <w:rPr>
          <w:rFonts w:hint="eastAsia"/>
        </w:rPr>
        <w:t>根据《新疆生产建设兵团土壤污染防治工作方案》要求，以保障农产品质量安全和人体健康为目标，突出重点区域、行业和污染物，有效管控农用地和城市建设用地土壤环境风险。</w:t>
      </w:r>
    </w:p>
    <w:p w14:paraId="6E895C10">
      <w:pPr>
        <w:ind w:firstLine="480"/>
      </w:pPr>
      <w:r>
        <w:rPr>
          <w:rFonts w:hint="eastAsia"/>
        </w:rPr>
        <w:t>本项目废气采用排污许可中推荐的泄漏检测与修复（LDAR）和油气回收治理工艺，废气治理工艺成熟可靠，能实现非甲烷总烃的达标排放，符合大气污染防治方案要求；废水经厂区污水处理站处理后排入园区污水处理厂进一步处理，符合水污染防治方案要求；本项目的建设用地是已规划的工业用地，对厂房进行重点防渗，符合土壤污染防治方案要求。综上所述，本项目符合《关于全面加强生态环境保护坚决打好污染防治攻坚战实施方案》要求。</w:t>
      </w:r>
    </w:p>
    <w:p w14:paraId="53061E58">
      <w:pPr>
        <w:pStyle w:val="41"/>
      </w:pPr>
      <w:bookmarkStart w:id="5" w:name="_Toc152864132"/>
      <w:r>
        <w:rPr>
          <w:rFonts w:hint="eastAsia"/>
        </w:rPr>
        <w:t>关注的主要环境问题</w:t>
      </w:r>
      <w:bookmarkEnd w:id="5"/>
    </w:p>
    <w:p w14:paraId="15378821">
      <w:pPr>
        <w:ind w:firstLine="480"/>
      </w:pPr>
      <w:r>
        <w:rPr>
          <w:rFonts w:hint="eastAsia"/>
        </w:rPr>
        <w:t>（1）准确、客观地评价项目所在地环境质量现状；</w:t>
      </w:r>
    </w:p>
    <w:p w14:paraId="6165CBDA">
      <w:pPr>
        <w:ind w:firstLine="480"/>
      </w:pPr>
      <w:r>
        <w:rPr>
          <w:rFonts w:hint="eastAsia"/>
        </w:rPr>
        <w:t>（2）依据环境影响预测结果分析本项目实施后对大气、水、声、土壤、生态环境的影响是否控制在可接受水平，明确本项目实施后对周围环境产生的影响程度；</w:t>
      </w:r>
    </w:p>
    <w:p w14:paraId="550522CB">
      <w:pPr>
        <w:ind w:firstLine="480"/>
      </w:pPr>
      <w:r>
        <w:rPr>
          <w:rFonts w:hint="eastAsia"/>
        </w:rPr>
        <w:t>（3）关注项目厂区防渗措施和要求，防止地下水和土壤被污染。</w:t>
      </w:r>
    </w:p>
    <w:p w14:paraId="407A1C9C">
      <w:pPr>
        <w:pStyle w:val="41"/>
      </w:pPr>
      <w:bookmarkStart w:id="6" w:name="_Toc152864133"/>
      <w:r>
        <w:rPr>
          <w:rFonts w:hint="eastAsia"/>
        </w:rPr>
        <w:t>环境影响评价的主要结论</w:t>
      </w:r>
      <w:bookmarkEnd w:id="6"/>
    </w:p>
    <w:p w14:paraId="0C52CC38">
      <w:pPr>
        <w:ind w:firstLine="480"/>
      </w:pPr>
      <w:r>
        <w:t>本项目符合国家产业政策，</w:t>
      </w:r>
      <w:r>
        <w:rPr>
          <w:rFonts w:hint="eastAsia"/>
        </w:rPr>
        <w:t>选址位于第七师胡杨河经济技术开发区南园区已规划的工业用地范围内</w:t>
      </w:r>
      <w:r>
        <w:t>，符合园区规划</w:t>
      </w:r>
      <w:r>
        <w:rPr>
          <w:rFonts w:hint="eastAsia"/>
        </w:rPr>
        <w:t>、规划环评及其审查意见</w:t>
      </w:r>
      <w:r>
        <w:t>；</w:t>
      </w:r>
      <w:r>
        <w:rPr>
          <w:rFonts w:hint="eastAsia"/>
        </w:rPr>
        <w:t>采用的工艺技术成熟可行，符合清洁生产要求。在严格落实报告书中的各项污染防治措施的前提下，能够实现污染物的稳定达标排放。严格执行环保“三同时”制度，落实好各项风险防范措施和事故应急计划的前提下，从环保角度而言，本项目建设可行。</w:t>
      </w:r>
    </w:p>
    <w:p w14:paraId="01269278">
      <w:pPr>
        <w:ind w:firstLine="480"/>
      </w:pPr>
    </w:p>
    <w:p w14:paraId="03E2CF89">
      <w:pPr>
        <w:ind w:firstLine="480"/>
        <w:sectPr>
          <w:footerReference r:id="rId13" w:type="default"/>
          <w:pgSz w:w="11906" w:h="16838"/>
          <w:pgMar w:top="1440" w:right="1588" w:bottom="1440" w:left="1588" w:header="851" w:footer="592" w:gutter="0"/>
          <w:pgBorders>
            <w:top w:val="none" w:sz="0" w:space="0"/>
            <w:left w:val="none" w:sz="0" w:space="0"/>
            <w:bottom w:val="none" w:sz="0" w:space="0"/>
            <w:right w:val="none" w:sz="0" w:space="0"/>
          </w:pgBorders>
          <w:pgNumType w:fmt="numberInDash" w:start="7"/>
          <w:cols w:space="425" w:num="1"/>
          <w:docGrid w:type="linesAndChars" w:linePitch="326" w:charSpace="0"/>
        </w:sectPr>
      </w:pPr>
    </w:p>
    <w:p w14:paraId="2C8B3444">
      <w:pPr>
        <w:pStyle w:val="40"/>
      </w:pPr>
      <w:bookmarkStart w:id="7" w:name="_Toc152864134"/>
      <w:r>
        <w:rPr>
          <w:rFonts w:hint="eastAsia"/>
        </w:rPr>
        <w:t>总则</w:t>
      </w:r>
      <w:bookmarkEnd w:id="7"/>
    </w:p>
    <w:p w14:paraId="351A23D6">
      <w:pPr>
        <w:pStyle w:val="41"/>
      </w:pPr>
      <w:bookmarkStart w:id="8" w:name="_Toc152864135"/>
      <w:r>
        <w:rPr>
          <w:rFonts w:hint="eastAsia"/>
        </w:rPr>
        <w:t>评价原则</w:t>
      </w:r>
      <w:bookmarkEnd w:id="8"/>
    </w:p>
    <w:p w14:paraId="5C80C541">
      <w:pPr>
        <w:ind w:firstLine="480"/>
      </w:pPr>
      <w:r>
        <w:rPr>
          <w:rFonts w:hint="eastAsia"/>
        </w:rPr>
        <w:t>（1）依法评价</w:t>
      </w:r>
    </w:p>
    <w:p w14:paraId="57D69D70">
      <w:pPr>
        <w:ind w:firstLine="480"/>
      </w:pPr>
      <w:r>
        <w:rPr>
          <w:rFonts w:hint="eastAsia"/>
        </w:rPr>
        <w:t>贯彻执行我国环境保护相关法律法规、标准、政策和规划等，优化项目建设，服务环境管理。</w:t>
      </w:r>
    </w:p>
    <w:p w14:paraId="6556CFB5">
      <w:pPr>
        <w:ind w:firstLine="480"/>
      </w:pPr>
      <w:r>
        <w:rPr>
          <w:rFonts w:hint="eastAsia"/>
        </w:rPr>
        <w:t>（2）科学评价</w:t>
      </w:r>
    </w:p>
    <w:p w14:paraId="27BE1030">
      <w:pPr>
        <w:ind w:firstLine="480"/>
      </w:pPr>
      <w:r>
        <w:rPr>
          <w:rFonts w:hint="eastAsia"/>
        </w:rPr>
        <w:t>规范</w:t>
      </w:r>
      <w:r>
        <w:t>环境影响评价方法，科学分析项目建设对环境质量的影响。</w:t>
      </w:r>
    </w:p>
    <w:p w14:paraId="65C28FDB">
      <w:pPr>
        <w:ind w:firstLine="480"/>
      </w:pPr>
      <w:r>
        <w:rPr>
          <w:rFonts w:hint="eastAsia"/>
        </w:rPr>
        <w:t>（3）突出重点</w:t>
      </w:r>
    </w:p>
    <w:p w14:paraId="34ACAAAD">
      <w:pPr>
        <w:ind w:firstLine="480"/>
      </w:pPr>
      <w:r>
        <w:rPr>
          <w:rFonts w:hint="eastAsia"/>
        </w:rPr>
        <w:t>根据</w:t>
      </w:r>
      <w:r>
        <w:t>建设项目的工程内容及其特点，明确与</w:t>
      </w:r>
      <w:r>
        <w:rPr>
          <w:rFonts w:hint="eastAsia"/>
        </w:rPr>
        <w:t>环境</w:t>
      </w:r>
      <w:r>
        <w:t>要素间的作用效应关系，根据规划环境影响评价结论和审查意见，充分利用符合时效的数据资料及成果，对建设项目主要环境影响予以重点分析和评价。</w:t>
      </w:r>
    </w:p>
    <w:p w14:paraId="08EB9879">
      <w:pPr>
        <w:pStyle w:val="41"/>
      </w:pPr>
      <w:bookmarkStart w:id="9" w:name="_Toc152864136"/>
      <w:r>
        <w:rPr>
          <w:rFonts w:hint="eastAsia"/>
        </w:rPr>
        <w:t>编制依据</w:t>
      </w:r>
      <w:bookmarkEnd w:id="9"/>
    </w:p>
    <w:p w14:paraId="284F55F5">
      <w:pPr>
        <w:pStyle w:val="43"/>
      </w:pPr>
      <w:bookmarkStart w:id="10" w:name="_Toc82518693"/>
      <w:bookmarkStart w:id="11" w:name="_Toc80193017"/>
      <w:bookmarkStart w:id="12" w:name="_Toc79515389"/>
      <w:bookmarkStart w:id="13" w:name="_Toc81214012"/>
      <w:bookmarkStart w:id="14" w:name="_Toc77007731"/>
      <w:bookmarkStart w:id="15" w:name="_Toc80973444"/>
      <w:bookmarkStart w:id="16" w:name="_Toc152864137"/>
      <w:r>
        <w:rPr>
          <w:rFonts w:hint="eastAsia"/>
        </w:rPr>
        <w:t>国家法律、法规及政策</w:t>
      </w:r>
      <w:bookmarkEnd w:id="10"/>
      <w:bookmarkEnd w:id="11"/>
      <w:bookmarkEnd w:id="12"/>
      <w:bookmarkEnd w:id="13"/>
      <w:bookmarkEnd w:id="14"/>
      <w:bookmarkEnd w:id="15"/>
      <w:bookmarkEnd w:id="16"/>
    </w:p>
    <w:p w14:paraId="693EEE72">
      <w:pPr>
        <w:numPr>
          <w:ilvl w:val="0"/>
          <w:numId w:val="4"/>
        </w:numPr>
        <w:ind w:firstLineChars="0"/>
      </w:pPr>
      <w:r>
        <w:rPr>
          <w:rFonts w:hint="eastAsia"/>
        </w:rPr>
        <w:t>《中华人民共和国环境保护法》，2015年1月1日实施；</w:t>
      </w:r>
    </w:p>
    <w:p w14:paraId="5F98C67C">
      <w:pPr>
        <w:numPr>
          <w:ilvl w:val="0"/>
          <w:numId w:val="4"/>
        </w:numPr>
        <w:ind w:firstLineChars="0"/>
      </w:pPr>
      <w:r>
        <w:rPr>
          <w:rFonts w:hint="eastAsia"/>
        </w:rPr>
        <w:t>《中华人民共和国环境影响评价法》，2018年12月29日；</w:t>
      </w:r>
    </w:p>
    <w:p w14:paraId="5992C3E4">
      <w:pPr>
        <w:numPr>
          <w:ilvl w:val="0"/>
          <w:numId w:val="4"/>
        </w:numPr>
        <w:ind w:firstLineChars="0"/>
      </w:pPr>
      <w:r>
        <w:rPr>
          <w:rFonts w:hint="eastAsia"/>
        </w:rPr>
        <w:t>《中华人民共和国大气污染防治法》，2018年10月26日；</w:t>
      </w:r>
    </w:p>
    <w:p w14:paraId="60A44431">
      <w:pPr>
        <w:numPr>
          <w:ilvl w:val="0"/>
          <w:numId w:val="4"/>
        </w:numPr>
        <w:ind w:firstLineChars="0"/>
      </w:pPr>
      <w:r>
        <w:rPr>
          <w:rFonts w:hint="eastAsia"/>
        </w:rPr>
        <w:t>《中华人民共和国水污染防治法》，2018年6月1日；</w:t>
      </w:r>
    </w:p>
    <w:p w14:paraId="2AA05A89">
      <w:pPr>
        <w:numPr>
          <w:ilvl w:val="0"/>
          <w:numId w:val="4"/>
        </w:numPr>
        <w:ind w:firstLineChars="0"/>
      </w:pPr>
      <w:r>
        <w:rPr>
          <w:rFonts w:hint="eastAsia"/>
        </w:rPr>
        <w:t>《中华人民共和国噪声污染防治法》</w:t>
      </w:r>
      <w:r>
        <w:t>，20</w:t>
      </w:r>
      <w:r>
        <w:rPr>
          <w:rFonts w:hint="eastAsia"/>
        </w:rPr>
        <w:t>22</w:t>
      </w:r>
      <w:r>
        <w:t>年</w:t>
      </w:r>
      <w:r>
        <w:rPr>
          <w:rFonts w:hint="eastAsia"/>
        </w:rPr>
        <w:t>6</w:t>
      </w:r>
      <w:r>
        <w:t>月</w:t>
      </w:r>
      <w:r>
        <w:rPr>
          <w:rFonts w:hint="eastAsia"/>
        </w:rPr>
        <w:t>5</w:t>
      </w:r>
      <w:r>
        <w:t>日</w:t>
      </w:r>
      <w:r>
        <w:rPr>
          <w:rFonts w:hint="eastAsia"/>
        </w:rPr>
        <w:t>；</w:t>
      </w:r>
    </w:p>
    <w:p w14:paraId="1BFADED6">
      <w:pPr>
        <w:numPr>
          <w:ilvl w:val="0"/>
          <w:numId w:val="4"/>
        </w:numPr>
        <w:ind w:firstLineChars="0"/>
      </w:pPr>
      <w:r>
        <w:rPr>
          <w:rFonts w:hint="eastAsia"/>
        </w:rPr>
        <w:t>《中华人民共和国固体废物污染环境防治法》，2020年9月1日；</w:t>
      </w:r>
    </w:p>
    <w:p w14:paraId="3FACC547">
      <w:pPr>
        <w:numPr>
          <w:ilvl w:val="0"/>
          <w:numId w:val="4"/>
        </w:numPr>
        <w:ind w:firstLineChars="0"/>
      </w:pPr>
      <w:r>
        <w:rPr>
          <w:rFonts w:hint="eastAsia"/>
        </w:rPr>
        <w:t>《中华人民共和国土壤污染防治法》，2</w:t>
      </w:r>
      <w:r>
        <w:t>019</w:t>
      </w:r>
      <w:r>
        <w:rPr>
          <w:rFonts w:hint="eastAsia"/>
        </w:rPr>
        <w:t>年1月1日；</w:t>
      </w:r>
    </w:p>
    <w:p w14:paraId="15834708">
      <w:pPr>
        <w:numPr>
          <w:ilvl w:val="0"/>
          <w:numId w:val="4"/>
        </w:numPr>
        <w:ind w:firstLineChars="0"/>
      </w:pPr>
      <w:r>
        <w:rPr>
          <w:rFonts w:hint="eastAsia"/>
        </w:rPr>
        <w:t>《中华人民共和国防沙治沙法》，2</w:t>
      </w:r>
      <w:r>
        <w:t>018</w:t>
      </w:r>
      <w:r>
        <w:rPr>
          <w:rFonts w:hint="eastAsia"/>
        </w:rPr>
        <w:t>年1</w:t>
      </w:r>
      <w:r>
        <w:t>0</w:t>
      </w:r>
      <w:r>
        <w:rPr>
          <w:rFonts w:hint="eastAsia"/>
        </w:rPr>
        <w:t>月2</w:t>
      </w:r>
      <w:r>
        <w:t>6</w:t>
      </w:r>
      <w:r>
        <w:rPr>
          <w:rFonts w:hint="eastAsia"/>
        </w:rPr>
        <w:t>日；</w:t>
      </w:r>
    </w:p>
    <w:p w14:paraId="44532319">
      <w:pPr>
        <w:numPr>
          <w:ilvl w:val="0"/>
          <w:numId w:val="4"/>
        </w:numPr>
        <w:ind w:firstLineChars="0"/>
      </w:pPr>
      <w:r>
        <w:rPr>
          <w:rFonts w:hint="eastAsia"/>
        </w:rPr>
        <w:t>《中华人民共和国节约能源法》，2</w:t>
      </w:r>
      <w:r>
        <w:t>018</w:t>
      </w:r>
      <w:r>
        <w:rPr>
          <w:rFonts w:hint="eastAsia"/>
        </w:rPr>
        <w:t>年1</w:t>
      </w:r>
      <w:r>
        <w:t>0</w:t>
      </w:r>
      <w:r>
        <w:rPr>
          <w:rFonts w:hint="eastAsia"/>
        </w:rPr>
        <w:t>月2</w:t>
      </w:r>
      <w:r>
        <w:t>6</w:t>
      </w:r>
      <w:r>
        <w:rPr>
          <w:rFonts w:hint="eastAsia"/>
        </w:rPr>
        <w:t>日；</w:t>
      </w:r>
    </w:p>
    <w:p w14:paraId="2D1E59B5">
      <w:pPr>
        <w:numPr>
          <w:ilvl w:val="0"/>
          <w:numId w:val="4"/>
        </w:numPr>
        <w:ind w:firstLineChars="0"/>
      </w:pPr>
      <w:r>
        <w:t>《中华人民共和国安全生产法</w:t>
      </w:r>
      <w:r>
        <w:rPr>
          <w:rFonts w:hint="eastAsia"/>
        </w:rPr>
        <w:t>》</w:t>
      </w:r>
      <w:r>
        <w:t>，20</w:t>
      </w:r>
      <w:r>
        <w:rPr>
          <w:rFonts w:hint="eastAsia"/>
        </w:rPr>
        <w:t>21</w:t>
      </w:r>
      <w:r>
        <w:t>年</w:t>
      </w:r>
      <w:r>
        <w:rPr>
          <w:rFonts w:hint="eastAsia"/>
        </w:rPr>
        <w:t>6</w:t>
      </w:r>
      <w:r>
        <w:t>月1</w:t>
      </w:r>
      <w:r>
        <w:rPr>
          <w:rFonts w:hint="eastAsia"/>
        </w:rPr>
        <w:t>0</w:t>
      </w:r>
      <w:r>
        <w:t>日</w:t>
      </w:r>
      <w:r>
        <w:rPr>
          <w:rFonts w:hint="eastAsia"/>
        </w:rPr>
        <w:t>；</w:t>
      </w:r>
    </w:p>
    <w:p w14:paraId="064AF671">
      <w:pPr>
        <w:numPr>
          <w:ilvl w:val="0"/>
          <w:numId w:val="4"/>
        </w:numPr>
        <w:ind w:firstLineChars="0"/>
      </w:pPr>
      <w:r>
        <w:rPr>
          <w:rFonts w:hint="eastAsia"/>
        </w:rPr>
        <w:t>《中华人民共和国清洁生产促进法》，2012年7月1日；</w:t>
      </w:r>
    </w:p>
    <w:p w14:paraId="4BFBCA82">
      <w:pPr>
        <w:numPr>
          <w:ilvl w:val="0"/>
          <w:numId w:val="4"/>
        </w:numPr>
        <w:ind w:firstLineChars="0"/>
      </w:pPr>
      <w:r>
        <w:rPr>
          <w:rFonts w:hint="eastAsia"/>
        </w:rPr>
        <w:t>《中华人民共和国水法》，2016年7月2日；</w:t>
      </w:r>
    </w:p>
    <w:p w14:paraId="0629BFEC">
      <w:pPr>
        <w:numPr>
          <w:ilvl w:val="0"/>
          <w:numId w:val="4"/>
        </w:numPr>
        <w:ind w:firstLineChars="0"/>
      </w:pPr>
      <w:r>
        <w:rPr>
          <w:rFonts w:hint="eastAsia"/>
        </w:rPr>
        <w:t>《中华人民共和国安全生产法》，</w:t>
      </w:r>
      <w:r>
        <w:t>2021</w:t>
      </w:r>
      <w:r>
        <w:rPr>
          <w:rFonts w:hint="eastAsia"/>
        </w:rPr>
        <w:t>年</w:t>
      </w:r>
      <w:r>
        <w:t>9</w:t>
      </w:r>
      <w:r>
        <w:rPr>
          <w:rFonts w:hint="eastAsia"/>
        </w:rPr>
        <w:t>月1日；</w:t>
      </w:r>
    </w:p>
    <w:p w14:paraId="1010EE32">
      <w:pPr>
        <w:numPr>
          <w:ilvl w:val="0"/>
          <w:numId w:val="4"/>
        </w:numPr>
        <w:ind w:firstLineChars="0"/>
      </w:pPr>
      <w:r>
        <w:rPr>
          <w:rFonts w:hint="eastAsia"/>
        </w:rPr>
        <w:t>《中华人民共和国土地管理法》，2020年1月1日；</w:t>
      </w:r>
    </w:p>
    <w:p w14:paraId="38CE7122">
      <w:pPr>
        <w:numPr>
          <w:ilvl w:val="0"/>
          <w:numId w:val="4"/>
        </w:numPr>
        <w:ind w:firstLineChars="0"/>
      </w:pPr>
      <w:r>
        <w:rPr>
          <w:rFonts w:hint="eastAsia"/>
        </w:rPr>
        <w:t>《中华人民共和国循环经济促进法》，2018年10月26日；</w:t>
      </w:r>
    </w:p>
    <w:p w14:paraId="130945F3">
      <w:pPr>
        <w:numPr>
          <w:ilvl w:val="0"/>
          <w:numId w:val="4"/>
        </w:numPr>
        <w:ind w:firstLineChars="0"/>
      </w:pPr>
      <w:r>
        <w:rPr>
          <w:rFonts w:hint="eastAsia"/>
        </w:rPr>
        <w:t>《建设项目环境保护管理条例》，2017年10月1日；</w:t>
      </w:r>
    </w:p>
    <w:p w14:paraId="5B07B6C6">
      <w:pPr>
        <w:numPr>
          <w:ilvl w:val="0"/>
          <w:numId w:val="4"/>
        </w:numPr>
        <w:ind w:firstLineChars="0"/>
      </w:pPr>
      <w:r>
        <w:rPr>
          <w:rFonts w:hint="eastAsia"/>
        </w:rPr>
        <w:t>《排污许可管理条例》，2</w:t>
      </w:r>
      <w:r>
        <w:t>021</w:t>
      </w:r>
      <w:r>
        <w:rPr>
          <w:rFonts w:hint="eastAsia"/>
        </w:rPr>
        <w:t>年3月1日；</w:t>
      </w:r>
    </w:p>
    <w:p w14:paraId="2602E519">
      <w:pPr>
        <w:numPr>
          <w:ilvl w:val="0"/>
          <w:numId w:val="4"/>
        </w:numPr>
        <w:ind w:firstLineChars="0"/>
      </w:pPr>
      <w:r>
        <w:rPr>
          <w:rFonts w:hint="eastAsia"/>
        </w:rPr>
        <w:t>《建设项目环境影响评价分类管理名录（2021年版）》，2021年1月1日；</w:t>
      </w:r>
    </w:p>
    <w:p w14:paraId="51B32563">
      <w:pPr>
        <w:numPr>
          <w:ilvl w:val="0"/>
          <w:numId w:val="4"/>
        </w:numPr>
        <w:ind w:firstLineChars="0"/>
      </w:pPr>
      <w:r>
        <w:rPr>
          <w:rFonts w:hint="eastAsia"/>
        </w:rPr>
        <w:t>《国务院关于印发水污染防治行动计划的通知》，国发〔2015〕17号；</w:t>
      </w:r>
    </w:p>
    <w:p w14:paraId="29933E8F">
      <w:pPr>
        <w:numPr>
          <w:ilvl w:val="0"/>
          <w:numId w:val="4"/>
        </w:numPr>
        <w:ind w:firstLineChars="0"/>
      </w:pPr>
      <w:r>
        <w:rPr>
          <w:rFonts w:hint="eastAsia"/>
        </w:rPr>
        <w:t>《国务院关于印发土壤污染防治行动计划的通知》，国发〔2016〕31号；</w:t>
      </w:r>
    </w:p>
    <w:p w14:paraId="6F0FF91B">
      <w:pPr>
        <w:numPr>
          <w:ilvl w:val="0"/>
          <w:numId w:val="4"/>
        </w:numPr>
        <w:ind w:firstLineChars="0"/>
      </w:pPr>
      <w:r>
        <w:rPr>
          <w:rFonts w:hint="eastAsia"/>
        </w:rPr>
        <w:t>《环境影响评价公众参与办法》，2019年1月1日；</w:t>
      </w:r>
    </w:p>
    <w:p w14:paraId="314EBF0C">
      <w:pPr>
        <w:numPr>
          <w:ilvl w:val="0"/>
          <w:numId w:val="4"/>
        </w:numPr>
        <w:ind w:firstLineChars="0"/>
      </w:pPr>
      <w:r>
        <w:rPr>
          <w:rFonts w:hint="eastAsia"/>
        </w:rPr>
        <w:t>《中共中央办公厅 国务院办公厅关于划定并严守生态保护红线的若干意见》，2</w:t>
      </w:r>
      <w:r>
        <w:t>017</w:t>
      </w:r>
      <w:r>
        <w:rPr>
          <w:rFonts w:hint="eastAsia"/>
        </w:rPr>
        <w:t>年2月7日；</w:t>
      </w:r>
    </w:p>
    <w:p w14:paraId="3D67A0A7">
      <w:pPr>
        <w:numPr>
          <w:ilvl w:val="0"/>
          <w:numId w:val="4"/>
        </w:numPr>
        <w:ind w:firstLineChars="0"/>
      </w:pPr>
      <w:r>
        <w:rPr>
          <w:rFonts w:hint="eastAsia"/>
        </w:rPr>
        <w:t>《关于加强高耗能、高排放建设项目生态环境源头防控的指导意见》，环环评〔20</w:t>
      </w:r>
      <w:r>
        <w:t>21</w:t>
      </w:r>
      <w:r>
        <w:rPr>
          <w:rFonts w:hint="eastAsia"/>
        </w:rPr>
        <w:t>〕4</w:t>
      </w:r>
      <w:r>
        <w:t>5</w:t>
      </w:r>
      <w:r>
        <w:rPr>
          <w:rFonts w:hint="eastAsia"/>
        </w:rPr>
        <w:t>号，2</w:t>
      </w:r>
      <w:r>
        <w:t>021</w:t>
      </w:r>
      <w:r>
        <w:rPr>
          <w:rFonts w:hint="eastAsia"/>
        </w:rPr>
        <w:t>年5月3</w:t>
      </w:r>
      <w:r>
        <w:t>1</w:t>
      </w:r>
      <w:r>
        <w:rPr>
          <w:rFonts w:hint="eastAsia"/>
        </w:rPr>
        <w:t>日；</w:t>
      </w:r>
    </w:p>
    <w:p w14:paraId="6B61C8F1">
      <w:pPr>
        <w:numPr>
          <w:ilvl w:val="0"/>
          <w:numId w:val="4"/>
        </w:numPr>
        <w:ind w:firstLineChars="0"/>
      </w:pPr>
      <w:r>
        <w:rPr>
          <w:rFonts w:hint="eastAsia"/>
        </w:rPr>
        <w:t>《排污许可证管理办法（试行）》，环境保护部令第48号，2</w:t>
      </w:r>
      <w:r>
        <w:t>017</w:t>
      </w:r>
      <w:r>
        <w:rPr>
          <w:rFonts w:hint="eastAsia"/>
        </w:rPr>
        <w:t>年1</w:t>
      </w:r>
      <w:r>
        <w:t>1</w:t>
      </w:r>
      <w:r>
        <w:rPr>
          <w:rFonts w:hint="eastAsia"/>
        </w:rPr>
        <w:t>月6日；</w:t>
      </w:r>
    </w:p>
    <w:p w14:paraId="21697F74">
      <w:pPr>
        <w:numPr>
          <w:ilvl w:val="0"/>
          <w:numId w:val="4"/>
        </w:numPr>
        <w:ind w:firstLineChars="0"/>
      </w:pPr>
      <w:r>
        <w:rPr>
          <w:rFonts w:hint="eastAsia"/>
        </w:rPr>
        <w:t>国务院办公厅关于印发《控制污染物排放许可制实施方案》的通知，国办发〔2016〕81号，2</w:t>
      </w:r>
      <w:r>
        <w:t>016</w:t>
      </w:r>
      <w:r>
        <w:rPr>
          <w:rFonts w:hint="eastAsia"/>
        </w:rPr>
        <w:t>年1</w:t>
      </w:r>
      <w:r>
        <w:t>1</w:t>
      </w:r>
      <w:r>
        <w:rPr>
          <w:rFonts w:hint="eastAsia"/>
        </w:rPr>
        <w:t>月2</w:t>
      </w:r>
      <w:r>
        <w:t>1</w:t>
      </w:r>
      <w:r>
        <w:rPr>
          <w:rFonts w:hint="eastAsia"/>
        </w:rPr>
        <w:t>日；</w:t>
      </w:r>
    </w:p>
    <w:p w14:paraId="76AA6C7D">
      <w:pPr>
        <w:numPr>
          <w:ilvl w:val="0"/>
          <w:numId w:val="4"/>
        </w:numPr>
        <w:ind w:firstLineChars="0"/>
      </w:pPr>
      <w:r>
        <w:rPr>
          <w:rFonts w:hint="eastAsia"/>
        </w:rPr>
        <w:t>《建设项目竣工环境保护验收暂行办法》，</w:t>
      </w:r>
      <w:r>
        <w:t>国环规环评</w:t>
      </w:r>
      <w:r>
        <w:rPr>
          <w:rFonts w:hint="eastAsia"/>
        </w:rPr>
        <w:t>〔</w:t>
      </w:r>
      <w:r>
        <w:t>2017</w:t>
      </w:r>
      <w:r>
        <w:rPr>
          <w:rFonts w:hint="eastAsia"/>
        </w:rPr>
        <w:t>〕</w:t>
      </w:r>
      <w:r>
        <w:t>4号</w:t>
      </w:r>
      <w:r>
        <w:rPr>
          <w:rFonts w:hint="eastAsia"/>
        </w:rPr>
        <w:t>，2</w:t>
      </w:r>
      <w:r>
        <w:t>017</w:t>
      </w:r>
      <w:r>
        <w:rPr>
          <w:rFonts w:hint="eastAsia"/>
        </w:rPr>
        <w:t>年1</w:t>
      </w:r>
      <w:r>
        <w:t>1</w:t>
      </w:r>
      <w:r>
        <w:rPr>
          <w:rFonts w:hint="eastAsia"/>
        </w:rPr>
        <w:t>月2</w:t>
      </w:r>
      <w:r>
        <w:t>2</w:t>
      </w:r>
      <w:r>
        <w:rPr>
          <w:rFonts w:hint="eastAsia"/>
        </w:rPr>
        <w:t>日；</w:t>
      </w:r>
    </w:p>
    <w:p w14:paraId="35D8EA50">
      <w:pPr>
        <w:numPr>
          <w:ilvl w:val="0"/>
          <w:numId w:val="4"/>
        </w:numPr>
        <w:ind w:firstLineChars="0"/>
      </w:pPr>
      <w:r>
        <w:rPr>
          <w:rFonts w:hint="eastAsia"/>
        </w:rPr>
        <w:t>国家发展改革委 商务部关于印发《市场准入负面清单（</w:t>
      </w:r>
      <w:r>
        <w:t>2020</w:t>
      </w:r>
      <w:r>
        <w:rPr>
          <w:rFonts w:hint="eastAsia"/>
        </w:rPr>
        <w:t>年版）》的通知，发改体改〔</w:t>
      </w:r>
      <w:r>
        <w:t>2020</w:t>
      </w:r>
      <w:r>
        <w:rPr>
          <w:rFonts w:hint="eastAsia"/>
        </w:rPr>
        <w:t>〕1</w:t>
      </w:r>
      <w:r>
        <w:t>880</w:t>
      </w:r>
      <w:r>
        <w:rPr>
          <w:rFonts w:hint="eastAsia"/>
        </w:rPr>
        <w:t>号，2</w:t>
      </w:r>
      <w:r>
        <w:t>020</w:t>
      </w:r>
      <w:r>
        <w:rPr>
          <w:rFonts w:hint="eastAsia"/>
        </w:rPr>
        <w:t>年</w:t>
      </w:r>
      <w:r>
        <w:t>12</w:t>
      </w:r>
      <w:r>
        <w:rPr>
          <w:rFonts w:hint="eastAsia"/>
        </w:rPr>
        <w:t>月</w:t>
      </w:r>
      <w:r>
        <w:t>10</w:t>
      </w:r>
      <w:r>
        <w:rPr>
          <w:rFonts w:hint="eastAsia"/>
        </w:rPr>
        <w:t>日；</w:t>
      </w:r>
    </w:p>
    <w:p w14:paraId="6BE10884">
      <w:pPr>
        <w:numPr>
          <w:ilvl w:val="0"/>
          <w:numId w:val="4"/>
        </w:numPr>
        <w:ind w:firstLineChars="0"/>
      </w:pPr>
      <w:r>
        <w:rPr>
          <w:rFonts w:hint="eastAsia"/>
        </w:rPr>
        <w:t>《产业结构调整指导目录（2019年本）》（2</w:t>
      </w:r>
      <w:r>
        <w:t>021</w:t>
      </w:r>
      <w:r>
        <w:rPr>
          <w:rFonts w:hint="eastAsia"/>
        </w:rPr>
        <w:t>年修订），2</w:t>
      </w:r>
      <w:r>
        <w:t>019</w:t>
      </w:r>
      <w:r>
        <w:rPr>
          <w:rFonts w:hint="eastAsia"/>
        </w:rPr>
        <w:t>年1</w:t>
      </w:r>
      <w:r>
        <w:t>0</w:t>
      </w:r>
      <w:r>
        <w:rPr>
          <w:rFonts w:hint="eastAsia"/>
        </w:rPr>
        <w:t>月3</w:t>
      </w:r>
      <w:r>
        <w:t>0</w:t>
      </w:r>
      <w:r>
        <w:rPr>
          <w:rFonts w:hint="eastAsia"/>
        </w:rPr>
        <w:t>日；</w:t>
      </w:r>
    </w:p>
    <w:p w14:paraId="03B99D08">
      <w:pPr>
        <w:numPr>
          <w:ilvl w:val="0"/>
          <w:numId w:val="4"/>
        </w:numPr>
        <w:ind w:firstLineChars="0"/>
      </w:pPr>
      <w:r>
        <w:rPr>
          <w:rFonts w:hint="eastAsia"/>
        </w:rPr>
        <w:t>《国家危险废物名录（2021年版）》，2</w:t>
      </w:r>
      <w:r>
        <w:t>021</w:t>
      </w:r>
      <w:r>
        <w:rPr>
          <w:rFonts w:hint="eastAsia"/>
        </w:rPr>
        <w:t>年1月1日；</w:t>
      </w:r>
    </w:p>
    <w:p w14:paraId="1D0D9605">
      <w:pPr>
        <w:numPr>
          <w:ilvl w:val="0"/>
          <w:numId w:val="4"/>
        </w:numPr>
        <w:ind w:firstLineChars="0"/>
      </w:pPr>
      <w:r>
        <w:rPr>
          <w:rFonts w:hint="eastAsia"/>
        </w:rPr>
        <w:t>《固定污染源排污许可分类管理名录》，2</w:t>
      </w:r>
      <w:r>
        <w:t>019</w:t>
      </w:r>
      <w:r>
        <w:rPr>
          <w:rFonts w:hint="eastAsia"/>
        </w:rPr>
        <w:t>年1</w:t>
      </w:r>
      <w:r>
        <w:t>2</w:t>
      </w:r>
      <w:r>
        <w:rPr>
          <w:rFonts w:hint="eastAsia"/>
        </w:rPr>
        <w:t>月2</w:t>
      </w:r>
      <w:r>
        <w:t>0</w:t>
      </w:r>
      <w:r>
        <w:rPr>
          <w:rFonts w:hint="eastAsia"/>
        </w:rPr>
        <w:t>日；</w:t>
      </w:r>
    </w:p>
    <w:p w14:paraId="78B753AD">
      <w:pPr>
        <w:numPr>
          <w:ilvl w:val="0"/>
          <w:numId w:val="4"/>
        </w:numPr>
        <w:ind w:firstLineChars="0"/>
      </w:pPr>
      <w:r>
        <w:rPr>
          <w:rFonts w:hint="eastAsia"/>
        </w:rPr>
        <w:t>《危险化学品目录（2</w:t>
      </w:r>
      <w:r>
        <w:t>015</w:t>
      </w:r>
      <w:r>
        <w:rPr>
          <w:rFonts w:hint="eastAsia"/>
        </w:rPr>
        <w:t>版）》，2</w:t>
      </w:r>
      <w:r>
        <w:t>015</w:t>
      </w:r>
      <w:r>
        <w:rPr>
          <w:rFonts w:hint="eastAsia"/>
        </w:rPr>
        <w:t>年5月1日；</w:t>
      </w:r>
    </w:p>
    <w:p w14:paraId="2B2445EF">
      <w:pPr>
        <w:numPr>
          <w:ilvl w:val="0"/>
          <w:numId w:val="4"/>
        </w:numPr>
        <w:ind w:firstLineChars="0"/>
      </w:pPr>
      <w:r>
        <w:rPr>
          <w:rFonts w:hint="eastAsia"/>
        </w:rPr>
        <w:t>《关于做好环境影响评价制度与排污许可制衔接相关工作的通知》，环办环评〔2017〕84号；</w:t>
      </w:r>
    </w:p>
    <w:p w14:paraId="2F1E49DB">
      <w:pPr>
        <w:numPr>
          <w:ilvl w:val="0"/>
          <w:numId w:val="4"/>
        </w:numPr>
        <w:ind w:firstLineChars="0"/>
      </w:pPr>
      <w:r>
        <w:rPr>
          <w:rFonts w:hint="eastAsia"/>
        </w:rPr>
        <w:t>《中共中央 国务院关于全面加强生态环境保护 坚决打好污染防治攻坚战的意见》，2</w:t>
      </w:r>
      <w:r>
        <w:t>018</w:t>
      </w:r>
      <w:r>
        <w:rPr>
          <w:rFonts w:hint="eastAsia"/>
        </w:rPr>
        <w:t>年6月1</w:t>
      </w:r>
      <w:r>
        <w:t>6</w:t>
      </w:r>
      <w:r>
        <w:rPr>
          <w:rFonts w:hint="eastAsia"/>
        </w:rPr>
        <w:t>日。</w:t>
      </w:r>
    </w:p>
    <w:p w14:paraId="506AE8CB">
      <w:pPr>
        <w:pStyle w:val="43"/>
      </w:pPr>
      <w:bookmarkStart w:id="17" w:name="_Toc79515390"/>
      <w:bookmarkStart w:id="18" w:name="_Toc82518694"/>
      <w:bookmarkStart w:id="19" w:name="_Toc77007732"/>
      <w:bookmarkStart w:id="20" w:name="_Toc80973445"/>
      <w:bookmarkStart w:id="21" w:name="_Toc81214013"/>
      <w:bookmarkStart w:id="22" w:name="_Toc80193018"/>
      <w:bookmarkStart w:id="23" w:name="_Toc152864138"/>
      <w:r>
        <w:rPr>
          <w:rFonts w:hint="eastAsia"/>
        </w:rPr>
        <w:t>地方法律、法规及政策</w:t>
      </w:r>
      <w:bookmarkEnd w:id="17"/>
      <w:bookmarkEnd w:id="18"/>
      <w:bookmarkEnd w:id="19"/>
      <w:bookmarkEnd w:id="20"/>
      <w:bookmarkEnd w:id="21"/>
      <w:bookmarkEnd w:id="22"/>
      <w:bookmarkEnd w:id="23"/>
    </w:p>
    <w:p w14:paraId="05900A90">
      <w:pPr>
        <w:numPr>
          <w:ilvl w:val="0"/>
          <w:numId w:val="5"/>
        </w:numPr>
        <w:ind w:firstLineChars="0"/>
      </w:pPr>
      <w:r>
        <w:rPr>
          <w:rFonts w:hint="eastAsia"/>
        </w:rPr>
        <w:t>《新疆维吾尔自治区环境保护管理条例》，新疆维吾尔自治区十一届人大常委会公告第43号，自2018年9月21日起施行；</w:t>
      </w:r>
    </w:p>
    <w:p w14:paraId="1947F999">
      <w:pPr>
        <w:numPr>
          <w:ilvl w:val="0"/>
          <w:numId w:val="5"/>
        </w:numPr>
        <w:ind w:firstLineChars="0"/>
      </w:pPr>
      <w:r>
        <w:rPr>
          <w:rFonts w:hint="eastAsia"/>
        </w:rPr>
        <w:t>《新疆维吾尔自治区大气污染防治条例》，2018年11月30日发布，2019年1月1日实施；</w:t>
      </w:r>
    </w:p>
    <w:p w14:paraId="14E14D35">
      <w:pPr>
        <w:numPr>
          <w:ilvl w:val="0"/>
          <w:numId w:val="5"/>
        </w:numPr>
        <w:ind w:firstLineChars="0"/>
      </w:pPr>
      <w:r>
        <w:rPr>
          <w:rFonts w:hint="eastAsia"/>
        </w:rPr>
        <w:t>《关于重点区域执行大气污染物特别排放限值的公告》（新疆环保厅，2016年第45号，2016年8月25日）；</w:t>
      </w:r>
    </w:p>
    <w:p w14:paraId="5BAB7633">
      <w:pPr>
        <w:numPr>
          <w:ilvl w:val="0"/>
          <w:numId w:val="5"/>
        </w:numPr>
        <w:ind w:firstLineChars="0"/>
      </w:pPr>
      <w:r>
        <w:rPr>
          <w:rFonts w:hint="eastAsia"/>
        </w:rPr>
        <w:t>关于印发《新疆生产建设兵团土壤污染防治工作方案》的通知（新兵发〔2017〕9号）；</w:t>
      </w:r>
    </w:p>
    <w:p w14:paraId="64722EB0">
      <w:pPr>
        <w:numPr>
          <w:ilvl w:val="0"/>
          <w:numId w:val="5"/>
        </w:numPr>
        <w:ind w:firstLineChars="0"/>
      </w:pPr>
      <w:r>
        <w:rPr>
          <w:rFonts w:hint="eastAsia"/>
        </w:rPr>
        <w:t>关于印发《新疆生产建设兵团水污染防治工作方案》的通知（新兵发〔2016〕39号）；</w:t>
      </w:r>
    </w:p>
    <w:p w14:paraId="0A88E926">
      <w:pPr>
        <w:numPr>
          <w:ilvl w:val="0"/>
          <w:numId w:val="5"/>
        </w:numPr>
        <w:ind w:firstLineChars="0"/>
      </w:pPr>
      <w:r>
        <w:rPr>
          <w:rFonts w:hint="eastAsia"/>
        </w:rPr>
        <w:t>《新疆生产建设兵团关于进一步加强大气污染防治工作的实施意见》（新兵发〔2017〕8号）；</w:t>
      </w:r>
    </w:p>
    <w:p w14:paraId="3E32227E">
      <w:pPr>
        <w:numPr>
          <w:ilvl w:val="0"/>
          <w:numId w:val="5"/>
        </w:numPr>
        <w:ind w:firstLineChars="0"/>
      </w:pPr>
      <w:r>
        <w:rPr>
          <w:rFonts w:hint="eastAsia"/>
        </w:rPr>
        <w:t>《新疆生产建设兵团主体功能区规划》2013年2月；</w:t>
      </w:r>
    </w:p>
    <w:p w14:paraId="3999F95A">
      <w:pPr>
        <w:numPr>
          <w:ilvl w:val="0"/>
          <w:numId w:val="5"/>
        </w:numPr>
        <w:ind w:firstLineChars="0"/>
      </w:pPr>
      <w:r>
        <w:rPr>
          <w:rFonts w:hint="eastAsia"/>
        </w:rPr>
        <w:t>《关于加强沙区建设项目环境影响评价工作的通知》（新环环评发〔</w:t>
      </w:r>
      <w:r>
        <w:t>2020</w:t>
      </w:r>
      <w:r>
        <w:rPr>
          <w:rFonts w:hint="eastAsia"/>
        </w:rPr>
        <w:t>〕</w:t>
      </w:r>
      <w:r>
        <w:t>138</w:t>
      </w:r>
      <w:r>
        <w:rPr>
          <w:rFonts w:hint="eastAsia"/>
        </w:rPr>
        <w:t>号）；</w:t>
      </w:r>
    </w:p>
    <w:p w14:paraId="6C03BF64">
      <w:pPr>
        <w:numPr>
          <w:ilvl w:val="0"/>
          <w:numId w:val="5"/>
        </w:numPr>
        <w:ind w:firstLineChars="0"/>
      </w:pPr>
      <w:r>
        <w:rPr>
          <w:rFonts w:hint="eastAsia"/>
        </w:rPr>
        <w:t>《新疆维吾尔自治区重点行业环境准入条件（修订）》，2</w:t>
      </w:r>
      <w:r>
        <w:t>017</w:t>
      </w:r>
      <w:r>
        <w:rPr>
          <w:rFonts w:hint="eastAsia"/>
        </w:rPr>
        <w:t>年7月2</w:t>
      </w:r>
      <w:r>
        <w:t>1</w:t>
      </w:r>
      <w:r>
        <w:rPr>
          <w:rFonts w:hint="eastAsia"/>
        </w:rPr>
        <w:t>日；</w:t>
      </w:r>
    </w:p>
    <w:p w14:paraId="2D1D3F1A">
      <w:pPr>
        <w:numPr>
          <w:ilvl w:val="0"/>
          <w:numId w:val="5"/>
        </w:numPr>
        <w:ind w:firstLineChars="0"/>
      </w:pPr>
      <w:r>
        <w:rPr>
          <w:rFonts w:hint="eastAsia"/>
        </w:rPr>
        <w:t>《新疆生产建设兵团国民经济和社会发展第十四个五年规划和二〇三五年远景目标纲要》，2</w:t>
      </w:r>
      <w:r>
        <w:t>021</w:t>
      </w:r>
      <w:r>
        <w:rPr>
          <w:rFonts w:hint="eastAsia"/>
        </w:rPr>
        <w:t>年6月1</w:t>
      </w:r>
      <w:r>
        <w:t>7</w:t>
      </w:r>
      <w:r>
        <w:rPr>
          <w:rFonts w:hint="eastAsia"/>
        </w:rPr>
        <w:t>日；</w:t>
      </w:r>
    </w:p>
    <w:p w14:paraId="4D881647">
      <w:pPr>
        <w:numPr>
          <w:ilvl w:val="0"/>
          <w:numId w:val="5"/>
        </w:numPr>
        <w:ind w:firstLineChars="0"/>
      </w:pPr>
      <w:r>
        <w:rPr>
          <w:rFonts w:hint="eastAsia"/>
        </w:rPr>
        <w:t>《新疆生产建设兵团生态功能区划》，2</w:t>
      </w:r>
      <w:r>
        <w:t>012</w:t>
      </w:r>
      <w:r>
        <w:rPr>
          <w:rFonts w:hint="eastAsia"/>
        </w:rPr>
        <w:t>年2月2</w:t>
      </w:r>
      <w:r>
        <w:t>1</w:t>
      </w:r>
      <w:r>
        <w:rPr>
          <w:rFonts w:hint="eastAsia"/>
        </w:rPr>
        <w:t>日；</w:t>
      </w:r>
    </w:p>
    <w:p w14:paraId="531C8E43">
      <w:pPr>
        <w:numPr>
          <w:ilvl w:val="0"/>
          <w:numId w:val="5"/>
        </w:numPr>
        <w:ind w:firstLineChars="0"/>
      </w:pPr>
      <w:r>
        <w:rPr>
          <w:rFonts w:hint="eastAsia"/>
        </w:rPr>
        <w:t>《兵团党委、兵团关于加强生态文明建设工作的实施意见》，2</w:t>
      </w:r>
      <w:r>
        <w:t>017</w:t>
      </w:r>
      <w:r>
        <w:rPr>
          <w:rFonts w:hint="eastAsia"/>
        </w:rPr>
        <w:t>年1月1</w:t>
      </w:r>
      <w:r>
        <w:t>5</w:t>
      </w:r>
      <w:r>
        <w:rPr>
          <w:rFonts w:hint="eastAsia"/>
        </w:rPr>
        <w:t>日；</w:t>
      </w:r>
    </w:p>
    <w:p w14:paraId="1B3E9A3C">
      <w:pPr>
        <w:numPr>
          <w:ilvl w:val="0"/>
          <w:numId w:val="5"/>
        </w:numPr>
        <w:ind w:firstLineChars="0"/>
      </w:pPr>
      <w:r>
        <w:rPr>
          <w:rFonts w:hint="eastAsia"/>
        </w:rPr>
        <w:t>《第七师胡杨河市“三线一单”生态环境分区管控方案》</w:t>
      </w:r>
      <w:r>
        <w:rPr>
          <w:rFonts w:hint="eastAsia"/>
          <w:lang w:eastAsia="zh-CN"/>
        </w:rPr>
        <w:t>（师市环委办发〔2024〕2号）</w:t>
      </w:r>
      <w:r>
        <w:rPr>
          <w:rFonts w:hint="eastAsia"/>
        </w:rPr>
        <w:t>；</w:t>
      </w:r>
    </w:p>
    <w:p w14:paraId="7F5D93D2">
      <w:pPr>
        <w:numPr>
          <w:ilvl w:val="0"/>
          <w:numId w:val="5"/>
        </w:numPr>
        <w:ind w:firstLineChars="0"/>
      </w:pPr>
      <w:r>
        <w:rPr>
          <w:rFonts w:hint="eastAsia"/>
        </w:rPr>
        <w:t>关于印发《新疆生产建设兵团“三线一单”生态环境分区管控方案》的通知，新兵发〔2021〕16号，2</w:t>
      </w:r>
      <w:r>
        <w:t>021</w:t>
      </w:r>
      <w:r>
        <w:rPr>
          <w:rFonts w:hint="eastAsia"/>
        </w:rPr>
        <w:t>年4月1</w:t>
      </w:r>
      <w:r>
        <w:t>4</w:t>
      </w:r>
      <w:r>
        <w:rPr>
          <w:rFonts w:hint="eastAsia"/>
        </w:rPr>
        <w:t>日；</w:t>
      </w:r>
    </w:p>
    <w:p w14:paraId="07634B3A">
      <w:pPr>
        <w:numPr>
          <w:ilvl w:val="0"/>
          <w:numId w:val="5"/>
        </w:numPr>
        <w:ind w:firstLineChars="0"/>
      </w:pPr>
      <w:r>
        <w:rPr>
          <w:rFonts w:hint="eastAsia"/>
        </w:rPr>
        <w:t>《关于深入打好污染防治攻坚战的实施方案》（自治区党委自治区人民政府印发）；</w:t>
      </w:r>
    </w:p>
    <w:p w14:paraId="39FA2F83">
      <w:pPr>
        <w:numPr>
          <w:ilvl w:val="0"/>
          <w:numId w:val="5"/>
        </w:numPr>
        <w:ind w:firstLineChars="0"/>
      </w:pPr>
      <w:r>
        <w:rPr>
          <w:rFonts w:hint="eastAsia"/>
        </w:rPr>
        <w:t>关于印发《重点行业挥发性有机物综合治理方案》的通知（环大气〔2019〕53号，2019年6月26日）；</w:t>
      </w:r>
    </w:p>
    <w:p w14:paraId="4022CA40">
      <w:pPr>
        <w:numPr>
          <w:ilvl w:val="0"/>
          <w:numId w:val="5"/>
        </w:numPr>
        <w:ind w:firstLineChars="0"/>
      </w:pPr>
      <w:r>
        <w:rPr>
          <w:rFonts w:hint="eastAsia"/>
        </w:rPr>
        <w:t>关于印发《2020年挥发性有机物治理攻坚方案》的通知（生态环境部，2020年6月23日）；</w:t>
      </w:r>
    </w:p>
    <w:p w14:paraId="3EBABF09">
      <w:pPr>
        <w:numPr>
          <w:ilvl w:val="0"/>
          <w:numId w:val="5"/>
        </w:numPr>
        <w:ind w:firstLineChars="0"/>
      </w:pPr>
      <w:r>
        <w:rPr>
          <w:rFonts w:hint="eastAsia"/>
        </w:rPr>
        <w:t>《关于加快解决当前挥发性有机物治理突出问题的通知》（环大气〔2021〕65号）；</w:t>
      </w:r>
    </w:p>
    <w:p w14:paraId="54755E27">
      <w:pPr>
        <w:numPr>
          <w:ilvl w:val="0"/>
          <w:numId w:val="5"/>
        </w:numPr>
        <w:ind w:firstLineChars="0"/>
      </w:pPr>
      <w:r>
        <w:rPr>
          <w:rFonts w:hint="eastAsia"/>
        </w:rPr>
        <w:t>《建设项目主要污染物排放总量指标审核及管理暂行办法》（环发〔2014〕197号，2014年12月30日）</w:t>
      </w:r>
    </w:p>
    <w:p w14:paraId="037DFC04">
      <w:pPr>
        <w:pStyle w:val="43"/>
      </w:pPr>
      <w:bookmarkStart w:id="24" w:name="_Toc80973446"/>
      <w:bookmarkStart w:id="25" w:name="_Toc82518695"/>
      <w:bookmarkStart w:id="26" w:name="_Toc79515391"/>
      <w:bookmarkStart w:id="27" w:name="_Toc77007733"/>
      <w:bookmarkStart w:id="28" w:name="_Toc152864139"/>
      <w:bookmarkStart w:id="29" w:name="_Toc80193019"/>
      <w:bookmarkStart w:id="30" w:name="_Toc81214014"/>
      <w:r>
        <w:rPr>
          <w:rFonts w:hint="eastAsia"/>
        </w:rPr>
        <w:t>技术导则、规范</w:t>
      </w:r>
      <w:bookmarkEnd w:id="24"/>
      <w:bookmarkEnd w:id="25"/>
      <w:bookmarkEnd w:id="26"/>
      <w:bookmarkEnd w:id="27"/>
      <w:bookmarkEnd w:id="28"/>
      <w:bookmarkEnd w:id="29"/>
      <w:bookmarkEnd w:id="30"/>
    </w:p>
    <w:p w14:paraId="69463D40">
      <w:pPr>
        <w:numPr>
          <w:ilvl w:val="0"/>
          <w:numId w:val="6"/>
        </w:numPr>
        <w:ind w:firstLineChars="0"/>
      </w:pPr>
      <w:r>
        <w:rPr>
          <w:rFonts w:hint="eastAsia"/>
        </w:rPr>
        <w:t>《环境影响评价技术导则 总纲》（HJ2.1-2016）；</w:t>
      </w:r>
    </w:p>
    <w:p w14:paraId="1CC35719">
      <w:pPr>
        <w:numPr>
          <w:ilvl w:val="0"/>
          <w:numId w:val="6"/>
        </w:numPr>
        <w:ind w:firstLineChars="0"/>
      </w:pPr>
      <w:r>
        <w:rPr>
          <w:rFonts w:hint="eastAsia"/>
        </w:rPr>
        <w:t>《环境影响评价技术导则 大气环境》（HJ2.2-2018）；</w:t>
      </w:r>
    </w:p>
    <w:p w14:paraId="38C28181">
      <w:pPr>
        <w:numPr>
          <w:ilvl w:val="0"/>
          <w:numId w:val="6"/>
        </w:numPr>
        <w:ind w:firstLineChars="0"/>
      </w:pPr>
      <w:r>
        <w:rPr>
          <w:rFonts w:hint="eastAsia"/>
        </w:rPr>
        <w:t>《环境影响评价技术导则 地表水环境》（HJ2.3-2018）；</w:t>
      </w:r>
    </w:p>
    <w:p w14:paraId="648E4B99">
      <w:pPr>
        <w:numPr>
          <w:ilvl w:val="0"/>
          <w:numId w:val="6"/>
        </w:numPr>
        <w:ind w:firstLineChars="0"/>
      </w:pPr>
      <w:r>
        <w:rPr>
          <w:rFonts w:hint="eastAsia"/>
        </w:rPr>
        <w:t>《环境影响评价技术导则 地下水环境》（HJ610-2016）；</w:t>
      </w:r>
    </w:p>
    <w:p w14:paraId="77ED6647">
      <w:pPr>
        <w:numPr>
          <w:ilvl w:val="0"/>
          <w:numId w:val="6"/>
        </w:numPr>
        <w:ind w:firstLineChars="0"/>
      </w:pPr>
      <w:r>
        <w:rPr>
          <w:rFonts w:hint="eastAsia"/>
        </w:rPr>
        <w:t>《环境影响评价技术导则 声环境》（HJ2.4-20</w:t>
      </w:r>
      <w:r>
        <w:t>21</w:t>
      </w:r>
      <w:r>
        <w:rPr>
          <w:rFonts w:hint="eastAsia"/>
        </w:rPr>
        <w:t>）；</w:t>
      </w:r>
    </w:p>
    <w:p w14:paraId="0504F5B8">
      <w:pPr>
        <w:numPr>
          <w:ilvl w:val="0"/>
          <w:numId w:val="6"/>
        </w:numPr>
        <w:ind w:firstLineChars="0"/>
      </w:pPr>
      <w:r>
        <w:rPr>
          <w:rFonts w:hint="eastAsia"/>
        </w:rPr>
        <w:t>《环境影响评价技术导则 生态影响》（HJ19-20</w:t>
      </w:r>
      <w:r>
        <w:t>22</w:t>
      </w:r>
      <w:r>
        <w:rPr>
          <w:rFonts w:hint="eastAsia"/>
        </w:rPr>
        <w:t>）；</w:t>
      </w:r>
    </w:p>
    <w:p w14:paraId="7E70D54D">
      <w:pPr>
        <w:numPr>
          <w:ilvl w:val="0"/>
          <w:numId w:val="6"/>
        </w:numPr>
        <w:ind w:firstLineChars="0"/>
      </w:pPr>
      <w:r>
        <w:rPr>
          <w:rFonts w:hint="eastAsia"/>
        </w:rPr>
        <w:t>《建设项目环境风险评价技术导则》（HJ169-2018）；</w:t>
      </w:r>
    </w:p>
    <w:p w14:paraId="066F5F54">
      <w:pPr>
        <w:numPr>
          <w:ilvl w:val="0"/>
          <w:numId w:val="6"/>
        </w:numPr>
        <w:ind w:firstLineChars="0"/>
      </w:pPr>
      <w:r>
        <w:rPr>
          <w:rFonts w:hint="eastAsia"/>
        </w:rPr>
        <w:t>《环境影响评价技术导则 土壤环境（试行）》（HJ964-2018）；</w:t>
      </w:r>
    </w:p>
    <w:p w14:paraId="2CADD2A3">
      <w:pPr>
        <w:numPr>
          <w:ilvl w:val="0"/>
          <w:numId w:val="6"/>
        </w:numPr>
        <w:ind w:firstLineChars="0"/>
      </w:pPr>
      <w:r>
        <w:rPr>
          <w:rFonts w:hint="eastAsia"/>
        </w:rPr>
        <w:t>《固体废物鉴别标准 通则》（GB</w:t>
      </w:r>
      <w:r>
        <w:t>34330-2017</w:t>
      </w:r>
      <w:r>
        <w:rPr>
          <w:rFonts w:hint="eastAsia"/>
        </w:rPr>
        <w:t>）；</w:t>
      </w:r>
    </w:p>
    <w:p w14:paraId="73BC3D23">
      <w:pPr>
        <w:numPr>
          <w:ilvl w:val="0"/>
          <w:numId w:val="6"/>
        </w:numPr>
        <w:ind w:firstLineChars="0"/>
      </w:pPr>
      <w:r>
        <w:rPr>
          <w:rFonts w:hint="eastAsia"/>
        </w:rPr>
        <w:t>《危险废物鉴别技术规范》（HJ</w:t>
      </w:r>
      <w:r>
        <w:t>298-2019</w:t>
      </w:r>
      <w:r>
        <w:rPr>
          <w:rFonts w:hint="eastAsia"/>
        </w:rPr>
        <w:t>）；</w:t>
      </w:r>
    </w:p>
    <w:p w14:paraId="029D3C8D">
      <w:pPr>
        <w:numPr>
          <w:ilvl w:val="0"/>
          <w:numId w:val="6"/>
        </w:numPr>
        <w:ind w:firstLineChars="0"/>
      </w:pPr>
      <w:r>
        <w:rPr>
          <w:rFonts w:hint="eastAsia"/>
        </w:rPr>
        <w:t>《危险废物收集  贮存 运输技术规范》（HJ</w:t>
      </w:r>
      <w:r>
        <w:t>2025-2012</w:t>
      </w:r>
      <w:r>
        <w:rPr>
          <w:rFonts w:hint="eastAsia"/>
        </w:rPr>
        <w:t>）；</w:t>
      </w:r>
    </w:p>
    <w:p w14:paraId="78F93E9E">
      <w:pPr>
        <w:numPr>
          <w:ilvl w:val="0"/>
          <w:numId w:val="6"/>
        </w:numPr>
        <w:ind w:firstLineChars="0"/>
      </w:pPr>
      <w:r>
        <w:rPr>
          <w:rFonts w:hint="eastAsia"/>
        </w:rPr>
        <w:t>《石油化工企业设计防火标准（2018年版）》（GB</w:t>
      </w:r>
      <w:r>
        <w:t>50160-2008</w:t>
      </w:r>
      <w:r>
        <w:rPr>
          <w:rFonts w:hint="eastAsia"/>
        </w:rPr>
        <w:t>）；</w:t>
      </w:r>
    </w:p>
    <w:p w14:paraId="2C618693">
      <w:pPr>
        <w:numPr>
          <w:ilvl w:val="0"/>
          <w:numId w:val="6"/>
        </w:numPr>
        <w:ind w:firstLineChars="0"/>
      </w:pPr>
      <w:r>
        <w:rPr>
          <w:rFonts w:hint="eastAsia"/>
        </w:rPr>
        <w:t>《地下水环境监测技术规范》（HJ</w:t>
      </w:r>
      <w:r>
        <w:t>164-2020</w:t>
      </w:r>
      <w:r>
        <w:rPr>
          <w:rFonts w:hint="eastAsia"/>
        </w:rPr>
        <w:t>）；</w:t>
      </w:r>
    </w:p>
    <w:p w14:paraId="7D25CAC4">
      <w:pPr>
        <w:numPr>
          <w:ilvl w:val="0"/>
          <w:numId w:val="6"/>
        </w:numPr>
        <w:ind w:firstLineChars="0"/>
      </w:pPr>
      <w:r>
        <w:rPr>
          <w:rFonts w:hint="eastAsia"/>
        </w:rPr>
        <w:t>《排污单位环境管理台账及排污许可执行报告技术规范总则（试行）》（HJ</w:t>
      </w:r>
      <w:r>
        <w:t>944-2018</w:t>
      </w:r>
      <w:r>
        <w:rPr>
          <w:rFonts w:hint="eastAsia"/>
        </w:rPr>
        <w:t>）；</w:t>
      </w:r>
    </w:p>
    <w:p w14:paraId="08ECE315">
      <w:pPr>
        <w:numPr>
          <w:ilvl w:val="0"/>
          <w:numId w:val="6"/>
        </w:numPr>
        <w:ind w:firstLineChars="0"/>
      </w:pPr>
      <w:r>
        <w:rPr>
          <w:rFonts w:hint="eastAsia"/>
        </w:rPr>
        <w:t>《危险化学品重大危险源辨识》（GB</w:t>
      </w:r>
      <w:r>
        <w:t>18218-2018</w:t>
      </w:r>
      <w:r>
        <w:rPr>
          <w:rFonts w:hint="eastAsia"/>
        </w:rPr>
        <w:t>）；</w:t>
      </w:r>
    </w:p>
    <w:p w14:paraId="2BD28B2E">
      <w:pPr>
        <w:numPr>
          <w:ilvl w:val="0"/>
          <w:numId w:val="6"/>
        </w:numPr>
        <w:ind w:firstLineChars="0"/>
      </w:pPr>
      <w:r>
        <w:rPr>
          <w:rFonts w:hint="eastAsia"/>
        </w:rPr>
        <w:t>《土壤环境监测技术规范》（HJ/T166-2004）；</w:t>
      </w:r>
    </w:p>
    <w:p w14:paraId="5280FF28">
      <w:pPr>
        <w:numPr>
          <w:ilvl w:val="0"/>
          <w:numId w:val="6"/>
        </w:numPr>
        <w:ind w:firstLineChars="0"/>
      </w:pPr>
      <w:r>
        <w:rPr>
          <w:rFonts w:hint="eastAsia"/>
        </w:rPr>
        <w:t>《石油化工工程防渗技术规范》（GB/T50934-2013）；</w:t>
      </w:r>
    </w:p>
    <w:p w14:paraId="604BFE32">
      <w:pPr>
        <w:numPr>
          <w:ilvl w:val="0"/>
          <w:numId w:val="6"/>
        </w:numPr>
        <w:ind w:firstLineChars="0"/>
      </w:pPr>
      <w:r>
        <w:rPr>
          <w:rFonts w:hint="eastAsia"/>
        </w:rPr>
        <w:t>《污染源源强核算技术指南 准则》（HJ884-2018）；</w:t>
      </w:r>
    </w:p>
    <w:p w14:paraId="2582BC24">
      <w:pPr>
        <w:numPr>
          <w:ilvl w:val="0"/>
          <w:numId w:val="6"/>
        </w:numPr>
        <w:ind w:firstLineChars="0"/>
      </w:pPr>
      <w:r>
        <w:rPr>
          <w:rFonts w:hint="eastAsia"/>
        </w:rPr>
        <w:t>《排污许可证申请与核发技术规范 石化工业》（HJ</w:t>
      </w:r>
      <w:r>
        <w:t>853-2017</w:t>
      </w:r>
      <w:r>
        <w:rPr>
          <w:rFonts w:hint="eastAsia"/>
        </w:rPr>
        <w:t>）；</w:t>
      </w:r>
    </w:p>
    <w:p w14:paraId="7A4A8DB0">
      <w:pPr>
        <w:numPr>
          <w:ilvl w:val="0"/>
          <w:numId w:val="6"/>
        </w:numPr>
        <w:ind w:firstLineChars="0"/>
      </w:pPr>
      <w:r>
        <w:rPr>
          <w:rFonts w:hint="eastAsia"/>
        </w:rPr>
        <w:t>《排污单位自行监测技术指南 总则》（HJ819-2017）；</w:t>
      </w:r>
    </w:p>
    <w:p w14:paraId="7262DA84">
      <w:pPr>
        <w:numPr>
          <w:ilvl w:val="0"/>
          <w:numId w:val="6"/>
        </w:numPr>
        <w:ind w:firstLineChars="0"/>
        <w:rPr>
          <w:highlight w:val="none"/>
        </w:rPr>
      </w:pPr>
      <w:r>
        <w:rPr>
          <w:rFonts w:hint="eastAsia"/>
          <w:highlight w:val="none"/>
        </w:rPr>
        <w:t>《固体废物分类与代码目录》（生态环境部公告2024年第4号）；</w:t>
      </w:r>
    </w:p>
    <w:p w14:paraId="26D539DD">
      <w:pPr>
        <w:numPr>
          <w:ilvl w:val="0"/>
          <w:numId w:val="6"/>
        </w:numPr>
        <w:ind w:firstLineChars="0"/>
        <w:rPr>
          <w:highlight w:val="none"/>
        </w:rPr>
      </w:pPr>
      <w:r>
        <w:rPr>
          <w:rFonts w:hint="eastAsia"/>
          <w:highlight w:val="none"/>
        </w:rPr>
        <w:t>《危险废物处置工程技术导则》（HJ2042-2014）；</w:t>
      </w:r>
    </w:p>
    <w:p w14:paraId="7BB80EA3">
      <w:pPr>
        <w:numPr>
          <w:ilvl w:val="0"/>
          <w:numId w:val="6"/>
        </w:numPr>
        <w:ind w:firstLineChars="0"/>
        <w:rPr>
          <w:highlight w:val="none"/>
        </w:rPr>
      </w:pPr>
      <w:r>
        <w:rPr>
          <w:rFonts w:hint="eastAsia"/>
          <w:highlight w:val="none"/>
        </w:rPr>
        <w:t>《排放源统计调查产排污核算方法和系数手册》（生态环境部公告2</w:t>
      </w:r>
      <w:r>
        <w:rPr>
          <w:highlight w:val="none"/>
        </w:rPr>
        <w:t>021</w:t>
      </w:r>
      <w:r>
        <w:rPr>
          <w:rFonts w:hint="eastAsia"/>
          <w:highlight w:val="none"/>
        </w:rPr>
        <w:t>年第2</w:t>
      </w:r>
      <w:r>
        <w:rPr>
          <w:highlight w:val="none"/>
        </w:rPr>
        <w:t>4</w:t>
      </w:r>
      <w:r>
        <w:rPr>
          <w:rFonts w:hint="eastAsia"/>
          <w:highlight w:val="none"/>
        </w:rPr>
        <w:t>号，2</w:t>
      </w:r>
      <w:r>
        <w:rPr>
          <w:highlight w:val="none"/>
        </w:rPr>
        <w:t>021</w:t>
      </w:r>
      <w:r>
        <w:rPr>
          <w:rFonts w:hint="eastAsia"/>
          <w:highlight w:val="none"/>
        </w:rPr>
        <w:t>年6月9日）；</w:t>
      </w:r>
    </w:p>
    <w:p w14:paraId="2910D8F3">
      <w:pPr>
        <w:numPr>
          <w:ilvl w:val="0"/>
          <w:numId w:val="6"/>
        </w:numPr>
        <w:ind w:firstLineChars="0"/>
        <w:rPr>
          <w:highlight w:val="none"/>
        </w:rPr>
      </w:pPr>
      <w:r>
        <w:rPr>
          <w:rFonts w:hint="eastAsia"/>
          <w:highlight w:val="none"/>
        </w:rPr>
        <w:t>《建设项目危险废物环境影响评价指南》（公告2017年第43号）；</w:t>
      </w:r>
    </w:p>
    <w:p w14:paraId="5589AD65">
      <w:pPr>
        <w:numPr>
          <w:ilvl w:val="0"/>
          <w:numId w:val="6"/>
        </w:numPr>
        <w:ind w:firstLineChars="0"/>
        <w:rPr>
          <w:highlight w:val="none"/>
        </w:rPr>
      </w:pPr>
      <w:r>
        <w:rPr>
          <w:rFonts w:hint="eastAsia"/>
          <w:highlight w:val="none"/>
        </w:rPr>
        <w:t>《固体废物再生利用污染防治技术导则》（HJ1091-2020）；</w:t>
      </w:r>
    </w:p>
    <w:p w14:paraId="0E137582">
      <w:pPr>
        <w:numPr>
          <w:ilvl w:val="0"/>
          <w:numId w:val="6"/>
        </w:numPr>
        <w:ind w:firstLineChars="0"/>
        <w:rPr>
          <w:highlight w:val="none"/>
        </w:rPr>
      </w:pPr>
      <w:r>
        <w:rPr>
          <w:rFonts w:hint="eastAsia"/>
          <w:highlight w:val="none"/>
        </w:rPr>
        <w:t>《废矿物油类润滑油处理处置方法》（GB/T41961-2022）；</w:t>
      </w:r>
    </w:p>
    <w:p w14:paraId="3B118C7D">
      <w:pPr>
        <w:numPr>
          <w:ilvl w:val="0"/>
          <w:numId w:val="6"/>
        </w:numPr>
        <w:ind w:firstLineChars="0"/>
        <w:rPr>
          <w:highlight w:val="none"/>
        </w:rPr>
      </w:pPr>
      <w:r>
        <w:rPr>
          <w:rFonts w:hint="eastAsia"/>
          <w:highlight w:val="none"/>
        </w:rPr>
        <w:t>《危险废物管理计划和管理台账制定技术导则》（HJ1259-2022）；</w:t>
      </w:r>
    </w:p>
    <w:p w14:paraId="482FD94C">
      <w:pPr>
        <w:numPr>
          <w:ilvl w:val="0"/>
          <w:numId w:val="6"/>
        </w:numPr>
        <w:ind w:firstLineChars="0"/>
        <w:rPr>
          <w:highlight w:val="none"/>
        </w:rPr>
      </w:pPr>
      <w:r>
        <w:rPr>
          <w:rFonts w:hint="eastAsia"/>
          <w:highlight w:val="none"/>
        </w:rPr>
        <w:t>《危废识别标志设置技术规范》（HJ1276-2022）；</w:t>
      </w:r>
    </w:p>
    <w:p w14:paraId="39CA8353">
      <w:pPr>
        <w:numPr>
          <w:ilvl w:val="0"/>
          <w:numId w:val="6"/>
        </w:numPr>
        <w:ind w:firstLineChars="0"/>
        <w:rPr>
          <w:highlight w:val="none"/>
        </w:rPr>
      </w:pPr>
      <w:r>
        <w:rPr>
          <w:rFonts w:hint="eastAsia"/>
          <w:highlight w:val="none"/>
        </w:rPr>
        <w:t>《危险废物贮存污染控制标准》（GB18597-2023）；</w:t>
      </w:r>
    </w:p>
    <w:p w14:paraId="3A65245E">
      <w:pPr>
        <w:numPr>
          <w:ilvl w:val="0"/>
          <w:numId w:val="6"/>
        </w:numPr>
        <w:ind w:firstLineChars="0"/>
        <w:rPr>
          <w:highlight w:val="none"/>
        </w:rPr>
      </w:pPr>
      <w:r>
        <w:rPr>
          <w:rFonts w:hint="eastAsia"/>
          <w:highlight w:val="none"/>
        </w:rPr>
        <w:t>《排污单位自行监测技术指南 工业固体废物和危险废物治理》（HJ1250-2022）；</w:t>
      </w:r>
    </w:p>
    <w:p w14:paraId="1C0BB69F">
      <w:pPr>
        <w:numPr>
          <w:ilvl w:val="0"/>
          <w:numId w:val="6"/>
        </w:numPr>
        <w:ind w:firstLineChars="0"/>
        <w:rPr>
          <w:highlight w:val="none"/>
        </w:rPr>
      </w:pPr>
      <w:r>
        <w:rPr>
          <w:rFonts w:hint="eastAsia"/>
          <w:highlight w:val="none"/>
        </w:rPr>
        <w:t>《排污许可证申请与核发技术规范 工业固体废物和危险废物治理》（HJ1033-2019）；</w:t>
      </w:r>
    </w:p>
    <w:p w14:paraId="206B9FBB">
      <w:pPr>
        <w:numPr>
          <w:ilvl w:val="0"/>
          <w:numId w:val="6"/>
        </w:numPr>
        <w:ind w:firstLineChars="0"/>
        <w:rPr>
          <w:highlight w:val="none"/>
        </w:rPr>
      </w:pPr>
      <w:r>
        <w:rPr>
          <w:rFonts w:hint="eastAsia"/>
          <w:highlight w:val="none"/>
        </w:rPr>
        <w:t>《一般工业固体废物管理台账制定指南（试行）》（公告2021年第82号）。</w:t>
      </w:r>
    </w:p>
    <w:p w14:paraId="7ED0C8E8">
      <w:pPr>
        <w:pStyle w:val="43"/>
      </w:pPr>
      <w:bookmarkStart w:id="31" w:name="_Toc80973447"/>
      <w:bookmarkStart w:id="32" w:name="_Toc81214015"/>
      <w:bookmarkStart w:id="33" w:name="_Toc79515392"/>
      <w:bookmarkStart w:id="34" w:name="_Toc80193020"/>
      <w:bookmarkStart w:id="35" w:name="_Toc82518696"/>
      <w:bookmarkStart w:id="36" w:name="_Toc77007734"/>
      <w:bookmarkStart w:id="37" w:name="_Toc152864140"/>
      <w:r>
        <w:rPr>
          <w:rFonts w:hint="eastAsia"/>
        </w:rPr>
        <w:t>其他相关文件</w:t>
      </w:r>
      <w:bookmarkEnd w:id="31"/>
      <w:bookmarkEnd w:id="32"/>
      <w:bookmarkEnd w:id="33"/>
      <w:bookmarkEnd w:id="34"/>
      <w:bookmarkEnd w:id="35"/>
      <w:bookmarkEnd w:id="36"/>
      <w:bookmarkEnd w:id="37"/>
    </w:p>
    <w:p w14:paraId="0E482C00">
      <w:pPr>
        <w:numPr>
          <w:ilvl w:val="0"/>
          <w:numId w:val="7"/>
        </w:numPr>
        <w:ind w:firstLineChars="0"/>
      </w:pPr>
      <w:r>
        <w:rPr>
          <w:rFonts w:hint="eastAsia"/>
        </w:rPr>
        <w:t>《新疆翱巡能源科技有限公司8万吨/年润滑油、2万吨/年润滑脂生产项目》环境影响评价委托书；</w:t>
      </w:r>
    </w:p>
    <w:p w14:paraId="70861F5A">
      <w:pPr>
        <w:numPr>
          <w:ilvl w:val="0"/>
          <w:numId w:val="7"/>
        </w:numPr>
        <w:ind w:firstLineChars="0"/>
      </w:pPr>
      <w:r>
        <w:rPr>
          <w:rFonts w:hint="eastAsia"/>
        </w:rPr>
        <w:t>《新疆翱巡能源科技有限公司8万吨/年润滑油、2万吨/年润滑脂生产项目可研报告》；</w:t>
      </w:r>
    </w:p>
    <w:p w14:paraId="1936CB3D">
      <w:pPr>
        <w:numPr>
          <w:ilvl w:val="0"/>
          <w:numId w:val="7"/>
        </w:numPr>
        <w:ind w:firstLineChars="0"/>
      </w:pPr>
      <w:r>
        <w:rPr>
          <w:rFonts w:hint="eastAsia"/>
        </w:rPr>
        <w:t>《新疆翱巡能源科技有限公司年产8万吨润滑油生产项目备案证明》（经发局备〔2</w:t>
      </w:r>
      <w:r>
        <w:t>023</w:t>
      </w:r>
      <w:r>
        <w:rPr>
          <w:rFonts w:hint="eastAsia"/>
        </w:rPr>
        <w:t>〕0</w:t>
      </w:r>
      <w:r>
        <w:t>38</w:t>
      </w:r>
      <w:r>
        <w:rPr>
          <w:rFonts w:hint="eastAsia"/>
        </w:rPr>
        <w:t>号）；</w:t>
      </w:r>
    </w:p>
    <w:p w14:paraId="3819F7C2">
      <w:pPr>
        <w:numPr>
          <w:ilvl w:val="0"/>
          <w:numId w:val="7"/>
        </w:numPr>
        <w:ind w:firstLineChars="0"/>
      </w:pPr>
      <w:r>
        <w:rPr>
          <w:rFonts w:hint="eastAsia"/>
        </w:rPr>
        <w:t>《新疆翱巡能源科技有限公司年产</w:t>
      </w:r>
      <w:r>
        <w:t>2</w:t>
      </w:r>
      <w:r>
        <w:rPr>
          <w:rFonts w:hint="eastAsia"/>
        </w:rPr>
        <w:t>万吨润滑酯生产项目备案证明》（经发局备〔2</w:t>
      </w:r>
      <w:r>
        <w:t>023</w:t>
      </w:r>
      <w:r>
        <w:rPr>
          <w:rFonts w:hint="eastAsia"/>
        </w:rPr>
        <w:t>〕0</w:t>
      </w:r>
      <w:r>
        <w:t>55</w:t>
      </w:r>
      <w:r>
        <w:rPr>
          <w:rFonts w:hint="eastAsia"/>
        </w:rPr>
        <w:t>号）；</w:t>
      </w:r>
    </w:p>
    <w:p w14:paraId="454DED49">
      <w:pPr>
        <w:numPr>
          <w:ilvl w:val="0"/>
          <w:numId w:val="7"/>
        </w:numPr>
        <w:ind w:firstLineChars="0"/>
      </w:pPr>
      <w:r>
        <w:t>《胡杨河经济技术开发区总体规划（2021-2035</w:t>
      </w:r>
      <w:r>
        <w:rPr>
          <w:rFonts w:hint="eastAsia"/>
        </w:rPr>
        <w:t>年</w:t>
      </w:r>
      <w:r>
        <w:t>）环境影响报告书》</w:t>
      </w:r>
      <w:r>
        <w:rPr>
          <w:rFonts w:hint="eastAsia"/>
        </w:rPr>
        <w:t>及其审查意见（兵环审〔2</w:t>
      </w:r>
      <w:r>
        <w:t>022</w:t>
      </w:r>
      <w:r>
        <w:rPr>
          <w:rFonts w:hint="eastAsia"/>
        </w:rPr>
        <w:t>〕</w:t>
      </w:r>
      <w:r>
        <w:t>2</w:t>
      </w:r>
      <w:r>
        <w:rPr>
          <w:rFonts w:hint="eastAsia"/>
        </w:rPr>
        <w:t>号）；</w:t>
      </w:r>
    </w:p>
    <w:p w14:paraId="61AFB246">
      <w:pPr>
        <w:numPr>
          <w:ilvl w:val="0"/>
          <w:numId w:val="7"/>
        </w:numPr>
        <w:ind w:firstLineChars="0"/>
      </w:pPr>
      <w:r>
        <w:rPr>
          <w:rFonts w:hint="eastAsia"/>
        </w:rPr>
        <w:t>《胡杨河经济技术开发区总体规划（2021-2035年）》；</w:t>
      </w:r>
    </w:p>
    <w:p w14:paraId="671EFEC2">
      <w:pPr>
        <w:numPr>
          <w:ilvl w:val="0"/>
          <w:numId w:val="7"/>
        </w:numPr>
        <w:ind w:firstLineChars="0"/>
      </w:pPr>
      <w:r>
        <w:rPr>
          <w:rFonts w:hint="eastAsia"/>
          <w:lang w:eastAsia="zh-CN"/>
        </w:rPr>
        <w:t>《</w:t>
      </w:r>
      <w:r>
        <w:rPr>
          <w:rFonts w:hint="eastAsia"/>
        </w:rPr>
        <w:t>第七师胡杨河经济技术开发区化工园区总体规划</w:t>
      </w:r>
      <w:r>
        <w:rPr>
          <w:rFonts w:hint="eastAsia"/>
          <w:lang w:eastAsia="zh-CN"/>
        </w:rPr>
        <w:t>（</w:t>
      </w:r>
      <w:r>
        <w:rPr>
          <w:rFonts w:hint="eastAsia"/>
        </w:rPr>
        <w:t>2023-2035年</w:t>
      </w:r>
      <w:r>
        <w:rPr>
          <w:rFonts w:hint="eastAsia"/>
          <w:lang w:eastAsia="zh-CN"/>
        </w:rPr>
        <w:t>）</w:t>
      </w:r>
      <w:r>
        <w:rPr>
          <w:rFonts w:hint="eastAsia"/>
        </w:rPr>
        <w:t>环境影响报告书</w:t>
      </w:r>
      <w:r>
        <w:rPr>
          <w:rFonts w:hint="eastAsia"/>
          <w:lang w:eastAsia="zh-CN"/>
        </w:rPr>
        <w:t>》</w:t>
      </w:r>
      <w:r>
        <w:rPr>
          <w:rFonts w:hint="eastAsia"/>
          <w:lang w:val="en-US" w:eastAsia="zh-CN"/>
        </w:rPr>
        <w:t>及其审查意见</w:t>
      </w:r>
      <w:r>
        <w:rPr>
          <w:rFonts w:hint="eastAsia"/>
        </w:rPr>
        <w:t>（兵环审〔2</w:t>
      </w:r>
      <w:r>
        <w:t>02</w:t>
      </w:r>
      <w:r>
        <w:rPr>
          <w:rFonts w:hint="eastAsia"/>
          <w:lang w:val="en-US" w:eastAsia="zh-CN"/>
        </w:rPr>
        <w:t>4</w:t>
      </w:r>
      <w:r>
        <w:rPr>
          <w:rFonts w:hint="eastAsia"/>
        </w:rPr>
        <w:t>〕</w:t>
      </w:r>
      <w:r>
        <w:t>2</w:t>
      </w:r>
      <w:r>
        <w:rPr>
          <w:rFonts w:hint="eastAsia"/>
          <w:lang w:val="en-US" w:eastAsia="zh-CN"/>
        </w:rPr>
        <w:t>8</w:t>
      </w:r>
      <w:r>
        <w:rPr>
          <w:rFonts w:hint="eastAsia"/>
        </w:rPr>
        <w:t>号）</w:t>
      </w:r>
      <w:r>
        <w:rPr>
          <w:rFonts w:hint="eastAsia"/>
          <w:lang w:eastAsia="zh-CN"/>
        </w:rPr>
        <w:t>；</w:t>
      </w:r>
    </w:p>
    <w:p w14:paraId="5B9CD598">
      <w:pPr>
        <w:numPr>
          <w:ilvl w:val="0"/>
          <w:numId w:val="7"/>
        </w:numPr>
        <w:ind w:firstLineChars="0"/>
      </w:pPr>
      <w:r>
        <w:rPr>
          <w:rFonts w:hint="eastAsia"/>
        </w:rPr>
        <w:t>建设单位提供的其他技术资料。</w:t>
      </w:r>
    </w:p>
    <w:p w14:paraId="64A7B8BF">
      <w:pPr>
        <w:pStyle w:val="41"/>
      </w:pPr>
      <w:bookmarkStart w:id="38" w:name="_Toc152864141"/>
      <w:r>
        <w:rPr>
          <w:rFonts w:hint="eastAsia"/>
        </w:rPr>
        <w:t>环境功能区划</w:t>
      </w:r>
      <w:bookmarkEnd w:id="38"/>
    </w:p>
    <w:p w14:paraId="21234018">
      <w:pPr>
        <w:ind w:firstLine="480"/>
      </w:pPr>
      <w:r>
        <w:t>根据《</w:t>
      </w:r>
      <w:r>
        <w:rPr>
          <w:rFonts w:hint="eastAsia"/>
        </w:rPr>
        <w:t>胡杨河经济技术开发区总体规划（2021-2035年）环境影响报告书</w:t>
      </w:r>
      <w:r>
        <w:t>》</w:t>
      </w:r>
      <w:r>
        <w:rPr>
          <w:rFonts w:hint="eastAsia"/>
        </w:rPr>
        <w:t>、</w:t>
      </w:r>
      <w:r>
        <w:t>《</w:t>
      </w:r>
      <w:r>
        <w:rPr>
          <w:rFonts w:hint="eastAsia"/>
        </w:rPr>
        <w:t>新疆生产建设兵团生态功能区划</w:t>
      </w:r>
      <w:r>
        <w:t>》</w:t>
      </w:r>
      <w:r>
        <w:rPr>
          <w:rFonts w:hint="eastAsia"/>
        </w:rPr>
        <w:t>等文件，以及</w:t>
      </w:r>
      <w:r>
        <w:t>相关</w:t>
      </w:r>
      <w:r>
        <w:rPr>
          <w:rFonts w:hint="eastAsia"/>
        </w:rPr>
        <w:t>环境质量标准</w:t>
      </w:r>
      <w:r>
        <w:t>，项目所在地区环境功能区划如下：</w:t>
      </w:r>
    </w:p>
    <w:p w14:paraId="3820A341">
      <w:pPr>
        <w:snapToGrid w:val="0"/>
        <w:ind w:firstLine="480"/>
        <w:rPr>
          <w:szCs w:val="20"/>
        </w:rPr>
      </w:pPr>
      <w:r>
        <w:rPr>
          <w:szCs w:val="20"/>
        </w:rPr>
        <w:t>（1）环境空气</w:t>
      </w:r>
    </w:p>
    <w:p w14:paraId="60B6DCFE">
      <w:pPr>
        <w:snapToGrid w:val="0"/>
        <w:ind w:firstLine="480"/>
        <w:rPr>
          <w:szCs w:val="20"/>
        </w:rPr>
      </w:pPr>
      <w:r>
        <w:rPr>
          <w:rFonts w:hint="eastAsia"/>
          <w:szCs w:val="20"/>
        </w:rPr>
        <w:t>本</w:t>
      </w:r>
      <w:r>
        <w:rPr>
          <w:szCs w:val="20"/>
        </w:rPr>
        <w:t>项目位于</w:t>
      </w:r>
      <w:r>
        <w:rPr>
          <w:rFonts w:hint="eastAsia"/>
          <w:szCs w:val="20"/>
        </w:rPr>
        <w:t>胡杨河经济技术开发区南园区已</w:t>
      </w:r>
      <w:r>
        <w:rPr>
          <w:rFonts w:hint="eastAsia"/>
        </w:rPr>
        <w:t>规划的工业用地范围内</w:t>
      </w:r>
      <w:r>
        <w:rPr>
          <w:szCs w:val="20"/>
        </w:rPr>
        <w:t>，</w:t>
      </w:r>
      <w:r>
        <w:rPr>
          <w:rFonts w:hint="eastAsia"/>
          <w:szCs w:val="20"/>
        </w:rPr>
        <w:t>不涉及</w:t>
      </w:r>
      <w:r>
        <w:rPr>
          <w:szCs w:val="20"/>
        </w:rPr>
        <w:t>自然保护区、风景名胜区及其</w:t>
      </w:r>
      <w:r>
        <w:rPr>
          <w:rFonts w:hint="eastAsia"/>
          <w:szCs w:val="20"/>
        </w:rPr>
        <w:t>他</w:t>
      </w:r>
      <w:r>
        <w:rPr>
          <w:szCs w:val="20"/>
        </w:rPr>
        <w:t>需要特殊保护的区域，环境空气功能区为二类功能区。</w:t>
      </w:r>
    </w:p>
    <w:p w14:paraId="2E216564">
      <w:pPr>
        <w:snapToGrid w:val="0"/>
        <w:ind w:firstLine="480"/>
        <w:rPr>
          <w:szCs w:val="20"/>
        </w:rPr>
      </w:pPr>
      <w:r>
        <w:rPr>
          <w:szCs w:val="20"/>
        </w:rPr>
        <w:t>（2）地下水</w:t>
      </w:r>
    </w:p>
    <w:p w14:paraId="1D79B8F6">
      <w:pPr>
        <w:snapToGrid w:val="0"/>
        <w:ind w:firstLine="480"/>
        <w:rPr>
          <w:szCs w:val="20"/>
        </w:rPr>
      </w:pPr>
      <w:r>
        <w:rPr>
          <w:szCs w:val="20"/>
        </w:rPr>
        <w:t>按照园区规划环评及《地下水质量标准》（GB/T14848-2017）中的规定，地下水</w:t>
      </w:r>
      <w:r>
        <w:rPr>
          <w:rFonts w:hint="eastAsia"/>
          <w:szCs w:val="20"/>
        </w:rPr>
        <w:t>环境</w:t>
      </w:r>
      <w:r>
        <w:rPr>
          <w:szCs w:val="20"/>
        </w:rPr>
        <w:t>功能区划</w:t>
      </w:r>
      <w:r>
        <w:rPr>
          <w:rFonts w:hint="eastAsia"/>
          <w:szCs w:val="20"/>
        </w:rPr>
        <w:t>为</w:t>
      </w:r>
      <w:r>
        <w:rPr>
          <w:szCs w:val="20"/>
        </w:rPr>
        <w:t>Ⅲ类。</w:t>
      </w:r>
    </w:p>
    <w:p w14:paraId="164230AB">
      <w:pPr>
        <w:snapToGrid w:val="0"/>
        <w:ind w:firstLine="480"/>
        <w:rPr>
          <w:szCs w:val="20"/>
        </w:rPr>
      </w:pPr>
      <w:r>
        <w:rPr>
          <w:szCs w:val="20"/>
        </w:rPr>
        <w:t>（3）声环境</w:t>
      </w:r>
    </w:p>
    <w:p w14:paraId="0A7A28E1">
      <w:pPr>
        <w:ind w:firstLine="480"/>
        <w:rPr>
          <w:snapToGrid w:val="0"/>
          <w:kern w:val="0"/>
        </w:rPr>
      </w:pPr>
      <w:r>
        <w:rPr>
          <w:snapToGrid w:val="0"/>
          <w:kern w:val="0"/>
        </w:rPr>
        <w:t>根据《声环境质量标准》</w:t>
      </w:r>
      <w:r>
        <w:rPr>
          <w:rFonts w:hint="eastAsia"/>
          <w:snapToGrid w:val="0"/>
          <w:kern w:val="0"/>
        </w:rPr>
        <w:t>（</w:t>
      </w:r>
      <w:r>
        <w:rPr>
          <w:snapToGrid w:val="0"/>
          <w:kern w:val="0"/>
        </w:rPr>
        <w:t>GB3096-2008</w:t>
      </w:r>
      <w:r>
        <w:rPr>
          <w:rFonts w:hint="eastAsia"/>
          <w:snapToGrid w:val="0"/>
          <w:kern w:val="0"/>
        </w:rPr>
        <w:t>）</w:t>
      </w:r>
      <w:r>
        <w:rPr>
          <w:snapToGrid w:val="0"/>
          <w:kern w:val="0"/>
        </w:rPr>
        <w:t>中的规定，以工业生产、仓储物流为主要功能，需要防止工业噪声对周围环境产生严重影响的区域为3类声环境功能区，本项目位于</w:t>
      </w:r>
      <w:r>
        <w:rPr>
          <w:rFonts w:hint="eastAsia"/>
          <w:snapToGrid w:val="0"/>
          <w:kern w:val="0"/>
        </w:rPr>
        <w:t>第七师胡杨河经济技术开发区南园区</w:t>
      </w:r>
      <w:r>
        <w:rPr>
          <w:rFonts w:hint="eastAsia"/>
          <w:szCs w:val="20"/>
        </w:rPr>
        <w:t>已</w:t>
      </w:r>
      <w:r>
        <w:rPr>
          <w:rFonts w:hint="eastAsia"/>
        </w:rPr>
        <w:t>规划的工业用地范围内</w:t>
      </w:r>
      <w:r>
        <w:rPr>
          <w:snapToGrid w:val="0"/>
          <w:kern w:val="0"/>
        </w:rPr>
        <w:t>，</w:t>
      </w:r>
      <w:r>
        <w:rPr>
          <w:rFonts w:hint="eastAsia"/>
          <w:snapToGrid w:val="0"/>
          <w:kern w:val="0"/>
        </w:rPr>
        <w:t>属于</w:t>
      </w:r>
      <w:r>
        <w:rPr>
          <w:snapToGrid w:val="0"/>
          <w:kern w:val="0"/>
        </w:rPr>
        <w:t>3类声环境功能区。</w:t>
      </w:r>
    </w:p>
    <w:p w14:paraId="5C0C987B">
      <w:pPr>
        <w:snapToGrid w:val="0"/>
        <w:ind w:firstLine="480"/>
        <w:rPr>
          <w:szCs w:val="20"/>
        </w:rPr>
      </w:pPr>
      <w:r>
        <w:rPr>
          <w:szCs w:val="20"/>
        </w:rPr>
        <w:t>（4）生态</w:t>
      </w:r>
    </w:p>
    <w:p w14:paraId="2C1CA9B8">
      <w:pPr>
        <w:snapToGrid w:val="0"/>
        <w:ind w:firstLine="480"/>
        <w:rPr>
          <w:szCs w:val="20"/>
        </w:rPr>
      </w:pPr>
      <w:r>
        <w:rPr>
          <w:szCs w:val="20"/>
        </w:rPr>
        <w:t>按照《</w:t>
      </w:r>
      <w:r>
        <w:rPr>
          <w:rFonts w:hint="eastAsia"/>
          <w:szCs w:val="20"/>
        </w:rPr>
        <w:t>新疆生产建设兵团生态功能区划</w:t>
      </w:r>
      <w:r>
        <w:rPr>
          <w:szCs w:val="20"/>
        </w:rPr>
        <w:t>》，项目区位于</w:t>
      </w:r>
      <w:r>
        <w:rPr>
          <w:rFonts w:hint="eastAsia"/>
          <w:snapToGrid w:val="0"/>
          <w:kern w:val="0"/>
        </w:rPr>
        <w:t>第七师胡杨河经济技术开发区南园区</w:t>
      </w:r>
      <w:r>
        <w:rPr>
          <w:rFonts w:hint="eastAsia"/>
          <w:szCs w:val="20"/>
        </w:rPr>
        <w:t>已</w:t>
      </w:r>
      <w:r>
        <w:rPr>
          <w:rFonts w:hint="eastAsia"/>
        </w:rPr>
        <w:t>规划的工业用地</w:t>
      </w:r>
      <w:r>
        <w:rPr>
          <w:rFonts w:hint="eastAsia"/>
          <w:snapToGrid w:val="0"/>
          <w:kern w:val="0"/>
        </w:rPr>
        <w:t>范围内</w:t>
      </w:r>
      <w:r>
        <w:rPr>
          <w:szCs w:val="20"/>
        </w:rPr>
        <w:t>，生态功能区划属于六、七、八师奎屯-石河子-五家渠城镇与绿洲生态功能区。生态功能区划见表2.3-1。</w:t>
      </w:r>
      <w:r>
        <w:rPr>
          <w:rFonts w:hint="eastAsia"/>
          <w:szCs w:val="20"/>
        </w:rPr>
        <w:t>本</w:t>
      </w:r>
      <w:r>
        <w:rPr>
          <w:szCs w:val="20"/>
        </w:rPr>
        <w:t>项目所处生态功能区见图2.3-1。</w:t>
      </w:r>
    </w:p>
    <w:p w14:paraId="73CAD970">
      <w:pPr>
        <w:pStyle w:val="47"/>
        <w:spacing w:before="65"/>
      </w:pPr>
      <w:r>
        <w:t>表2.3-1   本项目区生态功能区划简表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76"/>
        <w:gridCol w:w="7454"/>
      </w:tblGrid>
      <w:tr w14:paraId="71DB5B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731" w:type="pct"/>
            <w:tcMar>
              <w:left w:w="0" w:type="dxa"/>
              <w:right w:w="0" w:type="dxa"/>
            </w:tcMar>
            <w:vAlign w:val="center"/>
          </w:tcPr>
          <w:p w14:paraId="5AEF6A13">
            <w:pPr>
              <w:pStyle w:val="90"/>
            </w:pPr>
            <w:r>
              <w:t>项目</w:t>
            </w:r>
          </w:p>
        </w:tc>
        <w:tc>
          <w:tcPr>
            <w:tcW w:w="4269" w:type="pct"/>
            <w:tcMar>
              <w:left w:w="0" w:type="dxa"/>
              <w:right w:w="0" w:type="dxa"/>
            </w:tcMar>
          </w:tcPr>
          <w:p w14:paraId="7EE5DD4B">
            <w:pPr>
              <w:pStyle w:val="90"/>
            </w:pPr>
            <w:r>
              <w:t>区划</w:t>
            </w:r>
          </w:p>
        </w:tc>
      </w:tr>
      <w:tr w14:paraId="732625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731" w:type="pct"/>
            <w:tcMar>
              <w:left w:w="0" w:type="dxa"/>
              <w:right w:w="0" w:type="dxa"/>
            </w:tcMar>
            <w:vAlign w:val="center"/>
          </w:tcPr>
          <w:p w14:paraId="13471B96">
            <w:pPr>
              <w:pStyle w:val="90"/>
            </w:pPr>
            <w:r>
              <w:t>生态区</w:t>
            </w:r>
          </w:p>
        </w:tc>
        <w:tc>
          <w:tcPr>
            <w:tcW w:w="4269" w:type="pct"/>
            <w:tcMar>
              <w:left w:w="0" w:type="dxa"/>
              <w:right w:w="0" w:type="dxa"/>
            </w:tcMar>
            <w:vAlign w:val="center"/>
          </w:tcPr>
          <w:p w14:paraId="7A6A2616">
            <w:pPr>
              <w:pStyle w:val="90"/>
            </w:pPr>
            <w:r>
              <w:rPr>
                <w:rFonts w:hint="eastAsia"/>
              </w:rPr>
              <w:t>Ⅱ兵团准噶尔盆地温带干旱荒漠与绿洲生态区</w:t>
            </w:r>
          </w:p>
        </w:tc>
      </w:tr>
      <w:tr w14:paraId="2F2E5C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731" w:type="pct"/>
            <w:tcMar>
              <w:left w:w="0" w:type="dxa"/>
              <w:right w:w="0" w:type="dxa"/>
            </w:tcMar>
            <w:vAlign w:val="center"/>
          </w:tcPr>
          <w:p w14:paraId="26BB4AA4">
            <w:pPr>
              <w:pStyle w:val="90"/>
            </w:pPr>
            <w:r>
              <w:t>生态亚区</w:t>
            </w:r>
          </w:p>
        </w:tc>
        <w:tc>
          <w:tcPr>
            <w:tcW w:w="4269" w:type="pct"/>
            <w:tcMar>
              <w:left w:w="0" w:type="dxa"/>
              <w:right w:w="0" w:type="dxa"/>
            </w:tcMar>
            <w:vAlign w:val="center"/>
          </w:tcPr>
          <w:p w14:paraId="20EBBB94">
            <w:pPr>
              <w:pStyle w:val="90"/>
            </w:pPr>
            <w:r>
              <w:rPr>
                <w:rFonts w:hint="eastAsia"/>
              </w:rPr>
              <w:t>Ⅱ</w:t>
            </w:r>
            <w:r>
              <w:t>3</w:t>
            </w:r>
            <w:r>
              <w:rPr>
                <w:rFonts w:hint="eastAsia"/>
              </w:rPr>
              <w:t>六、七、八、十二师准噶尔盆地南部灌木、半灌木荒漠、绿洲农业生态亚区</w:t>
            </w:r>
          </w:p>
        </w:tc>
      </w:tr>
      <w:tr w14:paraId="46A1E3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731" w:type="pct"/>
            <w:tcMar>
              <w:left w:w="0" w:type="dxa"/>
              <w:right w:w="0" w:type="dxa"/>
            </w:tcMar>
            <w:vAlign w:val="center"/>
          </w:tcPr>
          <w:p w14:paraId="315A8B5F">
            <w:pPr>
              <w:pStyle w:val="90"/>
            </w:pPr>
            <w:r>
              <w:t>生态功能区</w:t>
            </w:r>
          </w:p>
        </w:tc>
        <w:tc>
          <w:tcPr>
            <w:tcW w:w="4269" w:type="pct"/>
            <w:tcMar>
              <w:left w:w="0" w:type="dxa"/>
              <w:right w:w="0" w:type="dxa"/>
            </w:tcMar>
            <w:vAlign w:val="center"/>
          </w:tcPr>
          <w:p w14:paraId="6E01EA56">
            <w:pPr>
              <w:pStyle w:val="90"/>
            </w:pPr>
            <w:r>
              <w:t>11.</w:t>
            </w:r>
            <w:r>
              <w:rPr>
                <w:rFonts w:hint="eastAsia"/>
              </w:rPr>
              <w:t>六、七、八师奎屯</w:t>
            </w:r>
            <w:r>
              <w:t>—</w:t>
            </w:r>
            <w:r>
              <w:rPr>
                <w:rFonts w:hint="eastAsia"/>
              </w:rPr>
              <w:t>石河子</w:t>
            </w:r>
            <w:r>
              <w:t>—</w:t>
            </w:r>
            <w:r>
              <w:rPr>
                <w:rFonts w:hint="eastAsia"/>
              </w:rPr>
              <w:t>五家渠城镇与绿洲生态功能区</w:t>
            </w:r>
          </w:p>
        </w:tc>
      </w:tr>
      <w:tr w14:paraId="13AB88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731" w:type="pct"/>
            <w:tcMar>
              <w:left w:w="0" w:type="dxa"/>
              <w:right w:w="0" w:type="dxa"/>
            </w:tcMar>
            <w:vAlign w:val="center"/>
          </w:tcPr>
          <w:p w14:paraId="72C3CF46">
            <w:pPr>
              <w:pStyle w:val="90"/>
            </w:pPr>
            <w:r>
              <w:t>主要生态服务功能</w:t>
            </w:r>
          </w:p>
        </w:tc>
        <w:tc>
          <w:tcPr>
            <w:tcW w:w="4269" w:type="pct"/>
            <w:tcMar>
              <w:left w:w="0" w:type="dxa"/>
              <w:right w:w="0" w:type="dxa"/>
            </w:tcMar>
            <w:vAlign w:val="center"/>
          </w:tcPr>
          <w:p w14:paraId="7BFD562E">
            <w:pPr>
              <w:pStyle w:val="90"/>
            </w:pPr>
            <w:r>
              <w:t>工农畜产品生产、人居环境、荒漠化控制</w:t>
            </w:r>
          </w:p>
        </w:tc>
      </w:tr>
      <w:tr w14:paraId="6DC676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4" w:hRule="atLeast"/>
        </w:trPr>
        <w:tc>
          <w:tcPr>
            <w:tcW w:w="731" w:type="pct"/>
            <w:tcMar>
              <w:left w:w="0" w:type="dxa"/>
              <w:right w:w="0" w:type="dxa"/>
            </w:tcMar>
            <w:vAlign w:val="center"/>
          </w:tcPr>
          <w:p w14:paraId="0F2E5989">
            <w:pPr>
              <w:pStyle w:val="90"/>
            </w:pPr>
            <w:r>
              <w:t>主要生态环境问题</w:t>
            </w:r>
          </w:p>
        </w:tc>
        <w:tc>
          <w:tcPr>
            <w:tcW w:w="4269" w:type="pct"/>
            <w:tcMar>
              <w:left w:w="0" w:type="dxa"/>
              <w:right w:w="0" w:type="dxa"/>
            </w:tcMar>
            <w:vAlign w:val="center"/>
          </w:tcPr>
          <w:p w14:paraId="2A9DD276">
            <w:pPr>
              <w:pStyle w:val="90"/>
            </w:pPr>
            <w:r>
              <w:t>地下水超采、荒漠植被退化、河流萎缩断流、土地荒漠化与盐渍化、工业污染严重、良田减少、绿洲外围受到沙漠化威胁</w:t>
            </w:r>
          </w:p>
        </w:tc>
      </w:tr>
      <w:tr w14:paraId="1F78FB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731" w:type="pct"/>
            <w:tcMar>
              <w:left w:w="0" w:type="dxa"/>
              <w:right w:w="0" w:type="dxa"/>
            </w:tcMar>
            <w:vAlign w:val="center"/>
          </w:tcPr>
          <w:p w14:paraId="04383ADA">
            <w:pPr>
              <w:pStyle w:val="90"/>
            </w:pPr>
            <w:r>
              <w:t>主要保护目标</w:t>
            </w:r>
          </w:p>
        </w:tc>
        <w:tc>
          <w:tcPr>
            <w:tcW w:w="4269" w:type="pct"/>
            <w:tcMar>
              <w:left w:w="0" w:type="dxa"/>
              <w:right w:w="0" w:type="dxa"/>
            </w:tcMar>
            <w:vAlign w:val="center"/>
          </w:tcPr>
          <w:p w14:paraId="5612937B">
            <w:pPr>
              <w:pStyle w:val="90"/>
            </w:pPr>
            <w:r>
              <w:t>保护绿洲农田生态系统及农田土壤环境质量、保护城市环境质量、保护荒漠植被</w:t>
            </w:r>
          </w:p>
        </w:tc>
      </w:tr>
      <w:tr w14:paraId="4852F5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4" w:hRule="atLeast"/>
        </w:trPr>
        <w:tc>
          <w:tcPr>
            <w:tcW w:w="731" w:type="pct"/>
            <w:tcMar>
              <w:left w:w="0" w:type="dxa"/>
              <w:right w:w="0" w:type="dxa"/>
            </w:tcMar>
            <w:vAlign w:val="center"/>
          </w:tcPr>
          <w:p w14:paraId="7F23EC29">
            <w:pPr>
              <w:pStyle w:val="90"/>
            </w:pPr>
            <w:r>
              <w:t>主要保护措施</w:t>
            </w:r>
          </w:p>
        </w:tc>
        <w:tc>
          <w:tcPr>
            <w:tcW w:w="4269" w:type="pct"/>
            <w:tcMar>
              <w:left w:w="0" w:type="dxa"/>
              <w:right w:w="0" w:type="dxa"/>
            </w:tcMar>
            <w:vAlign w:val="center"/>
          </w:tcPr>
          <w:p w14:paraId="020592F2">
            <w:pPr>
              <w:pStyle w:val="90"/>
            </w:pPr>
            <w:r>
              <w:t>节水灌溉、严格控制地下水开采、污染物达标排放、提高城镇建设规划水平、荒漠草场禁牧休牧、完善防护林体系、加强农田投入品的使用管理。</w:t>
            </w:r>
          </w:p>
        </w:tc>
      </w:tr>
      <w:tr w14:paraId="3FCC75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4" w:hRule="atLeast"/>
        </w:trPr>
        <w:tc>
          <w:tcPr>
            <w:tcW w:w="731" w:type="pct"/>
            <w:tcMar>
              <w:left w:w="0" w:type="dxa"/>
              <w:right w:w="0" w:type="dxa"/>
            </w:tcMar>
            <w:vAlign w:val="center"/>
          </w:tcPr>
          <w:p w14:paraId="030B8078">
            <w:pPr>
              <w:pStyle w:val="90"/>
            </w:pPr>
            <w:r>
              <w:t>主要发展方向</w:t>
            </w:r>
          </w:p>
        </w:tc>
        <w:tc>
          <w:tcPr>
            <w:tcW w:w="4269" w:type="pct"/>
            <w:tcMar>
              <w:left w:w="0" w:type="dxa"/>
              <w:right w:w="0" w:type="dxa"/>
            </w:tcMar>
            <w:vAlign w:val="center"/>
          </w:tcPr>
          <w:p w14:paraId="1892B6EC">
            <w:pPr>
              <w:pStyle w:val="90"/>
            </w:pPr>
            <w:r>
              <w:t>发展以棉花为主导的优质、高效、特色农业；美化城市环境，建设健康、稳定的城乡生态系统与人居环境。发展棉纺业、食品加工业；做强塑化节水器材产业。</w:t>
            </w:r>
          </w:p>
        </w:tc>
      </w:tr>
    </w:tbl>
    <w:p w14:paraId="31FF4FFB">
      <w:pPr>
        <w:pStyle w:val="41"/>
      </w:pPr>
      <w:bookmarkStart w:id="39" w:name="_Toc152864142"/>
      <w:r>
        <w:rPr>
          <w:rFonts w:hint="eastAsia"/>
        </w:rPr>
        <w:t>环境影响识别及评价因子筛选</w:t>
      </w:r>
      <w:bookmarkEnd w:id="39"/>
    </w:p>
    <w:p w14:paraId="4027483C">
      <w:pPr>
        <w:pStyle w:val="43"/>
      </w:pPr>
      <w:bookmarkStart w:id="40" w:name="_Toc77007736"/>
      <w:bookmarkStart w:id="41" w:name="_Toc82518699"/>
      <w:bookmarkStart w:id="42" w:name="_Toc80973450"/>
      <w:bookmarkStart w:id="43" w:name="_Toc152864143"/>
      <w:bookmarkStart w:id="44" w:name="_Toc81214018"/>
      <w:bookmarkStart w:id="45" w:name="_Toc79515394"/>
      <w:bookmarkStart w:id="46" w:name="_Toc80193023"/>
      <w:r>
        <w:rPr>
          <w:rFonts w:hint="eastAsia"/>
        </w:rPr>
        <w:t>环境影响识别</w:t>
      </w:r>
      <w:bookmarkEnd w:id="40"/>
      <w:bookmarkEnd w:id="41"/>
      <w:bookmarkEnd w:id="42"/>
      <w:bookmarkEnd w:id="43"/>
      <w:bookmarkEnd w:id="44"/>
      <w:bookmarkEnd w:id="45"/>
      <w:bookmarkEnd w:id="46"/>
    </w:p>
    <w:p w14:paraId="3D96E2B4">
      <w:pPr>
        <w:ind w:firstLine="480"/>
      </w:pPr>
      <w:r>
        <w:rPr>
          <w:rFonts w:hint="eastAsia"/>
        </w:rPr>
        <w:t>本项目施工期和运营期的直接和间接行为可能会影响周围环境，在环评阶段应明确建设项目施工期和运营期等不同阶段的各种行为与可能受影响的环境要素间的作用效应关系、影响性质等，定性分析建设项目对各环境要素可能产生的污染影响与生态影响，包括有利与不利影响、长期与短期影响等。本项目环境影响要素识别及筛选见下表。</w:t>
      </w:r>
    </w:p>
    <w:p w14:paraId="369474FC">
      <w:pPr>
        <w:pStyle w:val="47"/>
        <w:spacing w:before="65"/>
      </w:pPr>
      <w:r>
        <w:rPr>
          <w:szCs w:val="24"/>
          <w:lang w:val="en-US"/>
        </w:rPr>
        <mc:AlternateContent>
          <mc:Choice Requires="wpg">
            <w:drawing>
              <wp:anchor distT="0" distB="0" distL="114300" distR="114300" simplePos="0" relativeHeight="251661312" behindDoc="0" locked="0" layoutInCell="1" allowOverlap="1">
                <wp:simplePos x="0" y="0"/>
                <wp:positionH relativeFrom="column">
                  <wp:posOffset>-95250</wp:posOffset>
                </wp:positionH>
                <wp:positionV relativeFrom="paragraph">
                  <wp:posOffset>290195</wp:posOffset>
                </wp:positionV>
                <wp:extent cx="1747520" cy="702945"/>
                <wp:effectExtent l="1905" t="4445" r="3175" b="16510"/>
                <wp:wrapNone/>
                <wp:docPr id="4" name="组合 20"/>
                <wp:cNvGraphicFramePr/>
                <a:graphic xmlns:a="http://schemas.openxmlformats.org/drawingml/2006/main">
                  <a:graphicData uri="http://schemas.microsoft.com/office/word/2010/wordprocessingGroup">
                    <wpg:wgp>
                      <wpg:cNvGrpSpPr/>
                      <wpg:grpSpPr>
                        <a:xfrm>
                          <a:off x="0" y="0"/>
                          <a:ext cx="1747520" cy="702945"/>
                          <a:chOff x="1538" y="4227"/>
                          <a:chExt cx="2752" cy="1107"/>
                        </a:xfrm>
                      </wpg:grpSpPr>
                      <wps:wsp>
                        <wps:cNvPr id="1" name="Line 4"/>
                        <wps:cNvCnPr/>
                        <wps:spPr>
                          <a:xfrm>
                            <a:off x="1538" y="4227"/>
                            <a:ext cx="2752" cy="513"/>
                          </a:xfrm>
                          <a:prstGeom prst="line">
                            <a:avLst/>
                          </a:prstGeom>
                          <a:ln w="3175" cap="flat" cmpd="sng">
                            <a:solidFill>
                              <a:srgbClr val="000000"/>
                            </a:solidFill>
                            <a:prstDash val="solid"/>
                            <a:headEnd type="none" w="med" len="med"/>
                            <a:tailEnd type="none" w="med" len="med"/>
                          </a:ln>
                        </wps:spPr>
                        <wps:bodyPr upright="1"/>
                      </wps:wsp>
                      <wps:wsp>
                        <wps:cNvPr id="3" name="Line 4"/>
                        <wps:cNvCnPr/>
                        <wps:spPr>
                          <a:xfrm>
                            <a:off x="1538" y="4227"/>
                            <a:ext cx="2752" cy="1107"/>
                          </a:xfrm>
                          <a:prstGeom prst="line">
                            <a:avLst/>
                          </a:prstGeom>
                          <a:ln w="3175" cap="flat" cmpd="sng">
                            <a:solidFill>
                              <a:srgbClr val="000000"/>
                            </a:solidFill>
                            <a:prstDash val="solid"/>
                            <a:headEnd type="none" w="med" len="med"/>
                            <a:tailEnd type="none" w="med" len="med"/>
                          </a:ln>
                        </wps:spPr>
                        <wps:bodyPr upright="1"/>
                      </wps:wsp>
                    </wpg:wgp>
                  </a:graphicData>
                </a:graphic>
              </wp:anchor>
            </w:drawing>
          </mc:Choice>
          <mc:Fallback>
            <w:pict>
              <v:group id="组合 20" o:spid="_x0000_s1026" o:spt="203" style="position:absolute;left:0pt;margin-left:-7.5pt;margin-top:22.85pt;height:55.35pt;width:137.6pt;z-index:251661312;mso-width-relative:page;mso-height-relative:page;" coordorigin="1538,4227" coordsize="2752,1107" o:gfxdata="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aSBnv2wAAAAoBAAAPAAAAAAAAAAEAIAAAACIAAABkcnMvZG93bnJldi54&#10;bWxQSwECFAAUAAAACACHTuJAV2sEIGkCAAAQBwAADgAAAAAAAAABACAAAAAqAQAAZHJzL2Uyb0Rv&#10;Yy54bWxQSwUGAAAAAAYABgBZAQAABQYAAAAA&#10;">
                <o:lock v:ext="edit" aspectratio="f"/>
                <v:line id="Line 4" o:spid="_x0000_s1026" o:spt="20" style="position:absolute;left:1538;top:4227;height:513;width:2752;" filled="f" stroked="t" coordsize="21600,21600" o:gfxdata="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HpL3ugAAANo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4" o:spid="_x0000_s1026" o:spt="20" style="position:absolute;left:1538;top:4227;height:1107;width:2752;" filled="f" stroked="t" coordsize="21600,21600" o:gfxdata="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KkbvQAA&#10;ANo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w:pict>
          </mc:Fallback>
        </mc:AlternateContent>
      </w:r>
      <w:r>
        <w:rPr>
          <w:rFonts w:hint="eastAsia"/>
          <w:szCs w:val="24"/>
        </w:rPr>
        <w:t>表2</w:t>
      </w:r>
      <w:r>
        <w:rPr>
          <w:szCs w:val="24"/>
        </w:rPr>
        <w:t>.4-1</w:t>
      </w:r>
      <w:r>
        <w:t xml:space="preserve">   </w:t>
      </w:r>
      <w:r>
        <w:rPr>
          <w:rFonts w:hint="eastAsia"/>
        </w:rPr>
        <w:t>环境影响要素识别及筛选</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220"/>
        <w:gridCol w:w="1487"/>
        <w:gridCol w:w="696"/>
        <w:gridCol w:w="698"/>
        <w:gridCol w:w="696"/>
        <w:gridCol w:w="698"/>
        <w:gridCol w:w="667"/>
        <w:gridCol w:w="667"/>
        <w:gridCol w:w="726"/>
        <w:gridCol w:w="698"/>
        <w:gridCol w:w="693"/>
      </w:tblGrid>
      <w:tr w14:paraId="1258B3A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cantSplit/>
          <w:trHeight w:val="20" w:hRule="atLeast"/>
          <w:jc w:val="center"/>
        </w:trPr>
        <w:tc>
          <w:tcPr>
            <w:tcW w:w="1513" w:type="pct"/>
            <w:gridSpan w:val="2"/>
            <w:vMerge w:val="restart"/>
            <w:tcMar>
              <w:top w:w="57" w:type="dxa"/>
              <w:bottom w:w="28" w:type="dxa"/>
            </w:tcMar>
            <w:vAlign w:val="center"/>
          </w:tcPr>
          <w:p w14:paraId="2156F966">
            <w:pPr>
              <w:adjustRightInd w:val="0"/>
              <w:snapToGrid w:val="0"/>
              <w:spacing w:line="240" w:lineRule="auto"/>
              <w:ind w:firstLine="0" w:firstLineChars="0"/>
              <w:jc w:val="right"/>
              <w:rPr>
                <w:sz w:val="21"/>
                <w:szCs w:val="20"/>
              </w:rPr>
            </w:pPr>
            <w:r>
              <w:rPr>
                <w:sz w:val="21"/>
                <w:szCs w:val="20"/>
              </w:rPr>
              <w:t>环境要素</w:t>
            </w:r>
          </w:p>
          <w:p w14:paraId="2C205373">
            <w:pPr>
              <w:adjustRightInd w:val="0"/>
              <w:snapToGrid w:val="0"/>
              <w:spacing w:before="97" w:beforeLines="30" w:after="97" w:afterLines="30" w:line="240" w:lineRule="auto"/>
              <w:ind w:firstLine="0" w:firstLineChars="0"/>
              <w:jc w:val="right"/>
              <w:rPr>
                <w:sz w:val="21"/>
                <w:szCs w:val="20"/>
              </w:rPr>
            </w:pPr>
            <w:r>
              <w:rPr>
                <w:sz w:val="21"/>
                <w:szCs w:val="20"/>
              </w:rPr>
              <w:t>影响程度</w:t>
            </w:r>
          </w:p>
          <w:p w14:paraId="3C4BDB4D">
            <w:pPr>
              <w:adjustRightInd w:val="0"/>
              <w:snapToGrid w:val="0"/>
              <w:spacing w:line="240" w:lineRule="auto"/>
              <w:ind w:firstLine="0" w:firstLineChars="0"/>
              <w:jc w:val="center"/>
              <w:rPr>
                <w:sz w:val="21"/>
                <w:szCs w:val="20"/>
              </w:rPr>
            </w:pPr>
            <w:r>
              <w:rPr>
                <w:sz w:val="21"/>
                <w:szCs w:val="20"/>
              </w:rPr>
              <w:t>开发利用活动</w:t>
            </w:r>
          </w:p>
        </w:tc>
        <w:tc>
          <w:tcPr>
            <w:tcW w:w="2303" w:type="pct"/>
            <w:gridSpan w:val="6"/>
          </w:tcPr>
          <w:p w14:paraId="4FDAB2DA">
            <w:pPr>
              <w:adjustRightInd w:val="0"/>
              <w:snapToGrid w:val="0"/>
              <w:spacing w:line="240" w:lineRule="auto"/>
              <w:ind w:firstLine="0" w:firstLineChars="0"/>
              <w:jc w:val="center"/>
              <w:rPr>
                <w:sz w:val="21"/>
                <w:szCs w:val="20"/>
              </w:rPr>
            </w:pPr>
            <w:r>
              <w:rPr>
                <w:sz w:val="21"/>
                <w:szCs w:val="20"/>
              </w:rPr>
              <w:t>自然环境</w:t>
            </w:r>
          </w:p>
        </w:tc>
        <w:tc>
          <w:tcPr>
            <w:tcW w:w="1185" w:type="pct"/>
            <w:gridSpan w:val="3"/>
            <w:tcMar>
              <w:top w:w="57" w:type="dxa"/>
              <w:bottom w:w="28" w:type="dxa"/>
            </w:tcMar>
            <w:vAlign w:val="center"/>
          </w:tcPr>
          <w:p w14:paraId="1934B292">
            <w:pPr>
              <w:adjustRightInd w:val="0"/>
              <w:snapToGrid w:val="0"/>
              <w:spacing w:line="240" w:lineRule="auto"/>
              <w:ind w:firstLine="0" w:firstLineChars="0"/>
              <w:jc w:val="center"/>
              <w:rPr>
                <w:sz w:val="21"/>
                <w:szCs w:val="20"/>
              </w:rPr>
            </w:pPr>
            <w:r>
              <w:rPr>
                <w:sz w:val="21"/>
                <w:szCs w:val="20"/>
              </w:rPr>
              <w:t>生态环境</w:t>
            </w:r>
          </w:p>
        </w:tc>
      </w:tr>
      <w:tr w14:paraId="654F558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1513" w:type="pct"/>
            <w:gridSpan w:val="2"/>
            <w:vMerge w:val="continue"/>
            <w:tcMar>
              <w:top w:w="57" w:type="dxa"/>
              <w:bottom w:w="28" w:type="dxa"/>
            </w:tcMar>
            <w:vAlign w:val="center"/>
          </w:tcPr>
          <w:p w14:paraId="59D850AB">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5782A32B">
            <w:pPr>
              <w:adjustRightInd w:val="0"/>
              <w:snapToGrid w:val="0"/>
              <w:spacing w:line="240" w:lineRule="auto"/>
              <w:ind w:firstLine="0" w:firstLineChars="0"/>
              <w:jc w:val="center"/>
              <w:rPr>
                <w:sz w:val="21"/>
                <w:szCs w:val="20"/>
              </w:rPr>
            </w:pPr>
            <w:r>
              <w:rPr>
                <w:sz w:val="21"/>
                <w:szCs w:val="20"/>
              </w:rPr>
              <w:t>环境空气</w:t>
            </w:r>
          </w:p>
        </w:tc>
        <w:tc>
          <w:tcPr>
            <w:tcW w:w="390" w:type="pct"/>
            <w:tcMar>
              <w:top w:w="57" w:type="dxa"/>
              <w:bottom w:w="28" w:type="dxa"/>
            </w:tcMar>
            <w:vAlign w:val="center"/>
          </w:tcPr>
          <w:p w14:paraId="0766E55E">
            <w:pPr>
              <w:adjustRightInd w:val="0"/>
              <w:snapToGrid w:val="0"/>
              <w:spacing w:line="240" w:lineRule="auto"/>
              <w:ind w:firstLine="0" w:firstLineChars="0"/>
              <w:jc w:val="center"/>
              <w:rPr>
                <w:sz w:val="21"/>
                <w:szCs w:val="20"/>
              </w:rPr>
            </w:pPr>
            <w:r>
              <w:rPr>
                <w:sz w:val="21"/>
                <w:szCs w:val="20"/>
              </w:rPr>
              <w:t>地</w:t>
            </w:r>
            <w:r>
              <w:rPr>
                <w:rFonts w:hint="eastAsia"/>
                <w:sz w:val="21"/>
                <w:szCs w:val="20"/>
              </w:rPr>
              <w:t>表</w:t>
            </w:r>
            <w:r>
              <w:rPr>
                <w:sz w:val="21"/>
                <w:szCs w:val="20"/>
              </w:rPr>
              <w:t>水</w:t>
            </w:r>
          </w:p>
        </w:tc>
        <w:tc>
          <w:tcPr>
            <w:tcW w:w="389" w:type="pct"/>
            <w:tcMar>
              <w:top w:w="57" w:type="dxa"/>
              <w:bottom w:w="28" w:type="dxa"/>
            </w:tcMar>
            <w:vAlign w:val="center"/>
          </w:tcPr>
          <w:p w14:paraId="486B3170">
            <w:pPr>
              <w:adjustRightInd w:val="0"/>
              <w:snapToGrid w:val="0"/>
              <w:spacing w:line="240" w:lineRule="auto"/>
              <w:ind w:firstLine="0" w:firstLineChars="0"/>
              <w:jc w:val="center"/>
              <w:rPr>
                <w:sz w:val="21"/>
                <w:szCs w:val="20"/>
              </w:rPr>
            </w:pPr>
            <w:r>
              <w:rPr>
                <w:sz w:val="21"/>
                <w:szCs w:val="20"/>
              </w:rPr>
              <w:t>地下水</w:t>
            </w:r>
          </w:p>
        </w:tc>
        <w:tc>
          <w:tcPr>
            <w:tcW w:w="390" w:type="pct"/>
            <w:tcMar>
              <w:top w:w="57" w:type="dxa"/>
              <w:bottom w:w="28" w:type="dxa"/>
            </w:tcMar>
            <w:vAlign w:val="center"/>
          </w:tcPr>
          <w:p w14:paraId="708BE3C2">
            <w:pPr>
              <w:adjustRightInd w:val="0"/>
              <w:snapToGrid w:val="0"/>
              <w:spacing w:line="240" w:lineRule="auto"/>
              <w:ind w:firstLine="0" w:firstLineChars="0"/>
              <w:jc w:val="center"/>
              <w:rPr>
                <w:sz w:val="21"/>
                <w:szCs w:val="20"/>
              </w:rPr>
            </w:pPr>
            <w:r>
              <w:rPr>
                <w:sz w:val="21"/>
                <w:szCs w:val="20"/>
              </w:rPr>
              <w:t>声环境</w:t>
            </w:r>
          </w:p>
        </w:tc>
        <w:tc>
          <w:tcPr>
            <w:tcW w:w="373" w:type="pct"/>
            <w:vAlign w:val="center"/>
          </w:tcPr>
          <w:p w14:paraId="5CA72DF5">
            <w:pPr>
              <w:adjustRightInd w:val="0"/>
              <w:snapToGrid w:val="0"/>
              <w:spacing w:line="240" w:lineRule="auto"/>
              <w:ind w:firstLine="0" w:firstLineChars="0"/>
              <w:jc w:val="center"/>
              <w:rPr>
                <w:sz w:val="21"/>
                <w:szCs w:val="20"/>
              </w:rPr>
            </w:pPr>
            <w:r>
              <w:rPr>
                <w:rFonts w:hint="eastAsia"/>
                <w:sz w:val="21"/>
                <w:szCs w:val="20"/>
              </w:rPr>
              <w:t>土壤环境</w:t>
            </w:r>
          </w:p>
        </w:tc>
        <w:tc>
          <w:tcPr>
            <w:tcW w:w="373" w:type="pct"/>
            <w:tcMar>
              <w:top w:w="57" w:type="dxa"/>
              <w:bottom w:w="28" w:type="dxa"/>
            </w:tcMar>
          </w:tcPr>
          <w:p w14:paraId="274F305A">
            <w:pPr>
              <w:adjustRightInd w:val="0"/>
              <w:snapToGrid w:val="0"/>
              <w:spacing w:line="240" w:lineRule="auto"/>
              <w:ind w:firstLine="0" w:firstLineChars="0"/>
              <w:jc w:val="center"/>
              <w:rPr>
                <w:sz w:val="21"/>
                <w:szCs w:val="20"/>
              </w:rPr>
            </w:pPr>
            <w:r>
              <w:rPr>
                <w:sz w:val="21"/>
                <w:szCs w:val="20"/>
              </w:rPr>
              <w:t>环境风险</w:t>
            </w:r>
          </w:p>
        </w:tc>
        <w:tc>
          <w:tcPr>
            <w:tcW w:w="406" w:type="pct"/>
            <w:tcMar>
              <w:top w:w="57" w:type="dxa"/>
              <w:bottom w:w="28" w:type="dxa"/>
            </w:tcMar>
            <w:vAlign w:val="center"/>
          </w:tcPr>
          <w:p w14:paraId="4D7AF159">
            <w:pPr>
              <w:adjustRightInd w:val="0"/>
              <w:snapToGrid w:val="0"/>
              <w:spacing w:line="240" w:lineRule="auto"/>
              <w:ind w:firstLine="0" w:firstLineChars="0"/>
              <w:jc w:val="center"/>
              <w:rPr>
                <w:sz w:val="21"/>
                <w:szCs w:val="20"/>
              </w:rPr>
            </w:pPr>
            <w:r>
              <w:rPr>
                <w:sz w:val="21"/>
                <w:szCs w:val="20"/>
              </w:rPr>
              <w:t>植被</w:t>
            </w:r>
          </w:p>
        </w:tc>
        <w:tc>
          <w:tcPr>
            <w:tcW w:w="390" w:type="pct"/>
            <w:tcMar>
              <w:top w:w="57" w:type="dxa"/>
              <w:bottom w:w="28" w:type="dxa"/>
            </w:tcMar>
            <w:vAlign w:val="center"/>
          </w:tcPr>
          <w:p w14:paraId="10A173C7">
            <w:pPr>
              <w:adjustRightInd w:val="0"/>
              <w:snapToGrid w:val="0"/>
              <w:spacing w:line="240" w:lineRule="auto"/>
              <w:ind w:firstLine="0" w:firstLineChars="0"/>
              <w:jc w:val="center"/>
              <w:rPr>
                <w:sz w:val="21"/>
                <w:szCs w:val="20"/>
              </w:rPr>
            </w:pPr>
            <w:r>
              <w:rPr>
                <w:sz w:val="21"/>
                <w:szCs w:val="20"/>
              </w:rPr>
              <w:t>景观</w:t>
            </w:r>
          </w:p>
        </w:tc>
        <w:tc>
          <w:tcPr>
            <w:tcW w:w="390" w:type="pct"/>
            <w:tcMar>
              <w:top w:w="57" w:type="dxa"/>
              <w:bottom w:w="28" w:type="dxa"/>
            </w:tcMar>
            <w:vAlign w:val="center"/>
          </w:tcPr>
          <w:p w14:paraId="6CF445A0">
            <w:pPr>
              <w:adjustRightInd w:val="0"/>
              <w:snapToGrid w:val="0"/>
              <w:spacing w:line="240" w:lineRule="auto"/>
              <w:ind w:firstLine="0" w:firstLineChars="0"/>
              <w:jc w:val="center"/>
              <w:rPr>
                <w:sz w:val="21"/>
                <w:szCs w:val="20"/>
              </w:rPr>
            </w:pPr>
            <w:r>
              <w:rPr>
                <w:sz w:val="21"/>
                <w:szCs w:val="20"/>
              </w:rPr>
              <w:t>水土流失</w:t>
            </w:r>
          </w:p>
        </w:tc>
      </w:tr>
      <w:tr w14:paraId="0FB2A93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restart"/>
            <w:tcMar>
              <w:top w:w="57" w:type="dxa"/>
              <w:bottom w:w="28" w:type="dxa"/>
            </w:tcMar>
            <w:vAlign w:val="center"/>
          </w:tcPr>
          <w:p w14:paraId="70ADF590">
            <w:pPr>
              <w:adjustRightInd w:val="0"/>
              <w:snapToGrid w:val="0"/>
              <w:spacing w:line="240" w:lineRule="auto"/>
              <w:ind w:firstLine="0" w:firstLineChars="0"/>
              <w:jc w:val="center"/>
              <w:rPr>
                <w:sz w:val="21"/>
                <w:szCs w:val="20"/>
              </w:rPr>
            </w:pPr>
            <w:r>
              <w:rPr>
                <w:sz w:val="21"/>
                <w:szCs w:val="20"/>
              </w:rPr>
              <w:t>施工期</w:t>
            </w:r>
          </w:p>
        </w:tc>
        <w:tc>
          <w:tcPr>
            <w:tcW w:w="831" w:type="pct"/>
            <w:tcMar>
              <w:top w:w="57" w:type="dxa"/>
              <w:bottom w:w="28" w:type="dxa"/>
            </w:tcMar>
            <w:vAlign w:val="center"/>
          </w:tcPr>
          <w:p w14:paraId="015C11A3">
            <w:pPr>
              <w:adjustRightInd w:val="0"/>
              <w:snapToGrid w:val="0"/>
              <w:spacing w:line="240" w:lineRule="auto"/>
              <w:ind w:firstLine="0" w:firstLineChars="0"/>
              <w:jc w:val="center"/>
              <w:rPr>
                <w:sz w:val="21"/>
                <w:szCs w:val="20"/>
              </w:rPr>
            </w:pPr>
            <w:r>
              <w:rPr>
                <w:sz w:val="21"/>
                <w:szCs w:val="20"/>
              </w:rPr>
              <w:t>挖填土方</w:t>
            </w:r>
          </w:p>
        </w:tc>
        <w:tc>
          <w:tcPr>
            <w:tcW w:w="389" w:type="pct"/>
            <w:tcMar>
              <w:top w:w="57" w:type="dxa"/>
              <w:bottom w:w="28" w:type="dxa"/>
            </w:tcMar>
            <w:vAlign w:val="center"/>
          </w:tcPr>
          <w:p w14:paraId="13B88782">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647A673F">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7DAF41C5">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51A1FF2C">
            <w:pPr>
              <w:adjustRightInd w:val="0"/>
              <w:snapToGrid w:val="0"/>
              <w:spacing w:line="240" w:lineRule="auto"/>
              <w:ind w:firstLine="0" w:firstLineChars="0"/>
              <w:jc w:val="center"/>
              <w:rPr>
                <w:sz w:val="21"/>
                <w:szCs w:val="20"/>
              </w:rPr>
            </w:pPr>
            <w:r>
              <w:rPr>
                <w:sz w:val="21"/>
                <w:szCs w:val="20"/>
              </w:rPr>
              <w:t>-1D</w:t>
            </w:r>
          </w:p>
        </w:tc>
        <w:tc>
          <w:tcPr>
            <w:tcW w:w="373" w:type="pct"/>
            <w:vAlign w:val="center"/>
          </w:tcPr>
          <w:p w14:paraId="7AF44E51">
            <w:pPr>
              <w:adjustRightInd w:val="0"/>
              <w:snapToGrid w:val="0"/>
              <w:spacing w:line="240" w:lineRule="auto"/>
              <w:ind w:firstLine="0" w:firstLineChars="0"/>
              <w:jc w:val="center"/>
              <w:rPr>
                <w:sz w:val="21"/>
                <w:szCs w:val="20"/>
              </w:rPr>
            </w:pPr>
            <w:r>
              <w:rPr>
                <w:rFonts w:hint="eastAsia"/>
                <w:sz w:val="21"/>
                <w:szCs w:val="20"/>
              </w:rPr>
              <w:t>-</w:t>
            </w:r>
            <w:r>
              <w:rPr>
                <w:sz w:val="21"/>
                <w:szCs w:val="20"/>
              </w:rPr>
              <w:t>1</w:t>
            </w:r>
            <w:r>
              <w:rPr>
                <w:rFonts w:hint="eastAsia"/>
                <w:sz w:val="21"/>
                <w:szCs w:val="20"/>
              </w:rPr>
              <w:t>D</w:t>
            </w:r>
          </w:p>
        </w:tc>
        <w:tc>
          <w:tcPr>
            <w:tcW w:w="373" w:type="pct"/>
            <w:tcMar>
              <w:top w:w="57" w:type="dxa"/>
              <w:bottom w:w="28" w:type="dxa"/>
            </w:tcMar>
          </w:tcPr>
          <w:p w14:paraId="6C13076F">
            <w:pPr>
              <w:adjustRightInd w:val="0"/>
              <w:snapToGrid w:val="0"/>
              <w:spacing w:line="240" w:lineRule="auto"/>
              <w:ind w:firstLine="0" w:firstLineChars="0"/>
              <w:jc w:val="center"/>
              <w:rPr>
                <w:sz w:val="21"/>
                <w:szCs w:val="20"/>
              </w:rPr>
            </w:pPr>
          </w:p>
        </w:tc>
        <w:tc>
          <w:tcPr>
            <w:tcW w:w="406" w:type="pct"/>
            <w:tcMar>
              <w:top w:w="57" w:type="dxa"/>
              <w:bottom w:w="28" w:type="dxa"/>
            </w:tcMar>
            <w:vAlign w:val="center"/>
          </w:tcPr>
          <w:p w14:paraId="13120068">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51AC1CBD">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21187292">
            <w:pPr>
              <w:adjustRightInd w:val="0"/>
              <w:snapToGrid w:val="0"/>
              <w:spacing w:line="240" w:lineRule="auto"/>
              <w:ind w:firstLine="0" w:firstLineChars="0"/>
              <w:jc w:val="center"/>
              <w:rPr>
                <w:sz w:val="21"/>
                <w:szCs w:val="20"/>
              </w:rPr>
            </w:pPr>
            <w:r>
              <w:rPr>
                <w:sz w:val="21"/>
                <w:szCs w:val="20"/>
              </w:rPr>
              <w:t>-1D</w:t>
            </w:r>
          </w:p>
        </w:tc>
      </w:tr>
      <w:tr w14:paraId="40224DD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continue"/>
            <w:tcMar>
              <w:top w:w="57" w:type="dxa"/>
              <w:bottom w:w="28" w:type="dxa"/>
            </w:tcMar>
            <w:vAlign w:val="center"/>
          </w:tcPr>
          <w:p w14:paraId="6FEA497A">
            <w:pPr>
              <w:adjustRightInd w:val="0"/>
              <w:snapToGrid w:val="0"/>
              <w:spacing w:line="240" w:lineRule="auto"/>
              <w:ind w:firstLine="0" w:firstLineChars="0"/>
              <w:jc w:val="center"/>
              <w:rPr>
                <w:sz w:val="21"/>
                <w:szCs w:val="20"/>
              </w:rPr>
            </w:pPr>
          </w:p>
        </w:tc>
        <w:tc>
          <w:tcPr>
            <w:tcW w:w="831" w:type="pct"/>
            <w:tcMar>
              <w:top w:w="57" w:type="dxa"/>
              <w:bottom w:w="28" w:type="dxa"/>
            </w:tcMar>
            <w:vAlign w:val="center"/>
          </w:tcPr>
          <w:p w14:paraId="0859CFB6">
            <w:pPr>
              <w:adjustRightInd w:val="0"/>
              <w:snapToGrid w:val="0"/>
              <w:spacing w:line="240" w:lineRule="auto"/>
              <w:ind w:firstLine="0" w:firstLineChars="0"/>
              <w:jc w:val="center"/>
              <w:rPr>
                <w:sz w:val="21"/>
                <w:szCs w:val="20"/>
              </w:rPr>
            </w:pPr>
            <w:r>
              <w:rPr>
                <w:sz w:val="21"/>
                <w:szCs w:val="20"/>
              </w:rPr>
              <w:t>材料堆存</w:t>
            </w:r>
          </w:p>
        </w:tc>
        <w:tc>
          <w:tcPr>
            <w:tcW w:w="389" w:type="pct"/>
            <w:tcMar>
              <w:top w:w="57" w:type="dxa"/>
              <w:bottom w:w="28" w:type="dxa"/>
            </w:tcMar>
            <w:vAlign w:val="center"/>
          </w:tcPr>
          <w:p w14:paraId="25A828DA">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355F2326">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6418F2EF">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72E09B4F">
            <w:pPr>
              <w:adjustRightInd w:val="0"/>
              <w:snapToGrid w:val="0"/>
              <w:spacing w:line="240" w:lineRule="auto"/>
              <w:ind w:firstLine="0" w:firstLineChars="0"/>
              <w:jc w:val="center"/>
              <w:rPr>
                <w:sz w:val="21"/>
                <w:szCs w:val="20"/>
              </w:rPr>
            </w:pPr>
          </w:p>
        </w:tc>
        <w:tc>
          <w:tcPr>
            <w:tcW w:w="373" w:type="pct"/>
            <w:vAlign w:val="center"/>
          </w:tcPr>
          <w:p w14:paraId="27672B37">
            <w:pPr>
              <w:adjustRightInd w:val="0"/>
              <w:snapToGrid w:val="0"/>
              <w:spacing w:line="240" w:lineRule="auto"/>
              <w:ind w:firstLine="0" w:firstLineChars="0"/>
              <w:jc w:val="center"/>
              <w:rPr>
                <w:sz w:val="21"/>
                <w:szCs w:val="20"/>
              </w:rPr>
            </w:pPr>
            <w:r>
              <w:rPr>
                <w:rFonts w:hint="eastAsia"/>
                <w:sz w:val="21"/>
                <w:szCs w:val="20"/>
              </w:rPr>
              <w:t>-</w:t>
            </w:r>
            <w:r>
              <w:rPr>
                <w:sz w:val="21"/>
                <w:szCs w:val="20"/>
              </w:rPr>
              <w:t>1</w:t>
            </w:r>
            <w:r>
              <w:rPr>
                <w:rFonts w:hint="eastAsia"/>
                <w:sz w:val="21"/>
                <w:szCs w:val="20"/>
              </w:rPr>
              <w:t>D</w:t>
            </w:r>
          </w:p>
        </w:tc>
        <w:tc>
          <w:tcPr>
            <w:tcW w:w="373" w:type="pct"/>
            <w:tcMar>
              <w:top w:w="57" w:type="dxa"/>
              <w:bottom w:w="28" w:type="dxa"/>
            </w:tcMar>
          </w:tcPr>
          <w:p w14:paraId="34E56CE3">
            <w:pPr>
              <w:adjustRightInd w:val="0"/>
              <w:snapToGrid w:val="0"/>
              <w:spacing w:line="240" w:lineRule="auto"/>
              <w:ind w:firstLine="0" w:firstLineChars="0"/>
              <w:jc w:val="center"/>
              <w:rPr>
                <w:sz w:val="21"/>
                <w:szCs w:val="20"/>
              </w:rPr>
            </w:pPr>
          </w:p>
        </w:tc>
        <w:tc>
          <w:tcPr>
            <w:tcW w:w="406" w:type="pct"/>
            <w:tcMar>
              <w:top w:w="57" w:type="dxa"/>
              <w:bottom w:w="28" w:type="dxa"/>
            </w:tcMar>
            <w:vAlign w:val="center"/>
          </w:tcPr>
          <w:p w14:paraId="38B9E9AB">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337CC4C5">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2ECEADB9">
            <w:pPr>
              <w:adjustRightInd w:val="0"/>
              <w:snapToGrid w:val="0"/>
              <w:spacing w:line="240" w:lineRule="auto"/>
              <w:ind w:firstLine="0" w:firstLineChars="0"/>
              <w:jc w:val="center"/>
              <w:rPr>
                <w:sz w:val="21"/>
                <w:szCs w:val="20"/>
              </w:rPr>
            </w:pPr>
            <w:r>
              <w:rPr>
                <w:sz w:val="21"/>
                <w:szCs w:val="20"/>
              </w:rPr>
              <w:t>-1D</w:t>
            </w:r>
          </w:p>
        </w:tc>
      </w:tr>
      <w:tr w14:paraId="1601A6B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continue"/>
            <w:tcMar>
              <w:top w:w="57" w:type="dxa"/>
              <w:bottom w:w="28" w:type="dxa"/>
            </w:tcMar>
            <w:vAlign w:val="center"/>
          </w:tcPr>
          <w:p w14:paraId="35A5A08F">
            <w:pPr>
              <w:adjustRightInd w:val="0"/>
              <w:snapToGrid w:val="0"/>
              <w:spacing w:line="240" w:lineRule="auto"/>
              <w:ind w:firstLine="0" w:firstLineChars="0"/>
              <w:jc w:val="center"/>
              <w:rPr>
                <w:sz w:val="21"/>
                <w:szCs w:val="20"/>
              </w:rPr>
            </w:pPr>
          </w:p>
        </w:tc>
        <w:tc>
          <w:tcPr>
            <w:tcW w:w="831" w:type="pct"/>
            <w:tcMar>
              <w:top w:w="57" w:type="dxa"/>
              <w:bottom w:w="28" w:type="dxa"/>
            </w:tcMar>
            <w:vAlign w:val="center"/>
          </w:tcPr>
          <w:p w14:paraId="1713FB03">
            <w:pPr>
              <w:adjustRightInd w:val="0"/>
              <w:snapToGrid w:val="0"/>
              <w:spacing w:line="240" w:lineRule="auto"/>
              <w:ind w:firstLine="0" w:firstLineChars="0"/>
              <w:jc w:val="center"/>
              <w:rPr>
                <w:sz w:val="21"/>
                <w:szCs w:val="20"/>
              </w:rPr>
            </w:pPr>
            <w:r>
              <w:rPr>
                <w:sz w:val="21"/>
                <w:szCs w:val="20"/>
              </w:rPr>
              <w:t>建筑施工</w:t>
            </w:r>
          </w:p>
        </w:tc>
        <w:tc>
          <w:tcPr>
            <w:tcW w:w="389" w:type="pct"/>
            <w:tcMar>
              <w:top w:w="57" w:type="dxa"/>
              <w:bottom w:w="28" w:type="dxa"/>
            </w:tcMar>
            <w:vAlign w:val="center"/>
          </w:tcPr>
          <w:p w14:paraId="11531189">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36DBF83D">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6E4E9762">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751FDC0C">
            <w:pPr>
              <w:adjustRightInd w:val="0"/>
              <w:snapToGrid w:val="0"/>
              <w:spacing w:line="240" w:lineRule="auto"/>
              <w:ind w:firstLine="0" w:firstLineChars="0"/>
              <w:jc w:val="center"/>
              <w:rPr>
                <w:sz w:val="21"/>
                <w:szCs w:val="20"/>
              </w:rPr>
            </w:pPr>
            <w:r>
              <w:rPr>
                <w:sz w:val="21"/>
                <w:szCs w:val="20"/>
              </w:rPr>
              <w:t>-2D</w:t>
            </w:r>
          </w:p>
        </w:tc>
        <w:tc>
          <w:tcPr>
            <w:tcW w:w="373" w:type="pct"/>
            <w:vAlign w:val="center"/>
          </w:tcPr>
          <w:p w14:paraId="37DDAB85">
            <w:pPr>
              <w:adjustRightInd w:val="0"/>
              <w:snapToGrid w:val="0"/>
              <w:spacing w:line="240" w:lineRule="auto"/>
              <w:ind w:firstLine="0" w:firstLineChars="0"/>
              <w:jc w:val="center"/>
              <w:rPr>
                <w:sz w:val="21"/>
                <w:szCs w:val="20"/>
              </w:rPr>
            </w:pPr>
            <w:r>
              <w:rPr>
                <w:rFonts w:hint="eastAsia"/>
                <w:sz w:val="21"/>
                <w:szCs w:val="20"/>
              </w:rPr>
              <w:t>-</w:t>
            </w:r>
            <w:r>
              <w:rPr>
                <w:sz w:val="21"/>
                <w:szCs w:val="20"/>
              </w:rPr>
              <w:t>1</w:t>
            </w:r>
            <w:r>
              <w:rPr>
                <w:rFonts w:hint="eastAsia"/>
                <w:sz w:val="21"/>
                <w:szCs w:val="20"/>
              </w:rPr>
              <w:t>D</w:t>
            </w:r>
          </w:p>
        </w:tc>
        <w:tc>
          <w:tcPr>
            <w:tcW w:w="373" w:type="pct"/>
            <w:tcMar>
              <w:top w:w="57" w:type="dxa"/>
              <w:bottom w:w="28" w:type="dxa"/>
            </w:tcMar>
          </w:tcPr>
          <w:p w14:paraId="525C9028">
            <w:pPr>
              <w:adjustRightInd w:val="0"/>
              <w:snapToGrid w:val="0"/>
              <w:spacing w:line="240" w:lineRule="auto"/>
              <w:ind w:firstLine="0" w:firstLineChars="0"/>
              <w:jc w:val="center"/>
              <w:rPr>
                <w:sz w:val="21"/>
                <w:szCs w:val="20"/>
              </w:rPr>
            </w:pPr>
          </w:p>
        </w:tc>
        <w:tc>
          <w:tcPr>
            <w:tcW w:w="406" w:type="pct"/>
            <w:tcMar>
              <w:top w:w="57" w:type="dxa"/>
              <w:bottom w:w="28" w:type="dxa"/>
            </w:tcMar>
            <w:vAlign w:val="center"/>
          </w:tcPr>
          <w:p w14:paraId="76726C8C">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68A00E07">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4CB4E8B8">
            <w:pPr>
              <w:adjustRightInd w:val="0"/>
              <w:snapToGrid w:val="0"/>
              <w:spacing w:line="240" w:lineRule="auto"/>
              <w:ind w:firstLine="0" w:firstLineChars="0"/>
              <w:jc w:val="center"/>
              <w:rPr>
                <w:sz w:val="21"/>
                <w:szCs w:val="20"/>
              </w:rPr>
            </w:pPr>
          </w:p>
        </w:tc>
      </w:tr>
      <w:tr w14:paraId="7BB4566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continue"/>
            <w:tcMar>
              <w:top w:w="57" w:type="dxa"/>
              <w:bottom w:w="28" w:type="dxa"/>
            </w:tcMar>
            <w:vAlign w:val="center"/>
          </w:tcPr>
          <w:p w14:paraId="38F5D2D4">
            <w:pPr>
              <w:adjustRightInd w:val="0"/>
              <w:snapToGrid w:val="0"/>
              <w:spacing w:line="240" w:lineRule="auto"/>
              <w:ind w:firstLine="0" w:firstLineChars="0"/>
              <w:jc w:val="center"/>
              <w:rPr>
                <w:sz w:val="21"/>
                <w:szCs w:val="20"/>
              </w:rPr>
            </w:pPr>
          </w:p>
        </w:tc>
        <w:tc>
          <w:tcPr>
            <w:tcW w:w="831" w:type="pct"/>
            <w:tcMar>
              <w:top w:w="57" w:type="dxa"/>
              <w:bottom w:w="28" w:type="dxa"/>
            </w:tcMar>
            <w:vAlign w:val="center"/>
          </w:tcPr>
          <w:p w14:paraId="06284C22">
            <w:pPr>
              <w:adjustRightInd w:val="0"/>
              <w:snapToGrid w:val="0"/>
              <w:spacing w:line="240" w:lineRule="auto"/>
              <w:ind w:firstLine="0" w:firstLineChars="0"/>
              <w:jc w:val="center"/>
              <w:rPr>
                <w:sz w:val="21"/>
                <w:szCs w:val="20"/>
              </w:rPr>
            </w:pPr>
            <w:r>
              <w:rPr>
                <w:sz w:val="21"/>
                <w:szCs w:val="20"/>
              </w:rPr>
              <w:t>材料运输</w:t>
            </w:r>
          </w:p>
        </w:tc>
        <w:tc>
          <w:tcPr>
            <w:tcW w:w="389" w:type="pct"/>
            <w:tcMar>
              <w:top w:w="57" w:type="dxa"/>
              <w:bottom w:w="28" w:type="dxa"/>
            </w:tcMar>
            <w:vAlign w:val="center"/>
          </w:tcPr>
          <w:p w14:paraId="0AE5C8A6">
            <w:pPr>
              <w:adjustRightInd w:val="0"/>
              <w:snapToGrid w:val="0"/>
              <w:spacing w:line="240" w:lineRule="auto"/>
              <w:ind w:firstLine="0" w:firstLineChars="0"/>
              <w:jc w:val="center"/>
              <w:rPr>
                <w:sz w:val="21"/>
                <w:szCs w:val="20"/>
              </w:rPr>
            </w:pPr>
            <w:r>
              <w:rPr>
                <w:sz w:val="21"/>
                <w:szCs w:val="20"/>
              </w:rPr>
              <w:t>-1D</w:t>
            </w:r>
          </w:p>
        </w:tc>
        <w:tc>
          <w:tcPr>
            <w:tcW w:w="390" w:type="pct"/>
            <w:tcMar>
              <w:top w:w="57" w:type="dxa"/>
              <w:bottom w:w="28" w:type="dxa"/>
            </w:tcMar>
            <w:vAlign w:val="center"/>
          </w:tcPr>
          <w:p w14:paraId="43E41909">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05C006DE">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1B54E2F4">
            <w:pPr>
              <w:adjustRightInd w:val="0"/>
              <w:snapToGrid w:val="0"/>
              <w:spacing w:line="240" w:lineRule="auto"/>
              <w:ind w:firstLine="0" w:firstLineChars="0"/>
              <w:jc w:val="center"/>
              <w:rPr>
                <w:sz w:val="21"/>
                <w:szCs w:val="20"/>
              </w:rPr>
            </w:pPr>
            <w:r>
              <w:rPr>
                <w:sz w:val="21"/>
                <w:szCs w:val="20"/>
              </w:rPr>
              <w:t>-1D</w:t>
            </w:r>
          </w:p>
        </w:tc>
        <w:tc>
          <w:tcPr>
            <w:tcW w:w="373" w:type="pct"/>
            <w:vAlign w:val="center"/>
          </w:tcPr>
          <w:p w14:paraId="188E1FE4">
            <w:pPr>
              <w:adjustRightInd w:val="0"/>
              <w:snapToGrid w:val="0"/>
              <w:spacing w:line="240" w:lineRule="auto"/>
              <w:ind w:firstLine="0" w:firstLineChars="0"/>
              <w:jc w:val="center"/>
              <w:rPr>
                <w:sz w:val="21"/>
                <w:szCs w:val="20"/>
              </w:rPr>
            </w:pPr>
            <w:r>
              <w:rPr>
                <w:rFonts w:hint="eastAsia"/>
                <w:sz w:val="21"/>
                <w:szCs w:val="20"/>
              </w:rPr>
              <w:t>-</w:t>
            </w:r>
            <w:r>
              <w:rPr>
                <w:sz w:val="21"/>
                <w:szCs w:val="20"/>
              </w:rPr>
              <w:t>1</w:t>
            </w:r>
            <w:r>
              <w:rPr>
                <w:rFonts w:hint="eastAsia"/>
                <w:sz w:val="21"/>
                <w:szCs w:val="20"/>
              </w:rPr>
              <w:t>D</w:t>
            </w:r>
          </w:p>
        </w:tc>
        <w:tc>
          <w:tcPr>
            <w:tcW w:w="373" w:type="pct"/>
            <w:tcMar>
              <w:top w:w="57" w:type="dxa"/>
              <w:bottom w:w="28" w:type="dxa"/>
            </w:tcMar>
          </w:tcPr>
          <w:p w14:paraId="0FE17DE5">
            <w:pPr>
              <w:adjustRightInd w:val="0"/>
              <w:snapToGrid w:val="0"/>
              <w:spacing w:line="240" w:lineRule="auto"/>
              <w:ind w:firstLine="0" w:firstLineChars="0"/>
              <w:jc w:val="center"/>
              <w:rPr>
                <w:sz w:val="21"/>
                <w:szCs w:val="20"/>
              </w:rPr>
            </w:pPr>
          </w:p>
        </w:tc>
        <w:tc>
          <w:tcPr>
            <w:tcW w:w="406" w:type="pct"/>
            <w:tcMar>
              <w:top w:w="57" w:type="dxa"/>
              <w:bottom w:w="28" w:type="dxa"/>
            </w:tcMar>
            <w:vAlign w:val="center"/>
          </w:tcPr>
          <w:p w14:paraId="114409F4">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7C9AC310">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671F65A0">
            <w:pPr>
              <w:adjustRightInd w:val="0"/>
              <w:snapToGrid w:val="0"/>
              <w:spacing w:line="240" w:lineRule="auto"/>
              <w:ind w:firstLine="0" w:firstLineChars="0"/>
              <w:jc w:val="center"/>
              <w:rPr>
                <w:sz w:val="21"/>
                <w:szCs w:val="20"/>
              </w:rPr>
            </w:pPr>
          </w:p>
        </w:tc>
      </w:tr>
      <w:tr w14:paraId="241A711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restart"/>
            <w:tcMar>
              <w:top w:w="57" w:type="dxa"/>
              <w:bottom w:w="28" w:type="dxa"/>
            </w:tcMar>
            <w:vAlign w:val="center"/>
          </w:tcPr>
          <w:p w14:paraId="58BEB1FE">
            <w:pPr>
              <w:adjustRightInd w:val="0"/>
              <w:snapToGrid w:val="0"/>
              <w:spacing w:line="240" w:lineRule="auto"/>
              <w:ind w:firstLine="0" w:firstLineChars="0"/>
              <w:jc w:val="center"/>
              <w:rPr>
                <w:sz w:val="21"/>
                <w:szCs w:val="20"/>
              </w:rPr>
            </w:pPr>
            <w:r>
              <w:rPr>
                <w:sz w:val="21"/>
                <w:szCs w:val="20"/>
              </w:rPr>
              <w:t>运行期</w:t>
            </w:r>
          </w:p>
        </w:tc>
        <w:tc>
          <w:tcPr>
            <w:tcW w:w="831" w:type="pct"/>
            <w:tcMar>
              <w:top w:w="57" w:type="dxa"/>
              <w:bottom w:w="28" w:type="dxa"/>
            </w:tcMar>
            <w:vAlign w:val="center"/>
          </w:tcPr>
          <w:p w14:paraId="5731FB44">
            <w:pPr>
              <w:adjustRightInd w:val="0"/>
              <w:snapToGrid w:val="0"/>
              <w:spacing w:line="240" w:lineRule="auto"/>
              <w:ind w:firstLine="0" w:firstLineChars="0"/>
              <w:jc w:val="center"/>
              <w:rPr>
                <w:sz w:val="21"/>
                <w:szCs w:val="20"/>
              </w:rPr>
            </w:pPr>
            <w:r>
              <w:rPr>
                <w:sz w:val="21"/>
                <w:szCs w:val="20"/>
              </w:rPr>
              <w:t>工业生产</w:t>
            </w:r>
          </w:p>
        </w:tc>
        <w:tc>
          <w:tcPr>
            <w:tcW w:w="389" w:type="pct"/>
            <w:tcMar>
              <w:top w:w="57" w:type="dxa"/>
              <w:bottom w:w="28" w:type="dxa"/>
            </w:tcMar>
            <w:vAlign w:val="center"/>
          </w:tcPr>
          <w:p w14:paraId="4D523DD0">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0778D529">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75C46B7A">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5D0F6AB9">
            <w:pPr>
              <w:adjustRightInd w:val="0"/>
              <w:snapToGrid w:val="0"/>
              <w:spacing w:line="240" w:lineRule="auto"/>
              <w:ind w:firstLine="0" w:firstLineChars="0"/>
              <w:jc w:val="center"/>
              <w:rPr>
                <w:sz w:val="21"/>
                <w:szCs w:val="20"/>
              </w:rPr>
            </w:pPr>
            <w:r>
              <w:rPr>
                <w:sz w:val="21"/>
                <w:szCs w:val="20"/>
              </w:rPr>
              <w:t>-2C</w:t>
            </w:r>
          </w:p>
        </w:tc>
        <w:tc>
          <w:tcPr>
            <w:tcW w:w="373" w:type="pct"/>
            <w:vAlign w:val="center"/>
          </w:tcPr>
          <w:p w14:paraId="4E68E883">
            <w:pPr>
              <w:adjustRightInd w:val="0"/>
              <w:snapToGrid w:val="0"/>
              <w:spacing w:line="240" w:lineRule="auto"/>
              <w:ind w:firstLine="0" w:firstLineChars="0"/>
              <w:jc w:val="center"/>
              <w:rPr>
                <w:sz w:val="21"/>
                <w:szCs w:val="20"/>
              </w:rPr>
            </w:pPr>
            <w:r>
              <w:rPr>
                <w:rFonts w:hint="eastAsia"/>
                <w:sz w:val="21"/>
                <w:szCs w:val="20"/>
              </w:rPr>
              <w:t>-</w:t>
            </w:r>
            <w:r>
              <w:rPr>
                <w:sz w:val="21"/>
                <w:szCs w:val="20"/>
              </w:rPr>
              <w:t>1</w:t>
            </w:r>
            <w:r>
              <w:rPr>
                <w:rFonts w:hint="eastAsia"/>
                <w:sz w:val="21"/>
                <w:szCs w:val="20"/>
              </w:rPr>
              <w:t>C</w:t>
            </w:r>
          </w:p>
        </w:tc>
        <w:tc>
          <w:tcPr>
            <w:tcW w:w="373" w:type="pct"/>
            <w:tcMar>
              <w:top w:w="57" w:type="dxa"/>
              <w:bottom w:w="28" w:type="dxa"/>
            </w:tcMar>
          </w:tcPr>
          <w:p w14:paraId="723D8586">
            <w:pPr>
              <w:adjustRightInd w:val="0"/>
              <w:snapToGrid w:val="0"/>
              <w:spacing w:line="240" w:lineRule="auto"/>
              <w:ind w:firstLine="0" w:firstLineChars="0"/>
              <w:jc w:val="center"/>
              <w:rPr>
                <w:sz w:val="21"/>
                <w:szCs w:val="20"/>
              </w:rPr>
            </w:pPr>
            <w:r>
              <w:rPr>
                <w:sz w:val="21"/>
                <w:szCs w:val="20"/>
              </w:rPr>
              <w:t>-1 D</w:t>
            </w:r>
          </w:p>
        </w:tc>
        <w:tc>
          <w:tcPr>
            <w:tcW w:w="406" w:type="pct"/>
            <w:tcMar>
              <w:top w:w="57" w:type="dxa"/>
              <w:bottom w:w="28" w:type="dxa"/>
            </w:tcMar>
            <w:vAlign w:val="center"/>
          </w:tcPr>
          <w:p w14:paraId="02EB407C">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35FA0720">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40D945A0">
            <w:pPr>
              <w:adjustRightInd w:val="0"/>
              <w:snapToGrid w:val="0"/>
              <w:spacing w:line="240" w:lineRule="auto"/>
              <w:ind w:firstLine="0" w:firstLineChars="0"/>
              <w:jc w:val="center"/>
              <w:rPr>
                <w:sz w:val="21"/>
                <w:szCs w:val="20"/>
              </w:rPr>
            </w:pPr>
          </w:p>
        </w:tc>
      </w:tr>
      <w:tr w14:paraId="26E02B5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continue"/>
            <w:tcMar>
              <w:top w:w="57" w:type="dxa"/>
              <w:bottom w:w="28" w:type="dxa"/>
            </w:tcMar>
            <w:vAlign w:val="center"/>
          </w:tcPr>
          <w:p w14:paraId="1BA981C5">
            <w:pPr>
              <w:adjustRightInd w:val="0"/>
              <w:snapToGrid w:val="0"/>
              <w:spacing w:line="240" w:lineRule="auto"/>
              <w:ind w:firstLine="0" w:firstLineChars="0"/>
              <w:jc w:val="center"/>
              <w:rPr>
                <w:sz w:val="21"/>
                <w:szCs w:val="20"/>
              </w:rPr>
            </w:pPr>
          </w:p>
        </w:tc>
        <w:tc>
          <w:tcPr>
            <w:tcW w:w="831" w:type="pct"/>
            <w:tcMar>
              <w:top w:w="57" w:type="dxa"/>
              <w:bottom w:w="28" w:type="dxa"/>
            </w:tcMar>
            <w:vAlign w:val="center"/>
          </w:tcPr>
          <w:p w14:paraId="041C5CEC">
            <w:pPr>
              <w:adjustRightInd w:val="0"/>
              <w:snapToGrid w:val="0"/>
              <w:spacing w:line="240" w:lineRule="auto"/>
              <w:ind w:firstLine="0" w:firstLineChars="0"/>
              <w:jc w:val="center"/>
              <w:rPr>
                <w:sz w:val="21"/>
                <w:szCs w:val="20"/>
              </w:rPr>
            </w:pPr>
            <w:r>
              <w:rPr>
                <w:sz w:val="21"/>
                <w:szCs w:val="20"/>
              </w:rPr>
              <w:t>环保设施运行</w:t>
            </w:r>
          </w:p>
        </w:tc>
        <w:tc>
          <w:tcPr>
            <w:tcW w:w="389" w:type="pct"/>
            <w:tcMar>
              <w:top w:w="57" w:type="dxa"/>
              <w:bottom w:w="28" w:type="dxa"/>
            </w:tcMar>
            <w:vAlign w:val="center"/>
          </w:tcPr>
          <w:p w14:paraId="746A57B3">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458FEA23">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4AF978F3">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4194A259">
            <w:pPr>
              <w:adjustRightInd w:val="0"/>
              <w:snapToGrid w:val="0"/>
              <w:spacing w:line="240" w:lineRule="auto"/>
              <w:ind w:firstLine="0" w:firstLineChars="0"/>
              <w:jc w:val="center"/>
              <w:rPr>
                <w:sz w:val="21"/>
                <w:szCs w:val="20"/>
              </w:rPr>
            </w:pPr>
            <w:r>
              <w:rPr>
                <w:sz w:val="21"/>
                <w:szCs w:val="20"/>
              </w:rPr>
              <w:t>-1C</w:t>
            </w:r>
          </w:p>
        </w:tc>
        <w:tc>
          <w:tcPr>
            <w:tcW w:w="373" w:type="pct"/>
            <w:vAlign w:val="center"/>
          </w:tcPr>
          <w:p w14:paraId="64B30C70">
            <w:pPr>
              <w:adjustRightInd w:val="0"/>
              <w:snapToGrid w:val="0"/>
              <w:spacing w:line="240" w:lineRule="auto"/>
              <w:ind w:firstLine="0" w:firstLineChars="0"/>
              <w:jc w:val="center"/>
              <w:rPr>
                <w:sz w:val="21"/>
                <w:szCs w:val="20"/>
              </w:rPr>
            </w:pPr>
            <w:r>
              <w:rPr>
                <w:rFonts w:hint="eastAsia"/>
                <w:sz w:val="21"/>
                <w:szCs w:val="20"/>
              </w:rPr>
              <w:t>+</w:t>
            </w:r>
            <w:r>
              <w:rPr>
                <w:sz w:val="21"/>
                <w:szCs w:val="20"/>
              </w:rPr>
              <w:t>3</w:t>
            </w:r>
            <w:r>
              <w:rPr>
                <w:rFonts w:hint="eastAsia"/>
                <w:sz w:val="21"/>
                <w:szCs w:val="20"/>
              </w:rPr>
              <w:t>C</w:t>
            </w:r>
          </w:p>
        </w:tc>
        <w:tc>
          <w:tcPr>
            <w:tcW w:w="373" w:type="pct"/>
            <w:tcMar>
              <w:top w:w="57" w:type="dxa"/>
              <w:bottom w:w="28" w:type="dxa"/>
            </w:tcMar>
          </w:tcPr>
          <w:p w14:paraId="54513319">
            <w:pPr>
              <w:adjustRightInd w:val="0"/>
              <w:snapToGrid w:val="0"/>
              <w:spacing w:line="240" w:lineRule="auto"/>
              <w:ind w:firstLine="0" w:firstLineChars="0"/>
              <w:jc w:val="center"/>
              <w:rPr>
                <w:sz w:val="21"/>
                <w:szCs w:val="20"/>
              </w:rPr>
            </w:pPr>
            <w:r>
              <w:rPr>
                <w:sz w:val="21"/>
                <w:szCs w:val="20"/>
              </w:rPr>
              <w:t>-1C</w:t>
            </w:r>
          </w:p>
        </w:tc>
        <w:tc>
          <w:tcPr>
            <w:tcW w:w="406" w:type="pct"/>
            <w:tcMar>
              <w:top w:w="57" w:type="dxa"/>
              <w:bottom w:w="28" w:type="dxa"/>
            </w:tcMar>
            <w:vAlign w:val="center"/>
          </w:tcPr>
          <w:p w14:paraId="7F937102">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65BBCE7B">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66ADC7E1">
            <w:pPr>
              <w:adjustRightInd w:val="0"/>
              <w:snapToGrid w:val="0"/>
              <w:spacing w:line="240" w:lineRule="auto"/>
              <w:ind w:firstLine="0" w:firstLineChars="0"/>
              <w:jc w:val="center"/>
              <w:rPr>
                <w:sz w:val="21"/>
                <w:szCs w:val="20"/>
              </w:rPr>
            </w:pPr>
          </w:p>
        </w:tc>
      </w:tr>
      <w:tr w14:paraId="3D34EED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682" w:type="pct"/>
            <w:vMerge w:val="continue"/>
            <w:tcMar>
              <w:top w:w="57" w:type="dxa"/>
              <w:bottom w:w="28" w:type="dxa"/>
            </w:tcMar>
            <w:vAlign w:val="center"/>
          </w:tcPr>
          <w:p w14:paraId="58659B0F">
            <w:pPr>
              <w:adjustRightInd w:val="0"/>
              <w:snapToGrid w:val="0"/>
              <w:spacing w:line="240" w:lineRule="auto"/>
              <w:ind w:firstLine="0" w:firstLineChars="0"/>
              <w:jc w:val="center"/>
              <w:rPr>
                <w:sz w:val="21"/>
                <w:szCs w:val="20"/>
              </w:rPr>
            </w:pPr>
          </w:p>
        </w:tc>
        <w:tc>
          <w:tcPr>
            <w:tcW w:w="831" w:type="pct"/>
            <w:tcMar>
              <w:top w:w="57" w:type="dxa"/>
              <w:bottom w:w="28" w:type="dxa"/>
            </w:tcMar>
            <w:vAlign w:val="center"/>
          </w:tcPr>
          <w:p w14:paraId="22154BC0">
            <w:pPr>
              <w:adjustRightInd w:val="0"/>
              <w:snapToGrid w:val="0"/>
              <w:spacing w:line="240" w:lineRule="auto"/>
              <w:ind w:firstLine="0" w:firstLineChars="0"/>
              <w:jc w:val="center"/>
              <w:rPr>
                <w:sz w:val="21"/>
                <w:szCs w:val="20"/>
              </w:rPr>
            </w:pPr>
            <w:r>
              <w:rPr>
                <w:sz w:val="21"/>
                <w:szCs w:val="20"/>
              </w:rPr>
              <w:t>物料储运</w:t>
            </w:r>
          </w:p>
        </w:tc>
        <w:tc>
          <w:tcPr>
            <w:tcW w:w="389" w:type="pct"/>
            <w:tcMar>
              <w:top w:w="57" w:type="dxa"/>
              <w:bottom w:w="28" w:type="dxa"/>
            </w:tcMar>
            <w:vAlign w:val="center"/>
          </w:tcPr>
          <w:p w14:paraId="2774738F">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13E7CE36">
            <w:pPr>
              <w:adjustRightInd w:val="0"/>
              <w:snapToGrid w:val="0"/>
              <w:spacing w:line="240" w:lineRule="auto"/>
              <w:ind w:firstLine="0" w:firstLineChars="0"/>
              <w:jc w:val="center"/>
              <w:rPr>
                <w:sz w:val="21"/>
                <w:szCs w:val="20"/>
              </w:rPr>
            </w:pPr>
          </w:p>
        </w:tc>
        <w:tc>
          <w:tcPr>
            <w:tcW w:w="389" w:type="pct"/>
            <w:tcMar>
              <w:top w:w="57" w:type="dxa"/>
              <w:bottom w:w="28" w:type="dxa"/>
            </w:tcMar>
            <w:vAlign w:val="center"/>
          </w:tcPr>
          <w:p w14:paraId="7EB98CCC">
            <w:pPr>
              <w:adjustRightInd w:val="0"/>
              <w:snapToGrid w:val="0"/>
              <w:spacing w:line="240" w:lineRule="auto"/>
              <w:ind w:firstLine="0" w:firstLineChars="0"/>
              <w:jc w:val="center"/>
              <w:rPr>
                <w:sz w:val="21"/>
                <w:szCs w:val="20"/>
              </w:rPr>
            </w:pPr>
            <w:r>
              <w:rPr>
                <w:sz w:val="21"/>
                <w:szCs w:val="20"/>
              </w:rPr>
              <w:t>-1C</w:t>
            </w:r>
          </w:p>
        </w:tc>
        <w:tc>
          <w:tcPr>
            <w:tcW w:w="390" w:type="pct"/>
            <w:tcMar>
              <w:top w:w="57" w:type="dxa"/>
              <w:bottom w:w="28" w:type="dxa"/>
            </w:tcMar>
            <w:vAlign w:val="center"/>
          </w:tcPr>
          <w:p w14:paraId="3F843D0F">
            <w:pPr>
              <w:adjustRightInd w:val="0"/>
              <w:snapToGrid w:val="0"/>
              <w:spacing w:line="240" w:lineRule="auto"/>
              <w:ind w:firstLine="0" w:firstLineChars="0"/>
              <w:jc w:val="center"/>
              <w:rPr>
                <w:sz w:val="21"/>
                <w:szCs w:val="20"/>
              </w:rPr>
            </w:pPr>
          </w:p>
        </w:tc>
        <w:tc>
          <w:tcPr>
            <w:tcW w:w="373" w:type="pct"/>
            <w:vAlign w:val="center"/>
          </w:tcPr>
          <w:p w14:paraId="2AB51EA3">
            <w:pPr>
              <w:adjustRightInd w:val="0"/>
              <w:snapToGrid w:val="0"/>
              <w:spacing w:line="240" w:lineRule="auto"/>
              <w:ind w:firstLine="0" w:firstLineChars="0"/>
              <w:jc w:val="center"/>
              <w:rPr>
                <w:sz w:val="21"/>
                <w:szCs w:val="20"/>
              </w:rPr>
            </w:pPr>
          </w:p>
        </w:tc>
        <w:tc>
          <w:tcPr>
            <w:tcW w:w="373" w:type="pct"/>
            <w:tcMar>
              <w:top w:w="57" w:type="dxa"/>
              <w:bottom w:w="28" w:type="dxa"/>
            </w:tcMar>
          </w:tcPr>
          <w:p w14:paraId="722AF9F0">
            <w:pPr>
              <w:adjustRightInd w:val="0"/>
              <w:snapToGrid w:val="0"/>
              <w:spacing w:line="240" w:lineRule="auto"/>
              <w:ind w:firstLine="0" w:firstLineChars="0"/>
              <w:jc w:val="center"/>
              <w:rPr>
                <w:sz w:val="21"/>
                <w:szCs w:val="20"/>
              </w:rPr>
            </w:pPr>
            <w:r>
              <w:rPr>
                <w:sz w:val="21"/>
                <w:szCs w:val="20"/>
              </w:rPr>
              <w:t>-1 D</w:t>
            </w:r>
          </w:p>
        </w:tc>
        <w:tc>
          <w:tcPr>
            <w:tcW w:w="406" w:type="pct"/>
            <w:tcMar>
              <w:top w:w="57" w:type="dxa"/>
              <w:bottom w:w="28" w:type="dxa"/>
            </w:tcMar>
            <w:vAlign w:val="center"/>
          </w:tcPr>
          <w:p w14:paraId="16677874">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1BE84B53">
            <w:pPr>
              <w:adjustRightInd w:val="0"/>
              <w:snapToGrid w:val="0"/>
              <w:spacing w:line="240" w:lineRule="auto"/>
              <w:ind w:firstLine="0" w:firstLineChars="0"/>
              <w:jc w:val="center"/>
              <w:rPr>
                <w:sz w:val="21"/>
                <w:szCs w:val="20"/>
              </w:rPr>
            </w:pPr>
          </w:p>
        </w:tc>
        <w:tc>
          <w:tcPr>
            <w:tcW w:w="390" w:type="pct"/>
            <w:tcMar>
              <w:top w:w="57" w:type="dxa"/>
              <w:bottom w:w="28" w:type="dxa"/>
            </w:tcMar>
            <w:vAlign w:val="center"/>
          </w:tcPr>
          <w:p w14:paraId="4A94514C">
            <w:pPr>
              <w:adjustRightInd w:val="0"/>
              <w:snapToGrid w:val="0"/>
              <w:spacing w:line="240" w:lineRule="auto"/>
              <w:ind w:firstLine="0" w:firstLineChars="0"/>
              <w:jc w:val="center"/>
              <w:rPr>
                <w:sz w:val="21"/>
                <w:szCs w:val="20"/>
              </w:rPr>
            </w:pPr>
          </w:p>
        </w:tc>
      </w:tr>
    </w:tbl>
    <w:p w14:paraId="5CFB03C3">
      <w:pPr>
        <w:adjustRightInd w:val="0"/>
        <w:snapToGrid w:val="0"/>
        <w:spacing w:line="240" w:lineRule="auto"/>
        <w:ind w:firstLine="360"/>
        <w:rPr>
          <w:bCs/>
          <w:sz w:val="18"/>
          <w:szCs w:val="18"/>
        </w:rPr>
      </w:pPr>
      <w:r>
        <w:rPr>
          <w:bCs/>
          <w:sz w:val="18"/>
          <w:szCs w:val="18"/>
        </w:rPr>
        <w:t>注：表中“＋”表示正影响，“－”表示负影响；“1”表示影响较小，“2”表示影响中等，“3”表示影响较大；“D”表示短期影响，“C”表示长期影响。</w:t>
      </w:r>
    </w:p>
    <w:p w14:paraId="4E527BAF">
      <w:pPr>
        <w:pStyle w:val="43"/>
      </w:pPr>
      <w:bookmarkStart w:id="47" w:name="_Toc79515395"/>
      <w:bookmarkStart w:id="48" w:name="_Toc80193024"/>
      <w:bookmarkStart w:id="49" w:name="_Toc152864144"/>
      <w:bookmarkStart w:id="50" w:name="_Toc77007737"/>
      <w:bookmarkStart w:id="51" w:name="_Toc82518700"/>
      <w:bookmarkStart w:id="52" w:name="_Toc80973451"/>
      <w:bookmarkStart w:id="53" w:name="_Toc81214019"/>
      <w:r>
        <w:rPr>
          <w:rFonts w:hint="eastAsia"/>
        </w:rPr>
        <w:t>评价因子筛选</w:t>
      </w:r>
      <w:bookmarkEnd w:id="47"/>
      <w:bookmarkEnd w:id="48"/>
      <w:bookmarkEnd w:id="49"/>
      <w:bookmarkEnd w:id="50"/>
      <w:bookmarkEnd w:id="51"/>
      <w:bookmarkEnd w:id="52"/>
      <w:bookmarkEnd w:id="53"/>
    </w:p>
    <w:p w14:paraId="6DF9FD13">
      <w:pPr>
        <w:ind w:firstLine="480"/>
      </w:pPr>
      <w:r>
        <w:rPr>
          <w:rFonts w:hint="eastAsia"/>
        </w:rPr>
        <w:t>根据工程特征、污染物排放特征、污染物的特性、环境标准和污染物排放标准，确定本项目现状评价因子、影响因子和总量控制因子，具体见下表。</w:t>
      </w:r>
    </w:p>
    <w:p w14:paraId="2C2D6487">
      <w:pPr>
        <w:pStyle w:val="47"/>
        <w:spacing w:before="65"/>
      </w:pPr>
      <w:r>
        <w:rPr>
          <w:rFonts w:hint="eastAsia"/>
        </w:rPr>
        <w:t>表2</w:t>
      </w:r>
      <w:r>
        <w:t xml:space="preserve">.4-2   </w:t>
      </w:r>
      <w:r>
        <w:rPr>
          <w:rFonts w:hint="eastAsia"/>
        </w:rPr>
        <w:t>现状评价、影响预测和总量控制因子一览表</w:t>
      </w:r>
    </w:p>
    <w:tbl>
      <w:tblPr>
        <w:tblStyle w:val="30"/>
        <w:tblW w:w="9080"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758"/>
        <w:gridCol w:w="943"/>
        <w:gridCol w:w="993"/>
        <w:gridCol w:w="6386"/>
      </w:tblGrid>
      <w:tr w14:paraId="5188ADD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Align w:val="center"/>
          </w:tcPr>
          <w:p w14:paraId="768CF50D">
            <w:pPr>
              <w:adjustRightInd w:val="0"/>
              <w:snapToGrid w:val="0"/>
              <w:spacing w:line="240" w:lineRule="auto"/>
              <w:ind w:firstLine="0" w:firstLineChars="0"/>
              <w:jc w:val="center"/>
              <w:rPr>
                <w:sz w:val="21"/>
                <w:szCs w:val="20"/>
                <w:lang w:val="zh-CN"/>
              </w:rPr>
            </w:pPr>
            <w:r>
              <w:rPr>
                <w:sz w:val="21"/>
                <w:szCs w:val="20"/>
                <w:lang w:val="zh-CN"/>
              </w:rPr>
              <w:t>阶段</w:t>
            </w:r>
          </w:p>
        </w:tc>
        <w:tc>
          <w:tcPr>
            <w:tcW w:w="943" w:type="dxa"/>
            <w:vAlign w:val="center"/>
          </w:tcPr>
          <w:p w14:paraId="41C431EA">
            <w:pPr>
              <w:adjustRightInd w:val="0"/>
              <w:snapToGrid w:val="0"/>
              <w:spacing w:line="240" w:lineRule="auto"/>
              <w:ind w:firstLine="0" w:firstLineChars="0"/>
              <w:jc w:val="center"/>
              <w:rPr>
                <w:sz w:val="21"/>
                <w:szCs w:val="20"/>
                <w:lang w:val="zh-CN"/>
              </w:rPr>
            </w:pPr>
            <w:r>
              <w:rPr>
                <w:sz w:val="21"/>
                <w:szCs w:val="20"/>
                <w:lang w:val="zh-CN"/>
              </w:rPr>
              <w:t>环境要素</w:t>
            </w:r>
          </w:p>
        </w:tc>
        <w:tc>
          <w:tcPr>
            <w:tcW w:w="993" w:type="dxa"/>
            <w:vAlign w:val="center"/>
          </w:tcPr>
          <w:p w14:paraId="7805E111">
            <w:pPr>
              <w:adjustRightInd w:val="0"/>
              <w:snapToGrid w:val="0"/>
              <w:spacing w:line="240" w:lineRule="auto"/>
              <w:ind w:firstLine="0" w:firstLineChars="0"/>
              <w:jc w:val="center"/>
              <w:rPr>
                <w:sz w:val="21"/>
                <w:szCs w:val="20"/>
                <w:lang w:val="zh-CN"/>
              </w:rPr>
            </w:pPr>
            <w:r>
              <w:rPr>
                <w:sz w:val="21"/>
                <w:szCs w:val="20"/>
                <w:lang w:val="zh-CN"/>
              </w:rPr>
              <w:t>评价类别</w:t>
            </w:r>
          </w:p>
        </w:tc>
        <w:tc>
          <w:tcPr>
            <w:tcW w:w="6386" w:type="dxa"/>
            <w:vAlign w:val="center"/>
          </w:tcPr>
          <w:p w14:paraId="0D8B572F">
            <w:pPr>
              <w:adjustRightInd w:val="0"/>
              <w:snapToGrid w:val="0"/>
              <w:spacing w:line="240" w:lineRule="auto"/>
              <w:ind w:firstLine="0" w:firstLineChars="0"/>
              <w:jc w:val="center"/>
              <w:rPr>
                <w:sz w:val="21"/>
                <w:szCs w:val="20"/>
                <w:lang w:val="zh-CN"/>
              </w:rPr>
            </w:pPr>
            <w:r>
              <w:rPr>
                <w:sz w:val="21"/>
                <w:szCs w:val="20"/>
                <w:lang w:val="zh-CN"/>
              </w:rPr>
              <w:t>评价因子</w:t>
            </w:r>
          </w:p>
        </w:tc>
      </w:tr>
      <w:tr w14:paraId="46A1598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restart"/>
            <w:vAlign w:val="center"/>
          </w:tcPr>
          <w:p w14:paraId="3D11B1EA">
            <w:pPr>
              <w:adjustRightInd w:val="0"/>
              <w:snapToGrid w:val="0"/>
              <w:spacing w:line="240" w:lineRule="auto"/>
              <w:ind w:firstLine="0" w:firstLineChars="0"/>
              <w:jc w:val="center"/>
              <w:rPr>
                <w:sz w:val="21"/>
                <w:szCs w:val="20"/>
                <w:lang w:val="zh-CN"/>
              </w:rPr>
            </w:pPr>
            <w:r>
              <w:rPr>
                <w:sz w:val="21"/>
                <w:szCs w:val="20"/>
                <w:lang w:val="zh-CN"/>
              </w:rPr>
              <w:t>施工期</w:t>
            </w:r>
          </w:p>
        </w:tc>
        <w:tc>
          <w:tcPr>
            <w:tcW w:w="943" w:type="dxa"/>
            <w:vAlign w:val="center"/>
          </w:tcPr>
          <w:p w14:paraId="12A21705">
            <w:pPr>
              <w:adjustRightInd w:val="0"/>
              <w:snapToGrid w:val="0"/>
              <w:spacing w:line="240" w:lineRule="auto"/>
              <w:ind w:firstLine="0" w:firstLineChars="0"/>
              <w:jc w:val="center"/>
              <w:rPr>
                <w:sz w:val="21"/>
                <w:szCs w:val="20"/>
                <w:lang w:val="zh-CN"/>
              </w:rPr>
            </w:pPr>
            <w:r>
              <w:rPr>
                <w:sz w:val="21"/>
                <w:szCs w:val="20"/>
                <w:lang w:val="zh-CN"/>
              </w:rPr>
              <w:t>大气环境</w:t>
            </w:r>
          </w:p>
        </w:tc>
        <w:tc>
          <w:tcPr>
            <w:tcW w:w="993" w:type="dxa"/>
            <w:vAlign w:val="center"/>
          </w:tcPr>
          <w:p w14:paraId="4527FFE4">
            <w:pPr>
              <w:adjustRightInd w:val="0"/>
              <w:snapToGrid w:val="0"/>
              <w:spacing w:line="240" w:lineRule="auto"/>
              <w:ind w:firstLine="0" w:firstLineChars="0"/>
              <w:jc w:val="center"/>
              <w:rPr>
                <w:sz w:val="21"/>
                <w:szCs w:val="20"/>
                <w:lang w:val="zh-CN"/>
              </w:rPr>
            </w:pPr>
            <w:r>
              <w:rPr>
                <w:sz w:val="21"/>
                <w:szCs w:val="20"/>
                <w:lang w:val="zh-CN"/>
              </w:rPr>
              <w:t>影响分析</w:t>
            </w:r>
          </w:p>
        </w:tc>
        <w:tc>
          <w:tcPr>
            <w:tcW w:w="6386" w:type="dxa"/>
            <w:vAlign w:val="center"/>
          </w:tcPr>
          <w:p w14:paraId="3CB8A966">
            <w:pPr>
              <w:adjustRightInd w:val="0"/>
              <w:snapToGrid w:val="0"/>
              <w:spacing w:line="240" w:lineRule="auto"/>
              <w:ind w:firstLine="0" w:firstLineChars="0"/>
              <w:rPr>
                <w:sz w:val="21"/>
                <w:szCs w:val="20"/>
                <w:lang w:val="zh-CN"/>
              </w:rPr>
            </w:pPr>
            <w:r>
              <w:rPr>
                <w:sz w:val="21"/>
                <w:szCs w:val="20"/>
                <w:lang w:val="zh-CN"/>
              </w:rPr>
              <w:t>TSP</w:t>
            </w:r>
          </w:p>
        </w:tc>
      </w:tr>
      <w:tr w14:paraId="44AE841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50DA3710">
            <w:pPr>
              <w:adjustRightInd w:val="0"/>
              <w:snapToGrid w:val="0"/>
              <w:spacing w:line="240" w:lineRule="auto"/>
              <w:ind w:firstLine="0" w:firstLineChars="0"/>
              <w:jc w:val="center"/>
              <w:rPr>
                <w:sz w:val="21"/>
                <w:szCs w:val="21"/>
                <w:lang w:val="zh-CN"/>
              </w:rPr>
            </w:pPr>
          </w:p>
        </w:tc>
        <w:tc>
          <w:tcPr>
            <w:tcW w:w="943" w:type="dxa"/>
            <w:vAlign w:val="center"/>
          </w:tcPr>
          <w:p w14:paraId="41B332D9">
            <w:pPr>
              <w:adjustRightInd w:val="0"/>
              <w:snapToGrid w:val="0"/>
              <w:spacing w:line="240" w:lineRule="auto"/>
              <w:ind w:firstLine="0" w:firstLineChars="0"/>
              <w:jc w:val="center"/>
              <w:rPr>
                <w:sz w:val="21"/>
                <w:szCs w:val="20"/>
                <w:lang w:val="zh-CN"/>
              </w:rPr>
            </w:pPr>
            <w:r>
              <w:rPr>
                <w:sz w:val="21"/>
                <w:szCs w:val="20"/>
                <w:lang w:val="zh-CN"/>
              </w:rPr>
              <w:t>水环境</w:t>
            </w:r>
          </w:p>
        </w:tc>
        <w:tc>
          <w:tcPr>
            <w:tcW w:w="993" w:type="dxa"/>
            <w:vAlign w:val="center"/>
          </w:tcPr>
          <w:p w14:paraId="141A32A3">
            <w:pPr>
              <w:adjustRightInd w:val="0"/>
              <w:snapToGrid w:val="0"/>
              <w:spacing w:line="240" w:lineRule="auto"/>
              <w:ind w:firstLine="0" w:firstLineChars="0"/>
              <w:jc w:val="center"/>
              <w:rPr>
                <w:sz w:val="21"/>
                <w:szCs w:val="20"/>
                <w:lang w:val="zh-CN"/>
              </w:rPr>
            </w:pPr>
            <w:r>
              <w:rPr>
                <w:sz w:val="21"/>
                <w:szCs w:val="20"/>
                <w:lang w:val="zh-CN"/>
              </w:rPr>
              <w:t>影响分析</w:t>
            </w:r>
          </w:p>
        </w:tc>
        <w:tc>
          <w:tcPr>
            <w:tcW w:w="6386" w:type="dxa"/>
            <w:vAlign w:val="center"/>
          </w:tcPr>
          <w:p w14:paraId="0215E522">
            <w:pPr>
              <w:adjustRightInd w:val="0"/>
              <w:snapToGrid w:val="0"/>
              <w:spacing w:line="240" w:lineRule="auto"/>
              <w:ind w:firstLine="0" w:firstLineChars="0"/>
              <w:rPr>
                <w:sz w:val="21"/>
                <w:szCs w:val="20"/>
              </w:rPr>
            </w:pPr>
            <w:r>
              <w:rPr>
                <w:sz w:val="21"/>
                <w:szCs w:val="20"/>
              </w:rPr>
              <w:t>SS</w:t>
            </w:r>
            <w:r>
              <w:rPr>
                <w:sz w:val="21"/>
                <w:szCs w:val="20"/>
                <w:lang w:val="zh-CN"/>
              </w:rPr>
              <w:t>、</w:t>
            </w:r>
            <w:r>
              <w:rPr>
                <w:sz w:val="21"/>
                <w:szCs w:val="20"/>
              </w:rPr>
              <w:t>COD</w:t>
            </w:r>
            <w:r>
              <w:rPr>
                <w:sz w:val="21"/>
                <w:szCs w:val="20"/>
                <w:lang w:val="zh-CN"/>
              </w:rPr>
              <w:t>、</w:t>
            </w:r>
            <w:r>
              <w:rPr>
                <w:sz w:val="21"/>
                <w:szCs w:val="20"/>
              </w:rPr>
              <w:t>NH</w:t>
            </w:r>
            <w:r>
              <w:rPr>
                <w:sz w:val="21"/>
                <w:szCs w:val="20"/>
                <w:vertAlign w:val="subscript"/>
              </w:rPr>
              <w:t>3</w:t>
            </w:r>
            <w:r>
              <w:rPr>
                <w:sz w:val="21"/>
                <w:szCs w:val="20"/>
              </w:rPr>
              <w:t>-N</w:t>
            </w:r>
            <w:r>
              <w:rPr>
                <w:rFonts w:hint="eastAsia"/>
                <w:sz w:val="21"/>
                <w:szCs w:val="20"/>
              </w:rPr>
              <w:t>、石油类</w:t>
            </w:r>
          </w:p>
        </w:tc>
      </w:tr>
      <w:tr w14:paraId="39FC56E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160580F8">
            <w:pPr>
              <w:adjustRightInd w:val="0"/>
              <w:snapToGrid w:val="0"/>
              <w:spacing w:line="240" w:lineRule="auto"/>
              <w:ind w:firstLine="0" w:firstLineChars="0"/>
              <w:jc w:val="center"/>
              <w:rPr>
                <w:sz w:val="21"/>
                <w:szCs w:val="21"/>
              </w:rPr>
            </w:pPr>
          </w:p>
        </w:tc>
        <w:tc>
          <w:tcPr>
            <w:tcW w:w="943" w:type="dxa"/>
            <w:vAlign w:val="center"/>
          </w:tcPr>
          <w:p w14:paraId="19A9393B">
            <w:pPr>
              <w:adjustRightInd w:val="0"/>
              <w:snapToGrid w:val="0"/>
              <w:spacing w:line="240" w:lineRule="auto"/>
              <w:ind w:firstLine="0" w:firstLineChars="0"/>
              <w:jc w:val="center"/>
              <w:rPr>
                <w:sz w:val="21"/>
                <w:szCs w:val="20"/>
                <w:lang w:val="zh-CN"/>
              </w:rPr>
            </w:pPr>
            <w:r>
              <w:rPr>
                <w:sz w:val="21"/>
                <w:szCs w:val="20"/>
                <w:lang w:val="zh-CN"/>
              </w:rPr>
              <w:t>声环境</w:t>
            </w:r>
          </w:p>
        </w:tc>
        <w:tc>
          <w:tcPr>
            <w:tcW w:w="993" w:type="dxa"/>
            <w:vAlign w:val="center"/>
          </w:tcPr>
          <w:p w14:paraId="7B5DC033">
            <w:pPr>
              <w:adjustRightInd w:val="0"/>
              <w:snapToGrid w:val="0"/>
              <w:spacing w:line="240" w:lineRule="auto"/>
              <w:ind w:firstLine="0" w:firstLineChars="0"/>
              <w:jc w:val="center"/>
              <w:rPr>
                <w:sz w:val="21"/>
                <w:szCs w:val="20"/>
                <w:lang w:val="zh-CN"/>
              </w:rPr>
            </w:pPr>
            <w:r>
              <w:rPr>
                <w:sz w:val="21"/>
                <w:szCs w:val="20"/>
                <w:lang w:val="zh-CN"/>
              </w:rPr>
              <w:t>影响分析</w:t>
            </w:r>
          </w:p>
        </w:tc>
        <w:tc>
          <w:tcPr>
            <w:tcW w:w="6386" w:type="dxa"/>
            <w:vAlign w:val="center"/>
          </w:tcPr>
          <w:p w14:paraId="52FD3D8E">
            <w:pPr>
              <w:adjustRightInd w:val="0"/>
              <w:snapToGrid w:val="0"/>
              <w:spacing w:line="240" w:lineRule="auto"/>
              <w:ind w:firstLine="0" w:firstLineChars="0"/>
              <w:rPr>
                <w:sz w:val="21"/>
                <w:szCs w:val="20"/>
                <w:lang w:val="zh-CN"/>
              </w:rPr>
            </w:pPr>
            <w:r>
              <w:rPr>
                <w:sz w:val="21"/>
                <w:szCs w:val="20"/>
                <w:lang w:val="zh-CN"/>
              </w:rPr>
              <w:t>等效连续 A 声级</w:t>
            </w:r>
          </w:p>
        </w:tc>
      </w:tr>
      <w:tr w14:paraId="031C63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5D5179A3">
            <w:pPr>
              <w:adjustRightInd w:val="0"/>
              <w:snapToGrid w:val="0"/>
              <w:spacing w:line="240" w:lineRule="auto"/>
              <w:ind w:firstLine="0" w:firstLineChars="0"/>
              <w:jc w:val="center"/>
              <w:rPr>
                <w:sz w:val="21"/>
                <w:szCs w:val="21"/>
                <w:lang w:val="zh-CN"/>
              </w:rPr>
            </w:pPr>
          </w:p>
        </w:tc>
        <w:tc>
          <w:tcPr>
            <w:tcW w:w="943" w:type="dxa"/>
            <w:vAlign w:val="center"/>
          </w:tcPr>
          <w:p w14:paraId="15B29B80">
            <w:pPr>
              <w:adjustRightInd w:val="0"/>
              <w:snapToGrid w:val="0"/>
              <w:spacing w:line="240" w:lineRule="auto"/>
              <w:ind w:firstLine="0" w:firstLineChars="0"/>
              <w:jc w:val="center"/>
              <w:rPr>
                <w:sz w:val="21"/>
                <w:szCs w:val="20"/>
                <w:lang w:val="zh-CN"/>
              </w:rPr>
            </w:pPr>
            <w:r>
              <w:rPr>
                <w:sz w:val="21"/>
                <w:szCs w:val="20"/>
                <w:lang w:val="zh-CN"/>
              </w:rPr>
              <w:t>固体废物</w:t>
            </w:r>
          </w:p>
        </w:tc>
        <w:tc>
          <w:tcPr>
            <w:tcW w:w="993" w:type="dxa"/>
            <w:vAlign w:val="center"/>
          </w:tcPr>
          <w:p w14:paraId="266307B9">
            <w:pPr>
              <w:adjustRightInd w:val="0"/>
              <w:snapToGrid w:val="0"/>
              <w:spacing w:line="240" w:lineRule="auto"/>
              <w:ind w:firstLine="0" w:firstLineChars="0"/>
              <w:jc w:val="center"/>
              <w:rPr>
                <w:sz w:val="21"/>
                <w:szCs w:val="20"/>
                <w:lang w:val="zh-CN"/>
              </w:rPr>
            </w:pPr>
            <w:r>
              <w:rPr>
                <w:sz w:val="21"/>
                <w:szCs w:val="20"/>
                <w:lang w:val="zh-CN"/>
              </w:rPr>
              <w:t>影响分析</w:t>
            </w:r>
          </w:p>
        </w:tc>
        <w:tc>
          <w:tcPr>
            <w:tcW w:w="6386" w:type="dxa"/>
            <w:vAlign w:val="center"/>
          </w:tcPr>
          <w:p w14:paraId="1D05E0EB">
            <w:pPr>
              <w:adjustRightInd w:val="0"/>
              <w:snapToGrid w:val="0"/>
              <w:spacing w:line="240" w:lineRule="auto"/>
              <w:ind w:firstLine="0" w:firstLineChars="0"/>
              <w:rPr>
                <w:sz w:val="21"/>
                <w:szCs w:val="20"/>
                <w:lang w:val="zh-CN"/>
              </w:rPr>
            </w:pPr>
            <w:r>
              <w:rPr>
                <w:sz w:val="21"/>
                <w:szCs w:val="20"/>
                <w:lang w:val="zh-CN"/>
              </w:rPr>
              <w:t>施工人员生活垃圾、建筑垃圾等</w:t>
            </w:r>
          </w:p>
        </w:tc>
      </w:tr>
      <w:tr w14:paraId="3DB8B7D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restart"/>
            <w:vAlign w:val="center"/>
          </w:tcPr>
          <w:p w14:paraId="78BA36F4">
            <w:pPr>
              <w:adjustRightInd w:val="0"/>
              <w:snapToGrid w:val="0"/>
              <w:spacing w:line="240" w:lineRule="auto"/>
              <w:ind w:firstLine="0" w:firstLineChars="0"/>
              <w:jc w:val="center"/>
              <w:rPr>
                <w:sz w:val="21"/>
                <w:szCs w:val="20"/>
                <w:lang w:val="zh-CN"/>
              </w:rPr>
            </w:pPr>
            <w:r>
              <w:rPr>
                <w:sz w:val="21"/>
                <w:szCs w:val="20"/>
                <w:lang w:val="zh-CN"/>
              </w:rPr>
              <w:t>现状评价</w:t>
            </w:r>
          </w:p>
        </w:tc>
        <w:tc>
          <w:tcPr>
            <w:tcW w:w="943" w:type="dxa"/>
            <w:vAlign w:val="center"/>
          </w:tcPr>
          <w:p w14:paraId="6215780E">
            <w:pPr>
              <w:adjustRightInd w:val="0"/>
              <w:snapToGrid w:val="0"/>
              <w:spacing w:line="240" w:lineRule="auto"/>
              <w:ind w:firstLine="0" w:firstLineChars="0"/>
              <w:jc w:val="center"/>
              <w:rPr>
                <w:sz w:val="21"/>
                <w:szCs w:val="20"/>
                <w:lang w:val="zh-CN"/>
              </w:rPr>
            </w:pPr>
            <w:r>
              <w:rPr>
                <w:sz w:val="21"/>
                <w:szCs w:val="20"/>
                <w:lang w:val="zh-CN"/>
              </w:rPr>
              <w:t>大气环境</w:t>
            </w:r>
          </w:p>
        </w:tc>
        <w:tc>
          <w:tcPr>
            <w:tcW w:w="993" w:type="dxa"/>
            <w:vAlign w:val="center"/>
          </w:tcPr>
          <w:p w14:paraId="4616AB6D">
            <w:pPr>
              <w:adjustRightInd w:val="0"/>
              <w:snapToGrid w:val="0"/>
              <w:spacing w:line="240" w:lineRule="auto"/>
              <w:ind w:firstLine="0" w:firstLineChars="0"/>
              <w:jc w:val="center"/>
              <w:rPr>
                <w:sz w:val="21"/>
                <w:szCs w:val="20"/>
                <w:lang w:val="zh-CN"/>
              </w:rPr>
            </w:pPr>
            <w:r>
              <w:rPr>
                <w:sz w:val="21"/>
                <w:szCs w:val="20"/>
                <w:lang w:val="zh-CN"/>
              </w:rPr>
              <w:t>现状评价</w:t>
            </w:r>
          </w:p>
        </w:tc>
        <w:tc>
          <w:tcPr>
            <w:tcW w:w="6386" w:type="dxa"/>
            <w:vAlign w:val="center"/>
          </w:tcPr>
          <w:p w14:paraId="225CEB71">
            <w:pPr>
              <w:adjustRightInd w:val="0"/>
              <w:snapToGrid w:val="0"/>
              <w:spacing w:line="240" w:lineRule="auto"/>
              <w:ind w:firstLine="0" w:firstLineChars="0"/>
              <w:rPr>
                <w:sz w:val="21"/>
                <w:szCs w:val="21"/>
                <w:lang w:val="zh-CN"/>
              </w:rPr>
            </w:pPr>
            <w:r>
              <w:rPr>
                <w:sz w:val="21"/>
                <w:szCs w:val="21"/>
                <w:lang w:val="zh-CN"/>
              </w:rPr>
              <w:t>常规因子：SO</w:t>
            </w:r>
            <w:r>
              <w:rPr>
                <w:sz w:val="21"/>
                <w:szCs w:val="21"/>
                <w:vertAlign w:val="subscript"/>
                <w:lang w:val="zh-CN"/>
              </w:rPr>
              <w:t>2</w:t>
            </w:r>
            <w:r>
              <w:rPr>
                <w:sz w:val="21"/>
                <w:szCs w:val="21"/>
                <w:lang w:val="zh-CN"/>
              </w:rPr>
              <w:t>、NO</w:t>
            </w:r>
            <w:r>
              <w:rPr>
                <w:sz w:val="21"/>
                <w:szCs w:val="21"/>
                <w:vertAlign w:val="subscript"/>
                <w:lang w:val="zh-CN"/>
              </w:rPr>
              <w:t>2</w:t>
            </w:r>
            <w:r>
              <w:rPr>
                <w:sz w:val="21"/>
                <w:szCs w:val="21"/>
                <w:lang w:val="zh-CN"/>
              </w:rPr>
              <w:t>、PM</w:t>
            </w:r>
            <w:r>
              <w:rPr>
                <w:sz w:val="21"/>
                <w:szCs w:val="21"/>
                <w:vertAlign w:val="subscript"/>
                <w:lang w:val="zh-CN"/>
              </w:rPr>
              <w:t>10</w:t>
            </w:r>
            <w:r>
              <w:rPr>
                <w:sz w:val="21"/>
                <w:szCs w:val="21"/>
                <w:lang w:val="zh-CN"/>
              </w:rPr>
              <w:t>、PM</w:t>
            </w:r>
            <w:r>
              <w:rPr>
                <w:sz w:val="21"/>
                <w:szCs w:val="21"/>
                <w:vertAlign w:val="subscript"/>
                <w:lang w:val="zh-CN"/>
              </w:rPr>
              <w:t>2.5</w:t>
            </w:r>
            <w:r>
              <w:rPr>
                <w:sz w:val="21"/>
                <w:szCs w:val="21"/>
                <w:lang w:val="zh-CN"/>
              </w:rPr>
              <w:t>、CO、O</w:t>
            </w:r>
            <w:r>
              <w:rPr>
                <w:sz w:val="21"/>
                <w:szCs w:val="21"/>
                <w:vertAlign w:val="subscript"/>
                <w:lang w:val="zh-CN"/>
              </w:rPr>
              <w:t>3</w:t>
            </w:r>
          </w:p>
          <w:p w14:paraId="677482C5">
            <w:pPr>
              <w:adjustRightInd w:val="0"/>
              <w:snapToGrid w:val="0"/>
              <w:spacing w:line="240" w:lineRule="auto"/>
              <w:ind w:firstLine="0" w:firstLineChars="0"/>
              <w:rPr>
                <w:sz w:val="21"/>
                <w:szCs w:val="21"/>
                <w:lang w:val="zh-CN"/>
              </w:rPr>
            </w:pPr>
            <w:r>
              <w:rPr>
                <w:sz w:val="21"/>
                <w:szCs w:val="21"/>
                <w:lang w:val="zh-CN"/>
              </w:rPr>
              <w:t>特征因子：</w:t>
            </w:r>
            <w:r>
              <w:rPr>
                <w:rFonts w:hint="eastAsia"/>
                <w:sz w:val="21"/>
                <w:szCs w:val="21"/>
                <w:lang w:val="zh-CN"/>
              </w:rPr>
              <w:t>非甲烷总烃、硫酸雾、氨、硫化氢</w:t>
            </w:r>
          </w:p>
        </w:tc>
      </w:tr>
      <w:tr w14:paraId="021DC03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45FE4730">
            <w:pPr>
              <w:adjustRightInd w:val="0"/>
              <w:snapToGrid w:val="0"/>
              <w:spacing w:line="240" w:lineRule="auto"/>
              <w:ind w:firstLine="0" w:firstLineChars="0"/>
              <w:jc w:val="center"/>
              <w:rPr>
                <w:sz w:val="21"/>
                <w:szCs w:val="21"/>
                <w:lang w:val="zh-CN"/>
              </w:rPr>
            </w:pPr>
          </w:p>
        </w:tc>
        <w:tc>
          <w:tcPr>
            <w:tcW w:w="943" w:type="dxa"/>
            <w:vAlign w:val="center"/>
          </w:tcPr>
          <w:p w14:paraId="0C23F20F">
            <w:pPr>
              <w:adjustRightInd w:val="0"/>
              <w:snapToGrid w:val="0"/>
              <w:spacing w:line="240" w:lineRule="auto"/>
              <w:ind w:firstLine="0" w:firstLineChars="0"/>
              <w:jc w:val="center"/>
              <w:rPr>
                <w:sz w:val="21"/>
                <w:szCs w:val="20"/>
                <w:lang w:val="zh-CN"/>
              </w:rPr>
            </w:pPr>
            <w:r>
              <w:rPr>
                <w:sz w:val="21"/>
                <w:szCs w:val="20"/>
                <w:lang w:val="zh-CN"/>
              </w:rPr>
              <w:t>地表水</w:t>
            </w:r>
          </w:p>
        </w:tc>
        <w:tc>
          <w:tcPr>
            <w:tcW w:w="993" w:type="dxa"/>
            <w:vAlign w:val="center"/>
          </w:tcPr>
          <w:p w14:paraId="3696318F">
            <w:pPr>
              <w:adjustRightInd w:val="0"/>
              <w:snapToGrid w:val="0"/>
              <w:spacing w:line="240" w:lineRule="auto"/>
              <w:ind w:firstLine="0" w:firstLineChars="0"/>
              <w:jc w:val="center"/>
              <w:rPr>
                <w:sz w:val="21"/>
                <w:szCs w:val="20"/>
                <w:lang w:val="zh-CN"/>
              </w:rPr>
            </w:pPr>
            <w:r>
              <w:rPr>
                <w:sz w:val="21"/>
                <w:szCs w:val="20"/>
                <w:lang w:val="zh-CN"/>
              </w:rPr>
              <w:t>现状评价</w:t>
            </w:r>
          </w:p>
        </w:tc>
        <w:tc>
          <w:tcPr>
            <w:tcW w:w="6386" w:type="dxa"/>
            <w:vAlign w:val="center"/>
          </w:tcPr>
          <w:p w14:paraId="2FBE55FD">
            <w:pPr>
              <w:adjustRightInd w:val="0"/>
              <w:snapToGrid w:val="0"/>
              <w:spacing w:line="240" w:lineRule="auto"/>
              <w:ind w:firstLine="0" w:firstLineChars="0"/>
              <w:rPr>
                <w:sz w:val="21"/>
                <w:szCs w:val="21"/>
                <w:lang w:val="zh-CN"/>
              </w:rPr>
            </w:pPr>
            <w:r>
              <w:rPr>
                <w:rFonts w:hint="eastAsia"/>
                <w:bCs/>
                <w:sz w:val="21"/>
                <w:szCs w:val="21"/>
              </w:rPr>
              <w:t>本项目</w:t>
            </w:r>
            <w:r>
              <w:rPr>
                <w:bCs/>
                <w:sz w:val="21"/>
                <w:szCs w:val="21"/>
              </w:rPr>
              <w:t>可不开展地表水环境</w:t>
            </w:r>
            <w:r>
              <w:rPr>
                <w:rFonts w:hint="eastAsia"/>
                <w:bCs/>
                <w:sz w:val="21"/>
                <w:szCs w:val="21"/>
              </w:rPr>
              <w:t>影响</w:t>
            </w:r>
            <w:r>
              <w:rPr>
                <w:bCs/>
                <w:sz w:val="21"/>
                <w:szCs w:val="21"/>
              </w:rPr>
              <w:t>评价</w:t>
            </w:r>
            <w:r>
              <w:rPr>
                <w:rFonts w:hint="eastAsia"/>
                <w:bCs/>
                <w:sz w:val="21"/>
                <w:szCs w:val="21"/>
              </w:rPr>
              <w:t>。</w:t>
            </w:r>
          </w:p>
        </w:tc>
      </w:tr>
      <w:tr w14:paraId="4BD76F8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57DA7580">
            <w:pPr>
              <w:adjustRightInd w:val="0"/>
              <w:snapToGrid w:val="0"/>
              <w:spacing w:line="240" w:lineRule="auto"/>
              <w:ind w:firstLine="0" w:firstLineChars="0"/>
              <w:jc w:val="center"/>
              <w:rPr>
                <w:sz w:val="21"/>
                <w:szCs w:val="21"/>
                <w:lang w:val="zh-CN"/>
              </w:rPr>
            </w:pPr>
          </w:p>
        </w:tc>
        <w:tc>
          <w:tcPr>
            <w:tcW w:w="943" w:type="dxa"/>
            <w:vAlign w:val="center"/>
          </w:tcPr>
          <w:p w14:paraId="7B8204B9">
            <w:pPr>
              <w:adjustRightInd w:val="0"/>
              <w:snapToGrid w:val="0"/>
              <w:spacing w:line="240" w:lineRule="auto"/>
              <w:ind w:firstLine="0" w:firstLineChars="0"/>
              <w:jc w:val="center"/>
              <w:rPr>
                <w:sz w:val="21"/>
                <w:szCs w:val="20"/>
                <w:lang w:val="zh-CN"/>
              </w:rPr>
            </w:pPr>
            <w:r>
              <w:rPr>
                <w:sz w:val="21"/>
                <w:szCs w:val="20"/>
                <w:lang w:val="zh-CN"/>
              </w:rPr>
              <w:t>地下水</w:t>
            </w:r>
          </w:p>
        </w:tc>
        <w:tc>
          <w:tcPr>
            <w:tcW w:w="993" w:type="dxa"/>
            <w:vAlign w:val="center"/>
          </w:tcPr>
          <w:p w14:paraId="5A9B35F9">
            <w:pPr>
              <w:adjustRightInd w:val="0"/>
              <w:snapToGrid w:val="0"/>
              <w:spacing w:line="240" w:lineRule="auto"/>
              <w:ind w:firstLine="0" w:firstLineChars="0"/>
              <w:jc w:val="center"/>
              <w:rPr>
                <w:sz w:val="21"/>
                <w:szCs w:val="20"/>
                <w:lang w:val="zh-CN"/>
              </w:rPr>
            </w:pPr>
            <w:r>
              <w:rPr>
                <w:sz w:val="21"/>
                <w:szCs w:val="20"/>
                <w:lang w:val="zh-CN"/>
              </w:rPr>
              <w:t>现状评价</w:t>
            </w:r>
          </w:p>
        </w:tc>
        <w:tc>
          <w:tcPr>
            <w:tcW w:w="6386" w:type="dxa"/>
            <w:vAlign w:val="center"/>
          </w:tcPr>
          <w:p w14:paraId="0C987A42">
            <w:pPr>
              <w:adjustRightInd w:val="0"/>
              <w:snapToGrid w:val="0"/>
              <w:spacing w:line="240" w:lineRule="auto"/>
              <w:ind w:firstLine="0" w:firstLineChars="0"/>
              <w:rPr>
                <w:sz w:val="21"/>
                <w:szCs w:val="21"/>
              </w:rPr>
            </w:pPr>
            <w:r>
              <w:rPr>
                <w:rFonts w:hint="eastAsia" w:ascii="宋体" w:hAnsi="宋体" w:cs="宋体"/>
                <w:sz w:val="21"/>
                <w:szCs w:val="21"/>
              </w:rPr>
              <w:t>①</w:t>
            </w:r>
            <w:r>
              <w:rPr>
                <w:sz w:val="21"/>
                <w:szCs w:val="21"/>
              </w:rPr>
              <w:t>八大离子；</w:t>
            </w:r>
          </w:p>
          <w:p w14:paraId="755035F5">
            <w:pPr>
              <w:adjustRightInd w:val="0"/>
              <w:snapToGrid w:val="0"/>
              <w:spacing w:line="240" w:lineRule="auto"/>
              <w:ind w:firstLine="0" w:firstLineChars="0"/>
              <w:rPr>
                <w:sz w:val="21"/>
                <w:szCs w:val="21"/>
              </w:rPr>
            </w:pPr>
            <w:r>
              <w:rPr>
                <w:rFonts w:hint="eastAsia" w:ascii="宋体" w:hAnsi="宋体" w:cs="宋体"/>
                <w:sz w:val="21"/>
                <w:szCs w:val="21"/>
              </w:rPr>
              <w:t>②</w:t>
            </w:r>
            <w:r>
              <w:rPr>
                <w:sz w:val="21"/>
                <w:szCs w:val="21"/>
              </w:rPr>
              <w:t>基本因子：pH、总硬度（以CaCO</w:t>
            </w:r>
            <w:r>
              <w:rPr>
                <w:sz w:val="21"/>
                <w:szCs w:val="21"/>
                <w:vertAlign w:val="subscript"/>
              </w:rPr>
              <w:t>3</w:t>
            </w:r>
            <w:r>
              <w:rPr>
                <w:sz w:val="21"/>
                <w:szCs w:val="21"/>
              </w:rPr>
              <w:t>计）、溶解性总固体、硫酸盐、氯化物、挥发性酚类（以苯酚计）、耗氧量（COD</w:t>
            </w:r>
            <w:r>
              <w:rPr>
                <w:sz w:val="21"/>
                <w:szCs w:val="21"/>
                <w:vertAlign w:val="subscript"/>
              </w:rPr>
              <w:t>Mn</w:t>
            </w:r>
            <w:r>
              <w:rPr>
                <w:sz w:val="21"/>
                <w:szCs w:val="21"/>
              </w:rPr>
              <w:t>法，以O</w:t>
            </w:r>
            <w:r>
              <w:rPr>
                <w:sz w:val="21"/>
                <w:szCs w:val="21"/>
                <w:vertAlign w:val="subscript"/>
              </w:rPr>
              <w:t>2</w:t>
            </w:r>
            <w:r>
              <w:rPr>
                <w:sz w:val="21"/>
                <w:szCs w:val="21"/>
              </w:rPr>
              <w:t>计）、氨氮（以N计）、硫化物、钠、总大肠菌群、细菌总数、亚硝酸盐（以N计）、硝酸盐（以N计）、氰化物、氟化物、汞、砷、硒、镉、铬（六价）、铅</w:t>
            </w:r>
            <w:r>
              <w:rPr>
                <w:rFonts w:hint="eastAsia"/>
                <w:sz w:val="21"/>
                <w:szCs w:val="21"/>
              </w:rPr>
              <w:t>、石油类，</w:t>
            </w:r>
            <w:r>
              <w:rPr>
                <w:sz w:val="21"/>
                <w:szCs w:val="21"/>
              </w:rPr>
              <w:t>共计24项</w:t>
            </w:r>
            <w:r>
              <w:rPr>
                <w:rFonts w:hint="eastAsia"/>
                <w:sz w:val="21"/>
                <w:szCs w:val="21"/>
              </w:rPr>
              <w:t>；</w:t>
            </w:r>
          </w:p>
          <w:p w14:paraId="138C00B0">
            <w:pPr>
              <w:adjustRightInd w:val="0"/>
              <w:snapToGrid w:val="0"/>
              <w:spacing w:line="240" w:lineRule="auto"/>
              <w:ind w:firstLine="0" w:firstLineChars="0"/>
              <w:rPr>
                <w:sz w:val="21"/>
                <w:szCs w:val="21"/>
                <w:lang w:val="zh-CN"/>
              </w:rPr>
            </w:pPr>
            <w:r>
              <w:rPr>
                <w:rFonts w:hint="eastAsia" w:ascii="宋体" w:hAnsi="宋体" w:cs="宋体"/>
                <w:sz w:val="21"/>
                <w:szCs w:val="21"/>
                <w:lang w:val="zh-CN"/>
              </w:rPr>
              <w:t>③</w:t>
            </w:r>
            <w:r>
              <w:rPr>
                <w:rFonts w:hint="eastAsia"/>
                <w:sz w:val="21"/>
                <w:szCs w:val="21"/>
                <w:lang w:val="zh-CN"/>
              </w:rPr>
              <w:t>其他：温度、水位、井深。</w:t>
            </w:r>
          </w:p>
        </w:tc>
      </w:tr>
      <w:tr w14:paraId="172111C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508A87EA">
            <w:pPr>
              <w:adjustRightInd w:val="0"/>
              <w:snapToGrid w:val="0"/>
              <w:spacing w:line="240" w:lineRule="auto"/>
              <w:ind w:firstLine="0" w:firstLineChars="0"/>
              <w:jc w:val="center"/>
              <w:rPr>
                <w:sz w:val="21"/>
                <w:szCs w:val="21"/>
                <w:lang w:val="zh-CN"/>
              </w:rPr>
            </w:pPr>
          </w:p>
        </w:tc>
        <w:tc>
          <w:tcPr>
            <w:tcW w:w="943" w:type="dxa"/>
            <w:vAlign w:val="center"/>
          </w:tcPr>
          <w:p w14:paraId="17B2DB37">
            <w:pPr>
              <w:adjustRightInd w:val="0"/>
              <w:snapToGrid w:val="0"/>
              <w:spacing w:line="240" w:lineRule="auto"/>
              <w:ind w:firstLine="0" w:firstLineChars="0"/>
              <w:jc w:val="center"/>
              <w:rPr>
                <w:sz w:val="21"/>
                <w:szCs w:val="20"/>
                <w:lang w:val="zh-CN"/>
              </w:rPr>
            </w:pPr>
            <w:r>
              <w:rPr>
                <w:sz w:val="21"/>
                <w:szCs w:val="20"/>
                <w:lang w:val="zh-CN"/>
              </w:rPr>
              <w:t>土壤</w:t>
            </w:r>
          </w:p>
        </w:tc>
        <w:tc>
          <w:tcPr>
            <w:tcW w:w="993" w:type="dxa"/>
            <w:vAlign w:val="center"/>
          </w:tcPr>
          <w:p w14:paraId="146CE0E0">
            <w:pPr>
              <w:adjustRightInd w:val="0"/>
              <w:snapToGrid w:val="0"/>
              <w:spacing w:line="240" w:lineRule="auto"/>
              <w:ind w:firstLine="0" w:firstLineChars="0"/>
              <w:jc w:val="center"/>
              <w:rPr>
                <w:sz w:val="21"/>
                <w:szCs w:val="20"/>
                <w:lang w:val="zh-CN"/>
              </w:rPr>
            </w:pPr>
            <w:r>
              <w:rPr>
                <w:sz w:val="21"/>
                <w:szCs w:val="20"/>
                <w:lang w:val="zh-CN"/>
              </w:rPr>
              <w:t>现状评价</w:t>
            </w:r>
          </w:p>
        </w:tc>
        <w:tc>
          <w:tcPr>
            <w:tcW w:w="6386" w:type="dxa"/>
            <w:vAlign w:val="center"/>
          </w:tcPr>
          <w:p w14:paraId="2DF1C77B">
            <w:pPr>
              <w:adjustRightInd w:val="0"/>
              <w:snapToGrid w:val="0"/>
              <w:spacing w:line="240" w:lineRule="auto"/>
              <w:ind w:firstLine="0" w:firstLineChars="0"/>
              <w:rPr>
                <w:sz w:val="21"/>
                <w:szCs w:val="21"/>
                <w:lang w:val="zh-CN"/>
              </w:rPr>
            </w:pPr>
            <w:r>
              <w:rPr>
                <w:sz w:val="21"/>
                <w:szCs w:val="21"/>
                <w:lang w:val="zh-CN"/>
              </w:rPr>
              <w:t>（1）重金属和无机物：砷、镉、铬（六价）、铜、铅、汞、镍等7项；</w:t>
            </w:r>
          </w:p>
          <w:p w14:paraId="0725F32E">
            <w:pPr>
              <w:adjustRightInd w:val="0"/>
              <w:snapToGrid w:val="0"/>
              <w:spacing w:line="240" w:lineRule="auto"/>
              <w:ind w:firstLine="0" w:firstLineChars="0"/>
              <w:rPr>
                <w:sz w:val="21"/>
                <w:szCs w:val="21"/>
                <w:lang w:val="zh-CN"/>
              </w:rPr>
            </w:pPr>
            <w:r>
              <w:rPr>
                <w:sz w:val="21"/>
                <w:szCs w:val="21"/>
                <w:lang w:val="zh-CN"/>
              </w:rPr>
              <w:t>（2）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等27项；</w:t>
            </w:r>
          </w:p>
          <w:p w14:paraId="45EA473D">
            <w:pPr>
              <w:adjustRightInd w:val="0"/>
              <w:snapToGrid w:val="0"/>
              <w:spacing w:line="240" w:lineRule="auto"/>
              <w:ind w:firstLine="0" w:firstLineChars="0"/>
              <w:rPr>
                <w:sz w:val="21"/>
                <w:szCs w:val="21"/>
                <w:lang w:val="zh-CN"/>
              </w:rPr>
            </w:pPr>
            <w:r>
              <w:rPr>
                <w:sz w:val="21"/>
                <w:szCs w:val="21"/>
                <w:lang w:val="zh-CN"/>
              </w:rPr>
              <w:t>（3）半挥发性有机物：硝基苯、苯胺、2-氯酚、苯并[a]蒽、苯并[a]芘、苯并[b]荧蒽、苯并[k]荧蒽、䓛、二苯并[a， h]蒽、茚并[1，2，3-cd]芘、萘等11项</w:t>
            </w:r>
            <w:r>
              <w:rPr>
                <w:rFonts w:hint="eastAsia"/>
                <w:sz w:val="21"/>
                <w:szCs w:val="21"/>
                <w:lang w:val="zh-CN"/>
              </w:rPr>
              <w:t>。</w:t>
            </w:r>
          </w:p>
          <w:p w14:paraId="18F4F095">
            <w:pPr>
              <w:adjustRightInd w:val="0"/>
              <w:snapToGrid w:val="0"/>
              <w:spacing w:line="240" w:lineRule="auto"/>
              <w:ind w:firstLine="0" w:firstLineChars="0"/>
              <w:rPr>
                <w:sz w:val="21"/>
                <w:szCs w:val="21"/>
                <w:lang w:val="zh-CN"/>
              </w:rPr>
            </w:pPr>
            <w:r>
              <w:rPr>
                <w:rFonts w:hint="eastAsia"/>
                <w:sz w:val="21"/>
                <w:szCs w:val="21"/>
                <w:lang w:val="zh-CN"/>
              </w:rPr>
              <w:t>（4）其他：pH、石油烃</w:t>
            </w:r>
          </w:p>
        </w:tc>
      </w:tr>
      <w:tr w14:paraId="7E62566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15FA02D8">
            <w:pPr>
              <w:adjustRightInd w:val="0"/>
              <w:snapToGrid w:val="0"/>
              <w:spacing w:line="240" w:lineRule="auto"/>
              <w:ind w:firstLine="0" w:firstLineChars="0"/>
              <w:jc w:val="center"/>
              <w:rPr>
                <w:sz w:val="21"/>
                <w:szCs w:val="21"/>
                <w:lang w:val="zh-CN"/>
              </w:rPr>
            </w:pPr>
          </w:p>
        </w:tc>
        <w:tc>
          <w:tcPr>
            <w:tcW w:w="943" w:type="dxa"/>
            <w:vAlign w:val="center"/>
          </w:tcPr>
          <w:p w14:paraId="45DB0777">
            <w:pPr>
              <w:adjustRightInd w:val="0"/>
              <w:snapToGrid w:val="0"/>
              <w:spacing w:line="240" w:lineRule="auto"/>
              <w:ind w:firstLine="0" w:firstLineChars="0"/>
              <w:jc w:val="center"/>
              <w:rPr>
                <w:sz w:val="21"/>
                <w:szCs w:val="20"/>
                <w:lang w:val="zh-CN"/>
              </w:rPr>
            </w:pPr>
            <w:r>
              <w:rPr>
                <w:sz w:val="21"/>
                <w:szCs w:val="20"/>
                <w:lang w:val="zh-CN"/>
              </w:rPr>
              <w:t>声环境</w:t>
            </w:r>
          </w:p>
        </w:tc>
        <w:tc>
          <w:tcPr>
            <w:tcW w:w="993" w:type="dxa"/>
            <w:vAlign w:val="center"/>
          </w:tcPr>
          <w:p w14:paraId="506854DD">
            <w:pPr>
              <w:adjustRightInd w:val="0"/>
              <w:snapToGrid w:val="0"/>
              <w:spacing w:line="240" w:lineRule="auto"/>
              <w:ind w:firstLine="0" w:firstLineChars="0"/>
              <w:jc w:val="center"/>
              <w:rPr>
                <w:sz w:val="21"/>
                <w:szCs w:val="20"/>
                <w:lang w:val="zh-CN"/>
              </w:rPr>
            </w:pPr>
            <w:r>
              <w:rPr>
                <w:sz w:val="21"/>
                <w:szCs w:val="20"/>
                <w:lang w:val="zh-CN"/>
              </w:rPr>
              <w:t>现状评价</w:t>
            </w:r>
          </w:p>
        </w:tc>
        <w:tc>
          <w:tcPr>
            <w:tcW w:w="6386" w:type="dxa"/>
            <w:vAlign w:val="center"/>
          </w:tcPr>
          <w:p w14:paraId="525E389F">
            <w:pPr>
              <w:adjustRightInd w:val="0"/>
              <w:snapToGrid w:val="0"/>
              <w:spacing w:line="240" w:lineRule="auto"/>
              <w:ind w:firstLine="0" w:firstLineChars="0"/>
              <w:jc w:val="center"/>
              <w:rPr>
                <w:sz w:val="21"/>
                <w:szCs w:val="21"/>
                <w:lang w:val="zh-CN"/>
              </w:rPr>
            </w:pPr>
            <w:r>
              <w:rPr>
                <w:sz w:val="21"/>
                <w:szCs w:val="21"/>
                <w:lang w:val="zh-CN"/>
              </w:rPr>
              <w:t>等效连续A声级Leq</w:t>
            </w:r>
          </w:p>
        </w:tc>
      </w:tr>
      <w:tr w14:paraId="624FEC6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51997991">
            <w:pPr>
              <w:adjustRightInd w:val="0"/>
              <w:snapToGrid w:val="0"/>
              <w:spacing w:line="240" w:lineRule="auto"/>
              <w:ind w:firstLine="0" w:firstLineChars="0"/>
              <w:jc w:val="center"/>
              <w:rPr>
                <w:sz w:val="21"/>
                <w:szCs w:val="21"/>
                <w:lang w:val="zh-CN"/>
              </w:rPr>
            </w:pPr>
          </w:p>
        </w:tc>
        <w:tc>
          <w:tcPr>
            <w:tcW w:w="943" w:type="dxa"/>
            <w:vAlign w:val="center"/>
          </w:tcPr>
          <w:p w14:paraId="3E180A2F">
            <w:pPr>
              <w:adjustRightInd w:val="0"/>
              <w:snapToGrid w:val="0"/>
              <w:spacing w:line="240" w:lineRule="auto"/>
              <w:ind w:firstLine="0" w:firstLineChars="0"/>
              <w:jc w:val="center"/>
              <w:rPr>
                <w:sz w:val="21"/>
                <w:szCs w:val="20"/>
                <w:lang w:val="zh-CN"/>
              </w:rPr>
            </w:pPr>
            <w:r>
              <w:rPr>
                <w:sz w:val="21"/>
                <w:szCs w:val="20"/>
                <w:lang w:val="zh-CN"/>
              </w:rPr>
              <w:t>生态环境</w:t>
            </w:r>
          </w:p>
        </w:tc>
        <w:tc>
          <w:tcPr>
            <w:tcW w:w="993" w:type="dxa"/>
            <w:vAlign w:val="center"/>
          </w:tcPr>
          <w:p w14:paraId="6DB09BC1">
            <w:pPr>
              <w:adjustRightInd w:val="0"/>
              <w:snapToGrid w:val="0"/>
              <w:spacing w:line="240" w:lineRule="auto"/>
              <w:ind w:firstLine="0" w:firstLineChars="0"/>
              <w:jc w:val="center"/>
              <w:rPr>
                <w:sz w:val="21"/>
                <w:szCs w:val="20"/>
                <w:lang w:val="zh-CN"/>
              </w:rPr>
            </w:pPr>
            <w:r>
              <w:rPr>
                <w:sz w:val="21"/>
                <w:szCs w:val="20"/>
                <w:lang w:val="zh-CN"/>
              </w:rPr>
              <w:t>现状评价</w:t>
            </w:r>
          </w:p>
        </w:tc>
        <w:tc>
          <w:tcPr>
            <w:tcW w:w="6386" w:type="dxa"/>
            <w:vAlign w:val="center"/>
          </w:tcPr>
          <w:p w14:paraId="357EC1B1">
            <w:pPr>
              <w:adjustRightInd w:val="0"/>
              <w:snapToGrid w:val="0"/>
              <w:spacing w:line="240" w:lineRule="auto"/>
              <w:ind w:firstLine="0" w:firstLineChars="0"/>
              <w:jc w:val="center"/>
              <w:rPr>
                <w:sz w:val="21"/>
                <w:szCs w:val="21"/>
                <w:lang w:val="zh-CN"/>
              </w:rPr>
            </w:pPr>
            <w:r>
              <w:rPr>
                <w:sz w:val="21"/>
                <w:szCs w:val="21"/>
                <w:lang w:val="zh-CN"/>
              </w:rPr>
              <w:t>生态完整性、植被破坏、荒漠化、可持续发展等方面对生态环境状况进行分析</w:t>
            </w:r>
          </w:p>
        </w:tc>
      </w:tr>
      <w:tr w14:paraId="64B533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restart"/>
            <w:vAlign w:val="center"/>
          </w:tcPr>
          <w:p w14:paraId="2E0B2EE5">
            <w:pPr>
              <w:adjustRightInd w:val="0"/>
              <w:snapToGrid w:val="0"/>
              <w:spacing w:line="240" w:lineRule="auto"/>
              <w:ind w:firstLine="0" w:firstLineChars="0"/>
              <w:jc w:val="center"/>
              <w:rPr>
                <w:sz w:val="21"/>
                <w:szCs w:val="20"/>
                <w:lang w:val="zh-CN"/>
              </w:rPr>
            </w:pPr>
            <w:r>
              <w:rPr>
                <w:sz w:val="21"/>
                <w:szCs w:val="20"/>
                <w:lang w:val="zh-CN"/>
              </w:rPr>
              <w:t>运营期</w:t>
            </w:r>
          </w:p>
        </w:tc>
        <w:tc>
          <w:tcPr>
            <w:tcW w:w="943" w:type="dxa"/>
            <w:vAlign w:val="center"/>
          </w:tcPr>
          <w:p w14:paraId="3CD07319">
            <w:pPr>
              <w:adjustRightInd w:val="0"/>
              <w:snapToGrid w:val="0"/>
              <w:spacing w:line="240" w:lineRule="auto"/>
              <w:ind w:firstLine="0" w:firstLineChars="0"/>
              <w:jc w:val="center"/>
              <w:rPr>
                <w:sz w:val="21"/>
                <w:szCs w:val="20"/>
                <w:lang w:val="zh-CN"/>
              </w:rPr>
            </w:pPr>
            <w:r>
              <w:rPr>
                <w:sz w:val="21"/>
                <w:szCs w:val="20"/>
                <w:lang w:val="zh-CN"/>
              </w:rPr>
              <w:t>大气环境</w:t>
            </w:r>
          </w:p>
        </w:tc>
        <w:tc>
          <w:tcPr>
            <w:tcW w:w="993" w:type="dxa"/>
            <w:vAlign w:val="center"/>
          </w:tcPr>
          <w:p w14:paraId="6E76013F">
            <w:pPr>
              <w:adjustRightInd w:val="0"/>
              <w:snapToGrid w:val="0"/>
              <w:spacing w:line="240" w:lineRule="auto"/>
              <w:ind w:firstLine="0" w:firstLineChars="0"/>
              <w:jc w:val="center"/>
              <w:rPr>
                <w:sz w:val="21"/>
                <w:szCs w:val="20"/>
                <w:lang w:val="zh-CN"/>
              </w:rPr>
            </w:pPr>
            <w:r>
              <w:rPr>
                <w:sz w:val="21"/>
                <w:szCs w:val="20"/>
                <w:lang w:val="zh-CN"/>
              </w:rPr>
              <w:t>影响预测</w:t>
            </w:r>
          </w:p>
        </w:tc>
        <w:tc>
          <w:tcPr>
            <w:tcW w:w="6386" w:type="dxa"/>
            <w:vAlign w:val="center"/>
          </w:tcPr>
          <w:p w14:paraId="5DA012FD">
            <w:pPr>
              <w:adjustRightInd w:val="0"/>
              <w:snapToGrid w:val="0"/>
              <w:spacing w:line="240" w:lineRule="auto"/>
              <w:ind w:firstLine="0" w:firstLineChars="0"/>
              <w:jc w:val="center"/>
              <w:rPr>
                <w:sz w:val="21"/>
                <w:szCs w:val="21"/>
              </w:rPr>
            </w:pPr>
            <w:r>
              <w:rPr>
                <w:rFonts w:hint="eastAsia"/>
                <w:sz w:val="21"/>
                <w:szCs w:val="21"/>
              </w:rPr>
              <w:t>非甲烷总烃、二氧化硫、氮氧化物、PM</w:t>
            </w:r>
            <w:r>
              <w:rPr>
                <w:sz w:val="21"/>
                <w:szCs w:val="21"/>
                <w:vertAlign w:val="subscript"/>
              </w:rPr>
              <w:t>10</w:t>
            </w:r>
            <w:r>
              <w:rPr>
                <w:rFonts w:hint="eastAsia"/>
                <w:sz w:val="21"/>
                <w:szCs w:val="21"/>
              </w:rPr>
              <w:t>、氨、硫化氢。</w:t>
            </w:r>
          </w:p>
        </w:tc>
      </w:tr>
      <w:tr w14:paraId="176FBB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2C925AA9">
            <w:pPr>
              <w:adjustRightInd w:val="0"/>
              <w:snapToGrid w:val="0"/>
              <w:spacing w:line="240" w:lineRule="auto"/>
              <w:ind w:firstLine="0" w:firstLineChars="0"/>
              <w:jc w:val="center"/>
              <w:rPr>
                <w:sz w:val="21"/>
                <w:szCs w:val="21"/>
              </w:rPr>
            </w:pPr>
          </w:p>
        </w:tc>
        <w:tc>
          <w:tcPr>
            <w:tcW w:w="943" w:type="dxa"/>
            <w:vAlign w:val="center"/>
          </w:tcPr>
          <w:p w14:paraId="33F210F6">
            <w:pPr>
              <w:adjustRightInd w:val="0"/>
              <w:snapToGrid w:val="0"/>
              <w:spacing w:line="240" w:lineRule="auto"/>
              <w:ind w:firstLine="0" w:firstLineChars="0"/>
              <w:jc w:val="center"/>
              <w:rPr>
                <w:sz w:val="21"/>
                <w:szCs w:val="20"/>
                <w:lang w:val="zh-CN"/>
              </w:rPr>
            </w:pPr>
            <w:r>
              <w:rPr>
                <w:sz w:val="21"/>
                <w:szCs w:val="20"/>
                <w:lang w:val="zh-CN"/>
              </w:rPr>
              <w:t>声环境</w:t>
            </w:r>
          </w:p>
        </w:tc>
        <w:tc>
          <w:tcPr>
            <w:tcW w:w="993" w:type="dxa"/>
            <w:vAlign w:val="center"/>
          </w:tcPr>
          <w:p w14:paraId="4BA85B16">
            <w:pPr>
              <w:adjustRightInd w:val="0"/>
              <w:snapToGrid w:val="0"/>
              <w:spacing w:line="240" w:lineRule="auto"/>
              <w:ind w:firstLine="0" w:firstLineChars="0"/>
              <w:jc w:val="center"/>
              <w:rPr>
                <w:sz w:val="21"/>
                <w:szCs w:val="20"/>
                <w:lang w:val="zh-CN"/>
              </w:rPr>
            </w:pPr>
            <w:r>
              <w:rPr>
                <w:sz w:val="21"/>
                <w:szCs w:val="20"/>
                <w:lang w:val="zh-CN"/>
              </w:rPr>
              <w:t>影响预测</w:t>
            </w:r>
          </w:p>
        </w:tc>
        <w:tc>
          <w:tcPr>
            <w:tcW w:w="6386" w:type="dxa"/>
            <w:vAlign w:val="center"/>
          </w:tcPr>
          <w:p w14:paraId="69B1C91D">
            <w:pPr>
              <w:adjustRightInd w:val="0"/>
              <w:snapToGrid w:val="0"/>
              <w:spacing w:line="240" w:lineRule="auto"/>
              <w:ind w:firstLine="0" w:firstLineChars="0"/>
              <w:jc w:val="center"/>
              <w:rPr>
                <w:sz w:val="21"/>
                <w:szCs w:val="21"/>
                <w:lang w:val="zh-CN"/>
              </w:rPr>
            </w:pPr>
            <w:r>
              <w:rPr>
                <w:sz w:val="21"/>
                <w:szCs w:val="21"/>
                <w:lang w:val="zh-CN"/>
              </w:rPr>
              <w:t>等效连续A声级</w:t>
            </w:r>
          </w:p>
        </w:tc>
      </w:tr>
      <w:tr w14:paraId="4C3E39E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5F91944F">
            <w:pPr>
              <w:adjustRightInd w:val="0"/>
              <w:snapToGrid w:val="0"/>
              <w:spacing w:line="240" w:lineRule="auto"/>
              <w:ind w:firstLine="0" w:firstLineChars="0"/>
              <w:jc w:val="center"/>
              <w:rPr>
                <w:sz w:val="21"/>
                <w:szCs w:val="21"/>
                <w:lang w:val="zh-CN"/>
              </w:rPr>
            </w:pPr>
          </w:p>
        </w:tc>
        <w:tc>
          <w:tcPr>
            <w:tcW w:w="943" w:type="dxa"/>
            <w:vAlign w:val="center"/>
          </w:tcPr>
          <w:p w14:paraId="495512DB">
            <w:pPr>
              <w:adjustRightInd w:val="0"/>
              <w:snapToGrid w:val="0"/>
              <w:spacing w:line="240" w:lineRule="auto"/>
              <w:ind w:firstLine="0" w:firstLineChars="0"/>
              <w:jc w:val="center"/>
              <w:rPr>
                <w:sz w:val="21"/>
                <w:szCs w:val="20"/>
                <w:lang w:val="zh-CN"/>
              </w:rPr>
            </w:pPr>
            <w:r>
              <w:rPr>
                <w:sz w:val="21"/>
                <w:szCs w:val="20"/>
                <w:lang w:val="zh-CN"/>
              </w:rPr>
              <w:t>固体废物</w:t>
            </w:r>
          </w:p>
        </w:tc>
        <w:tc>
          <w:tcPr>
            <w:tcW w:w="993" w:type="dxa"/>
            <w:vAlign w:val="center"/>
          </w:tcPr>
          <w:p w14:paraId="1F9A65FB">
            <w:pPr>
              <w:adjustRightInd w:val="0"/>
              <w:snapToGrid w:val="0"/>
              <w:spacing w:line="240" w:lineRule="auto"/>
              <w:ind w:firstLine="0" w:firstLineChars="0"/>
              <w:jc w:val="center"/>
              <w:rPr>
                <w:sz w:val="21"/>
                <w:szCs w:val="20"/>
                <w:lang w:val="zh-CN"/>
              </w:rPr>
            </w:pPr>
            <w:r>
              <w:rPr>
                <w:sz w:val="21"/>
                <w:szCs w:val="20"/>
                <w:lang w:val="zh-CN"/>
              </w:rPr>
              <w:t>影响分析</w:t>
            </w:r>
          </w:p>
        </w:tc>
        <w:tc>
          <w:tcPr>
            <w:tcW w:w="6386" w:type="dxa"/>
            <w:vAlign w:val="center"/>
          </w:tcPr>
          <w:p w14:paraId="1A4F6AE0">
            <w:pPr>
              <w:adjustRightInd w:val="0"/>
              <w:snapToGrid w:val="0"/>
              <w:spacing w:line="240" w:lineRule="auto"/>
              <w:ind w:firstLine="0" w:firstLineChars="0"/>
              <w:jc w:val="center"/>
              <w:rPr>
                <w:sz w:val="21"/>
                <w:szCs w:val="21"/>
                <w:lang w:val="zh-CN"/>
              </w:rPr>
            </w:pPr>
            <w:r>
              <w:rPr>
                <w:sz w:val="21"/>
                <w:szCs w:val="21"/>
                <w:lang w:val="zh-CN"/>
              </w:rPr>
              <w:t>一般</w:t>
            </w:r>
            <w:r>
              <w:rPr>
                <w:rFonts w:hint="eastAsia"/>
                <w:sz w:val="21"/>
                <w:szCs w:val="21"/>
                <w:lang w:val="zh-CN"/>
              </w:rPr>
              <w:t>固体废物：废包装袋、危险废物：废白土渣</w:t>
            </w:r>
          </w:p>
        </w:tc>
      </w:tr>
      <w:tr w14:paraId="6022DFB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7E877255">
            <w:pPr>
              <w:adjustRightInd w:val="0"/>
              <w:snapToGrid w:val="0"/>
              <w:spacing w:line="240" w:lineRule="auto"/>
              <w:ind w:firstLine="0" w:firstLineChars="0"/>
              <w:jc w:val="center"/>
              <w:rPr>
                <w:sz w:val="21"/>
                <w:szCs w:val="21"/>
                <w:lang w:val="zh-CN"/>
              </w:rPr>
            </w:pPr>
          </w:p>
        </w:tc>
        <w:tc>
          <w:tcPr>
            <w:tcW w:w="943" w:type="dxa"/>
            <w:vAlign w:val="center"/>
          </w:tcPr>
          <w:p w14:paraId="01D8ED32">
            <w:pPr>
              <w:adjustRightInd w:val="0"/>
              <w:snapToGrid w:val="0"/>
              <w:spacing w:line="240" w:lineRule="auto"/>
              <w:ind w:firstLine="0" w:firstLineChars="0"/>
              <w:jc w:val="center"/>
              <w:rPr>
                <w:sz w:val="21"/>
                <w:szCs w:val="20"/>
                <w:lang w:val="zh-CN"/>
              </w:rPr>
            </w:pPr>
            <w:r>
              <w:rPr>
                <w:sz w:val="21"/>
                <w:szCs w:val="20"/>
                <w:lang w:val="zh-CN"/>
              </w:rPr>
              <w:t>生态环境</w:t>
            </w:r>
          </w:p>
        </w:tc>
        <w:tc>
          <w:tcPr>
            <w:tcW w:w="993" w:type="dxa"/>
            <w:vAlign w:val="center"/>
          </w:tcPr>
          <w:p w14:paraId="1C9D88BE">
            <w:pPr>
              <w:adjustRightInd w:val="0"/>
              <w:snapToGrid w:val="0"/>
              <w:spacing w:line="240" w:lineRule="auto"/>
              <w:ind w:firstLine="0" w:firstLineChars="0"/>
              <w:jc w:val="center"/>
              <w:rPr>
                <w:sz w:val="21"/>
                <w:szCs w:val="20"/>
                <w:lang w:val="zh-CN"/>
              </w:rPr>
            </w:pPr>
            <w:r>
              <w:rPr>
                <w:sz w:val="21"/>
                <w:szCs w:val="20"/>
                <w:lang w:val="zh-CN"/>
              </w:rPr>
              <w:t>影响分析</w:t>
            </w:r>
          </w:p>
        </w:tc>
        <w:tc>
          <w:tcPr>
            <w:tcW w:w="6386" w:type="dxa"/>
            <w:vAlign w:val="center"/>
          </w:tcPr>
          <w:p w14:paraId="07BDA13E">
            <w:pPr>
              <w:adjustRightInd w:val="0"/>
              <w:snapToGrid w:val="0"/>
              <w:spacing w:line="240" w:lineRule="auto"/>
              <w:ind w:firstLine="0" w:firstLineChars="0"/>
              <w:jc w:val="center"/>
              <w:rPr>
                <w:sz w:val="21"/>
                <w:szCs w:val="21"/>
                <w:lang w:val="zh-CN"/>
              </w:rPr>
            </w:pPr>
            <w:r>
              <w:rPr>
                <w:sz w:val="21"/>
                <w:szCs w:val="21"/>
                <w:lang w:val="zh-CN"/>
              </w:rPr>
              <w:t>土地、植被、植物物种</w:t>
            </w:r>
          </w:p>
        </w:tc>
      </w:tr>
      <w:tr w14:paraId="7A48927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2C28150A">
            <w:pPr>
              <w:adjustRightInd w:val="0"/>
              <w:snapToGrid w:val="0"/>
              <w:spacing w:line="240" w:lineRule="auto"/>
              <w:ind w:firstLine="0" w:firstLineChars="0"/>
              <w:jc w:val="center"/>
              <w:rPr>
                <w:sz w:val="21"/>
                <w:szCs w:val="21"/>
                <w:lang w:val="zh-CN"/>
              </w:rPr>
            </w:pPr>
          </w:p>
        </w:tc>
        <w:tc>
          <w:tcPr>
            <w:tcW w:w="943" w:type="dxa"/>
            <w:vAlign w:val="center"/>
          </w:tcPr>
          <w:p w14:paraId="48B8F743">
            <w:pPr>
              <w:adjustRightInd w:val="0"/>
              <w:snapToGrid w:val="0"/>
              <w:spacing w:line="240" w:lineRule="auto"/>
              <w:ind w:firstLine="0" w:firstLineChars="0"/>
              <w:jc w:val="center"/>
              <w:rPr>
                <w:sz w:val="21"/>
                <w:szCs w:val="20"/>
                <w:lang w:val="zh-CN"/>
              </w:rPr>
            </w:pPr>
            <w:r>
              <w:rPr>
                <w:sz w:val="21"/>
                <w:szCs w:val="20"/>
                <w:lang w:val="zh-CN"/>
              </w:rPr>
              <w:t>环境风险</w:t>
            </w:r>
          </w:p>
        </w:tc>
        <w:tc>
          <w:tcPr>
            <w:tcW w:w="993" w:type="dxa"/>
            <w:vAlign w:val="center"/>
          </w:tcPr>
          <w:p w14:paraId="40EFE348">
            <w:pPr>
              <w:adjustRightInd w:val="0"/>
              <w:snapToGrid w:val="0"/>
              <w:spacing w:line="240" w:lineRule="auto"/>
              <w:ind w:firstLine="0" w:firstLineChars="0"/>
              <w:jc w:val="center"/>
              <w:rPr>
                <w:sz w:val="21"/>
                <w:szCs w:val="20"/>
                <w:lang w:val="zh-CN"/>
              </w:rPr>
            </w:pPr>
            <w:r>
              <w:rPr>
                <w:sz w:val="21"/>
                <w:szCs w:val="20"/>
                <w:lang w:val="zh-CN"/>
              </w:rPr>
              <w:t>影响预测</w:t>
            </w:r>
          </w:p>
        </w:tc>
        <w:tc>
          <w:tcPr>
            <w:tcW w:w="6386" w:type="dxa"/>
            <w:vAlign w:val="center"/>
          </w:tcPr>
          <w:p w14:paraId="5F54C31B">
            <w:pPr>
              <w:adjustRightInd w:val="0"/>
              <w:snapToGrid w:val="0"/>
              <w:spacing w:line="240" w:lineRule="auto"/>
              <w:ind w:firstLine="0" w:firstLineChars="0"/>
              <w:jc w:val="center"/>
              <w:rPr>
                <w:sz w:val="21"/>
                <w:szCs w:val="21"/>
              </w:rPr>
            </w:pPr>
            <w:r>
              <w:rPr>
                <w:rFonts w:hint="eastAsia"/>
                <w:sz w:val="21"/>
                <w:szCs w:val="21"/>
              </w:rPr>
              <w:t>甲烷、油类物质</w:t>
            </w:r>
          </w:p>
        </w:tc>
      </w:tr>
      <w:tr w14:paraId="27C63F3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1EE5206F">
            <w:pPr>
              <w:adjustRightInd w:val="0"/>
              <w:snapToGrid w:val="0"/>
              <w:spacing w:line="240" w:lineRule="auto"/>
              <w:ind w:firstLine="0" w:firstLineChars="0"/>
              <w:jc w:val="center"/>
              <w:rPr>
                <w:sz w:val="21"/>
                <w:szCs w:val="21"/>
              </w:rPr>
            </w:pPr>
          </w:p>
        </w:tc>
        <w:tc>
          <w:tcPr>
            <w:tcW w:w="943" w:type="dxa"/>
            <w:vAlign w:val="center"/>
          </w:tcPr>
          <w:p w14:paraId="076BC6BB">
            <w:pPr>
              <w:adjustRightInd w:val="0"/>
              <w:snapToGrid w:val="0"/>
              <w:spacing w:line="240" w:lineRule="auto"/>
              <w:ind w:firstLine="0" w:firstLineChars="0"/>
              <w:jc w:val="center"/>
              <w:rPr>
                <w:sz w:val="21"/>
                <w:szCs w:val="20"/>
                <w:lang w:val="zh-CN"/>
              </w:rPr>
            </w:pPr>
            <w:r>
              <w:rPr>
                <w:sz w:val="21"/>
                <w:szCs w:val="20"/>
                <w:lang w:val="zh-CN"/>
              </w:rPr>
              <w:t>地下水</w:t>
            </w:r>
          </w:p>
        </w:tc>
        <w:tc>
          <w:tcPr>
            <w:tcW w:w="993" w:type="dxa"/>
            <w:vAlign w:val="center"/>
          </w:tcPr>
          <w:p w14:paraId="0AD49726">
            <w:pPr>
              <w:adjustRightInd w:val="0"/>
              <w:snapToGrid w:val="0"/>
              <w:spacing w:line="240" w:lineRule="auto"/>
              <w:ind w:firstLine="0" w:firstLineChars="0"/>
              <w:jc w:val="center"/>
              <w:rPr>
                <w:sz w:val="21"/>
                <w:szCs w:val="20"/>
                <w:lang w:val="zh-CN"/>
              </w:rPr>
            </w:pPr>
            <w:r>
              <w:rPr>
                <w:sz w:val="21"/>
                <w:szCs w:val="20"/>
                <w:lang w:val="zh-CN"/>
              </w:rPr>
              <w:t>影响预测</w:t>
            </w:r>
          </w:p>
        </w:tc>
        <w:tc>
          <w:tcPr>
            <w:tcW w:w="6386" w:type="dxa"/>
            <w:vAlign w:val="center"/>
          </w:tcPr>
          <w:p w14:paraId="6608D96B">
            <w:pPr>
              <w:adjustRightInd w:val="0"/>
              <w:snapToGrid w:val="0"/>
              <w:spacing w:line="240" w:lineRule="auto"/>
              <w:ind w:firstLine="0" w:firstLineChars="0"/>
              <w:jc w:val="center"/>
              <w:rPr>
                <w:sz w:val="21"/>
                <w:szCs w:val="21"/>
                <w:lang w:val="zh-CN"/>
              </w:rPr>
            </w:pPr>
            <w:r>
              <w:rPr>
                <w:rFonts w:hint="eastAsia"/>
                <w:sz w:val="21"/>
                <w:szCs w:val="21"/>
              </w:rPr>
              <w:t>石油类</w:t>
            </w:r>
          </w:p>
        </w:tc>
      </w:tr>
      <w:tr w14:paraId="394E385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758" w:type="dxa"/>
            <w:vMerge w:val="continue"/>
            <w:vAlign w:val="center"/>
          </w:tcPr>
          <w:p w14:paraId="77FEEDE6">
            <w:pPr>
              <w:adjustRightInd w:val="0"/>
              <w:snapToGrid w:val="0"/>
              <w:spacing w:line="240" w:lineRule="auto"/>
              <w:ind w:firstLine="0" w:firstLineChars="0"/>
              <w:jc w:val="center"/>
              <w:rPr>
                <w:sz w:val="21"/>
                <w:szCs w:val="21"/>
              </w:rPr>
            </w:pPr>
          </w:p>
        </w:tc>
        <w:tc>
          <w:tcPr>
            <w:tcW w:w="943" w:type="dxa"/>
            <w:vAlign w:val="center"/>
          </w:tcPr>
          <w:p w14:paraId="65A9CBD1">
            <w:pPr>
              <w:adjustRightInd w:val="0"/>
              <w:snapToGrid w:val="0"/>
              <w:spacing w:line="240" w:lineRule="auto"/>
              <w:ind w:firstLine="0" w:firstLineChars="0"/>
              <w:jc w:val="center"/>
              <w:rPr>
                <w:sz w:val="21"/>
                <w:szCs w:val="21"/>
                <w:lang w:val="zh-CN"/>
              </w:rPr>
            </w:pPr>
            <w:r>
              <w:rPr>
                <w:rFonts w:hint="eastAsia"/>
                <w:sz w:val="21"/>
                <w:szCs w:val="21"/>
                <w:lang w:val="zh-CN"/>
              </w:rPr>
              <w:t>土壤环境</w:t>
            </w:r>
          </w:p>
        </w:tc>
        <w:tc>
          <w:tcPr>
            <w:tcW w:w="993" w:type="dxa"/>
            <w:vAlign w:val="center"/>
          </w:tcPr>
          <w:p w14:paraId="53D1A2AD">
            <w:pPr>
              <w:adjustRightInd w:val="0"/>
              <w:snapToGrid w:val="0"/>
              <w:spacing w:line="240" w:lineRule="auto"/>
              <w:ind w:firstLine="0" w:firstLineChars="0"/>
              <w:jc w:val="center"/>
              <w:rPr>
                <w:sz w:val="21"/>
                <w:szCs w:val="21"/>
                <w:lang w:val="zh-CN"/>
              </w:rPr>
            </w:pPr>
            <w:r>
              <w:rPr>
                <w:rFonts w:hint="eastAsia"/>
                <w:sz w:val="21"/>
                <w:szCs w:val="21"/>
                <w:lang w:val="zh-CN"/>
              </w:rPr>
              <w:t>影响预测</w:t>
            </w:r>
          </w:p>
        </w:tc>
        <w:tc>
          <w:tcPr>
            <w:tcW w:w="6386" w:type="dxa"/>
            <w:vAlign w:val="center"/>
          </w:tcPr>
          <w:p w14:paraId="3EDCF770">
            <w:pPr>
              <w:adjustRightInd w:val="0"/>
              <w:snapToGrid w:val="0"/>
              <w:spacing w:line="240" w:lineRule="auto"/>
              <w:ind w:firstLine="0" w:firstLineChars="0"/>
              <w:jc w:val="center"/>
              <w:rPr>
                <w:sz w:val="21"/>
                <w:szCs w:val="21"/>
              </w:rPr>
            </w:pPr>
            <w:r>
              <w:rPr>
                <w:rFonts w:hint="eastAsia"/>
                <w:sz w:val="21"/>
                <w:szCs w:val="21"/>
              </w:rPr>
              <w:t>石油烃</w:t>
            </w:r>
          </w:p>
        </w:tc>
      </w:tr>
    </w:tbl>
    <w:p w14:paraId="6FDC1AA2">
      <w:pPr>
        <w:pStyle w:val="41"/>
      </w:pPr>
      <w:bookmarkStart w:id="54" w:name="_Toc152864145"/>
      <w:r>
        <w:rPr>
          <w:rFonts w:hint="eastAsia"/>
        </w:rPr>
        <w:t>评价标准</w:t>
      </w:r>
      <w:bookmarkEnd w:id="54"/>
    </w:p>
    <w:p w14:paraId="5319A2A9">
      <w:pPr>
        <w:pStyle w:val="43"/>
      </w:pPr>
      <w:bookmarkStart w:id="55" w:name="_Toc81214021"/>
      <w:bookmarkStart w:id="56" w:name="_Toc79515397"/>
      <w:bookmarkStart w:id="57" w:name="_Toc80193026"/>
      <w:bookmarkStart w:id="58" w:name="_Toc82518702"/>
      <w:bookmarkStart w:id="59" w:name="_Toc77007739"/>
      <w:bookmarkStart w:id="60" w:name="_Toc80973453"/>
      <w:bookmarkStart w:id="61" w:name="_Toc152864146"/>
      <w:r>
        <w:rPr>
          <w:rFonts w:hint="eastAsia"/>
        </w:rPr>
        <w:t>环境质量标准</w:t>
      </w:r>
      <w:bookmarkEnd w:id="55"/>
      <w:bookmarkEnd w:id="56"/>
      <w:bookmarkEnd w:id="57"/>
      <w:bookmarkEnd w:id="58"/>
      <w:bookmarkEnd w:id="59"/>
      <w:bookmarkEnd w:id="60"/>
      <w:bookmarkEnd w:id="61"/>
    </w:p>
    <w:p w14:paraId="4AB0926D">
      <w:pPr>
        <w:pStyle w:val="45"/>
        <w:spacing w:before="65" w:after="65"/>
      </w:pPr>
      <w:r>
        <w:rPr>
          <w:rFonts w:hint="eastAsia"/>
        </w:rPr>
        <w:t>环境空气</w:t>
      </w:r>
    </w:p>
    <w:p w14:paraId="74955545">
      <w:pPr>
        <w:ind w:firstLine="480"/>
      </w:pPr>
      <w:r>
        <w:rPr>
          <w:rFonts w:hint="eastAsia"/>
        </w:rPr>
        <w:t>本项目评价区环境空气质量标准见下表。</w:t>
      </w:r>
    </w:p>
    <w:p w14:paraId="0C476CF4">
      <w:pPr>
        <w:pStyle w:val="47"/>
        <w:spacing w:before="65"/>
      </w:pPr>
      <w:r>
        <w:rPr>
          <w:rFonts w:hint="eastAsia"/>
        </w:rPr>
        <w:t>表2</w:t>
      </w:r>
      <w:r>
        <w:t xml:space="preserve">.5-1   </w:t>
      </w:r>
      <w:r>
        <w:rPr>
          <w:rFonts w:hint="eastAsia"/>
        </w:rPr>
        <w:t>环境空气质量标准</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644"/>
        <w:gridCol w:w="1907"/>
        <w:gridCol w:w="1692"/>
        <w:gridCol w:w="506"/>
        <w:gridCol w:w="506"/>
        <w:gridCol w:w="632"/>
        <w:gridCol w:w="2843"/>
      </w:tblGrid>
      <w:tr w14:paraId="0252C4F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trHeight w:val="135" w:hRule="atLeast"/>
          <w:jc w:val="center"/>
        </w:trPr>
        <w:tc>
          <w:tcPr>
            <w:tcW w:w="369" w:type="pct"/>
            <w:vMerge w:val="restart"/>
            <w:vAlign w:val="center"/>
          </w:tcPr>
          <w:p w14:paraId="010DF918">
            <w:pPr>
              <w:adjustRightInd w:val="0"/>
              <w:snapToGrid w:val="0"/>
              <w:spacing w:line="240" w:lineRule="auto"/>
              <w:ind w:firstLine="0" w:firstLineChars="0"/>
              <w:jc w:val="center"/>
              <w:rPr>
                <w:sz w:val="21"/>
                <w:szCs w:val="21"/>
                <w:lang w:val="zh-CN"/>
              </w:rPr>
            </w:pPr>
            <w:r>
              <w:rPr>
                <w:sz w:val="21"/>
                <w:szCs w:val="21"/>
                <w:lang w:val="zh-CN"/>
              </w:rPr>
              <w:t>序号</w:t>
            </w:r>
          </w:p>
        </w:tc>
        <w:tc>
          <w:tcPr>
            <w:tcW w:w="1092" w:type="pct"/>
            <w:vMerge w:val="restart"/>
            <w:vAlign w:val="center"/>
          </w:tcPr>
          <w:p w14:paraId="66872611">
            <w:pPr>
              <w:adjustRightInd w:val="0"/>
              <w:snapToGrid w:val="0"/>
              <w:spacing w:line="240" w:lineRule="auto"/>
              <w:ind w:firstLine="0" w:firstLineChars="0"/>
              <w:jc w:val="center"/>
              <w:rPr>
                <w:sz w:val="21"/>
                <w:szCs w:val="21"/>
                <w:lang w:val="zh-CN"/>
              </w:rPr>
            </w:pPr>
            <w:r>
              <w:rPr>
                <w:sz w:val="21"/>
                <w:szCs w:val="21"/>
                <w:lang w:val="zh-CN"/>
              </w:rPr>
              <w:t>污染物项目</w:t>
            </w:r>
          </w:p>
        </w:tc>
        <w:tc>
          <w:tcPr>
            <w:tcW w:w="969" w:type="pct"/>
            <w:vMerge w:val="restart"/>
            <w:vAlign w:val="center"/>
          </w:tcPr>
          <w:p w14:paraId="0F9B654E">
            <w:pPr>
              <w:adjustRightInd w:val="0"/>
              <w:snapToGrid w:val="0"/>
              <w:spacing w:line="240" w:lineRule="auto"/>
              <w:ind w:firstLine="0" w:firstLineChars="0"/>
              <w:jc w:val="center"/>
              <w:rPr>
                <w:sz w:val="21"/>
                <w:szCs w:val="21"/>
                <w:lang w:val="zh-CN"/>
              </w:rPr>
            </w:pPr>
            <w:r>
              <w:rPr>
                <w:sz w:val="21"/>
                <w:szCs w:val="21"/>
                <w:lang w:val="zh-CN"/>
              </w:rPr>
              <w:t>平均时间</w:t>
            </w:r>
          </w:p>
        </w:tc>
        <w:tc>
          <w:tcPr>
            <w:tcW w:w="580" w:type="pct"/>
            <w:gridSpan w:val="2"/>
            <w:vAlign w:val="center"/>
          </w:tcPr>
          <w:p w14:paraId="3CA38B94">
            <w:pPr>
              <w:adjustRightInd w:val="0"/>
              <w:snapToGrid w:val="0"/>
              <w:spacing w:line="240" w:lineRule="auto"/>
              <w:ind w:firstLine="0" w:firstLineChars="0"/>
              <w:jc w:val="center"/>
              <w:rPr>
                <w:sz w:val="21"/>
                <w:szCs w:val="21"/>
                <w:lang w:val="zh-CN"/>
              </w:rPr>
            </w:pPr>
            <w:r>
              <w:rPr>
                <w:sz w:val="21"/>
                <w:szCs w:val="21"/>
                <w:lang w:val="zh-CN"/>
              </w:rPr>
              <w:t>浓度限值</w:t>
            </w:r>
          </w:p>
        </w:tc>
        <w:tc>
          <w:tcPr>
            <w:tcW w:w="362" w:type="pct"/>
            <w:vMerge w:val="restart"/>
            <w:vAlign w:val="center"/>
          </w:tcPr>
          <w:p w14:paraId="09C037A4">
            <w:pPr>
              <w:adjustRightInd w:val="0"/>
              <w:snapToGrid w:val="0"/>
              <w:spacing w:line="240" w:lineRule="auto"/>
              <w:ind w:firstLine="0" w:firstLineChars="0"/>
              <w:jc w:val="center"/>
              <w:rPr>
                <w:sz w:val="21"/>
                <w:szCs w:val="21"/>
                <w:lang w:val="zh-CN"/>
              </w:rPr>
            </w:pPr>
            <w:r>
              <w:rPr>
                <w:sz w:val="21"/>
                <w:szCs w:val="21"/>
                <w:lang w:val="zh-CN"/>
              </w:rPr>
              <w:t>单位</w:t>
            </w:r>
          </w:p>
        </w:tc>
        <w:tc>
          <w:tcPr>
            <w:tcW w:w="1628" w:type="pct"/>
            <w:vMerge w:val="restart"/>
            <w:vAlign w:val="center"/>
          </w:tcPr>
          <w:p w14:paraId="4141866C">
            <w:pPr>
              <w:adjustRightInd w:val="0"/>
              <w:snapToGrid w:val="0"/>
              <w:spacing w:line="240" w:lineRule="auto"/>
              <w:ind w:firstLine="0" w:firstLineChars="0"/>
              <w:jc w:val="center"/>
              <w:rPr>
                <w:sz w:val="21"/>
                <w:szCs w:val="21"/>
              </w:rPr>
            </w:pPr>
            <w:r>
              <w:rPr>
                <w:sz w:val="21"/>
                <w:szCs w:val="21"/>
              </w:rPr>
              <w:t>标准来源</w:t>
            </w:r>
          </w:p>
        </w:tc>
      </w:tr>
      <w:tr w14:paraId="18C74FC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trHeight w:val="135" w:hRule="atLeast"/>
          <w:jc w:val="center"/>
        </w:trPr>
        <w:tc>
          <w:tcPr>
            <w:tcW w:w="369" w:type="pct"/>
            <w:vMerge w:val="continue"/>
            <w:vAlign w:val="center"/>
          </w:tcPr>
          <w:p w14:paraId="1B4DACB9">
            <w:pPr>
              <w:adjustRightInd w:val="0"/>
              <w:snapToGrid w:val="0"/>
              <w:spacing w:line="240" w:lineRule="auto"/>
              <w:ind w:firstLine="0" w:firstLineChars="0"/>
              <w:jc w:val="center"/>
              <w:rPr>
                <w:sz w:val="21"/>
                <w:szCs w:val="21"/>
                <w:lang w:val="zh-CN"/>
              </w:rPr>
            </w:pPr>
          </w:p>
        </w:tc>
        <w:tc>
          <w:tcPr>
            <w:tcW w:w="1092" w:type="pct"/>
            <w:vMerge w:val="continue"/>
            <w:vAlign w:val="center"/>
          </w:tcPr>
          <w:p w14:paraId="10D5D9D5">
            <w:pPr>
              <w:adjustRightInd w:val="0"/>
              <w:snapToGrid w:val="0"/>
              <w:spacing w:line="240" w:lineRule="auto"/>
              <w:ind w:firstLine="0" w:firstLineChars="0"/>
              <w:jc w:val="center"/>
              <w:rPr>
                <w:sz w:val="21"/>
                <w:szCs w:val="21"/>
                <w:lang w:val="zh-CN"/>
              </w:rPr>
            </w:pPr>
          </w:p>
        </w:tc>
        <w:tc>
          <w:tcPr>
            <w:tcW w:w="969" w:type="pct"/>
            <w:vMerge w:val="continue"/>
            <w:vAlign w:val="center"/>
          </w:tcPr>
          <w:p w14:paraId="08C8C665">
            <w:pPr>
              <w:adjustRightInd w:val="0"/>
              <w:snapToGrid w:val="0"/>
              <w:spacing w:line="240" w:lineRule="auto"/>
              <w:ind w:firstLine="0" w:firstLineChars="0"/>
              <w:jc w:val="center"/>
              <w:rPr>
                <w:sz w:val="21"/>
                <w:szCs w:val="21"/>
                <w:lang w:val="zh-CN"/>
              </w:rPr>
            </w:pPr>
          </w:p>
        </w:tc>
        <w:tc>
          <w:tcPr>
            <w:tcW w:w="290" w:type="pct"/>
            <w:vAlign w:val="center"/>
          </w:tcPr>
          <w:p w14:paraId="50B2D6A2">
            <w:pPr>
              <w:adjustRightInd w:val="0"/>
              <w:snapToGrid w:val="0"/>
              <w:spacing w:line="240" w:lineRule="auto"/>
              <w:ind w:firstLine="0" w:firstLineChars="0"/>
              <w:jc w:val="center"/>
              <w:rPr>
                <w:sz w:val="21"/>
                <w:szCs w:val="21"/>
                <w:lang w:val="zh-CN"/>
              </w:rPr>
            </w:pPr>
            <w:r>
              <w:rPr>
                <w:rFonts w:hint="eastAsia"/>
                <w:sz w:val="21"/>
                <w:szCs w:val="21"/>
                <w:lang w:val="zh-CN"/>
              </w:rPr>
              <w:t>一级</w:t>
            </w:r>
          </w:p>
        </w:tc>
        <w:tc>
          <w:tcPr>
            <w:tcW w:w="290" w:type="pct"/>
            <w:vAlign w:val="center"/>
          </w:tcPr>
          <w:p w14:paraId="6E0C8924">
            <w:pPr>
              <w:adjustRightInd w:val="0"/>
              <w:snapToGrid w:val="0"/>
              <w:spacing w:line="240" w:lineRule="auto"/>
              <w:ind w:firstLine="0" w:firstLineChars="0"/>
              <w:jc w:val="center"/>
              <w:rPr>
                <w:sz w:val="21"/>
                <w:szCs w:val="21"/>
                <w:lang w:val="zh-CN"/>
              </w:rPr>
            </w:pPr>
            <w:r>
              <w:rPr>
                <w:rFonts w:hint="eastAsia"/>
                <w:sz w:val="21"/>
                <w:szCs w:val="21"/>
                <w:lang w:val="zh-CN"/>
              </w:rPr>
              <w:t>二级</w:t>
            </w:r>
          </w:p>
        </w:tc>
        <w:tc>
          <w:tcPr>
            <w:tcW w:w="362" w:type="pct"/>
            <w:vMerge w:val="continue"/>
            <w:vAlign w:val="center"/>
          </w:tcPr>
          <w:p w14:paraId="311E72AB">
            <w:pPr>
              <w:adjustRightInd w:val="0"/>
              <w:snapToGrid w:val="0"/>
              <w:spacing w:line="240" w:lineRule="auto"/>
              <w:ind w:firstLine="0" w:firstLineChars="0"/>
              <w:jc w:val="center"/>
              <w:rPr>
                <w:sz w:val="21"/>
                <w:szCs w:val="21"/>
                <w:lang w:val="zh-CN"/>
              </w:rPr>
            </w:pPr>
          </w:p>
        </w:tc>
        <w:tc>
          <w:tcPr>
            <w:tcW w:w="1628" w:type="pct"/>
            <w:vMerge w:val="continue"/>
            <w:vAlign w:val="center"/>
          </w:tcPr>
          <w:p w14:paraId="4A5AD6E3">
            <w:pPr>
              <w:adjustRightInd w:val="0"/>
              <w:snapToGrid w:val="0"/>
              <w:spacing w:line="240" w:lineRule="auto"/>
              <w:ind w:firstLine="0" w:firstLineChars="0"/>
              <w:jc w:val="center"/>
              <w:rPr>
                <w:sz w:val="21"/>
                <w:szCs w:val="21"/>
              </w:rPr>
            </w:pPr>
          </w:p>
        </w:tc>
      </w:tr>
      <w:tr w14:paraId="3C5B8E9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restart"/>
            <w:vAlign w:val="center"/>
          </w:tcPr>
          <w:p w14:paraId="0026BB5A">
            <w:pPr>
              <w:numPr>
                <w:ilvl w:val="0"/>
                <w:numId w:val="8"/>
              </w:numPr>
              <w:adjustRightInd w:val="0"/>
              <w:snapToGrid w:val="0"/>
              <w:spacing w:line="240" w:lineRule="auto"/>
              <w:ind w:firstLineChars="0"/>
              <w:jc w:val="center"/>
              <w:rPr>
                <w:sz w:val="21"/>
                <w:szCs w:val="21"/>
                <w:lang w:val="zh-CN"/>
              </w:rPr>
            </w:pPr>
          </w:p>
        </w:tc>
        <w:tc>
          <w:tcPr>
            <w:tcW w:w="1092" w:type="pct"/>
            <w:vMerge w:val="restart"/>
            <w:vAlign w:val="center"/>
          </w:tcPr>
          <w:p w14:paraId="06400F03">
            <w:pPr>
              <w:adjustRightInd w:val="0"/>
              <w:snapToGrid w:val="0"/>
              <w:spacing w:line="240" w:lineRule="auto"/>
              <w:ind w:firstLine="0" w:firstLineChars="0"/>
              <w:jc w:val="center"/>
              <w:rPr>
                <w:sz w:val="21"/>
                <w:szCs w:val="21"/>
                <w:lang w:val="zh-CN"/>
              </w:rPr>
            </w:pPr>
            <w:r>
              <w:rPr>
                <w:rFonts w:hint="eastAsia"/>
                <w:sz w:val="21"/>
                <w:szCs w:val="21"/>
                <w:lang w:val="zh-CN"/>
              </w:rPr>
              <w:t>二氧化硫（</w:t>
            </w:r>
            <w:r>
              <w:rPr>
                <w:sz w:val="21"/>
                <w:szCs w:val="21"/>
                <w:lang w:val="zh-CN"/>
              </w:rPr>
              <w:t>SO</w:t>
            </w:r>
            <w:r>
              <w:rPr>
                <w:sz w:val="21"/>
                <w:szCs w:val="21"/>
                <w:vertAlign w:val="subscript"/>
                <w:lang w:val="zh-CN"/>
              </w:rPr>
              <w:t>2</w:t>
            </w:r>
            <w:r>
              <w:rPr>
                <w:rFonts w:hint="eastAsia"/>
                <w:sz w:val="21"/>
                <w:szCs w:val="21"/>
                <w:lang w:val="zh-CN"/>
              </w:rPr>
              <w:t>）</w:t>
            </w:r>
          </w:p>
        </w:tc>
        <w:tc>
          <w:tcPr>
            <w:tcW w:w="969" w:type="pct"/>
            <w:vAlign w:val="center"/>
          </w:tcPr>
          <w:p w14:paraId="1BD99756">
            <w:pPr>
              <w:adjustRightInd w:val="0"/>
              <w:snapToGrid w:val="0"/>
              <w:spacing w:line="240" w:lineRule="auto"/>
              <w:ind w:firstLine="0" w:firstLineChars="0"/>
              <w:jc w:val="center"/>
              <w:rPr>
                <w:sz w:val="21"/>
                <w:szCs w:val="21"/>
                <w:lang w:val="zh-CN"/>
              </w:rPr>
            </w:pPr>
            <w:r>
              <w:rPr>
                <w:sz w:val="21"/>
                <w:szCs w:val="21"/>
                <w:lang w:val="zh-CN"/>
              </w:rPr>
              <w:t>年平均</w:t>
            </w:r>
          </w:p>
        </w:tc>
        <w:tc>
          <w:tcPr>
            <w:tcW w:w="290" w:type="pct"/>
            <w:vAlign w:val="center"/>
          </w:tcPr>
          <w:p w14:paraId="3766FF24">
            <w:pPr>
              <w:adjustRightInd w:val="0"/>
              <w:snapToGrid w:val="0"/>
              <w:spacing w:line="240" w:lineRule="auto"/>
              <w:ind w:firstLine="0" w:firstLineChars="0"/>
              <w:jc w:val="center"/>
              <w:rPr>
                <w:sz w:val="21"/>
                <w:szCs w:val="21"/>
                <w:lang w:val="zh-CN"/>
              </w:rPr>
            </w:pPr>
            <w:r>
              <w:rPr>
                <w:rFonts w:hint="eastAsia"/>
                <w:sz w:val="21"/>
                <w:szCs w:val="21"/>
                <w:lang w:val="zh-CN"/>
              </w:rPr>
              <w:t>2</w:t>
            </w:r>
            <w:r>
              <w:rPr>
                <w:sz w:val="21"/>
                <w:szCs w:val="21"/>
                <w:lang w:val="zh-CN"/>
              </w:rPr>
              <w:t>0</w:t>
            </w:r>
          </w:p>
        </w:tc>
        <w:tc>
          <w:tcPr>
            <w:tcW w:w="290" w:type="pct"/>
            <w:vAlign w:val="center"/>
          </w:tcPr>
          <w:p w14:paraId="127C0E93">
            <w:pPr>
              <w:adjustRightInd w:val="0"/>
              <w:snapToGrid w:val="0"/>
              <w:spacing w:line="240" w:lineRule="auto"/>
              <w:ind w:firstLine="0" w:firstLineChars="0"/>
              <w:jc w:val="center"/>
              <w:rPr>
                <w:sz w:val="21"/>
                <w:szCs w:val="21"/>
                <w:lang w:val="zh-CN"/>
              </w:rPr>
            </w:pPr>
            <w:r>
              <w:rPr>
                <w:sz w:val="21"/>
                <w:szCs w:val="21"/>
                <w:lang w:val="zh-CN"/>
              </w:rPr>
              <w:t>60</w:t>
            </w:r>
          </w:p>
        </w:tc>
        <w:tc>
          <w:tcPr>
            <w:tcW w:w="362" w:type="pct"/>
            <w:vMerge w:val="restart"/>
            <w:vAlign w:val="center"/>
          </w:tcPr>
          <w:p w14:paraId="77D8064D">
            <w:pPr>
              <w:adjustRightInd w:val="0"/>
              <w:snapToGrid w:val="0"/>
              <w:spacing w:line="240" w:lineRule="auto"/>
              <w:ind w:firstLine="0" w:firstLineChars="0"/>
              <w:jc w:val="center"/>
              <w:rPr>
                <w:sz w:val="21"/>
                <w:szCs w:val="21"/>
                <w:lang w:val="zh-CN"/>
              </w:rPr>
            </w:pPr>
            <w:r>
              <w:rPr>
                <w:sz w:val="21"/>
                <w:szCs w:val="21"/>
                <w:lang w:val="zh-CN"/>
              </w:rPr>
              <w:t>μg/m</w:t>
            </w:r>
            <w:r>
              <w:rPr>
                <w:sz w:val="21"/>
                <w:szCs w:val="21"/>
                <w:vertAlign w:val="superscript"/>
                <w:lang w:val="zh-CN"/>
              </w:rPr>
              <w:t>3</w:t>
            </w:r>
          </w:p>
        </w:tc>
        <w:tc>
          <w:tcPr>
            <w:tcW w:w="1628" w:type="pct"/>
            <w:vMerge w:val="restart"/>
            <w:vAlign w:val="center"/>
          </w:tcPr>
          <w:p w14:paraId="530FDD6A">
            <w:pPr>
              <w:adjustRightInd w:val="0"/>
              <w:snapToGrid w:val="0"/>
              <w:spacing w:line="240" w:lineRule="auto"/>
              <w:ind w:firstLine="0" w:firstLineChars="0"/>
              <w:jc w:val="center"/>
              <w:rPr>
                <w:sz w:val="21"/>
                <w:szCs w:val="21"/>
                <w:lang w:val="zh-CN"/>
              </w:rPr>
            </w:pPr>
            <w:r>
              <w:rPr>
                <w:sz w:val="21"/>
                <w:szCs w:val="21"/>
                <w:lang w:val="zh-CN"/>
              </w:rPr>
              <w:t>《环境空气质量标准》（GB3095-2012）</w:t>
            </w:r>
          </w:p>
        </w:tc>
      </w:tr>
      <w:tr w14:paraId="7C421A2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3A2253D3">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5B4B3EE5">
            <w:pPr>
              <w:adjustRightInd w:val="0"/>
              <w:snapToGrid w:val="0"/>
              <w:spacing w:line="240" w:lineRule="auto"/>
              <w:ind w:firstLine="0" w:firstLineChars="0"/>
              <w:jc w:val="center"/>
              <w:rPr>
                <w:sz w:val="21"/>
                <w:szCs w:val="21"/>
                <w:lang w:val="zh-CN"/>
              </w:rPr>
            </w:pPr>
          </w:p>
        </w:tc>
        <w:tc>
          <w:tcPr>
            <w:tcW w:w="969" w:type="pct"/>
            <w:vAlign w:val="center"/>
          </w:tcPr>
          <w:p w14:paraId="3CF6D15E">
            <w:pPr>
              <w:adjustRightInd w:val="0"/>
              <w:snapToGrid w:val="0"/>
              <w:spacing w:line="240" w:lineRule="auto"/>
              <w:ind w:firstLine="0" w:firstLineChars="0"/>
              <w:jc w:val="center"/>
              <w:rPr>
                <w:sz w:val="21"/>
                <w:szCs w:val="21"/>
                <w:lang w:val="zh-CN"/>
              </w:rPr>
            </w:pPr>
            <w:r>
              <w:rPr>
                <w:sz w:val="21"/>
                <w:szCs w:val="21"/>
                <w:lang w:val="zh-CN"/>
              </w:rPr>
              <w:t>24小时平均</w:t>
            </w:r>
          </w:p>
        </w:tc>
        <w:tc>
          <w:tcPr>
            <w:tcW w:w="290" w:type="pct"/>
            <w:vAlign w:val="center"/>
          </w:tcPr>
          <w:p w14:paraId="7DF130DE">
            <w:pPr>
              <w:adjustRightInd w:val="0"/>
              <w:snapToGrid w:val="0"/>
              <w:spacing w:line="240" w:lineRule="auto"/>
              <w:ind w:firstLine="0" w:firstLineChars="0"/>
              <w:jc w:val="center"/>
              <w:rPr>
                <w:sz w:val="21"/>
                <w:szCs w:val="21"/>
                <w:lang w:val="zh-CN"/>
              </w:rPr>
            </w:pPr>
            <w:r>
              <w:rPr>
                <w:rFonts w:hint="eastAsia"/>
                <w:sz w:val="21"/>
                <w:szCs w:val="21"/>
                <w:lang w:val="zh-CN"/>
              </w:rPr>
              <w:t>5</w:t>
            </w:r>
            <w:r>
              <w:rPr>
                <w:sz w:val="21"/>
                <w:szCs w:val="21"/>
                <w:lang w:val="zh-CN"/>
              </w:rPr>
              <w:t>0</w:t>
            </w:r>
          </w:p>
        </w:tc>
        <w:tc>
          <w:tcPr>
            <w:tcW w:w="290" w:type="pct"/>
            <w:vAlign w:val="center"/>
          </w:tcPr>
          <w:p w14:paraId="7DB919D5">
            <w:pPr>
              <w:adjustRightInd w:val="0"/>
              <w:snapToGrid w:val="0"/>
              <w:spacing w:line="240" w:lineRule="auto"/>
              <w:ind w:firstLine="0" w:firstLineChars="0"/>
              <w:jc w:val="center"/>
              <w:rPr>
                <w:sz w:val="21"/>
                <w:szCs w:val="21"/>
                <w:lang w:val="zh-CN"/>
              </w:rPr>
            </w:pPr>
            <w:r>
              <w:rPr>
                <w:sz w:val="21"/>
                <w:szCs w:val="21"/>
                <w:lang w:val="zh-CN"/>
              </w:rPr>
              <w:t>150</w:t>
            </w:r>
          </w:p>
        </w:tc>
        <w:tc>
          <w:tcPr>
            <w:tcW w:w="362" w:type="pct"/>
            <w:vMerge w:val="continue"/>
            <w:vAlign w:val="center"/>
          </w:tcPr>
          <w:p w14:paraId="53E6636D">
            <w:pPr>
              <w:adjustRightInd w:val="0"/>
              <w:snapToGrid w:val="0"/>
              <w:spacing w:line="240" w:lineRule="auto"/>
              <w:ind w:firstLine="0" w:firstLineChars="0"/>
              <w:jc w:val="center"/>
              <w:rPr>
                <w:sz w:val="21"/>
                <w:szCs w:val="21"/>
                <w:lang w:val="zh-CN"/>
              </w:rPr>
            </w:pPr>
          </w:p>
        </w:tc>
        <w:tc>
          <w:tcPr>
            <w:tcW w:w="1628" w:type="pct"/>
            <w:vMerge w:val="continue"/>
            <w:vAlign w:val="center"/>
          </w:tcPr>
          <w:p w14:paraId="7B4C3350">
            <w:pPr>
              <w:adjustRightInd w:val="0"/>
              <w:snapToGrid w:val="0"/>
              <w:spacing w:line="240" w:lineRule="auto"/>
              <w:ind w:firstLine="0" w:firstLineChars="0"/>
              <w:jc w:val="center"/>
              <w:rPr>
                <w:sz w:val="21"/>
                <w:szCs w:val="21"/>
                <w:lang w:val="zh-CN"/>
              </w:rPr>
            </w:pPr>
          </w:p>
        </w:tc>
      </w:tr>
      <w:tr w14:paraId="2CEFB43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17932131">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5D7CB348">
            <w:pPr>
              <w:adjustRightInd w:val="0"/>
              <w:snapToGrid w:val="0"/>
              <w:spacing w:line="240" w:lineRule="auto"/>
              <w:ind w:firstLine="0" w:firstLineChars="0"/>
              <w:jc w:val="center"/>
              <w:rPr>
                <w:sz w:val="21"/>
                <w:szCs w:val="21"/>
                <w:lang w:val="zh-CN"/>
              </w:rPr>
            </w:pPr>
          </w:p>
        </w:tc>
        <w:tc>
          <w:tcPr>
            <w:tcW w:w="969" w:type="pct"/>
            <w:vAlign w:val="center"/>
          </w:tcPr>
          <w:p w14:paraId="3C56D5D8">
            <w:pPr>
              <w:adjustRightInd w:val="0"/>
              <w:snapToGrid w:val="0"/>
              <w:spacing w:line="240" w:lineRule="auto"/>
              <w:ind w:firstLine="0" w:firstLineChars="0"/>
              <w:jc w:val="center"/>
              <w:rPr>
                <w:sz w:val="21"/>
                <w:szCs w:val="21"/>
                <w:lang w:val="zh-CN"/>
              </w:rPr>
            </w:pPr>
            <w:r>
              <w:rPr>
                <w:sz w:val="21"/>
                <w:szCs w:val="21"/>
                <w:lang w:val="zh-CN"/>
              </w:rPr>
              <w:t>1小时平均</w:t>
            </w:r>
          </w:p>
        </w:tc>
        <w:tc>
          <w:tcPr>
            <w:tcW w:w="290" w:type="pct"/>
            <w:vAlign w:val="center"/>
          </w:tcPr>
          <w:p w14:paraId="1836CC3E">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50</w:t>
            </w:r>
          </w:p>
        </w:tc>
        <w:tc>
          <w:tcPr>
            <w:tcW w:w="290" w:type="pct"/>
            <w:vAlign w:val="center"/>
          </w:tcPr>
          <w:p w14:paraId="32F52C70">
            <w:pPr>
              <w:adjustRightInd w:val="0"/>
              <w:snapToGrid w:val="0"/>
              <w:spacing w:line="240" w:lineRule="auto"/>
              <w:ind w:firstLine="0" w:firstLineChars="0"/>
              <w:jc w:val="center"/>
              <w:rPr>
                <w:sz w:val="21"/>
                <w:szCs w:val="21"/>
                <w:lang w:val="zh-CN"/>
              </w:rPr>
            </w:pPr>
            <w:r>
              <w:rPr>
                <w:sz w:val="21"/>
                <w:szCs w:val="21"/>
                <w:lang w:val="zh-CN"/>
              </w:rPr>
              <w:t>500</w:t>
            </w:r>
          </w:p>
        </w:tc>
        <w:tc>
          <w:tcPr>
            <w:tcW w:w="362" w:type="pct"/>
            <w:vMerge w:val="continue"/>
            <w:vAlign w:val="center"/>
          </w:tcPr>
          <w:p w14:paraId="7D5E7BE1">
            <w:pPr>
              <w:adjustRightInd w:val="0"/>
              <w:snapToGrid w:val="0"/>
              <w:spacing w:line="240" w:lineRule="auto"/>
              <w:ind w:firstLine="0" w:firstLineChars="0"/>
              <w:jc w:val="center"/>
              <w:rPr>
                <w:sz w:val="21"/>
                <w:szCs w:val="21"/>
                <w:lang w:val="zh-CN"/>
              </w:rPr>
            </w:pPr>
          </w:p>
        </w:tc>
        <w:tc>
          <w:tcPr>
            <w:tcW w:w="1628" w:type="pct"/>
            <w:vMerge w:val="continue"/>
            <w:vAlign w:val="center"/>
          </w:tcPr>
          <w:p w14:paraId="2D6B24DD">
            <w:pPr>
              <w:adjustRightInd w:val="0"/>
              <w:snapToGrid w:val="0"/>
              <w:spacing w:line="240" w:lineRule="auto"/>
              <w:ind w:firstLine="0" w:firstLineChars="0"/>
              <w:jc w:val="center"/>
              <w:rPr>
                <w:sz w:val="21"/>
                <w:szCs w:val="21"/>
                <w:lang w:val="zh-CN"/>
              </w:rPr>
            </w:pPr>
          </w:p>
        </w:tc>
      </w:tr>
      <w:tr w14:paraId="635EE5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cantSplit/>
          <w:jc w:val="center"/>
        </w:trPr>
        <w:tc>
          <w:tcPr>
            <w:tcW w:w="369" w:type="pct"/>
            <w:vMerge w:val="restart"/>
            <w:vAlign w:val="center"/>
          </w:tcPr>
          <w:p w14:paraId="711FCAC2">
            <w:pPr>
              <w:numPr>
                <w:ilvl w:val="0"/>
                <w:numId w:val="8"/>
              </w:numPr>
              <w:adjustRightInd w:val="0"/>
              <w:snapToGrid w:val="0"/>
              <w:spacing w:line="240" w:lineRule="auto"/>
              <w:ind w:firstLineChars="0"/>
              <w:jc w:val="center"/>
              <w:rPr>
                <w:sz w:val="21"/>
                <w:szCs w:val="21"/>
                <w:lang w:val="zh-CN"/>
              </w:rPr>
            </w:pPr>
          </w:p>
        </w:tc>
        <w:tc>
          <w:tcPr>
            <w:tcW w:w="1092" w:type="pct"/>
            <w:vMerge w:val="restart"/>
            <w:vAlign w:val="center"/>
          </w:tcPr>
          <w:p w14:paraId="13159BA7">
            <w:pPr>
              <w:adjustRightInd w:val="0"/>
              <w:snapToGrid w:val="0"/>
              <w:spacing w:line="240" w:lineRule="auto"/>
              <w:ind w:firstLine="0" w:firstLineChars="0"/>
              <w:jc w:val="center"/>
              <w:rPr>
                <w:sz w:val="21"/>
                <w:szCs w:val="21"/>
                <w:lang w:val="zh-CN"/>
              </w:rPr>
            </w:pPr>
            <w:r>
              <w:rPr>
                <w:rFonts w:hint="eastAsia"/>
                <w:sz w:val="21"/>
                <w:szCs w:val="21"/>
                <w:lang w:val="zh-CN"/>
              </w:rPr>
              <w:t>二氧化氮（</w:t>
            </w:r>
            <w:r>
              <w:rPr>
                <w:sz w:val="21"/>
                <w:szCs w:val="21"/>
                <w:lang w:val="zh-CN"/>
              </w:rPr>
              <w:t>NO</w:t>
            </w:r>
            <w:r>
              <w:rPr>
                <w:sz w:val="21"/>
                <w:szCs w:val="21"/>
                <w:vertAlign w:val="subscript"/>
                <w:lang w:val="zh-CN"/>
              </w:rPr>
              <w:t>2</w:t>
            </w:r>
            <w:r>
              <w:rPr>
                <w:rFonts w:hint="eastAsia"/>
                <w:sz w:val="21"/>
                <w:szCs w:val="21"/>
                <w:lang w:val="zh-CN"/>
              </w:rPr>
              <w:t>）</w:t>
            </w:r>
          </w:p>
        </w:tc>
        <w:tc>
          <w:tcPr>
            <w:tcW w:w="969" w:type="pct"/>
            <w:vAlign w:val="center"/>
          </w:tcPr>
          <w:p w14:paraId="3D3CEECC">
            <w:pPr>
              <w:adjustRightInd w:val="0"/>
              <w:snapToGrid w:val="0"/>
              <w:spacing w:line="240" w:lineRule="auto"/>
              <w:ind w:firstLine="0" w:firstLineChars="0"/>
              <w:jc w:val="center"/>
              <w:rPr>
                <w:sz w:val="21"/>
                <w:szCs w:val="21"/>
                <w:lang w:val="zh-CN"/>
              </w:rPr>
            </w:pPr>
            <w:r>
              <w:rPr>
                <w:sz w:val="21"/>
                <w:szCs w:val="21"/>
                <w:lang w:val="zh-CN"/>
              </w:rPr>
              <w:t>年平均</w:t>
            </w:r>
          </w:p>
        </w:tc>
        <w:tc>
          <w:tcPr>
            <w:tcW w:w="290" w:type="pct"/>
            <w:vAlign w:val="center"/>
          </w:tcPr>
          <w:p w14:paraId="497501A1">
            <w:pPr>
              <w:adjustRightInd w:val="0"/>
              <w:snapToGrid w:val="0"/>
              <w:spacing w:line="240" w:lineRule="auto"/>
              <w:ind w:firstLine="0" w:firstLineChars="0"/>
              <w:jc w:val="center"/>
              <w:rPr>
                <w:sz w:val="21"/>
                <w:szCs w:val="21"/>
                <w:lang w:val="zh-CN"/>
              </w:rPr>
            </w:pPr>
            <w:r>
              <w:rPr>
                <w:rFonts w:hint="eastAsia"/>
                <w:sz w:val="21"/>
                <w:szCs w:val="21"/>
                <w:lang w:val="zh-CN"/>
              </w:rPr>
              <w:t>4</w:t>
            </w:r>
            <w:r>
              <w:rPr>
                <w:sz w:val="21"/>
                <w:szCs w:val="21"/>
                <w:lang w:val="zh-CN"/>
              </w:rPr>
              <w:t>0</w:t>
            </w:r>
          </w:p>
        </w:tc>
        <w:tc>
          <w:tcPr>
            <w:tcW w:w="290" w:type="pct"/>
            <w:vAlign w:val="center"/>
          </w:tcPr>
          <w:p w14:paraId="59E6EDDB">
            <w:pPr>
              <w:adjustRightInd w:val="0"/>
              <w:snapToGrid w:val="0"/>
              <w:spacing w:line="240" w:lineRule="auto"/>
              <w:ind w:firstLine="0" w:firstLineChars="0"/>
              <w:jc w:val="center"/>
              <w:rPr>
                <w:sz w:val="21"/>
                <w:szCs w:val="21"/>
                <w:lang w:val="zh-CN"/>
              </w:rPr>
            </w:pPr>
            <w:r>
              <w:rPr>
                <w:sz w:val="21"/>
                <w:szCs w:val="21"/>
                <w:lang w:val="zh-CN"/>
              </w:rPr>
              <w:t>40</w:t>
            </w:r>
          </w:p>
        </w:tc>
        <w:tc>
          <w:tcPr>
            <w:tcW w:w="362" w:type="pct"/>
            <w:vMerge w:val="continue"/>
            <w:vAlign w:val="center"/>
          </w:tcPr>
          <w:p w14:paraId="288B71B7">
            <w:pPr>
              <w:adjustRightInd w:val="0"/>
              <w:snapToGrid w:val="0"/>
              <w:spacing w:line="240" w:lineRule="auto"/>
              <w:ind w:firstLine="0" w:firstLineChars="0"/>
              <w:jc w:val="center"/>
              <w:rPr>
                <w:sz w:val="21"/>
                <w:szCs w:val="21"/>
                <w:lang w:val="zh-CN"/>
              </w:rPr>
            </w:pPr>
          </w:p>
        </w:tc>
        <w:tc>
          <w:tcPr>
            <w:tcW w:w="1628" w:type="pct"/>
            <w:vMerge w:val="continue"/>
            <w:vAlign w:val="center"/>
          </w:tcPr>
          <w:p w14:paraId="4E612CE1">
            <w:pPr>
              <w:adjustRightInd w:val="0"/>
              <w:snapToGrid w:val="0"/>
              <w:spacing w:line="240" w:lineRule="auto"/>
              <w:ind w:firstLine="0" w:firstLineChars="0"/>
              <w:jc w:val="center"/>
              <w:rPr>
                <w:sz w:val="21"/>
                <w:szCs w:val="21"/>
                <w:lang w:val="zh-CN"/>
              </w:rPr>
            </w:pPr>
          </w:p>
        </w:tc>
      </w:tr>
      <w:tr w14:paraId="3EE200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06E186C4">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7E0E7671">
            <w:pPr>
              <w:adjustRightInd w:val="0"/>
              <w:snapToGrid w:val="0"/>
              <w:spacing w:line="240" w:lineRule="auto"/>
              <w:ind w:firstLine="0" w:firstLineChars="0"/>
              <w:jc w:val="center"/>
              <w:rPr>
                <w:sz w:val="21"/>
                <w:szCs w:val="21"/>
                <w:lang w:val="zh-CN"/>
              </w:rPr>
            </w:pPr>
          </w:p>
        </w:tc>
        <w:tc>
          <w:tcPr>
            <w:tcW w:w="969" w:type="pct"/>
            <w:vAlign w:val="center"/>
          </w:tcPr>
          <w:p w14:paraId="07BDC7AA">
            <w:pPr>
              <w:adjustRightInd w:val="0"/>
              <w:snapToGrid w:val="0"/>
              <w:spacing w:line="240" w:lineRule="auto"/>
              <w:ind w:firstLine="0" w:firstLineChars="0"/>
              <w:jc w:val="center"/>
              <w:rPr>
                <w:sz w:val="21"/>
                <w:szCs w:val="21"/>
                <w:lang w:val="zh-CN"/>
              </w:rPr>
            </w:pPr>
            <w:r>
              <w:rPr>
                <w:sz w:val="21"/>
                <w:szCs w:val="21"/>
                <w:lang w:val="zh-CN"/>
              </w:rPr>
              <w:t>24小时平均</w:t>
            </w:r>
          </w:p>
        </w:tc>
        <w:tc>
          <w:tcPr>
            <w:tcW w:w="290" w:type="pct"/>
            <w:vAlign w:val="center"/>
          </w:tcPr>
          <w:p w14:paraId="17569D9B">
            <w:pPr>
              <w:adjustRightInd w:val="0"/>
              <w:snapToGrid w:val="0"/>
              <w:spacing w:line="240" w:lineRule="auto"/>
              <w:ind w:firstLine="0" w:firstLineChars="0"/>
              <w:jc w:val="center"/>
              <w:rPr>
                <w:sz w:val="21"/>
                <w:szCs w:val="21"/>
                <w:lang w:val="zh-CN"/>
              </w:rPr>
            </w:pPr>
            <w:r>
              <w:rPr>
                <w:rFonts w:hint="eastAsia"/>
                <w:sz w:val="21"/>
                <w:szCs w:val="21"/>
                <w:lang w:val="zh-CN"/>
              </w:rPr>
              <w:t>8</w:t>
            </w:r>
            <w:r>
              <w:rPr>
                <w:sz w:val="21"/>
                <w:szCs w:val="21"/>
                <w:lang w:val="zh-CN"/>
              </w:rPr>
              <w:t>0</w:t>
            </w:r>
          </w:p>
        </w:tc>
        <w:tc>
          <w:tcPr>
            <w:tcW w:w="290" w:type="pct"/>
            <w:vAlign w:val="center"/>
          </w:tcPr>
          <w:p w14:paraId="67CBF8DD">
            <w:pPr>
              <w:adjustRightInd w:val="0"/>
              <w:snapToGrid w:val="0"/>
              <w:spacing w:line="240" w:lineRule="auto"/>
              <w:ind w:firstLine="0" w:firstLineChars="0"/>
              <w:jc w:val="center"/>
              <w:rPr>
                <w:sz w:val="21"/>
                <w:szCs w:val="21"/>
                <w:lang w:val="zh-CN"/>
              </w:rPr>
            </w:pPr>
            <w:r>
              <w:rPr>
                <w:sz w:val="21"/>
                <w:szCs w:val="21"/>
                <w:lang w:val="zh-CN"/>
              </w:rPr>
              <w:t>80</w:t>
            </w:r>
          </w:p>
        </w:tc>
        <w:tc>
          <w:tcPr>
            <w:tcW w:w="362" w:type="pct"/>
            <w:vMerge w:val="continue"/>
            <w:vAlign w:val="center"/>
          </w:tcPr>
          <w:p w14:paraId="111C9AD1">
            <w:pPr>
              <w:adjustRightInd w:val="0"/>
              <w:snapToGrid w:val="0"/>
              <w:spacing w:line="240" w:lineRule="auto"/>
              <w:ind w:firstLine="0" w:firstLineChars="0"/>
              <w:jc w:val="center"/>
              <w:rPr>
                <w:sz w:val="21"/>
                <w:szCs w:val="21"/>
                <w:lang w:val="zh-CN"/>
              </w:rPr>
            </w:pPr>
          </w:p>
        </w:tc>
        <w:tc>
          <w:tcPr>
            <w:tcW w:w="1628" w:type="pct"/>
            <w:vMerge w:val="continue"/>
            <w:vAlign w:val="center"/>
          </w:tcPr>
          <w:p w14:paraId="0D7803A2">
            <w:pPr>
              <w:adjustRightInd w:val="0"/>
              <w:snapToGrid w:val="0"/>
              <w:spacing w:line="240" w:lineRule="auto"/>
              <w:ind w:firstLine="0" w:firstLineChars="0"/>
              <w:jc w:val="center"/>
              <w:rPr>
                <w:sz w:val="21"/>
                <w:szCs w:val="21"/>
                <w:lang w:val="zh-CN"/>
              </w:rPr>
            </w:pPr>
          </w:p>
        </w:tc>
      </w:tr>
      <w:tr w14:paraId="3B08E82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24A52CB5">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56510431">
            <w:pPr>
              <w:adjustRightInd w:val="0"/>
              <w:snapToGrid w:val="0"/>
              <w:spacing w:line="240" w:lineRule="auto"/>
              <w:ind w:firstLine="0" w:firstLineChars="0"/>
              <w:jc w:val="center"/>
              <w:rPr>
                <w:sz w:val="21"/>
                <w:szCs w:val="21"/>
                <w:lang w:val="zh-CN"/>
              </w:rPr>
            </w:pPr>
          </w:p>
        </w:tc>
        <w:tc>
          <w:tcPr>
            <w:tcW w:w="969" w:type="pct"/>
            <w:vAlign w:val="center"/>
          </w:tcPr>
          <w:p w14:paraId="6AD2408F">
            <w:pPr>
              <w:adjustRightInd w:val="0"/>
              <w:snapToGrid w:val="0"/>
              <w:spacing w:line="240" w:lineRule="auto"/>
              <w:ind w:firstLine="0" w:firstLineChars="0"/>
              <w:jc w:val="center"/>
              <w:rPr>
                <w:sz w:val="21"/>
                <w:szCs w:val="21"/>
                <w:lang w:val="zh-CN"/>
              </w:rPr>
            </w:pPr>
            <w:r>
              <w:rPr>
                <w:sz w:val="21"/>
                <w:szCs w:val="21"/>
                <w:lang w:val="zh-CN"/>
              </w:rPr>
              <w:t>1小时平均</w:t>
            </w:r>
          </w:p>
        </w:tc>
        <w:tc>
          <w:tcPr>
            <w:tcW w:w="290" w:type="pct"/>
            <w:vAlign w:val="center"/>
          </w:tcPr>
          <w:p w14:paraId="1256A2DB">
            <w:pPr>
              <w:adjustRightInd w:val="0"/>
              <w:snapToGrid w:val="0"/>
              <w:spacing w:line="240" w:lineRule="auto"/>
              <w:ind w:firstLine="0" w:firstLineChars="0"/>
              <w:jc w:val="center"/>
              <w:rPr>
                <w:sz w:val="21"/>
                <w:szCs w:val="21"/>
                <w:lang w:val="zh-CN"/>
              </w:rPr>
            </w:pPr>
            <w:r>
              <w:rPr>
                <w:rFonts w:hint="eastAsia"/>
                <w:sz w:val="21"/>
                <w:szCs w:val="21"/>
                <w:lang w:val="zh-CN"/>
              </w:rPr>
              <w:t>2</w:t>
            </w:r>
            <w:r>
              <w:rPr>
                <w:sz w:val="21"/>
                <w:szCs w:val="21"/>
                <w:lang w:val="zh-CN"/>
              </w:rPr>
              <w:t>00</w:t>
            </w:r>
          </w:p>
        </w:tc>
        <w:tc>
          <w:tcPr>
            <w:tcW w:w="290" w:type="pct"/>
            <w:vAlign w:val="center"/>
          </w:tcPr>
          <w:p w14:paraId="65D4FDE0">
            <w:pPr>
              <w:adjustRightInd w:val="0"/>
              <w:snapToGrid w:val="0"/>
              <w:spacing w:line="240" w:lineRule="auto"/>
              <w:ind w:firstLine="0" w:firstLineChars="0"/>
              <w:jc w:val="center"/>
              <w:rPr>
                <w:sz w:val="21"/>
                <w:szCs w:val="21"/>
                <w:lang w:val="zh-CN"/>
              </w:rPr>
            </w:pPr>
            <w:r>
              <w:rPr>
                <w:sz w:val="21"/>
                <w:szCs w:val="21"/>
                <w:lang w:val="zh-CN"/>
              </w:rPr>
              <w:t>200</w:t>
            </w:r>
          </w:p>
        </w:tc>
        <w:tc>
          <w:tcPr>
            <w:tcW w:w="362" w:type="pct"/>
            <w:vMerge w:val="continue"/>
            <w:vAlign w:val="center"/>
          </w:tcPr>
          <w:p w14:paraId="2FD1BA74">
            <w:pPr>
              <w:adjustRightInd w:val="0"/>
              <w:snapToGrid w:val="0"/>
              <w:spacing w:line="240" w:lineRule="auto"/>
              <w:ind w:firstLine="0" w:firstLineChars="0"/>
              <w:jc w:val="center"/>
              <w:rPr>
                <w:sz w:val="21"/>
                <w:szCs w:val="21"/>
                <w:lang w:val="zh-CN"/>
              </w:rPr>
            </w:pPr>
          </w:p>
        </w:tc>
        <w:tc>
          <w:tcPr>
            <w:tcW w:w="1628" w:type="pct"/>
            <w:vMerge w:val="continue"/>
            <w:vAlign w:val="center"/>
          </w:tcPr>
          <w:p w14:paraId="1149682C">
            <w:pPr>
              <w:adjustRightInd w:val="0"/>
              <w:snapToGrid w:val="0"/>
              <w:spacing w:line="240" w:lineRule="auto"/>
              <w:ind w:firstLine="0" w:firstLineChars="0"/>
              <w:jc w:val="center"/>
              <w:rPr>
                <w:sz w:val="21"/>
                <w:szCs w:val="21"/>
                <w:lang w:val="zh-CN"/>
              </w:rPr>
            </w:pPr>
          </w:p>
        </w:tc>
      </w:tr>
      <w:tr w14:paraId="4539584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restart"/>
            <w:vAlign w:val="center"/>
          </w:tcPr>
          <w:p w14:paraId="2CF5AAAD">
            <w:pPr>
              <w:numPr>
                <w:ilvl w:val="0"/>
                <w:numId w:val="8"/>
              </w:numPr>
              <w:adjustRightInd w:val="0"/>
              <w:snapToGrid w:val="0"/>
              <w:spacing w:line="240" w:lineRule="auto"/>
              <w:ind w:firstLineChars="0"/>
              <w:jc w:val="center"/>
              <w:rPr>
                <w:sz w:val="21"/>
                <w:szCs w:val="21"/>
                <w:lang w:val="zh-CN"/>
              </w:rPr>
            </w:pPr>
          </w:p>
        </w:tc>
        <w:tc>
          <w:tcPr>
            <w:tcW w:w="1092" w:type="pct"/>
            <w:vMerge w:val="restart"/>
            <w:vAlign w:val="center"/>
          </w:tcPr>
          <w:p w14:paraId="66DC77F0">
            <w:pPr>
              <w:adjustRightInd w:val="0"/>
              <w:snapToGrid w:val="0"/>
              <w:spacing w:line="240" w:lineRule="auto"/>
              <w:ind w:firstLine="0" w:firstLineChars="0"/>
              <w:jc w:val="center"/>
              <w:rPr>
                <w:sz w:val="21"/>
                <w:szCs w:val="21"/>
                <w:lang w:val="zh-CN"/>
              </w:rPr>
            </w:pPr>
            <w:r>
              <w:rPr>
                <w:rFonts w:hint="eastAsia"/>
                <w:sz w:val="21"/>
                <w:szCs w:val="21"/>
                <w:lang w:val="zh-CN"/>
              </w:rPr>
              <w:t>一氧化碳（CO）</w:t>
            </w:r>
          </w:p>
        </w:tc>
        <w:tc>
          <w:tcPr>
            <w:tcW w:w="969" w:type="pct"/>
            <w:vAlign w:val="center"/>
          </w:tcPr>
          <w:p w14:paraId="04D17690">
            <w:pPr>
              <w:adjustRightInd w:val="0"/>
              <w:snapToGrid w:val="0"/>
              <w:spacing w:line="240" w:lineRule="auto"/>
              <w:ind w:firstLine="0" w:firstLineChars="0"/>
              <w:jc w:val="center"/>
              <w:rPr>
                <w:sz w:val="21"/>
                <w:szCs w:val="21"/>
                <w:lang w:val="zh-CN"/>
              </w:rPr>
            </w:pPr>
            <w:r>
              <w:rPr>
                <w:sz w:val="21"/>
                <w:szCs w:val="21"/>
                <w:lang w:val="zh-CN"/>
              </w:rPr>
              <w:t>24小时平均</w:t>
            </w:r>
          </w:p>
        </w:tc>
        <w:tc>
          <w:tcPr>
            <w:tcW w:w="290" w:type="pct"/>
            <w:vAlign w:val="center"/>
          </w:tcPr>
          <w:p w14:paraId="3BA014A9">
            <w:pPr>
              <w:adjustRightInd w:val="0"/>
              <w:snapToGrid w:val="0"/>
              <w:spacing w:line="240" w:lineRule="auto"/>
              <w:ind w:firstLine="0" w:firstLineChars="0"/>
              <w:jc w:val="center"/>
              <w:rPr>
                <w:sz w:val="21"/>
                <w:szCs w:val="21"/>
                <w:lang w:val="zh-CN"/>
              </w:rPr>
            </w:pPr>
            <w:r>
              <w:rPr>
                <w:rFonts w:hint="eastAsia"/>
                <w:sz w:val="21"/>
                <w:szCs w:val="21"/>
                <w:lang w:val="zh-CN"/>
              </w:rPr>
              <w:t>4</w:t>
            </w:r>
          </w:p>
        </w:tc>
        <w:tc>
          <w:tcPr>
            <w:tcW w:w="290" w:type="pct"/>
            <w:vAlign w:val="center"/>
          </w:tcPr>
          <w:p w14:paraId="3BEBEA17">
            <w:pPr>
              <w:adjustRightInd w:val="0"/>
              <w:snapToGrid w:val="0"/>
              <w:spacing w:line="240" w:lineRule="auto"/>
              <w:ind w:firstLine="0" w:firstLineChars="0"/>
              <w:jc w:val="center"/>
              <w:rPr>
                <w:sz w:val="21"/>
                <w:szCs w:val="21"/>
                <w:lang w:val="zh-CN"/>
              </w:rPr>
            </w:pPr>
            <w:r>
              <w:rPr>
                <w:rFonts w:hint="eastAsia"/>
                <w:sz w:val="21"/>
                <w:szCs w:val="21"/>
                <w:lang w:val="zh-CN"/>
              </w:rPr>
              <w:t>4</w:t>
            </w:r>
          </w:p>
        </w:tc>
        <w:tc>
          <w:tcPr>
            <w:tcW w:w="362" w:type="pct"/>
            <w:vMerge w:val="restart"/>
            <w:vAlign w:val="center"/>
          </w:tcPr>
          <w:p w14:paraId="658B0A42">
            <w:pPr>
              <w:adjustRightInd w:val="0"/>
              <w:snapToGrid w:val="0"/>
              <w:spacing w:line="240" w:lineRule="auto"/>
              <w:ind w:firstLine="0" w:firstLineChars="0"/>
              <w:jc w:val="center"/>
              <w:rPr>
                <w:sz w:val="21"/>
                <w:szCs w:val="21"/>
                <w:lang w:val="zh-CN"/>
              </w:rPr>
            </w:pPr>
            <w:r>
              <w:rPr>
                <w:sz w:val="21"/>
                <w:szCs w:val="21"/>
                <w:lang w:val="zh-CN"/>
              </w:rPr>
              <w:t>mg/m</w:t>
            </w:r>
            <w:r>
              <w:rPr>
                <w:sz w:val="21"/>
                <w:szCs w:val="21"/>
                <w:vertAlign w:val="superscript"/>
                <w:lang w:val="zh-CN"/>
              </w:rPr>
              <w:t>3</w:t>
            </w:r>
          </w:p>
        </w:tc>
        <w:tc>
          <w:tcPr>
            <w:tcW w:w="1628" w:type="pct"/>
            <w:vMerge w:val="continue"/>
            <w:vAlign w:val="center"/>
          </w:tcPr>
          <w:p w14:paraId="5135A7C2">
            <w:pPr>
              <w:adjustRightInd w:val="0"/>
              <w:snapToGrid w:val="0"/>
              <w:spacing w:line="240" w:lineRule="auto"/>
              <w:ind w:firstLine="0" w:firstLineChars="0"/>
              <w:jc w:val="center"/>
              <w:rPr>
                <w:sz w:val="21"/>
                <w:szCs w:val="21"/>
                <w:lang w:val="zh-CN"/>
              </w:rPr>
            </w:pPr>
          </w:p>
        </w:tc>
      </w:tr>
      <w:tr w14:paraId="22E6296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4A38DEE8">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26CD1FC4">
            <w:pPr>
              <w:adjustRightInd w:val="0"/>
              <w:snapToGrid w:val="0"/>
              <w:spacing w:line="240" w:lineRule="auto"/>
              <w:ind w:firstLine="0" w:firstLineChars="0"/>
              <w:jc w:val="center"/>
              <w:rPr>
                <w:sz w:val="21"/>
                <w:szCs w:val="21"/>
                <w:lang w:val="zh-CN"/>
              </w:rPr>
            </w:pPr>
          </w:p>
        </w:tc>
        <w:tc>
          <w:tcPr>
            <w:tcW w:w="969" w:type="pct"/>
            <w:vAlign w:val="center"/>
          </w:tcPr>
          <w:p w14:paraId="69B65214">
            <w:pPr>
              <w:adjustRightInd w:val="0"/>
              <w:snapToGrid w:val="0"/>
              <w:spacing w:line="240" w:lineRule="auto"/>
              <w:ind w:firstLine="0" w:firstLineChars="0"/>
              <w:jc w:val="center"/>
              <w:rPr>
                <w:sz w:val="21"/>
                <w:szCs w:val="21"/>
                <w:lang w:val="zh-CN"/>
              </w:rPr>
            </w:pPr>
            <w:r>
              <w:rPr>
                <w:sz w:val="21"/>
                <w:szCs w:val="21"/>
                <w:lang w:val="zh-CN"/>
              </w:rPr>
              <w:t>1小时平均</w:t>
            </w:r>
          </w:p>
        </w:tc>
        <w:tc>
          <w:tcPr>
            <w:tcW w:w="290" w:type="pct"/>
            <w:vAlign w:val="center"/>
          </w:tcPr>
          <w:p w14:paraId="6AC3589D">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0</w:t>
            </w:r>
          </w:p>
        </w:tc>
        <w:tc>
          <w:tcPr>
            <w:tcW w:w="290" w:type="pct"/>
            <w:vAlign w:val="center"/>
          </w:tcPr>
          <w:p w14:paraId="358EA5F0">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0</w:t>
            </w:r>
          </w:p>
        </w:tc>
        <w:tc>
          <w:tcPr>
            <w:tcW w:w="362" w:type="pct"/>
            <w:vMerge w:val="continue"/>
            <w:vAlign w:val="center"/>
          </w:tcPr>
          <w:p w14:paraId="53AC0AD1">
            <w:pPr>
              <w:adjustRightInd w:val="0"/>
              <w:snapToGrid w:val="0"/>
              <w:spacing w:line="240" w:lineRule="auto"/>
              <w:ind w:firstLine="0" w:firstLineChars="0"/>
              <w:jc w:val="center"/>
              <w:rPr>
                <w:sz w:val="21"/>
                <w:szCs w:val="21"/>
                <w:lang w:val="zh-CN"/>
              </w:rPr>
            </w:pPr>
          </w:p>
        </w:tc>
        <w:tc>
          <w:tcPr>
            <w:tcW w:w="1628" w:type="pct"/>
            <w:vMerge w:val="continue"/>
            <w:vAlign w:val="center"/>
          </w:tcPr>
          <w:p w14:paraId="3776B6C6">
            <w:pPr>
              <w:adjustRightInd w:val="0"/>
              <w:snapToGrid w:val="0"/>
              <w:spacing w:line="240" w:lineRule="auto"/>
              <w:ind w:firstLine="0" w:firstLineChars="0"/>
              <w:jc w:val="center"/>
              <w:rPr>
                <w:sz w:val="21"/>
                <w:szCs w:val="21"/>
                <w:lang w:val="zh-CN"/>
              </w:rPr>
            </w:pPr>
          </w:p>
        </w:tc>
      </w:tr>
      <w:tr w14:paraId="243E2BD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restart"/>
            <w:vAlign w:val="center"/>
          </w:tcPr>
          <w:p w14:paraId="0D25C94F">
            <w:pPr>
              <w:numPr>
                <w:ilvl w:val="0"/>
                <w:numId w:val="8"/>
              </w:numPr>
              <w:adjustRightInd w:val="0"/>
              <w:snapToGrid w:val="0"/>
              <w:spacing w:line="240" w:lineRule="auto"/>
              <w:ind w:firstLineChars="0"/>
              <w:jc w:val="center"/>
              <w:rPr>
                <w:sz w:val="21"/>
                <w:szCs w:val="21"/>
                <w:lang w:val="zh-CN"/>
              </w:rPr>
            </w:pPr>
          </w:p>
        </w:tc>
        <w:tc>
          <w:tcPr>
            <w:tcW w:w="1092" w:type="pct"/>
            <w:vMerge w:val="restart"/>
            <w:vAlign w:val="center"/>
          </w:tcPr>
          <w:p w14:paraId="75336471">
            <w:pPr>
              <w:adjustRightInd w:val="0"/>
              <w:snapToGrid w:val="0"/>
              <w:spacing w:line="240" w:lineRule="auto"/>
              <w:ind w:firstLine="0" w:firstLineChars="0"/>
              <w:jc w:val="center"/>
              <w:rPr>
                <w:sz w:val="21"/>
                <w:szCs w:val="21"/>
                <w:lang w:val="zh-CN"/>
              </w:rPr>
            </w:pPr>
            <w:r>
              <w:rPr>
                <w:rFonts w:hint="eastAsia"/>
                <w:sz w:val="21"/>
                <w:szCs w:val="21"/>
                <w:lang w:val="zh-CN"/>
              </w:rPr>
              <w:t>臭氧（O</w:t>
            </w:r>
            <w:r>
              <w:rPr>
                <w:sz w:val="21"/>
                <w:szCs w:val="21"/>
                <w:vertAlign w:val="subscript"/>
                <w:lang w:val="zh-CN"/>
              </w:rPr>
              <w:t>3</w:t>
            </w:r>
            <w:r>
              <w:rPr>
                <w:rFonts w:hint="eastAsia"/>
                <w:sz w:val="21"/>
                <w:szCs w:val="21"/>
                <w:lang w:val="zh-CN"/>
              </w:rPr>
              <w:t>）</w:t>
            </w:r>
          </w:p>
        </w:tc>
        <w:tc>
          <w:tcPr>
            <w:tcW w:w="969" w:type="pct"/>
            <w:vAlign w:val="center"/>
          </w:tcPr>
          <w:p w14:paraId="77C7A09A">
            <w:pPr>
              <w:adjustRightInd w:val="0"/>
              <w:snapToGrid w:val="0"/>
              <w:spacing w:line="240" w:lineRule="auto"/>
              <w:ind w:firstLine="0" w:firstLineChars="0"/>
              <w:jc w:val="center"/>
              <w:rPr>
                <w:sz w:val="21"/>
                <w:szCs w:val="21"/>
                <w:lang w:val="zh-CN"/>
              </w:rPr>
            </w:pPr>
            <w:r>
              <w:rPr>
                <w:rFonts w:hint="eastAsia"/>
                <w:sz w:val="21"/>
                <w:szCs w:val="21"/>
                <w:lang w:val="zh-CN"/>
              </w:rPr>
              <w:t>日最大8小时平均</w:t>
            </w:r>
          </w:p>
        </w:tc>
        <w:tc>
          <w:tcPr>
            <w:tcW w:w="290" w:type="pct"/>
            <w:vAlign w:val="center"/>
          </w:tcPr>
          <w:p w14:paraId="7EB41A91">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00</w:t>
            </w:r>
          </w:p>
        </w:tc>
        <w:tc>
          <w:tcPr>
            <w:tcW w:w="290" w:type="pct"/>
            <w:vAlign w:val="center"/>
          </w:tcPr>
          <w:p w14:paraId="12FB0BA2">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60</w:t>
            </w:r>
          </w:p>
        </w:tc>
        <w:tc>
          <w:tcPr>
            <w:tcW w:w="362" w:type="pct"/>
            <w:vMerge w:val="restart"/>
            <w:vAlign w:val="center"/>
          </w:tcPr>
          <w:p w14:paraId="1E8331A1">
            <w:pPr>
              <w:adjustRightInd w:val="0"/>
              <w:snapToGrid w:val="0"/>
              <w:spacing w:line="240" w:lineRule="auto"/>
              <w:ind w:firstLine="0" w:firstLineChars="0"/>
              <w:jc w:val="center"/>
              <w:rPr>
                <w:sz w:val="21"/>
                <w:szCs w:val="21"/>
                <w:lang w:val="zh-CN"/>
              </w:rPr>
            </w:pPr>
            <w:r>
              <w:rPr>
                <w:sz w:val="21"/>
                <w:szCs w:val="21"/>
                <w:lang w:val="zh-CN"/>
              </w:rPr>
              <w:t>μg/m</w:t>
            </w:r>
            <w:r>
              <w:rPr>
                <w:sz w:val="21"/>
                <w:szCs w:val="21"/>
                <w:vertAlign w:val="superscript"/>
                <w:lang w:val="zh-CN"/>
              </w:rPr>
              <w:t>3</w:t>
            </w:r>
          </w:p>
        </w:tc>
        <w:tc>
          <w:tcPr>
            <w:tcW w:w="1628" w:type="pct"/>
            <w:vMerge w:val="continue"/>
            <w:vAlign w:val="center"/>
          </w:tcPr>
          <w:p w14:paraId="215D012B">
            <w:pPr>
              <w:adjustRightInd w:val="0"/>
              <w:snapToGrid w:val="0"/>
              <w:spacing w:line="240" w:lineRule="auto"/>
              <w:ind w:firstLine="0" w:firstLineChars="0"/>
              <w:jc w:val="center"/>
              <w:rPr>
                <w:sz w:val="21"/>
                <w:szCs w:val="21"/>
                <w:lang w:val="zh-CN"/>
              </w:rPr>
            </w:pPr>
          </w:p>
        </w:tc>
      </w:tr>
      <w:tr w14:paraId="3E9789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124B057A">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56600523">
            <w:pPr>
              <w:adjustRightInd w:val="0"/>
              <w:snapToGrid w:val="0"/>
              <w:spacing w:line="240" w:lineRule="auto"/>
              <w:ind w:firstLine="0" w:firstLineChars="0"/>
              <w:jc w:val="center"/>
              <w:rPr>
                <w:sz w:val="21"/>
                <w:szCs w:val="21"/>
                <w:lang w:val="zh-CN"/>
              </w:rPr>
            </w:pPr>
          </w:p>
        </w:tc>
        <w:tc>
          <w:tcPr>
            <w:tcW w:w="969" w:type="pct"/>
            <w:vAlign w:val="center"/>
          </w:tcPr>
          <w:p w14:paraId="54563630">
            <w:pPr>
              <w:adjustRightInd w:val="0"/>
              <w:snapToGrid w:val="0"/>
              <w:spacing w:line="240" w:lineRule="auto"/>
              <w:ind w:firstLine="0" w:firstLineChars="0"/>
              <w:jc w:val="center"/>
              <w:rPr>
                <w:sz w:val="21"/>
                <w:szCs w:val="21"/>
                <w:lang w:val="zh-CN"/>
              </w:rPr>
            </w:pPr>
            <w:r>
              <w:rPr>
                <w:sz w:val="21"/>
                <w:szCs w:val="21"/>
                <w:lang w:val="zh-CN"/>
              </w:rPr>
              <w:t>1小时平均</w:t>
            </w:r>
          </w:p>
        </w:tc>
        <w:tc>
          <w:tcPr>
            <w:tcW w:w="290" w:type="pct"/>
            <w:vAlign w:val="center"/>
          </w:tcPr>
          <w:p w14:paraId="44C87EC1">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60</w:t>
            </w:r>
          </w:p>
        </w:tc>
        <w:tc>
          <w:tcPr>
            <w:tcW w:w="290" w:type="pct"/>
            <w:vAlign w:val="center"/>
          </w:tcPr>
          <w:p w14:paraId="1A613BD7">
            <w:pPr>
              <w:adjustRightInd w:val="0"/>
              <w:snapToGrid w:val="0"/>
              <w:spacing w:line="240" w:lineRule="auto"/>
              <w:ind w:firstLine="0" w:firstLineChars="0"/>
              <w:jc w:val="center"/>
              <w:rPr>
                <w:sz w:val="21"/>
                <w:szCs w:val="21"/>
                <w:lang w:val="zh-CN"/>
              </w:rPr>
            </w:pPr>
            <w:r>
              <w:rPr>
                <w:rFonts w:hint="eastAsia"/>
                <w:sz w:val="21"/>
                <w:szCs w:val="21"/>
                <w:lang w:val="zh-CN"/>
              </w:rPr>
              <w:t>2</w:t>
            </w:r>
            <w:r>
              <w:rPr>
                <w:sz w:val="21"/>
                <w:szCs w:val="21"/>
                <w:lang w:val="zh-CN"/>
              </w:rPr>
              <w:t>00</w:t>
            </w:r>
          </w:p>
        </w:tc>
        <w:tc>
          <w:tcPr>
            <w:tcW w:w="362" w:type="pct"/>
            <w:vMerge w:val="continue"/>
            <w:vAlign w:val="center"/>
          </w:tcPr>
          <w:p w14:paraId="16C28938">
            <w:pPr>
              <w:adjustRightInd w:val="0"/>
              <w:snapToGrid w:val="0"/>
              <w:spacing w:line="240" w:lineRule="auto"/>
              <w:ind w:firstLine="0" w:firstLineChars="0"/>
              <w:jc w:val="center"/>
              <w:rPr>
                <w:sz w:val="21"/>
                <w:szCs w:val="21"/>
                <w:lang w:val="zh-CN"/>
              </w:rPr>
            </w:pPr>
          </w:p>
        </w:tc>
        <w:tc>
          <w:tcPr>
            <w:tcW w:w="1628" w:type="pct"/>
            <w:vMerge w:val="continue"/>
            <w:vAlign w:val="center"/>
          </w:tcPr>
          <w:p w14:paraId="009D7580">
            <w:pPr>
              <w:adjustRightInd w:val="0"/>
              <w:snapToGrid w:val="0"/>
              <w:spacing w:line="240" w:lineRule="auto"/>
              <w:ind w:firstLine="0" w:firstLineChars="0"/>
              <w:jc w:val="center"/>
              <w:rPr>
                <w:sz w:val="21"/>
                <w:szCs w:val="21"/>
                <w:lang w:val="zh-CN"/>
              </w:rPr>
            </w:pPr>
          </w:p>
        </w:tc>
      </w:tr>
      <w:tr w14:paraId="774ADB2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restart"/>
            <w:vAlign w:val="center"/>
          </w:tcPr>
          <w:p w14:paraId="0F67D41A">
            <w:pPr>
              <w:numPr>
                <w:ilvl w:val="0"/>
                <w:numId w:val="8"/>
              </w:numPr>
              <w:adjustRightInd w:val="0"/>
              <w:snapToGrid w:val="0"/>
              <w:spacing w:line="240" w:lineRule="auto"/>
              <w:ind w:firstLineChars="0"/>
              <w:jc w:val="center"/>
              <w:rPr>
                <w:sz w:val="21"/>
                <w:szCs w:val="21"/>
                <w:lang w:val="zh-CN"/>
              </w:rPr>
            </w:pPr>
          </w:p>
        </w:tc>
        <w:tc>
          <w:tcPr>
            <w:tcW w:w="1092" w:type="pct"/>
            <w:vMerge w:val="restart"/>
            <w:vAlign w:val="center"/>
          </w:tcPr>
          <w:p w14:paraId="3B36FB27">
            <w:pPr>
              <w:adjustRightInd w:val="0"/>
              <w:snapToGrid w:val="0"/>
              <w:spacing w:line="240" w:lineRule="auto"/>
              <w:ind w:firstLine="0" w:firstLineChars="0"/>
              <w:jc w:val="center"/>
              <w:rPr>
                <w:sz w:val="21"/>
                <w:szCs w:val="21"/>
                <w:lang w:val="zh-CN"/>
              </w:rPr>
            </w:pPr>
            <w:r>
              <w:rPr>
                <w:rFonts w:hint="eastAsia"/>
                <w:sz w:val="21"/>
                <w:szCs w:val="21"/>
                <w:lang w:val="zh-CN"/>
              </w:rPr>
              <w:t>颗粒物（粒径小于等于1</w:t>
            </w:r>
            <w:r>
              <w:rPr>
                <w:sz w:val="21"/>
                <w:szCs w:val="21"/>
                <w:lang w:val="zh-CN"/>
              </w:rPr>
              <w:t>0μ</w:t>
            </w:r>
            <w:r>
              <w:rPr>
                <w:rFonts w:hint="eastAsia"/>
                <w:sz w:val="21"/>
                <w:szCs w:val="21"/>
                <w:lang w:val="zh-CN"/>
              </w:rPr>
              <w:t>m）</w:t>
            </w:r>
          </w:p>
        </w:tc>
        <w:tc>
          <w:tcPr>
            <w:tcW w:w="969" w:type="pct"/>
            <w:vAlign w:val="center"/>
          </w:tcPr>
          <w:p w14:paraId="223633A1">
            <w:pPr>
              <w:adjustRightInd w:val="0"/>
              <w:snapToGrid w:val="0"/>
              <w:spacing w:line="240" w:lineRule="auto"/>
              <w:ind w:firstLine="0" w:firstLineChars="0"/>
              <w:jc w:val="center"/>
              <w:rPr>
                <w:sz w:val="21"/>
                <w:szCs w:val="21"/>
                <w:lang w:val="zh-CN"/>
              </w:rPr>
            </w:pPr>
            <w:r>
              <w:rPr>
                <w:sz w:val="21"/>
                <w:szCs w:val="21"/>
                <w:lang w:val="zh-CN"/>
              </w:rPr>
              <w:t>年平均</w:t>
            </w:r>
          </w:p>
        </w:tc>
        <w:tc>
          <w:tcPr>
            <w:tcW w:w="290" w:type="pct"/>
            <w:vAlign w:val="center"/>
          </w:tcPr>
          <w:p w14:paraId="3536C308">
            <w:pPr>
              <w:adjustRightInd w:val="0"/>
              <w:snapToGrid w:val="0"/>
              <w:spacing w:line="240" w:lineRule="auto"/>
              <w:ind w:firstLine="0" w:firstLineChars="0"/>
              <w:jc w:val="center"/>
              <w:rPr>
                <w:sz w:val="21"/>
                <w:szCs w:val="21"/>
                <w:lang w:val="zh-CN"/>
              </w:rPr>
            </w:pPr>
            <w:r>
              <w:rPr>
                <w:rFonts w:hint="eastAsia"/>
                <w:sz w:val="21"/>
                <w:szCs w:val="21"/>
                <w:lang w:val="zh-CN"/>
              </w:rPr>
              <w:t>4</w:t>
            </w:r>
            <w:r>
              <w:rPr>
                <w:sz w:val="21"/>
                <w:szCs w:val="21"/>
                <w:lang w:val="zh-CN"/>
              </w:rPr>
              <w:t>0</w:t>
            </w:r>
          </w:p>
        </w:tc>
        <w:tc>
          <w:tcPr>
            <w:tcW w:w="290" w:type="pct"/>
            <w:vAlign w:val="center"/>
          </w:tcPr>
          <w:p w14:paraId="569746FF">
            <w:pPr>
              <w:adjustRightInd w:val="0"/>
              <w:snapToGrid w:val="0"/>
              <w:spacing w:line="240" w:lineRule="auto"/>
              <w:ind w:firstLine="0" w:firstLineChars="0"/>
              <w:jc w:val="center"/>
              <w:rPr>
                <w:sz w:val="21"/>
                <w:szCs w:val="21"/>
                <w:lang w:val="zh-CN"/>
              </w:rPr>
            </w:pPr>
            <w:r>
              <w:rPr>
                <w:sz w:val="21"/>
                <w:szCs w:val="21"/>
                <w:lang w:val="zh-CN"/>
              </w:rPr>
              <w:t>70</w:t>
            </w:r>
          </w:p>
        </w:tc>
        <w:tc>
          <w:tcPr>
            <w:tcW w:w="362" w:type="pct"/>
            <w:vMerge w:val="continue"/>
            <w:vAlign w:val="center"/>
          </w:tcPr>
          <w:p w14:paraId="27419948">
            <w:pPr>
              <w:adjustRightInd w:val="0"/>
              <w:snapToGrid w:val="0"/>
              <w:spacing w:line="240" w:lineRule="auto"/>
              <w:ind w:firstLine="0" w:firstLineChars="0"/>
              <w:jc w:val="center"/>
              <w:rPr>
                <w:sz w:val="21"/>
                <w:szCs w:val="21"/>
                <w:lang w:val="zh-CN"/>
              </w:rPr>
            </w:pPr>
          </w:p>
        </w:tc>
        <w:tc>
          <w:tcPr>
            <w:tcW w:w="1628" w:type="pct"/>
            <w:vMerge w:val="continue"/>
            <w:vAlign w:val="center"/>
          </w:tcPr>
          <w:p w14:paraId="5CF18B34">
            <w:pPr>
              <w:adjustRightInd w:val="0"/>
              <w:snapToGrid w:val="0"/>
              <w:spacing w:line="240" w:lineRule="auto"/>
              <w:ind w:firstLine="0" w:firstLineChars="0"/>
              <w:jc w:val="center"/>
              <w:rPr>
                <w:sz w:val="21"/>
                <w:szCs w:val="21"/>
                <w:lang w:val="zh-CN"/>
              </w:rPr>
            </w:pPr>
          </w:p>
        </w:tc>
      </w:tr>
      <w:tr w14:paraId="3E61ADF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44742E30">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42DCC863">
            <w:pPr>
              <w:adjustRightInd w:val="0"/>
              <w:snapToGrid w:val="0"/>
              <w:spacing w:line="240" w:lineRule="auto"/>
              <w:ind w:firstLine="0" w:firstLineChars="0"/>
              <w:jc w:val="center"/>
              <w:rPr>
                <w:sz w:val="21"/>
                <w:szCs w:val="21"/>
                <w:lang w:val="zh-CN"/>
              </w:rPr>
            </w:pPr>
          </w:p>
        </w:tc>
        <w:tc>
          <w:tcPr>
            <w:tcW w:w="969" w:type="pct"/>
            <w:vAlign w:val="center"/>
          </w:tcPr>
          <w:p w14:paraId="7E423C63">
            <w:pPr>
              <w:adjustRightInd w:val="0"/>
              <w:snapToGrid w:val="0"/>
              <w:spacing w:line="240" w:lineRule="auto"/>
              <w:ind w:firstLine="0" w:firstLineChars="0"/>
              <w:jc w:val="center"/>
              <w:rPr>
                <w:sz w:val="21"/>
                <w:szCs w:val="21"/>
                <w:lang w:val="zh-CN"/>
              </w:rPr>
            </w:pPr>
            <w:r>
              <w:rPr>
                <w:sz w:val="21"/>
                <w:szCs w:val="21"/>
                <w:lang w:val="zh-CN"/>
              </w:rPr>
              <w:t>24小时平均</w:t>
            </w:r>
          </w:p>
        </w:tc>
        <w:tc>
          <w:tcPr>
            <w:tcW w:w="290" w:type="pct"/>
            <w:vAlign w:val="center"/>
          </w:tcPr>
          <w:p w14:paraId="45D9368B">
            <w:pPr>
              <w:adjustRightInd w:val="0"/>
              <w:snapToGrid w:val="0"/>
              <w:spacing w:line="240" w:lineRule="auto"/>
              <w:ind w:firstLine="0" w:firstLineChars="0"/>
              <w:jc w:val="center"/>
              <w:rPr>
                <w:sz w:val="21"/>
                <w:szCs w:val="21"/>
                <w:lang w:val="zh-CN"/>
              </w:rPr>
            </w:pPr>
            <w:r>
              <w:rPr>
                <w:rFonts w:hint="eastAsia"/>
                <w:sz w:val="21"/>
                <w:szCs w:val="21"/>
                <w:lang w:val="zh-CN"/>
              </w:rPr>
              <w:t>5</w:t>
            </w:r>
            <w:r>
              <w:rPr>
                <w:sz w:val="21"/>
                <w:szCs w:val="21"/>
                <w:lang w:val="zh-CN"/>
              </w:rPr>
              <w:t>0</w:t>
            </w:r>
          </w:p>
        </w:tc>
        <w:tc>
          <w:tcPr>
            <w:tcW w:w="290" w:type="pct"/>
            <w:vAlign w:val="center"/>
          </w:tcPr>
          <w:p w14:paraId="12818CF8">
            <w:pPr>
              <w:adjustRightInd w:val="0"/>
              <w:snapToGrid w:val="0"/>
              <w:spacing w:line="240" w:lineRule="auto"/>
              <w:ind w:firstLine="0" w:firstLineChars="0"/>
              <w:jc w:val="center"/>
              <w:rPr>
                <w:sz w:val="21"/>
                <w:szCs w:val="21"/>
                <w:lang w:val="zh-CN"/>
              </w:rPr>
            </w:pPr>
            <w:r>
              <w:rPr>
                <w:sz w:val="21"/>
                <w:szCs w:val="21"/>
                <w:lang w:val="zh-CN"/>
              </w:rPr>
              <w:t>150</w:t>
            </w:r>
          </w:p>
        </w:tc>
        <w:tc>
          <w:tcPr>
            <w:tcW w:w="362" w:type="pct"/>
            <w:vMerge w:val="continue"/>
            <w:vAlign w:val="center"/>
          </w:tcPr>
          <w:p w14:paraId="76E2A213">
            <w:pPr>
              <w:adjustRightInd w:val="0"/>
              <w:snapToGrid w:val="0"/>
              <w:spacing w:line="240" w:lineRule="auto"/>
              <w:ind w:firstLine="0" w:firstLineChars="0"/>
              <w:jc w:val="center"/>
              <w:rPr>
                <w:sz w:val="21"/>
                <w:szCs w:val="21"/>
                <w:lang w:val="zh-CN"/>
              </w:rPr>
            </w:pPr>
          </w:p>
        </w:tc>
        <w:tc>
          <w:tcPr>
            <w:tcW w:w="1628" w:type="pct"/>
            <w:vMerge w:val="continue"/>
            <w:vAlign w:val="center"/>
          </w:tcPr>
          <w:p w14:paraId="1C18D286">
            <w:pPr>
              <w:adjustRightInd w:val="0"/>
              <w:snapToGrid w:val="0"/>
              <w:spacing w:line="240" w:lineRule="auto"/>
              <w:ind w:firstLine="0" w:firstLineChars="0"/>
              <w:jc w:val="center"/>
              <w:rPr>
                <w:sz w:val="21"/>
                <w:szCs w:val="21"/>
                <w:lang w:val="zh-CN"/>
              </w:rPr>
            </w:pPr>
          </w:p>
        </w:tc>
      </w:tr>
      <w:tr w14:paraId="22AC2C0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restart"/>
            <w:vAlign w:val="center"/>
          </w:tcPr>
          <w:p w14:paraId="1ED848B3">
            <w:pPr>
              <w:numPr>
                <w:ilvl w:val="0"/>
                <w:numId w:val="8"/>
              </w:numPr>
              <w:adjustRightInd w:val="0"/>
              <w:snapToGrid w:val="0"/>
              <w:spacing w:line="240" w:lineRule="auto"/>
              <w:ind w:firstLineChars="0"/>
              <w:jc w:val="center"/>
              <w:rPr>
                <w:sz w:val="21"/>
                <w:szCs w:val="21"/>
                <w:lang w:val="zh-CN"/>
              </w:rPr>
            </w:pPr>
          </w:p>
        </w:tc>
        <w:tc>
          <w:tcPr>
            <w:tcW w:w="1092" w:type="pct"/>
            <w:vMerge w:val="restart"/>
            <w:vAlign w:val="center"/>
          </w:tcPr>
          <w:p w14:paraId="6597FA7B">
            <w:pPr>
              <w:adjustRightInd w:val="0"/>
              <w:snapToGrid w:val="0"/>
              <w:spacing w:line="240" w:lineRule="auto"/>
              <w:ind w:firstLine="0" w:firstLineChars="0"/>
              <w:jc w:val="center"/>
              <w:rPr>
                <w:sz w:val="21"/>
                <w:szCs w:val="21"/>
                <w:lang w:val="zh-CN"/>
              </w:rPr>
            </w:pPr>
            <w:r>
              <w:rPr>
                <w:rFonts w:hint="eastAsia"/>
                <w:sz w:val="21"/>
                <w:szCs w:val="21"/>
                <w:lang w:val="zh-CN"/>
              </w:rPr>
              <w:t>颗粒物（粒径小于等于2</w:t>
            </w:r>
            <w:r>
              <w:rPr>
                <w:sz w:val="21"/>
                <w:szCs w:val="21"/>
                <w:lang w:val="zh-CN"/>
              </w:rPr>
              <w:t>.5μ</w:t>
            </w:r>
            <w:r>
              <w:rPr>
                <w:rFonts w:hint="eastAsia"/>
                <w:sz w:val="21"/>
                <w:szCs w:val="21"/>
                <w:lang w:val="zh-CN"/>
              </w:rPr>
              <w:t>m）</w:t>
            </w:r>
          </w:p>
        </w:tc>
        <w:tc>
          <w:tcPr>
            <w:tcW w:w="969" w:type="pct"/>
            <w:vAlign w:val="center"/>
          </w:tcPr>
          <w:p w14:paraId="363AC094">
            <w:pPr>
              <w:adjustRightInd w:val="0"/>
              <w:snapToGrid w:val="0"/>
              <w:spacing w:line="240" w:lineRule="auto"/>
              <w:ind w:firstLine="0" w:firstLineChars="0"/>
              <w:jc w:val="center"/>
              <w:rPr>
                <w:sz w:val="21"/>
                <w:szCs w:val="21"/>
                <w:lang w:val="zh-CN"/>
              </w:rPr>
            </w:pPr>
            <w:r>
              <w:rPr>
                <w:sz w:val="21"/>
                <w:szCs w:val="21"/>
                <w:lang w:val="zh-CN"/>
              </w:rPr>
              <w:t>年平均</w:t>
            </w:r>
          </w:p>
        </w:tc>
        <w:tc>
          <w:tcPr>
            <w:tcW w:w="290" w:type="pct"/>
            <w:vAlign w:val="center"/>
          </w:tcPr>
          <w:p w14:paraId="088D52C3">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5</w:t>
            </w:r>
          </w:p>
        </w:tc>
        <w:tc>
          <w:tcPr>
            <w:tcW w:w="290" w:type="pct"/>
            <w:vAlign w:val="center"/>
          </w:tcPr>
          <w:p w14:paraId="2810D135">
            <w:pPr>
              <w:adjustRightInd w:val="0"/>
              <w:snapToGrid w:val="0"/>
              <w:spacing w:line="240" w:lineRule="auto"/>
              <w:ind w:firstLine="0" w:firstLineChars="0"/>
              <w:jc w:val="center"/>
              <w:rPr>
                <w:sz w:val="21"/>
                <w:szCs w:val="21"/>
                <w:lang w:val="zh-CN"/>
              </w:rPr>
            </w:pPr>
            <w:r>
              <w:rPr>
                <w:rFonts w:hint="eastAsia"/>
                <w:sz w:val="21"/>
                <w:szCs w:val="21"/>
                <w:lang w:val="zh-CN"/>
              </w:rPr>
              <w:t>3</w:t>
            </w:r>
            <w:r>
              <w:rPr>
                <w:sz w:val="21"/>
                <w:szCs w:val="21"/>
                <w:lang w:val="zh-CN"/>
              </w:rPr>
              <w:t>5</w:t>
            </w:r>
          </w:p>
        </w:tc>
        <w:tc>
          <w:tcPr>
            <w:tcW w:w="362" w:type="pct"/>
            <w:vMerge w:val="continue"/>
            <w:vAlign w:val="center"/>
          </w:tcPr>
          <w:p w14:paraId="4ED1B80B">
            <w:pPr>
              <w:adjustRightInd w:val="0"/>
              <w:snapToGrid w:val="0"/>
              <w:spacing w:line="240" w:lineRule="auto"/>
              <w:ind w:firstLine="0" w:firstLineChars="0"/>
              <w:jc w:val="center"/>
              <w:rPr>
                <w:sz w:val="21"/>
                <w:szCs w:val="21"/>
                <w:lang w:val="zh-CN"/>
              </w:rPr>
            </w:pPr>
          </w:p>
        </w:tc>
        <w:tc>
          <w:tcPr>
            <w:tcW w:w="1628" w:type="pct"/>
            <w:vMerge w:val="continue"/>
            <w:vAlign w:val="center"/>
          </w:tcPr>
          <w:p w14:paraId="1CC2E5E8">
            <w:pPr>
              <w:adjustRightInd w:val="0"/>
              <w:snapToGrid w:val="0"/>
              <w:spacing w:line="240" w:lineRule="auto"/>
              <w:ind w:firstLine="0" w:firstLineChars="0"/>
              <w:jc w:val="center"/>
              <w:rPr>
                <w:sz w:val="21"/>
                <w:szCs w:val="21"/>
                <w:lang w:val="zh-CN"/>
              </w:rPr>
            </w:pPr>
          </w:p>
        </w:tc>
      </w:tr>
      <w:tr w14:paraId="41186FF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Merge w:val="continue"/>
            <w:vAlign w:val="center"/>
          </w:tcPr>
          <w:p w14:paraId="5FC6FF04">
            <w:pPr>
              <w:numPr>
                <w:ilvl w:val="0"/>
                <w:numId w:val="8"/>
              </w:numPr>
              <w:adjustRightInd w:val="0"/>
              <w:snapToGrid w:val="0"/>
              <w:spacing w:line="240" w:lineRule="auto"/>
              <w:ind w:firstLineChars="0"/>
              <w:jc w:val="center"/>
              <w:rPr>
                <w:sz w:val="21"/>
                <w:szCs w:val="21"/>
                <w:lang w:val="zh-CN"/>
              </w:rPr>
            </w:pPr>
          </w:p>
        </w:tc>
        <w:tc>
          <w:tcPr>
            <w:tcW w:w="1092" w:type="pct"/>
            <w:vMerge w:val="continue"/>
            <w:vAlign w:val="center"/>
          </w:tcPr>
          <w:p w14:paraId="129CA38B">
            <w:pPr>
              <w:adjustRightInd w:val="0"/>
              <w:snapToGrid w:val="0"/>
              <w:spacing w:line="240" w:lineRule="auto"/>
              <w:ind w:firstLine="0" w:firstLineChars="0"/>
              <w:jc w:val="center"/>
              <w:rPr>
                <w:sz w:val="21"/>
                <w:szCs w:val="21"/>
                <w:lang w:val="zh-CN"/>
              </w:rPr>
            </w:pPr>
          </w:p>
        </w:tc>
        <w:tc>
          <w:tcPr>
            <w:tcW w:w="969" w:type="pct"/>
            <w:vAlign w:val="center"/>
          </w:tcPr>
          <w:p w14:paraId="5D8D3207">
            <w:pPr>
              <w:adjustRightInd w:val="0"/>
              <w:snapToGrid w:val="0"/>
              <w:spacing w:line="240" w:lineRule="auto"/>
              <w:ind w:firstLine="0" w:firstLineChars="0"/>
              <w:jc w:val="center"/>
              <w:rPr>
                <w:sz w:val="21"/>
                <w:szCs w:val="21"/>
                <w:lang w:val="zh-CN"/>
              </w:rPr>
            </w:pPr>
            <w:r>
              <w:rPr>
                <w:sz w:val="21"/>
                <w:szCs w:val="21"/>
                <w:lang w:val="zh-CN"/>
              </w:rPr>
              <w:t>24小时平均</w:t>
            </w:r>
          </w:p>
        </w:tc>
        <w:tc>
          <w:tcPr>
            <w:tcW w:w="290" w:type="pct"/>
            <w:vAlign w:val="center"/>
          </w:tcPr>
          <w:p w14:paraId="4A91283F">
            <w:pPr>
              <w:adjustRightInd w:val="0"/>
              <w:snapToGrid w:val="0"/>
              <w:spacing w:line="240" w:lineRule="auto"/>
              <w:ind w:firstLine="0" w:firstLineChars="0"/>
              <w:jc w:val="center"/>
              <w:rPr>
                <w:sz w:val="21"/>
                <w:szCs w:val="21"/>
                <w:lang w:val="zh-CN"/>
              </w:rPr>
            </w:pPr>
            <w:r>
              <w:rPr>
                <w:rFonts w:hint="eastAsia"/>
                <w:sz w:val="21"/>
                <w:szCs w:val="21"/>
                <w:lang w:val="zh-CN"/>
              </w:rPr>
              <w:t>3</w:t>
            </w:r>
            <w:r>
              <w:rPr>
                <w:sz w:val="21"/>
                <w:szCs w:val="21"/>
                <w:lang w:val="zh-CN"/>
              </w:rPr>
              <w:t>5</w:t>
            </w:r>
          </w:p>
        </w:tc>
        <w:tc>
          <w:tcPr>
            <w:tcW w:w="290" w:type="pct"/>
            <w:vAlign w:val="center"/>
          </w:tcPr>
          <w:p w14:paraId="1D32991F">
            <w:pPr>
              <w:adjustRightInd w:val="0"/>
              <w:snapToGrid w:val="0"/>
              <w:spacing w:line="240" w:lineRule="auto"/>
              <w:ind w:firstLine="0" w:firstLineChars="0"/>
              <w:jc w:val="center"/>
              <w:rPr>
                <w:sz w:val="21"/>
                <w:szCs w:val="21"/>
                <w:lang w:val="zh-CN"/>
              </w:rPr>
            </w:pPr>
            <w:r>
              <w:rPr>
                <w:rFonts w:hint="eastAsia"/>
                <w:sz w:val="21"/>
                <w:szCs w:val="21"/>
                <w:lang w:val="zh-CN"/>
              </w:rPr>
              <w:t>7</w:t>
            </w:r>
            <w:r>
              <w:rPr>
                <w:sz w:val="21"/>
                <w:szCs w:val="21"/>
                <w:lang w:val="zh-CN"/>
              </w:rPr>
              <w:t>5</w:t>
            </w:r>
          </w:p>
        </w:tc>
        <w:tc>
          <w:tcPr>
            <w:tcW w:w="362" w:type="pct"/>
            <w:vMerge w:val="continue"/>
            <w:vAlign w:val="center"/>
          </w:tcPr>
          <w:p w14:paraId="166A4A80">
            <w:pPr>
              <w:adjustRightInd w:val="0"/>
              <w:snapToGrid w:val="0"/>
              <w:spacing w:line="240" w:lineRule="auto"/>
              <w:ind w:firstLine="0" w:firstLineChars="0"/>
              <w:jc w:val="center"/>
              <w:rPr>
                <w:sz w:val="21"/>
                <w:szCs w:val="21"/>
                <w:lang w:val="zh-CN"/>
              </w:rPr>
            </w:pPr>
          </w:p>
        </w:tc>
        <w:tc>
          <w:tcPr>
            <w:tcW w:w="1628" w:type="pct"/>
            <w:vMerge w:val="continue"/>
            <w:vAlign w:val="center"/>
          </w:tcPr>
          <w:p w14:paraId="1C37C9D2">
            <w:pPr>
              <w:adjustRightInd w:val="0"/>
              <w:snapToGrid w:val="0"/>
              <w:spacing w:line="240" w:lineRule="auto"/>
              <w:ind w:firstLine="0" w:firstLineChars="0"/>
              <w:jc w:val="center"/>
              <w:rPr>
                <w:sz w:val="21"/>
                <w:szCs w:val="21"/>
                <w:lang w:val="zh-CN"/>
              </w:rPr>
            </w:pPr>
          </w:p>
        </w:tc>
      </w:tr>
      <w:tr w14:paraId="6654C37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Align w:val="center"/>
          </w:tcPr>
          <w:p w14:paraId="5E807002">
            <w:pPr>
              <w:numPr>
                <w:ilvl w:val="0"/>
                <w:numId w:val="8"/>
              </w:numPr>
              <w:adjustRightInd w:val="0"/>
              <w:snapToGrid w:val="0"/>
              <w:spacing w:line="240" w:lineRule="auto"/>
              <w:ind w:firstLineChars="0"/>
              <w:jc w:val="center"/>
              <w:rPr>
                <w:sz w:val="21"/>
                <w:szCs w:val="21"/>
                <w:lang w:val="zh-CN"/>
              </w:rPr>
            </w:pPr>
          </w:p>
        </w:tc>
        <w:tc>
          <w:tcPr>
            <w:tcW w:w="1092" w:type="pct"/>
            <w:vAlign w:val="center"/>
          </w:tcPr>
          <w:p w14:paraId="0CA80470">
            <w:pPr>
              <w:adjustRightInd w:val="0"/>
              <w:snapToGrid w:val="0"/>
              <w:spacing w:line="240" w:lineRule="auto"/>
              <w:ind w:firstLine="0" w:firstLineChars="0"/>
              <w:jc w:val="center"/>
              <w:rPr>
                <w:sz w:val="21"/>
                <w:szCs w:val="21"/>
                <w:lang w:val="zh-CN"/>
              </w:rPr>
            </w:pPr>
            <w:r>
              <w:rPr>
                <w:rFonts w:hint="eastAsia"/>
                <w:sz w:val="21"/>
                <w:szCs w:val="21"/>
                <w:lang w:val="zh-CN"/>
              </w:rPr>
              <w:t>非甲烷总烃</w:t>
            </w:r>
          </w:p>
        </w:tc>
        <w:tc>
          <w:tcPr>
            <w:tcW w:w="969" w:type="pct"/>
            <w:vAlign w:val="center"/>
          </w:tcPr>
          <w:p w14:paraId="0B7FE34E">
            <w:pPr>
              <w:adjustRightInd w:val="0"/>
              <w:snapToGrid w:val="0"/>
              <w:spacing w:line="240" w:lineRule="auto"/>
              <w:ind w:firstLine="0" w:firstLineChars="0"/>
              <w:jc w:val="center"/>
              <w:rPr>
                <w:sz w:val="21"/>
                <w:szCs w:val="21"/>
                <w:lang w:val="zh-CN"/>
              </w:rPr>
            </w:pPr>
            <w:r>
              <w:rPr>
                <w:rFonts w:hint="eastAsia"/>
                <w:sz w:val="21"/>
                <w:szCs w:val="21"/>
                <w:lang w:val="zh-CN"/>
              </w:rPr>
              <w:t>1h平均</w:t>
            </w:r>
          </w:p>
        </w:tc>
        <w:tc>
          <w:tcPr>
            <w:tcW w:w="580" w:type="pct"/>
            <w:gridSpan w:val="2"/>
            <w:vAlign w:val="center"/>
          </w:tcPr>
          <w:p w14:paraId="0D60512C">
            <w:pPr>
              <w:adjustRightInd w:val="0"/>
              <w:snapToGrid w:val="0"/>
              <w:spacing w:line="240" w:lineRule="auto"/>
              <w:ind w:firstLine="0" w:firstLineChars="0"/>
              <w:jc w:val="center"/>
              <w:rPr>
                <w:sz w:val="21"/>
                <w:szCs w:val="21"/>
                <w:lang w:val="zh-CN"/>
              </w:rPr>
            </w:pPr>
            <w:r>
              <w:rPr>
                <w:sz w:val="21"/>
                <w:szCs w:val="21"/>
                <w:lang w:val="zh-CN"/>
              </w:rPr>
              <w:t>2.0</w:t>
            </w:r>
          </w:p>
        </w:tc>
        <w:tc>
          <w:tcPr>
            <w:tcW w:w="362" w:type="pct"/>
            <w:vAlign w:val="center"/>
          </w:tcPr>
          <w:p w14:paraId="2A5311EB">
            <w:pPr>
              <w:adjustRightInd w:val="0"/>
              <w:snapToGrid w:val="0"/>
              <w:spacing w:line="240" w:lineRule="auto"/>
              <w:ind w:firstLine="0" w:firstLineChars="0"/>
              <w:jc w:val="center"/>
              <w:rPr>
                <w:sz w:val="21"/>
                <w:szCs w:val="21"/>
                <w:vertAlign w:val="superscript"/>
                <w:lang w:val="zh-CN"/>
              </w:rPr>
            </w:pPr>
            <w:r>
              <w:rPr>
                <w:sz w:val="21"/>
                <w:szCs w:val="21"/>
                <w:lang w:val="zh-CN"/>
              </w:rPr>
              <w:t>mg/m</w:t>
            </w:r>
            <w:r>
              <w:rPr>
                <w:sz w:val="21"/>
                <w:szCs w:val="21"/>
                <w:vertAlign w:val="superscript"/>
                <w:lang w:val="zh-CN"/>
              </w:rPr>
              <w:t>3</w:t>
            </w:r>
          </w:p>
        </w:tc>
        <w:tc>
          <w:tcPr>
            <w:tcW w:w="1628" w:type="pct"/>
            <w:vAlign w:val="center"/>
          </w:tcPr>
          <w:p w14:paraId="0A3774EE">
            <w:pPr>
              <w:adjustRightInd w:val="0"/>
              <w:snapToGrid w:val="0"/>
              <w:spacing w:line="240" w:lineRule="auto"/>
              <w:ind w:firstLine="0" w:firstLineChars="0"/>
              <w:jc w:val="center"/>
              <w:rPr>
                <w:sz w:val="21"/>
                <w:szCs w:val="21"/>
                <w:lang w:val="zh-CN"/>
              </w:rPr>
            </w:pPr>
            <w:r>
              <w:rPr>
                <w:rFonts w:hint="eastAsia"/>
                <w:sz w:val="21"/>
                <w:szCs w:val="21"/>
                <w:lang w:val="zh-CN"/>
              </w:rPr>
              <w:t>《大气污染物综合排放标准详解》</w:t>
            </w:r>
          </w:p>
        </w:tc>
      </w:tr>
      <w:tr w14:paraId="2C76CC6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Align w:val="center"/>
          </w:tcPr>
          <w:p w14:paraId="59B9C60A">
            <w:pPr>
              <w:numPr>
                <w:ilvl w:val="0"/>
                <w:numId w:val="8"/>
              </w:numPr>
              <w:adjustRightInd w:val="0"/>
              <w:snapToGrid w:val="0"/>
              <w:spacing w:line="240" w:lineRule="auto"/>
              <w:ind w:firstLineChars="0"/>
              <w:jc w:val="center"/>
              <w:rPr>
                <w:sz w:val="21"/>
                <w:szCs w:val="21"/>
                <w:lang w:val="zh-CN"/>
              </w:rPr>
            </w:pPr>
          </w:p>
        </w:tc>
        <w:tc>
          <w:tcPr>
            <w:tcW w:w="1092" w:type="pct"/>
            <w:vAlign w:val="center"/>
          </w:tcPr>
          <w:p w14:paraId="3D95DC1C">
            <w:pPr>
              <w:adjustRightInd w:val="0"/>
              <w:snapToGrid w:val="0"/>
              <w:spacing w:line="240" w:lineRule="auto"/>
              <w:ind w:firstLine="0" w:firstLineChars="0"/>
              <w:jc w:val="center"/>
              <w:rPr>
                <w:sz w:val="21"/>
                <w:szCs w:val="21"/>
                <w:lang w:val="zh-CN"/>
              </w:rPr>
            </w:pPr>
            <w:r>
              <w:rPr>
                <w:rFonts w:hint="eastAsia"/>
                <w:sz w:val="21"/>
                <w:szCs w:val="21"/>
                <w:lang w:val="zh-CN"/>
              </w:rPr>
              <w:t>硫酸雾</w:t>
            </w:r>
          </w:p>
        </w:tc>
        <w:tc>
          <w:tcPr>
            <w:tcW w:w="969" w:type="pct"/>
            <w:vAlign w:val="center"/>
          </w:tcPr>
          <w:p w14:paraId="3BF7FDC1">
            <w:pPr>
              <w:adjustRightInd w:val="0"/>
              <w:snapToGrid w:val="0"/>
              <w:spacing w:line="240" w:lineRule="auto"/>
              <w:ind w:firstLine="0" w:firstLineChars="0"/>
              <w:jc w:val="center"/>
              <w:rPr>
                <w:sz w:val="21"/>
                <w:szCs w:val="21"/>
                <w:lang w:val="zh-CN"/>
              </w:rPr>
            </w:pPr>
            <w:r>
              <w:rPr>
                <w:rFonts w:hint="eastAsia"/>
                <w:sz w:val="21"/>
                <w:szCs w:val="21"/>
                <w:lang w:val="zh-CN"/>
              </w:rPr>
              <w:t>1h平均</w:t>
            </w:r>
          </w:p>
        </w:tc>
        <w:tc>
          <w:tcPr>
            <w:tcW w:w="580" w:type="pct"/>
            <w:gridSpan w:val="2"/>
            <w:vAlign w:val="center"/>
          </w:tcPr>
          <w:p w14:paraId="64F9E6D6">
            <w:pPr>
              <w:adjustRightInd w:val="0"/>
              <w:snapToGrid w:val="0"/>
              <w:spacing w:line="240" w:lineRule="auto"/>
              <w:ind w:firstLine="0" w:firstLineChars="0"/>
              <w:jc w:val="center"/>
              <w:rPr>
                <w:sz w:val="21"/>
                <w:szCs w:val="21"/>
                <w:lang w:val="zh-CN"/>
              </w:rPr>
            </w:pPr>
            <w:r>
              <w:rPr>
                <w:rFonts w:hint="eastAsia"/>
                <w:sz w:val="21"/>
                <w:szCs w:val="21"/>
                <w:lang w:val="zh-CN"/>
              </w:rPr>
              <w:t>3</w:t>
            </w:r>
            <w:r>
              <w:rPr>
                <w:sz w:val="21"/>
                <w:szCs w:val="21"/>
                <w:lang w:val="zh-CN"/>
              </w:rPr>
              <w:t>00</w:t>
            </w:r>
          </w:p>
        </w:tc>
        <w:tc>
          <w:tcPr>
            <w:tcW w:w="362" w:type="pct"/>
            <w:vMerge w:val="restart"/>
            <w:vAlign w:val="center"/>
          </w:tcPr>
          <w:p w14:paraId="118F7AF4">
            <w:pPr>
              <w:adjustRightInd w:val="0"/>
              <w:snapToGrid w:val="0"/>
              <w:spacing w:line="240" w:lineRule="auto"/>
              <w:ind w:firstLine="0" w:firstLineChars="0"/>
              <w:jc w:val="center"/>
              <w:rPr>
                <w:sz w:val="21"/>
                <w:szCs w:val="21"/>
                <w:lang w:val="zh-CN"/>
              </w:rPr>
            </w:pPr>
            <w:r>
              <w:rPr>
                <w:sz w:val="21"/>
                <w:szCs w:val="21"/>
                <w:lang w:val="zh-CN"/>
              </w:rPr>
              <w:t>μg/m</w:t>
            </w:r>
            <w:r>
              <w:rPr>
                <w:sz w:val="21"/>
                <w:szCs w:val="21"/>
                <w:vertAlign w:val="superscript"/>
                <w:lang w:val="zh-CN"/>
              </w:rPr>
              <w:t>3</w:t>
            </w:r>
          </w:p>
        </w:tc>
        <w:tc>
          <w:tcPr>
            <w:tcW w:w="1628" w:type="pct"/>
            <w:vMerge w:val="restart"/>
            <w:vAlign w:val="center"/>
          </w:tcPr>
          <w:p w14:paraId="5EC9692A">
            <w:pPr>
              <w:adjustRightInd w:val="0"/>
              <w:snapToGrid w:val="0"/>
              <w:spacing w:line="240" w:lineRule="auto"/>
              <w:ind w:firstLine="0" w:firstLineChars="0"/>
              <w:jc w:val="center"/>
              <w:rPr>
                <w:sz w:val="21"/>
                <w:szCs w:val="21"/>
                <w:lang w:val="zh-CN"/>
              </w:rPr>
            </w:pPr>
            <w:r>
              <w:rPr>
                <w:rFonts w:hint="eastAsia"/>
                <w:sz w:val="21"/>
                <w:szCs w:val="21"/>
                <w:lang w:val="zh-CN"/>
              </w:rPr>
              <w:t>《环境影响评价技术导则 大气环境》（HJ</w:t>
            </w:r>
            <w:r>
              <w:rPr>
                <w:sz w:val="21"/>
                <w:szCs w:val="21"/>
                <w:lang w:val="zh-CN"/>
              </w:rPr>
              <w:t>2.2-2018</w:t>
            </w:r>
            <w:r>
              <w:rPr>
                <w:rFonts w:hint="eastAsia"/>
                <w:sz w:val="21"/>
                <w:szCs w:val="21"/>
                <w:lang w:val="zh-CN"/>
              </w:rPr>
              <w:t>）附录D</w:t>
            </w:r>
          </w:p>
        </w:tc>
      </w:tr>
      <w:tr w14:paraId="4A58D75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Align w:val="center"/>
          </w:tcPr>
          <w:p w14:paraId="3C8088FC">
            <w:pPr>
              <w:numPr>
                <w:ilvl w:val="0"/>
                <w:numId w:val="8"/>
              </w:numPr>
              <w:adjustRightInd w:val="0"/>
              <w:snapToGrid w:val="0"/>
              <w:spacing w:line="240" w:lineRule="auto"/>
              <w:ind w:firstLineChars="0"/>
              <w:jc w:val="center"/>
              <w:rPr>
                <w:sz w:val="21"/>
                <w:szCs w:val="21"/>
                <w:lang w:val="zh-CN"/>
              </w:rPr>
            </w:pPr>
          </w:p>
        </w:tc>
        <w:tc>
          <w:tcPr>
            <w:tcW w:w="1092" w:type="pct"/>
            <w:vAlign w:val="center"/>
          </w:tcPr>
          <w:p w14:paraId="57C7EE06">
            <w:pPr>
              <w:adjustRightInd w:val="0"/>
              <w:snapToGrid w:val="0"/>
              <w:spacing w:line="240" w:lineRule="auto"/>
              <w:ind w:firstLine="0" w:firstLineChars="0"/>
              <w:jc w:val="center"/>
              <w:rPr>
                <w:sz w:val="21"/>
                <w:szCs w:val="21"/>
                <w:lang w:val="zh-CN"/>
              </w:rPr>
            </w:pPr>
            <w:r>
              <w:rPr>
                <w:rFonts w:hint="eastAsia"/>
                <w:sz w:val="21"/>
                <w:szCs w:val="21"/>
                <w:lang w:val="zh-CN"/>
              </w:rPr>
              <w:t>氨</w:t>
            </w:r>
          </w:p>
        </w:tc>
        <w:tc>
          <w:tcPr>
            <w:tcW w:w="969" w:type="pct"/>
            <w:vAlign w:val="center"/>
          </w:tcPr>
          <w:p w14:paraId="3A8B90D3">
            <w:pPr>
              <w:adjustRightInd w:val="0"/>
              <w:snapToGrid w:val="0"/>
              <w:spacing w:line="240" w:lineRule="auto"/>
              <w:ind w:firstLine="0" w:firstLineChars="0"/>
              <w:jc w:val="center"/>
              <w:rPr>
                <w:sz w:val="21"/>
                <w:szCs w:val="21"/>
                <w:lang w:val="zh-CN"/>
              </w:rPr>
            </w:pPr>
            <w:r>
              <w:rPr>
                <w:rFonts w:hint="eastAsia"/>
                <w:sz w:val="21"/>
                <w:szCs w:val="21"/>
                <w:lang w:val="zh-CN"/>
              </w:rPr>
              <w:t>1h平均</w:t>
            </w:r>
          </w:p>
        </w:tc>
        <w:tc>
          <w:tcPr>
            <w:tcW w:w="580" w:type="pct"/>
            <w:gridSpan w:val="2"/>
            <w:vAlign w:val="center"/>
          </w:tcPr>
          <w:p w14:paraId="1E9C1B9F">
            <w:pPr>
              <w:adjustRightInd w:val="0"/>
              <w:snapToGrid w:val="0"/>
              <w:spacing w:line="240" w:lineRule="auto"/>
              <w:ind w:firstLine="0" w:firstLineChars="0"/>
              <w:jc w:val="center"/>
              <w:rPr>
                <w:sz w:val="21"/>
                <w:szCs w:val="21"/>
                <w:lang w:val="zh-CN"/>
              </w:rPr>
            </w:pPr>
            <w:r>
              <w:rPr>
                <w:rFonts w:hint="eastAsia"/>
                <w:sz w:val="21"/>
                <w:szCs w:val="21"/>
                <w:lang w:val="zh-CN"/>
              </w:rPr>
              <w:t>2</w:t>
            </w:r>
            <w:r>
              <w:rPr>
                <w:sz w:val="21"/>
                <w:szCs w:val="21"/>
                <w:lang w:val="zh-CN"/>
              </w:rPr>
              <w:t>00</w:t>
            </w:r>
          </w:p>
        </w:tc>
        <w:tc>
          <w:tcPr>
            <w:tcW w:w="362" w:type="pct"/>
            <w:vMerge w:val="continue"/>
            <w:vAlign w:val="center"/>
          </w:tcPr>
          <w:p w14:paraId="47A4F0F5">
            <w:pPr>
              <w:adjustRightInd w:val="0"/>
              <w:snapToGrid w:val="0"/>
              <w:spacing w:line="240" w:lineRule="auto"/>
              <w:ind w:firstLine="0" w:firstLineChars="0"/>
              <w:jc w:val="center"/>
              <w:rPr>
                <w:sz w:val="21"/>
                <w:szCs w:val="21"/>
                <w:lang w:val="zh-CN"/>
              </w:rPr>
            </w:pPr>
          </w:p>
        </w:tc>
        <w:tc>
          <w:tcPr>
            <w:tcW w:w="1628" w:type="pct"/>
            <w:vMerge w:val="continue"/>
            <w:vAlign w:val="center"/>
          </w:tcPr>
          <w:p w14:paraId="329BDCB3">
            <w:pPr>
              <w:adjustRightInd w:val="0"/>
              <w:snapToGrid w:val="0"/>
              <w:spacing w:line="240" w:lineRule="auto"/>
              <w:ind w:firstLine="0" w:firstLineChars="0"/>
              <w:jc w:val="center"/>
              <w:rPr>
                <w:sz w:val="21"/>
                <w:szCs w:val="21"/>
                <w:lang w:val="zh-CN"/>
              </w:rPr>
            </w:pPr>
          </w:p>
        </w:tc>
      </w:tr>
      <w:tr w14:paraId="64227A0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69" w:type="pct"/>
            <w:vAlign w:val="center"/>
          </w:tcPr>
          <w:p w14:paraId="1D9F3534">
            <w:pPr>
              <w:numPr>
                <w:ilvl w:val="0"/>
                <w:numId w:val="8"/>
              </w:numPr>
              <w:adjustRightInd w:val="0"/>
              <w:snapToGrid w:val="0"/>
              <w:spacing w:line="240" w:lineRule="auto"/>
              <w:ind w:firstLineChars="0"/>
              <w:jc w:val="center"/>
              <w:rPr>
                <w:sz w:val="21"/>
                <w:szCs w:val="21"/>
                <w:lang w:val="zh-CN"/>
              </w:rPr>
            </w:pPr>
          </w:p>
        </w:tc>
        <w:tc>
          <w:tcPr>
            <w:tcW w:w="1092" w:type="pct"/>
            <w:vAlign w:val="center"/>
          </w:tcPr>
          <w:p w14:paraId="65067CE4">
            <w:pPr>
              <w:adjustRightInd w:val="0"/>
              <w:snapToGrid w:val="0"/>
              <w:spacing w:line="240" w:lineRule="auto"/>
              <w:ind w:firstLine="0" w:firstLineChars="0"/>
              <w:jc w:val="center"/>
              <w:rPr>
                <w:sz w:val="21"/>
                <w:szCs w:val="21"/>
                <w:lang w:val="zh-CN"/>
              </w:rPr>
            </w:pPr>
            <w:r>
              <w:rPr>
                <w:rFonts w:hint="eastAsia"/>
                <w:sz w:val="21"/>
                <w:szCs w:val="21"/>
                <w:lang w:val="zh-CN"/>
              </w:rPr>
              <w:t>硫化氢</w:t>
            </w:r>
          </w:p>
        </w:tc>
        <w:tc>
          <w:tcPr>
            <w:tcW w:w="969" w:type="pct"/>
            <w:vAlign w:val="center"/>
          </w:tcPr>
          <w:p w14:paraId="0D445D51">
            <w:pPr>
              <w:adjustRightInd w:val="0"/>
              <w:snapToGrid w:val="0"/>
              <w:spacing w:line="240" w:lineRule="auto"/>
              <w:ind w:firstLine="0" w:firstLineChars="0"/>
              <w:jc w:val="center"/>
              <w:rPr>
                <w:sz w:val="21"/>
                <w:szCs w:val="21"/>
                <w:lang w:val="zh-CN"/>
              </w:rPr>
            </w:pPr>
            <w:r>
              <w:rPr>
                <w:rFonts w:hint="eastAsia"/>
                <w:sz w:val="21"/>
                <w:szCs w:val="21"/>
                <w:lang w:val="zh-CN"/>
              </w:rPr>
              <w:t>1h平均</w:t>
            </w:r>
          </w:p>
        </w:tc>
        <w:tc>
          <w:tcPr>
            <w:tcW w:w="580" w:type="pct"/>
            <w:gridSpan w:val="2"/>
            <w:vAlign w:val="center"/>
          </w:tcPr>
          <w:p w14:paraId="06A7698B">
            <w:pPr>
              <w:adjustRightInd w:val="0"/>
              <w:snapToGrid w:val="0"/>
              <w:spacing w:line="240" w:lineRule="auto"/>
              <w:ind w:firstLine="0" w:firstLineChars="0"/>
              <w:jc w:val="center"/>
              <w:rPr>
                <w:sz w:val="21"/>
                <w:szCs w:val="21"/>
                <w:lang w:val="zh-CN"/>
              </w:rPr>
            </w:pPr>
            <w:r>
              <w:rPr>
                <w:rFonts w:hint="eastAsia"/>
                <w:sz w:val="21"/>
                <w:szCs w:val="21"/>
                <w:lang w:val="zh-CN"/>
              </w:rPr>
              <w:t>1</w:t>
            </w:r>
            <w:r>
              <w:rPr>
                <w:sz w:val="21"/>
                <w:szCs w:val="21"/>
                <w:lang w:val="zh-CN"/>
              </w:rPr>
              <w:t>0</w:t>
            </w:r>
          </w:p>
        </w:tc>
        <w:tc>
          <w:tcPr>
            <w:tcW w:w="362" w:type="pct"/>
            <w:vMerge w:val="continue"/>
            <w:vAlign w:val="center"/>
          </w:tcPr>
          <w:p w14:paraId="45229A50">
            <w:pPr>
              <w:adjustRightInd w:val="0"/>
              <w:snapToGrid w:val="0"/>
              <w:spacing w:line="240" w:lineRule="auto"/>
              <w:ind w:firstLine="0" w:firstLineChars="0"/>
              <w:jc w:val="center"/>
              <w:rPr>
                <w:sz w:val="21"/>
                <w:szCs w:val="21"/>
                <w:lang w:val="zh-CN"/>
              </w:rPr>
            </w:pPr>
          </w:p>
        </w:tc>
        <w:tc>
          <w:tcPr>
            <w:tcW w:w="1628" w:type="pct"/>
            <w:vMerge w:val="continue"/>
            <w:vAlign w:val="center"/>
          </w:tcPr>
          <w:p w14:paraId="610DDEE3">
            <w:pPr>
              <w:adjustRightInd w:val="0"/>
              <w:snapToGrid w:val="0"/>
              <w:spacing w:line="240" w:lineRule="auto"/>
              <w:ind w:firstLine="0" w:firstLineChars="0"/>
              <w:jc w:val="center"/>
              <w:rPr>
                <w:sz w:val="21"/>
                <w:szCs w:val="21"/>
                <w:lang w:val="zh-CN"/>
              </w:rPr>
            </w:pPr>
          </w:p>
        </w:tc>
      </w:tr>
    </w:tbl>
    <w:p w14:paraId="0AB4A7B3">
      <w:pPr>
        <w:pStyle w:val="45"/>
        <w:spacing w:before="65" w:after="65"/>
      </w:pPr>
      <w:r>
        <w:rPr>
          <w:rFonts w:hint="eastAsia"/>
        </w:rPr>
        <w:t>地下水环境</w:t>
      </w:r>
    </w:p>
    <w:p w14:paraId="25031CAF">
      <w:pPr>
        <w:ind w:firstLine="480"/>
      </w:pPr>
      <w:r>
        <w:rPr>
          <w:rFonts w:hint="eastAsia"/>
        </w:rPr>
        <w:t>评价区域内地下水环境执行《地下水质量标准》（GB/T14848-2017）中的</w:t>
      </w:r>
      <w:r>
        <w:t>Ⅲ</w:t>
      </w:r>
      <w:r>
        <w:rPr>
          <w:rFonts w:hint="eastAsia"/>
        </w:rPr>
        <w:t>类标准，地下水标准值见下表。</w:t>
      </w:r>
    </w:p>
    <w:p w14:paraId="46733568">
      <w:pPr>
        <w:pStyle w:val="47"/>
        <w:spacing w:before="65"/>
      </w:pPr>
      <w:r>
        <w:rPr>
          <w:rFonts w:hint="eastAsia"/>
        </w:rPr>
        <w:t>表2</w:t>
      </w:r>
      <w:r>
        <w:t xml:space="preserve">.5-2   </w:t>
      </w:r>
      <w:r>
        <w:rPr>
          <w:rFonts w:hint="eastAsia"/>
        </w:rPr>
        <w:t xml:space="preserve">地下水质量标准 </w:t>
      </w:r>
      <w:r>
        <w:t xml:space="preserve">  </w:t>
      </w:r>
      <w:r>
        <w:rPr>
          <w:rFonts w:hint="eastAsia"/>
        </w:rPr>
        <w:t>（单位：mg</w:t>
      </w:r>
      <w:r>
        <w:t>/</w:t>
      </w:r>
      <w:r>
        <w:rPr>
          <w:rFonts w:hint="eastAsia"/>
        </w:rPr>
        <w:t>L</w:t>
      </w:r>
      <w:r>
        <w:t xml:space="preserve">  </w:t>
      </w:r>
      <w:r>
        <w:rPr>
          <w:rFonts w:hint="eastAsia"/>
        </w:rPr>
        <w:t>pH除外）</w:t>
      </w:r>
    </w:p>
    <w:tbl>
      <w:tblPr>
        <w:tblStyle w:val="30"/>
        <w:tblW w:w="5074"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620"/>
        <w:gridCol w:w="661"/>
        <w:gridCol w:w="742"/>
        <w:gridCol w:w="1019"/>
        <w:gridCol w:w="491"/>
        <w:gridCol w:w="833"/>
        <w:gridCol w:w="608"/>
        <w:gridCol w:w="657"/>
        <w:gridCol w:w="659"/>
        <w:gridCol w:w="659"/>
        <w:gridCol w:w="1141"/>
        <w:gridCol w:w="769"/>
      </w:tblGrid>
      <w:tr w14:paraId="47DED77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350" w:type="pct"/>
            <w:tcMar>
              <w:left w:w="0" w:type="dxa"/>
              <w:right w:w="0" w:type="dxa"/>
            </w:tcMar>
            <w:vAlign w:val="center"/>
          </w:tcPr>
          <w:p w14:paraId="35CD2BBC">
            <w:pPr>
              <w:adjustRightInd w:val="0"/>
              <w:snapToGrid w:val="0"/>
              <w:spacing w:line="240" w:lineRule="auto"/>
              <w:ind w:firstLine="0" w:firstLineChars="0"/>
              <w:jc w:val="center"/>
              <w:rPr>
                <w:sz w:val="21"/>
                <w:szCs w:val="20"/>
              </w:rPr>
            </w:pPr>
            <w:r>
              <w:rPr>
                <w:sz w:val="21"/>
                <w:szCs w:val="20"/>
              </w:rPr>
              <w:t>项目</w:t>
            </w:r>
          </w:p>
        </w:tc>
        <w:tc>
          <w:tcPr>
            <w:tcW w:w="373" w:type="pct"/>
            <w:tcMar>
              <w:left w:w="0" w:type="dxa"/>
              <w:right w:w="0" w:type="dxa"/>
            </w:tcMar>
            <w:vAlign w:val="center"/>
          </w:tcPr>
          <w:p w14:paraId="1D5CD5CD">
            <w:pPr>
              <w:adjustRightInd w:val="0"/>
              <w:snapToGrid w:val="0"/>
              <w:spacing w:line="240" w:lineRule="auto"/>
              <w:ind w:firstLine="0" w:firstLineChars="0"/>
              <w:jc w:val="center"/>
              <w:rPr>
                <w:sz w:val="21"/>
                <w:szCs w:val="20"/>
              </w:rPr>
            </w:pPr>
            <w:r>
              <w:rPr>
                <w:sz w:val="21"/>
                <w:szCs w:val="20"/>
              </w:rPr>
              <w:t>pH</w:t>
            </w:r>
          </w:p>
        </w:tc>
        <w:tc>
          <w:tcPr>
            <w:tcW w:w="419" w:type="pct"/>
            <w:vAlign w:val="center"/>
          </w:tcPr>
          <w:p w14:paraId="4A4DA5EB">
            <w:pPr>
              <w:adjustRightInd w:val="0"/>
              <w:snapToGrid w:val="0"/>
              <w:spacing w:line="240" w:lineRule="auto"/>
              <w:ind w:firstLine="0" w:firstLineChars="0"/>
              <w:jc w:val="center"/>
              <w:rPr>
                <w:sz w:val="21"/>
                <w:szCs w:val="20"/>
              </w:rPr>
            </w:pPr>
            <w:r>
              <w:rPr>
                <w:sz w:val="21"/>
                <w:szCs w:val="20"/>
              </w:rPr>
              <w:t>总硬度</w:t>
            </w:r>
          </w:p>
        </w:tc>
        <w:tc>
          <w:tcPr>
            <w:tcW w:w="575" w:type="pct"/>
            <w:vAlign w:val="center"/>
          </w:tcPr>
          <w:p w14:paraId="374E8ADF">
            <w:pPr>
              <w:adjustRightInd w:val="0"/>
              <w:snapToGrid w:val="0"/>
              <w:spacing w:line="240" w:lineRule="auto"/>
              <w:ind w:firstLine="0" w:firstLineChars="0"/>
              <w:jc w:val="center"/>
              <w:rPr>
                <w:sz w:val="21"/>
                <w:szCs w:val="20"/>
              </w:rPr>
            </w:pPr>
            <w:r>
              <w:rPr>
                <w:sz w:val="21"/>
                <w:szCs w:val="20"/>
              </w:rPr>
              <w:t>溶解性总固体</w:t>
            </w:r>
          </w:p>
        </w:tc>
        <w:tc>
          <w:tcPr>
            <w:tcW w:w="277" w:type="pct"/>
            <w:tcMar>
              <w:left w:w="0" w:type="dxa"/>
              <w:right w:w="0" w:type="dxa"/>
            </w:tcMar>
            <w:vAlign w:val="center"/>
          </w:tcPr>
          <w:p w14:paraId="647E1569">
            <w:pPr>
              <w:adjustRightInd w:val="0"/>
              <w:snapToGrid w:val="0"/>
              <w:spacing w:line="240" w:lineRule="auto"/>
              <w:ind w:firstLine="0" w:firstLineChars="0"/>
              <w:jc w:val="center"/>
              <w:rPr>
                <w:sz w:val="21"/>
                <w:szCs w:val="20"/>
              </w:rPr>
            </w:pPr>
            <w:r>
              <w:rPr>
                <w:sz w:val="21"/>
                <w:szCs w:val="20"/>
              </w:rPr>
              <w:t>硫酸盐</w:t>
            </w:r>
          </w:p>
        </w:tc>
        <w:tc>
          <w:tcPr>
            <w:tcW w:w="470" w:type="pct"/>
            <w:tcMar>
              <w:left w:w="0" w:type="dxa"/>
              <w:right w:w="0" w:type="dxa"/>
            </w:tcMar>
            <w:vAlign w:val="center"/>
          </w:tcPr>
          <w:p w14:paraId="5B03A334">
            <w:pPr>
              <w:adjustRightInd w:val="0"/>
              <w:snapToGrid w:val="0"/>
              <w:spacing w:line="240" w:lineRule="auto"/>
              <w:ind w:firstLine="0" w:firstLineChars="0"/>
              <w:jc w:val="center"/>
              <w:rPr>
                <w:sz w:val="21"/>
                <w:szCs w:val="20"/>
              </w:rPr>
            </w:pPr>
            <w:r>
              <w:rPr>
                <w:sz w:val="21"/>
                <w:szCs w:val="20"/>
              </w:rPr>
              <w:t>氯化物</w:t>
            </w:r>
          </w:p>
        </w:tc>
        <w:tc>
          <w:tcPr>
            <w:tcW w:w="343" w:type="pct"/>
            <w:tcMar>
              <w:left w:w="0" w:type="dxa"/>
              <w:right w:w="0" w:type="dxa"/>
            </w:tcMar>
            <w:vAlign w:val="center"/>
          </w:tcPr>
          <w:p w14:paraId="7682EEA1">
            <w:pPr>
              <w:adjustRightInd w:val="0"/>
              <w:snapToGrid w:val="0"/>
              <w:spacing w:line="240" w:lineRule="auto"/>
              <w:ind w:firstLine="0" w:firstLineChars="0"/>
              <w:jc w:val="center"/>
              <w:rPr>
                <w:sz w:val="21"/>
                <w:szCs w:val="20"/>
              </w:rPr>
            </w:pPr>
            <w:r>
              <w:rPr>
                <w:sz w:val="21"/>
                <w:szCs w:val="20"/>
              </w:rPr>
              <w:t>挥发酚</w:t>
            </w:r>
          </w:p>
        </w:tc>
        <w:tc>
          <w:tcPr>
            <w:tcW w:w="371" w:type="pct"/>
            <w:tcMar>
              <w:left w:w="0" w:type="dxa"/>
              <w:right w:w="0" w:type="dxa"/>
            </w:tcMar>
            <w:vAlign w:val="center"/>
          </w:tcPr>
          <w:p w14:paraId="39B88317">
            <w:pPr>
              <w:adjustRightInd w:val="0"/>
              <w:snapToGrid w:val="0"/>
              <w:spacing w:line="240" w:lineRule="auto"/>
              <w:ind w:firstLine="0" w:firstLineChars="0"/>
              <w:jc w:val="center"/>
              <w:rPr>
                <w:sz w:val="21"/>
                <w:szCs w:val="20"/>
              </w:rPr>
            </w:pPr>
            <w:r>
              <w:rPr>
                <w:rFonts w:hint="eastAsia"/>
                <w:sz w:val="21"/>
                <w:szCs w:val="20"/>
              </w:rPr>
              <w:t>耗氧量</w:t>
            </w:r>
          </w:p>
        </w:tc>
        <w:tc>
          <w:tcPr>
            <w:tcW w:w="372" w:type="pct"/>
            <w:tcMar>
              <w:left w:w="0" w:type="dxa"/>
              <w:right w:w="0" w:type="dxa"/>
            </w:tcMar>
            <w:vAlign w:val="center"/>
          </w:tcPr>
          <w:p w14:paraId="5ACADC43">
            <w:pPr>
              <w:adjustRightInd w:val="0"/>
              <w:snapToGrid w:val="0"/>
              <w:spacing w:line="240" w:lineRule="auto"/>
              <w:ind w:firstLine="0" w:firstLineChars="0"/>
              <w:jc w:val="center"/>
              <w:rPr>
                <w:sz w:val="21"/>
                <w:szCs w:val="20"/>
              </w:rPr>
            </w:pPr>
            <w:r>
              <w:rPr>
                <w:sz w:val="21"/>
                <w:szCs w:val="20"/>
              </w:rPr>
              <w:t>氨氮</w:t>
            </w:r>
          </w:p>
        </w:tc>
        <w:tc>
          <w:tcPr>
            <w:tcW w:w="372" w:type="pct"/>
            <w:tcMar>
              <w:left w:w="0" w:type="dxa"/>
              <w:right w:w="0" w:type="dxa"/>
            </w:tcMar>
            <w:vAlign w:val="center"/>
          </w:tcPr>
          <w:p w14:paraId="513855C6">
            <w:pPr>
              <w:adjustRightInd w:val="0"/>
              <w:snapToGrid w:val="0"/>
              <w:spacing w:line="240" w:lineRule="auto"/>
              <w:ind w:firstLine="0" w:firstLineChars="0"/>
              <w:jc w:val="center"/>
              <w:rPr>
                <w:sz w:val="21"/>
                <w:szCs w:val="20"/>
              </w:rPr>
            </w:pPr>
            <w:r>
              <w:rPr>
                <w:rFonts w:hint="eastAsia"/>
                <w:sz w:val="21"/>
                <w:szCs w:val="20"/>
              </w:rPr>
              <w:t>硫化物</w:t>
            </w:r>
          </w:p>
        </w:tc>
        <w:tc>
          <w:tcPr>
            <w:tcW w:w="644" w:type="pct"/>
            <w:tcMar>
              <w:left w:w="0" w:type="dxa"/>
              <w:right w:w="0" w:type="dxa"/>
            </w:tcMar>
            <w:vAlign w:val="center"/>
          </w:tcPr>
          <w:p w14:paraId="0C4E0F66">
            <w:pPr>
              <w:adjustRightInd w:val="0"/>
              <w:snapToGrid w:val="0"/>
              <w:spacing w:line="240" w:lineRule="auto"/>
              <w:ind w:firstLine="0" w:firstLineChars="0"/>
              <w:jc w:val="center"/>
              <w:rPr>
                <w:sz w:val="21"/>
                <w:szCs w:val="20"/>
              </w:rPr>
            </w:pPr>
            <w:r>
              <w:rPr>
                <w:sz w:val="21"/>
                <w:szCs w:val="20"/>
              </w:rPr>
              <w:t>总大肠菌群</w:t>
            </w:r>
          </w:p>
        </w:tc>
        <w:tc>
          <w:tcPr>
            <w:tcW w:w="434" w:type="pct"/>
            <w:tcMar>
              <w:left w:w="0" w:type="dxa"/>
              <w:right w:w="0" w:type="dxa"/>
            </w:tcMar>
            <w:vAlign w:val="center"/>
          </w:tcPr>
          <w:p w14:paraId="728CCA34">
            <w:pPr>
              <w:adjustRightInd w:val="0"/>
              <w:snapToGrid w:val="0"/>
              <w:spacing w:line="240" w:lineRule="auto"/>
              <w:ind w:firstLine="0" w:firstLineChars="0"/>
              <w:jc w:val="center"/>
              <w:rPr>
                <w:sz w:val="21"/>
                <w:szCs w:val="20"/>
              </w:rPr>
            </w:pPr>
            <w:r>
              <w:rPr>
                <w:rFonts w:hint="eastAsia"/>
                <w:sz w:val="21"/>
                <w:szCs w:val="20"/>
              </w:rPr>
              <w:t>细菌总数</w:t>
            </w:r>
          </w:p>
        </w:tc>
      </w:tr>
      <w:tr w14:paraId="4A2172F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350" w:type="pct"/>
            <w:tcMar>
              <w:left w:w="0" w:type="dxa"/>
              <w:right w:w="0" w:type="dxa"/>
            </w:tcMar>
            <w:vAlign w:val="center"/>
          </w:tcPr>
          <w:p w14:paraId="25CB93D6">
            <w:pPr>
              <w:adjustRightInd w:val="0"/>
              <w:snapToGrid w:val="0"/>
              <w:spacing w:line="240" w:lineRule="auto"/>
              <w:ind w:firstLine="0" w:firstLineChars="0"/>
              <w:jc w:val="center"/>
              <w:rPr>
                <w:sz w:val="21"/>
                <w:szCs w:val="20"/>
              </w:rPr>
            </w:pPr>
            <w:r>
              <w:rPr>
                <w:sz w:val="21"/>
                <w:szCs w:val="20"/>
              </w:rPr>
              <w:t>标准</w:t>
            </w:r>
          </w:p>
        </w:tc>
        <w:tc>
          <w:tcPr>
            <w:tcW w:w="373" w:type="pct"/>
            <w:tcMar>
              <w:left w:w="0" w:type="dxa"/>
              <w:right w:w="0" w:type="dxa"/>
            </w:tcMar>
            <w:vAlign w:val="center"/>
          </w:tcPr>
          <w:p w14:paraId="05DFFB6A">
            <w:pPr>
              <w:adjustRightInd w:val="0"/>
              <w:snapToGrid w:val="0"/>
              <w:spacing w:line="240" w:lineRule="auto"/>
              <w:ind w:firstLine="0" w:firstLineChars="0"/>
              <w:jc w:val="center"/>
              <w:rPr>
                <w:sz w:val="21"/>
                <w:szCs w:val="20"/>
              </w:rPr>
            </w:pPr>
            <w:r>
              <w:rPr>
                <w:sz w:val="21"/>
                <w:szCs w:val="20"/>
              </w:rPr>
              <w:t>6.5~8.5</w:t>
            </w:r>
          </w:p>
        </w:tc>
        <w:tc>
          <w:tcPr>
            <w:tcW w:w="419" w:type="pct"/>
            <w:vAlign w:val="center"/>
          </w:tcPr>
          <w:p w14:paraId="3C8081F7">
            <w:pPr>
              <w:adjustRightInd w:val="0"/>
              <w:snapToGrid w:val="0"/>
              <w:spacing w:line="240" w:lineRule="auto"/>
              <w:ind w:firstLine="0" w:firstLineChars="0"/>
              <w:jc w:val="center"/>
              <w:rPr>
                <w:sz w:val="21"/>
                <w:szCs w:val="20"/>
              </w:rPr>
            </w:pPr>
            <w:r>
              <w:rPr>
                <w:sz w:val="21"/>
                <w:szCs w:val="20"/>
              </w:rPr>
              <w:t>≤450</w:t>
            </w:r>
          </w:p>
        </w:tc>
        <w:tc>
          <w:tcPr>
            <w:tcW w:w="575" w:type="pct"/>
            <w:vAlign w:val="center"/>
          </w:tcPr>
          <w:p w14:paraId="607ED90C">
            <w:pPr>
              <w:adjustRightInd w:val="0"/>
              <w:snapToGrid w:val="0"/>
              <w:spacing w:line="240" w:lineRule="auto"/>
              <w:ind w:firstLine="0" w:firstLineChars="0"/>
              <w:jc w:val="center"/>
              <w:rPr>
                <w:sz w:val="21"/>
                <w:szCs w:val="20"/>
              </w:rPr>
            </w:pPr>
            <w:r>
              <w:rPr>
                <w:sz w:val="21"/>
                <w:szCs w:val="20"/>
              </w:rPr>
              <w:t>≤1000</w:t>
            </w:r>
          </w:p>
        </w:tc>
        <w:tc>
          <w:tcPr>
            <w:tcW w:w="277" w:type="pct"/>
            <w:tcMar>
              <w:left w:w="0" w:type="dxa"/>
              <w:right w:w="0" w:type="dxa"/>
            </w:tcMar>
            <w:vAlign w:val="center"/>
          </w:tcPr>
          <w:p w14:paraId="65F9CFB1">
            <w:pPr>
              <w:adjustRightInd w:val="0"/>
              <w:snapToGrid w:val="0"/>
              <w:spacing w:line="240" w:lineRule="auto"/>
              <w:ind w:firstLine="0" w:firstLineChars="0"/>
              <w:jc w:val="center"/>
              <w:rPr>
                <w:sz w:val="21"/>
                <w:szCs w:val="20"/>
              </w:rPr>
            </w:pPr>
            <w:r>
              <w:rPr>
                <w:sz w:val="21"/>
                <w:szCs w:val="20"/>
              </w:rPr>
              <w:t>≤250</w:t>
            </w:r>
          </w:p>
        </w:tc>
        <w:tc>
          <w:tcPr>
            <w:tcW w:w="470" w:type="pct"/>
            <w:tcMar>
              <w:left w:w="0" w:type="dxa"/>
              <w:right w:w="0" w:type="dxa"/>
            </w:tcMar>
            <w:vAlign w:val="center"/>
          </w:tcPr>
          <w:p w14:paraId="4D4D8152">
            <w:pPr>
              <w:adjustRightInd w:val="0"/>
              <w:snapToGrid w:val="0"/>
              <w:spacing w:line="240" w:lineRule="auto"/>
              <w:ind w:firstLine="0" w:firstLineChars="0"/>
              <w:jc w:val="center"/>
              <w:rPr>
                <w:sz w:val="21"/>
                <w:szCs w:val="20"/>
              </w:rPr>
            </w:pPr>
            <w:r>
              <w:rPr>
                <w:sz w:val="21"/>
                <w:szCs w:val="20"/>
              </w:rPr>
              <w:t>≤250</w:t>
            </w:r>
          </w:p>
        </w:tc>
        <w:tc>
          <w:tcPr>
            <w:tcW w:w="343" w:type="pct"/>
            <w:tcMar>
              <w:left w:w="0" w:type="dxa"/>
              <w:right w:w="0" w:type="dxa"/>
            </w:tcMar>
            <w:vAlign w:val="center"/>
          </w:tcPr>
          <w:p w14:paraId="13493FAC">
            <w:pPr>
              <w:adjustRightInd w:val="0"/>
              <w:snapToGrid w:val="0"/>
              <w:spacing w:line="240" w:lineRule="auto"/>
              <w:ind w:firstLine="0" w:firstLineChars="0"/>
              <w:jc w:val="center"/>
              <w:rPr>
                <w:sz w:val="21"/>
                <w:szCs w:val="20"/>
              </w:rPr>
            </w:pPr>
            <w:r>
              <w:rPr>
                <w:sz w:val="21"/>
                <w:szCs w:val="20"/>
              </w:rPr>
              <w:t>≤0.002</w:t>
            </w:r>
          </w:p>
        </w:tc>
        <w:tc>
          <w:tcPr>
            <w:tcW w:w="371" w:type="pct"/>
            <w:tcMar>
              <w:left w:w="0" w:type="dxa"/>
              <w:right w:w="0" w:type="dxa"/>
            </w:tcMar>
            <w:vAlign w:val="center"/>
          </w:tcPr>
          <w:p w14:paraId="5AC34BBD">
            <w:pPr>
              <w:adjustRightInd w:val="0"/>
              <w:snapToGrid w:val="0"/>
              <w:spacing w:line="240" w:lineRule="auto"/>
              <w:ind w:firstLine="0" w:firstLineChars="0"/>
              <w:jc w:val="center"/>
              <w:rPr>
                <w:sz w:val="21"/>
                <w:szCs w:val="20"/>
              </w:rPr>
            </w:pPr>
            <w:r>
              <w:rPr>
                <w:rFonts w:hint="eastAsia"/>
                <w:sz w:val="21"/>
                <w:szCs w:val="20"/>
              </w:rPr>
              <w:t>≤</w:t>
            </w:r>
            <w:r>
              <w:rPr>
                <w:sz w:val="21"/>
                <w:szCs w:val="20"/>
              </w:rPr>
              <w:t>3.0</w:t>
            </w:r>
          </w:p>
        </w:tc>
        <w:tc>
          <w:tcPr>
            <w:tcW w:w="372" w:type="pct"/>
            <w:tcMar>
              <w:left w:w="0" w:type="dxa"/>
              <w:right w:w="0" w:type="dxa"/>
            </w:tcMar>
            <w:vAlign w:val="center"/>
          </w:tcPr>
          <w:p w14:paraId="625C893F">
            <w:pPr>
              <w:adjustRightInd w:val="0"/>
              <w:snapToGrid w:val="0"/>
              <w:spacing w:line="240" w:lineRule="auto"/>
              <w:ind w:firstLine="0" w:firstLineChars="0"/>
              <w:jc w:val="center"/>
              <w:rPr>
                <w:sz w:val="21"/>
                <w:szCs w:val="20"/>
              </w:rPr>
            </w:pPr>
            <w:r>
              <w:rPr>
                <w:sz w:val="21"/>
                <w:szCs w:val="20"/>
              </w:rPr>
              <w:t>≤0.5</w:t>
            </w:r>
          </w:p>
        </w:tc>
        <w:tc>
          <w:tcPr>
            <w:tcW w:w="372" w:type="pct"/>
            <w:tcMar>
              <w:left w:w="0" w:type="dxa"/>
              <w:right w:w="0" w:type="dxa"/>
            </w:tcMar>
            <w:vAlign w:val="center"/>
          </w:tcPr>
          <w:p w14:paraId="0FE0EEEA">
            <w:pPr>
              <w:adjustRightInd w:val="0"/>
              <w:snapToGrid w:val="0"/>
              <w:spacing w:line="240" w:lineRule="auto"/>
              <w:ind w:firstLine="0" w:firstLineChars="0"/>
              <w:jc w:val="center"/>
              <w:rPr>
                <w:sz w:val="21"/>
                <w:szCs w:val="20"/>
              </w:rPr>
            </w:pPr>
            <w:r>
              <w:rPr>
                <w:sz w:val="21"/>
                <w:szCs w:val="20"/>
              </w:rPr>
              <w:t>≤0.02</w:t>
            </w:r>
          </w:p>
        </w:tc>
        <w:tc>
          <w:tcPr>
            <w:tcW w:w="644" w:type="pct"/>
            <w:tcMar>
              <w:left w:w="0" w:type="dxa"/>
              <w:right w:w="0" w:type="dxa"/>
            </w:tcMar>
            <w:vAlign w:val="center"/>
          </w:tcPr>
          <w:p w14:paraId="4EE4472C">
            <w:pPr>
              <w:adjustRightInd w:val="0"/>
              <w:snapToGrid w:val="0"/>
              <w:spacing w:line="240" w:lineRule="auto"/>
              <w:ind w:firstLine="0" w:firstLineChars="0"/>
              <w:jc w:val="center"/>
              <w:rPr>
                <w:sz w:val="21"/>
                <w:szCs w:val="20"/>
              </w:rPr>
            </w:pPr>
            <w:r>
              <w:rPr>
                <w:sz w:val="21"/>
                <w:szCs w:val="20"/>
              </w:rPr>
              <w:t>≤3.0个MPN/100mL</w:t>
            </w:r>
          </w:p>
        </w:tc>
        <w:tc>
          <w:tcPr>
            <w:tcW w:w="434" w:type="pct"/>
            <w:tcMar>
              <w:left w:w="0" w:type="dxa"/>
              <w:right w:w="0" w:type="dxa"/>
            </w:tcMar>
            <w:vAlign w:val="center"/>
          </w:tcPr>
          <w:p w14:paraId="42E50D74">
            <w:pPr>
              <w:adjustRightInd w:val="0"/>
              <w:snapToGrid w:val="0"/>
              <w:spacing w:line="240" w:lineRule="auto"/>
              <w:ind w:firstLine="0" w:firstLineChars="0"/>
              <w:jc w:val="center"/>
              <w:rPr>
                <w:sz w:val="21"/>
                <w:szCs w:val="20"/>
              </w:rPr>
            </w:pPr>
            <w:r>
              <w:rPr>
                <w:sz w:val="21"/>
                <w:szCs w:val="20"/>
              </w:rPr>
              <w:t>≤100</w:t>
            </w:r>
          </w:p>
          <w:p w14:paraId="17C5297C">
            <w:pPr>
              <w:adjustRightInd w:val="0"/>
              <w:snapToGrid w:val="0"/>
              <w:spacing w:line="240" w:lineRule="auto"/>
              <w:ind w:firstLine="0" w:firstLineChars="0"/>
              <w:jc w:val="center"/>
              <w:rPr>
                <w:sz w:val="21"/>
                <w:szCs w:val="20"/>
              </w:rPr>
            </w:pPr>
            <w:r>
              <w:rPr>
                <w:rFonts w:hint="eastAsia"/>
                <w:sz w:val="21"/>
                <w:szCs w:val="20"/>
              </w:rPr>
              <w:t>CFU</w:t>
            </w:r>
            <w:r>
              <w:rPr>
                <w:sz w:val="21"/>
                <w:szCs w:val="20"/>
              </w:rPr>
              <w:t>/</w:t>
            </w:r>
            <w:r>
              <w:rPr>
                <w:rFonts w:hint="eastAsia"/>
                <w:sz w:val="21"/>
                <w:szCs w:val="20"/>
              </w:rPr>
              <w:t>mL</w:t>
            </w:r>
          </w:p>
        </w:tc>
      </w:tr>
      <w:tr w14:paraId="6893C50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350" w:type="pct"/>
            <w:tcMar>
              <w:left w:w="0" w:type="dxa"/>
              <w:right w:w="0" w:type="dxa"/>
            </w:tcMar>
            <w:vAlign w:val="center"/>
          </w:tcPr>
          <w:p w14:paraId="4E642107">
            <w:pPr>
              <w:adjustRightInd w:val="0"/>
              <w:snapToGrid w:val="0"/>
              <w:spacing w:line="240" w:lineRule="auto"/>
              <w:ind w:firstLine="0" w:firstLineChars="0"/>
              <w:jc w:val="center"/>
              <w:rPr>
                <w:sz w:val="21"/>
                <w:szCs w:val="20"/>
              </w:rPr>
            </w:pPr>
            <w:r>
              <w:rPr>
                <w:sz w:val="21"/>
                <w:szCs w:val="20"/>
              </w:rPr>
              <w:t>项目</w:t>
            </w:r>
          </w:p>
        </w:tc>
        <w:tc>
          <w:tcPr>
            <w:tcW w:w="373" w:type="pct"/>
            <w:tcMar>
              <w:left w:w="0" w:type="dxa"/>
              <w:right w:w="0" w:type="dxa"/>
            </w:tcMar>
            <w:vAlign w:val="center"/>
          </w:tcPr>
          <w:p w14:paraId="0272F275">
            <w:pPr>
              <w:adjustRightInd w:val="0"/>
              <w:snapToGrid w:val="0"/>
              <w:spacing w:line="240" w:lineRule="auto"/>
              <w:ind w:firstLine="0" w:firstLineChars="0"/>
              <w:jc w:val="center"/>
              <w:rPr>
                <w:sz w:val="21"/>
                <w:szCs w:val="20"/>
              </w:rPr>
            </w:pPr>
            <w:r>
              <w:rPr>
                <w:sz w:val="21"/>
                <w:szCs w:val="20"/>
              </w:rPr>
              <w:t>亚硝酸盐</w:t>
            </w:r>
          </w:p>
        </w:tc>
        <w:tc>
          <w:tcPr>
            <w:tcW w:w="419" w:type="pct"/>
            <w:vAlign w:val="center"/>
          </w:tcPr>
          <w:p w14:paraId="3524A265">
            <w:pPr>
              <w:adjustRightInd w:val="0"/>
              <w:snapToGrid w:val="0"/>
              <w:spacing w:line="240" w:lineRule="auto"/>
              <w:ind w:firstLine="0" w:firstLineChars="0"/>
              <w:jc w:val="center"/>
              <w:rPr>
                <w:sz w:val="21"/>
                <w:szCs w:val="20"/>
              </w:rPr>
            </w:pPr>
            <w:r>
              <w:rPr>
                <w:sz w:val="21"/>
                <w:szCs w:val="20"/>
              </w:rPr>
              <w:t>硝酸盐</w:t>
            </w:r>
          </w:p>
        </w:tc>
        <w:tc>
          <w:tcPr>
            <w:tcW w:w="575" w:type="pct"/>
            <w:vAlign w:val="center"/>
          </w:tcPr>
          <w:p w14:paraId="0E26FA74">
            <w:pPr>
              <w:adjustRightInd w:val="0"/>
              <w:snapToGrid w:val="0"/>
              <w:spacing w:line="240" w:lineRule="auto"/>
              <w:ind w:firstLine="0" w:firstLineChars="0"/>
              <w:jc w:val="center"/>
              <w:rPr>
                <w:sz w:val="21"/>
                <w:szCs w:val="20"/>
              </w:rPr>
            </w:pPr>
            <w:r>
              <w:rPr>
                <w:sz w:val="21"/>
                <w:szCs w:val="20"/>
              </w:rPr>
              <w:t>氰化物</w:t>
            </w:r>
          </w:p>
        </w:tc>
        <w:tc>
          <w:tcPr>
            <w:tcW w:w="277" w:type="pct"/>
            <w:tcMar>
              <w:left w:w="0" w:type="dxa"/>
              <w:right w:w="0" w:type="dxa"/>
            </w:tcMar>
            <w:vAlign w:val="center"/>
          </w:tcPr>
          <w:p w14:paraId="4BEF42B5">
            <w:pPr>
              <w:adjustRightInd w:val="0"/>
              <w:snapToGrid w:val="0"/>
              <w:spacing w:line="240" w:lineRule="auto"/>
              <w:ind w:firstLine="0" w:firstLineChars="0"/>
              <w:jc w:val="center"/>
              <w:rPr>
                <w:sz w:val="21"/>
                <w:szCs w:val="20"/>
              </w:rPr>
            </w:pPr>
            <w:r>
              <w:rPr>
                <w:rFonts w:hint="eastAsia"/>
                <w:sz w:val="21"/>
                <w:szCs w:val="20"/>
              </w:rPr>
              <w:t>氟化物</w:t>
            </w:r>
          </w:p>
        </w:tc>
        <w:tc>
          <w:tcPr>
            <w:tcW w:w="470" w:type="pct"/>
            <w:tcMar>
              <w:left w:w="0" w:type="dxa"/>
              <w:right w:w="0" w:type="dxa"/>
            </w:tcMar>
            <w:vAlign w:val="center"/>
          </w:tcPr>
          <w:p w14:paraId="5FDCE5E0">
            <w:pPr>
              <w:adjustRightInd w:val="0"/>
              <w:snapToGrid w:val="0"/>
              <w:spacing w:line="240" w:lineRule="auto"/>
              <w:ind w:firstLine="0" w:firstLineChars="0"/>
              <w:jc w:val="center"/>
              <w:rPr>
                <w:sz w:val="21"/>
                <w:szCs w:val="20"/>
              </w:rPr>
            </w:pPr>
            <w:r>
              <w:rPr>
                <w:sz w:val="21"/>
                <w:szCs w:val="20"/>
              </w:rPr>
              <w:t>汞</w:t>
            </w:r>
          </w:p>
        </w:tc>
        <w:tc>
          <w:tcPr>
            <w:tcW w:w="343" w:type="pct"/>
            <w:tcMar>
              <w:left w:w="0" w:type="dxa"/>
              <w:right w:w="0" w:type="dxa"/>
            </w:tcMar>
            <w:vAlign w:val="center"/>
          </w:tcPr>
          <w:p w14:paraId="6BAC9555">
            <w:pPr>
              <w:adjustRightInd w:val="0"/>
              <w:snapToGrid w:val="0"/>
              <w:spacing w:line="240" w:lineRule="auto"/>
              <w:ind w:firstLine="0" w:firstLineChars="0"/>
              <w:jc w:val="center"/>
              <w:rPr>
                <w:sz w:val="21"/>
                <w:szCs w:val="20"/>
              </w:rPr>
            </w:pPr>
            <w:r>
              <w:rPr>
                <w:sz w:val="21"/>
                <w:szCs w:val="20"/>
              </w:rPr>
              <w:t>砷</w:t>
            </w:r>
          </w:p>
        </w:tc>
        <w:tc>
          <w:tcPr>
            <w:tcW w:w="371" w:type="pct"/>
            <w:tcMar>
              <w:left w:w="0" w:type="dxa"/>
              <w:right w:w="0" w:type="dxa"/>
            </w:tcMar>
            <w:vAlign w:val="center"/>
          </w:tcPr>
          <w:p w14:paraId="7B6691D6">
            <w:pPr>
              <w:adjustRightInd w:val="0"/>
              <w:snapToGrid w:val="0"/>
              <w:spacing w:line="240" w:lineRule="auto"/>
              <w:ind w:firstLine="0" w:firstLineChars="0"/>
              <w:jc w:val="center"/>
              <w:rPr>
                <w:sz w:val="21"/>
                <w:szCs w:val="20"/>
              </w:rPr>
            </w:pPr>
            <w:r>
              <w:rPr>
                <w:rFonts w:hint="eastAsia"/>
                <w:sz w:val="21"/>
                <w:szCs w:val="20"/>
              </w:rPr>
              <w:t>硒</w:t>
            </w:r>
          </w:p>
        </w:tc>
        <w:tc>
          <w:tcPr>
            <w:tcW w:w="372" w:type="pct"/>
            <w:tcMar>
              <w:left w:w="0" w:type="dxa"/>
              <w:right w:w="0" w:type="dxa"/>
            </w:tcMar>
            <w:vAlign w:val="center"/>
          </w:tcPr>
          <w:p w14:paraId="69460E21">
            <w:pPr>
              <w:adjustRightInd w:val="0"/>
              <w:snapToGrid w:val="0"/>
              <w:spacing w:line="240" w:lineRule="auto"/>
              <w:ind w:firstLine="0" w:firstLineChars="0"/>
              <w:jc w:val="center"/>
              <w:rPr>
                <w:sz w:val="21"/>
                <w:szCs w:val="20"/>
              </w:rPr>
            </w:pPr>
            <w:r>
              <w:rPr>
                <w:sz w:val="21"/>
                <w:szCs w:val="20"/>
              </w:rPr>
              <w:t>镉</w:t>
            </w:r>
          </w:p>
        </w:tc>
        <w:tc>
          <w:tcPr>
            <w:tcW w:w="372" w:type="pct"/>
            <w:tcMar>
              <w:left w:w="0" w:type="dxa"/>
              <w:right w:w="0" w:type="dxa"/>
            </w:tcMar>
            <w:vAlign w:val="center"/>
          </w:tcPr>
          <w:p w14:paraId="63264A0B">
            <w:pPr>
              <w:adjustRightInd w:val="0"/>
              <w:snapToGrid w:val="0"/>
              <w:spacing w:line="240" w:lineRule="auto"/>
              <w:ind w:firstLine="0" w:firstLineChars="0"/>
              <w:jc w:val="center"/>
              <w:rPr>
                <w:sz w:val="21"/>
                <w:szCs w:val="20"/>
              </w:rPr>
            </w:pPr>
            <w:r>
              <w:rPr>
                <w:sz w:val="21"/>
                <w:szCs w:val="20"/>
              </w:rPr>
              <w:t>六价铬</w:t>
            </w:r>
          </w:p>
        </w:tc>
        <w:tc>
          <w:tcPr>
            <w:tcW w:w="644" w:type="pct"/>
            <w:tcMar>
              <w:left w:w="0" w:type="dxa"/>
              <w:right w:w="0" w:type="dxa"/>
            </w:tcMar>
            <w:vAlign w:val="center"/>
          </w:tcPr>
          <w:p w14:paraId="23D20793">
            <w:pPr>
              <w:adjustRightInd w:val="0"/>
              <w:snapToGrid w:val="0"/>
              <w:spacing w:line="240" w:lineRule="auto"/>
              <w:ind w:firstLine="0" w:firstLineChars="0"/>
              <w:jc w:val="center"/>
              <w:rPr>
                <w:sz w:val="21"/>
                <w:szCs w:val="20"/>
              </w:rPr>
            </w:pPr>
            <w:r>
              <w:rPr>
                <w:sz w:val="21"/>
                <w:szCs w:val="20"/>
              </w:rPr>
              <w:t>铅</w:t>
            </w:r>
          </w:p>
        </w:tc>
        <w:tc>
          <w:tcPr>
            <w:tcW w:w="434" w:type="pct"/>
            <w:tcMar>
              <w:left w:w="0" w:type="dxa"/>
              <w:right w:w="0" w:type="dxa"/>
            </w:tcMar>
            <w:vAlign w:val="center"/>
          </w:tcPr>
          <w:p w14:paraId="7E54BF25">
            <w:pPr>
              <w:adjustRightInd w:val="0"/>
              <w:snapToGrid w:val="0"/>
              <w:spacing w:line="240" w:lineRule="auto"/>
              <w:ind w:firstLine="0" w:firstLineChars="0"/>
              <w:jc w:val="center"/>
              <w:rPr>
                <w:sz w:val="21"/>
                <w:szCs w:val="20"/>
              </w:rPr>
            </w:pPr>
            <w:r>
              <w:rPr>
                <w:rFonts w:hint="eastAsia"/>
                <w:sz w:val="21"/>
                <w:szCs w:val="20"/>
              </w:rPr>
              <w:t>钠</w:t>
            </w:r>
          </w:p>
        </w:tc>
      </w:tr>
      <w:tr w14:paraId="3BB7AED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20" w:hRule="atLeast"/>
          <w:jc w:val="center"/>
        </w:trPr>
        <w:tc>
          <w:tcPr>
            <w:tcW w:w="350" w:type="pct"/>
            <w:tcMar>
              <w:left w:w="0" w:type="dxa"/>
              <w:right w:w="0" w:type="dxa"/>
            </w:tcMar>
            <w:vAlign w:val="center"/>
          </w:tcPr>
          <w:p w14:paraId="214E2E9F">
            <w:pPr>
              <w:adjustRightInd w:val="0"/>
              <w:snapToGrid w:val="0"/>
              <w:spacing w:line="240" w:lineRule="auto"/>
              <w:ind w:firstLine="0" w:firstLineChars="0"/>
              <w:jc w:val="center"/>
              <w:rPr>
                <w:sz w:val="21"/>
                <w:szCs w:val="20"/>
              </w:rPr>
            </w:pPr>
            <w:r>
              <w:rPr>
                <w:sz w:val="21"/>
                <w:szCs w:val="20"/>
              </w:rPr>
              <w:t>标准</w:t>
            </w:r>
          </w:p>
        </w:tc>
        <w:tc>
          <w:tcPr>
            <w:tcW w:w="373" w:type="pct"/>
            <w:tcMar>
              <w:left w:w="0" w:type="dxa"/>
              <w:right w:w="0" w:type="dxa"/>
            </w:tcMar>
            <w:vAlign w:val="center"/>
          </w:tcPr>
          <w:p w14:paraId="7AB257A7">
            <w:pPr>
              <w:adjustRightInd w:val="0"/>
              <w:snapToGrid w:val="0"/>
              <w:spacing w:line="240" w:lineRule="auto"/>
              <w:ind w:firstLine="0" w:firstLineChars="0"/>
              <w:jc w:val="center"/>
              <w:rPr>
                <w:sz w:val="21"/>
                <w:szCs w:val="20"/>
              </w:rPr>
            </w:pPr>
            <w:r>
              <w:rPr>
                <w:sz w:val="21"/>
                <w:szCs w:val="20"/>
              </w:rPr>
              <w:t>≤1.0</w:t>
            </w:r>
          </w:p>
        </w:tc>
        <w:tc>
          <w:tcPr>
            <w:tcW w:w="419" w:type="pct"/>
            <w:vAlign w:val="center"/>
          </w:tcPr>
          <w:p w14:paraId="2059B812">
            <w:pPr>
              <w:adjustRightInd w:val="0"/>
              <w:snapToGrid w:val="0"/>
              <w:spacing w:line="240" w:lineRule="auto"/>
              <w:ind w:firstLine="0" w:firstLineChars="0"/>
              <w:jc w:val="center"/>
              <w:rPr>
                <w:sz w:val="21"/>
                <w:szCs w:val="20"/>
              </w:rPr>
            </w:pPr>
            <w:r>
              <w:rPr>
                <w:sz w:val="21"/>
                <w:szCs w:val="20"/>
              </w:rPr>
              <w:t>≤20</w:t>
            </w:r>
          </w:p>
        </w:tc>
        <w:tc>
          <w:tcPr>
            <w:tcW w:w="575" w:type="pct"/>
            <w:vAlign w:val="center"/>
          </w:tcPr>
          <w:p w14:paraId="02A21F7B">
            <w:pPr>
              <w:adjustRightInd w:val="0"/>
              <w:snapToGrid w:val="0"/>
              <w:spacing w:line="240" w:lineRule="auto"/>
              <w:ind w:firstLine="0" w:firstLineChars="0"/>
              <w:jc w:val="center"/>
              <w:rPr>
                <w:sz w:val="21"/>
                <w:szCs w:val="20"/>
              </w:rPr>
            </w:pPr>
            <w:r>
              <w:rPr>
                <w:sz w:val="21"/>
                <w:szCs w:val="20"/>
              </w:rPr>
              <w:t>≤0.05</w:t>
            </w:r>
          </w:p>
        </w:tc>
        <w:tc>
          <w:tcPr>
            <w:tcW w:w="277" w:type="pct"/>
            <w:tcMar>
              <w:left w:w="0" w:type="dxa"/>
              <w:right w:w="0" w:type="dxa"/>
            </w:tcMar>
            <w:vAlign w:val="center"/>
          </w:tcPr>
          <w:p w14:paraId="51B79040">
            <w:pPr>
              <w:adjustRightInd w:val="0"/>
              <w:snapToGrid w:val="0"/>
              <w:spacing w:line="240" w:lineRule="auto"/>
              <w:ind w:firstLine="0" w:firstLineChars="0"/>
              <w:jc w:val="center"/>
              <w:rPr>
                <w:sz w:val="21"/>
                <w:szCs w:val="20"/>
              </w:rPr>
            </w:pPr>
            <w:r>
              <w:rPr>
                <w:sz w:val="21"/>
                <w:szCs w:val="20"/>
              </w:rPr>
              <w:t>≤1.0</w:t>
            </w:r>
          </w:p>
        </w:tc>
        <w:tc>
          <w:tcPr>
            <w:tcW w:w="470" w:type="pct"/>
            <w:tcMar>
              <w:left w:w="0" w:type="dxa"/>
              <w:right w:w="0" w:type="dxa"/>
            </w:tcMar>
            <w:vAlign w:val="center"/>
          </w:tcPr>
          <w:p w14:paraId="27B54E38">
            <w:pPr>
              <w:adjustRightInd w:val="0"/>
              <w:snapToGrid w:val="0"/>
              <w:spacing w:line="240" w:lineRule="auto"/>
              <w:ind w:firstLine="0" w:firstLineChars="0"/>
              <w:jc w:val="center"/>
              <w:rPr>
                <w:sz w:val="21"/>
                <w:szCs w:val="20"/>
              </w:rPr>
            </w:pPr>
            <w:r>
              <w:rPr>
                <w:sz w:val="21"/>
                <w:szCs w:val="20"/>
              </w:rPr>
              <w:t>≤0.001</w:t>
            </w:r>
          </w:p>
        </w:tc>
        <w:tc>
          <w:tcPr>
            <w:tcW w:w="343" w:type="pct"/>
            <w:tcMar>
              <w:left w:w="0" w:type="dxa"/>
              <w:right w:w="0" w:type="dxa"/>
            </w:tcMar>
            <w:vAlign w:val="center"/>
          </w:tcPr>
          <w:p w14:paraId="1B1F49AD">
            <w:pPr>
              <w:adjustRightInd w:val="0"/>
              <w:snapToGrid w:val="0"/>
              <w:spacing w:line="240" w:lineRule="auto"/>
              <w:ind w:firstLine="0" w:firstLineChars="0"/>
              <w:jc w:val="center"/>
              <w:rPr>
                <w:sz w:val="21"/>
                <w:szCs w:val="20"/>
              </w:rPr>
            </w:pPr>
            <w:r>
              <w:rPr>
                <w:sz w:val="21"/>
                <w:szCs w:val="20"/>
              </w:rPr>
              <w:t>≤0.01</w:t>
            </w:r>
          </w:p>
        </w:tc>
        <w:tc>
          <w:tcPr>
            <w:tcW w:w="371" w:type="pct"/>
            <w:tcMar>
              <w:left w:w="0" w:type="dxa"/>
              <w:right w:w="0" w:type="dxa"/>
            </w:tcMar>
            <w:vAlign w:val="center"/>
          </w:tcPr>
          <w:p w14:paraId="10409A96">
            <w:pPr>
              <w:adjustRightInd w:val="0"/>
              <w:snapToGrid w:val="0"/>
              <w:spacing w:line="240" w:lineRule="auto"/>
              <w:ind w:firstLine="0" w:firstLineChars="0"/>
              <w:jc w:val="center"/>
              <w:rPr>
                <w:sz w:val="21"/>
                <w:szCs w:val="20"/>
              </w:rPr>
            </w:pPr>
            <w:r>
              <w:rPr>
                <w:sz w:val="21"/>
                <w:szCs w:val="20"/>
              </w:rPr>
              <w:t>≤0.01</w:t>
            </w:r>
          </w:p>
        </w:tc>
        <w:tc>
          <w:tcPr>
            <w:tcW w:w="372" w:type="pct"/>
            <w:tcMar>
              <w:left w:w="0" w:type="dxa"/>
              <w:right w:w="0" w:type="dxa"/>
            </w:tcMar>
            <w:vAlign w:val="center"/>
          </w:tcPr>
          <w:p w14:paraId="3E51C767">
            <w:pPr>
              <w:adjustRightInd w:val="0"/>
              <w:snapToGrid w:val="0"/>
              <w:spacing w:line="240" w:lineRule="auto"/>
              <w:ind w:firstLine="0" w:firstLineChars="0"/>
              <w:jc w:val="center"/>
              <w:rPr>
                <w:sz w:val="21"/>
                <w:szCs w:val="20"/>
              </w:rPr>
            </w:pPr>
            <w:r>
              <w:rPr>
                <w:sz w:val="21"/>
                <w:szCs w:val="20"/>
              </w:rPr>
              <w:t>≤0.01</w:t>
            </w:r>
          </w:p>
        </w:tc>
        <w:tc>
          <w:tcPr>
            <w:tcW w:w="372" w:type="pct"/>
            <w:tcMar>
              <w:left w:w="0" w:type="dxa"/>
              <w:right w:w="0" w:type="dxa"/>
            </w:tcMar>
            <w:vAlign w:val="center"/>
          </w:tcPr>
          <w:p w14:paraId="792C9440">
            <w:pPr>
              <w:adjustRightInd w:val="0"/>
              <w:snapToGrid w:val="0"/>
              <w:spacing w:line="240" w:lineRule="auto"/>
              <w:ind w:firstLine="0" w:firstLineChars="0"/>
              <w:jc w:val="center"/>
              <w:rPr>
                <w:sz w:val="21"/>
                <w:szCs w:val="20"/>
              </w:rPr>
            </w:pPr>
            <w:r>
              <w:rPr>
                <w:sz w:val="21"/>
                <w:szCs w:val="20"/>
              </w:rPr>
              <w:t>≤0.05</w:t>
            </w:r>
          </w:p>
        </w:tc>
        <w:tc>
          <w:tcPr>
            <w:tcW w:w="644" w:type="pct"/>
            <w:tcMar>
              <w:left w:w="0" w:type="dxa"/>
              <w:right w:w="0" w:type="dxa"/>
            </w:tcMar>
            <w:vAlign w:val="center"/>
          </w:tcPr>
          <w:p w14:paraId="18D829F0">
            <w:pPr>
              <w:adjustRightInd w:val="0"/>
              <w:snapToGrid w:val="0"/>
              <w:spacing w:line="240" w:lineRule="auto"/>
              <w:ind w:firstLine="0" w:firstLineChars="0"/>
              <w:jc w:val="center"/>
              <w:rPr>
                <w:sz w:val="21"/>
                <w:szCs w:val="20"/>
              </w:rPr>
            </w:pPr>
            <w:r>
              <w:rPr>
                <w:sz w:val="21"/>
                <w:szCs w:val="20"/>
              </w:rPr>
              <w:t>≤0.01</w:t>
            </w:r>
          </w:p>
        </w:tc>
        <w:tc>
          <w:tcPr>
            <w:tcW w:w="434" w:type="pct"/>
            <w:tcMar>
              <w:left w:w="0" w:type="dxa"/>
              <w:right w:w="0" w:type="dxa"/>
            </w:tcMar>
            <w:vAlign w:val="center"/>
          </w:tcPr>
          <w:p w14:paraId="458E2887">
            <w:pPr>
              <w:adjustRightInd w:val="0"/>
              <w:snapToGrid w:val="0"/>
              <w:spacing w:line="240" w:lineRule="auto"/>
              <w:ind w:firstLine="0" w:firstLineChars="0"/>
              <w:jc w:val="center"/>
              <w:rPr>
                <w:sz w:val="21"/>
                <w:szCs w:val="20"/>
              </w:rPr>
            </w:pPr>
            <w:r>
              <w:rPr>
                <w:sz w:val="21"/>
                <w:szCs w:val="20"/>
              </w:rPr>
              <w:t>≤200</w:t>
            </w:r>
          </w:p>
        </w:tc>
      </w:tr>
    </w:tbl>
    <w:p w14:paraId="1EB92C96">
      <w:pPr>
        <w:pStyle w:val="45"/>
        <w:spacing w:before="65" w:after="65"/>
      </w:pPr>
      <w:r>
        <w:rPr>
          <w:rFonts w:hint="eastAsia"/>
        </w:rPr>
        <w:t>声环境</w:t>
      </w:r>
    </w:p>
    <w:p w14:paraId="69145ECE">
      <w:pPr>
        <w:ind w:firstLine="480"/>
      </w:pPr>
      <w:r>
        <w:rPr>
          <w:rFonts w:hint="eastAsia"/>
        </w:rPr>
        <w:t>本</w:t>
      </w:r>
      <w:r>
        <w:t>项目位于</w:t>
      </w:r>
      <w:r>
        <w:rPr>
          <w:rFonts w:hint="eastAsia"/>
        </w:rPr>
        <w:t>胡杨河经济技术开发区南园区已规划的工业用地范围内</w:t>
      </w:r>
      <w:r>
        <w:t>，</w:t>
      </w:r>
      <w:r>
        <w:rPr>
          <w:rFonts w:hint="eastAsia"/>
        </w:rPr>
        <w:t>区域声环境功能</w:t>
      </w:r>
      <w:r>
        <w:t>属于3类区，执行《声环境质量标准》</w:t>
      </w:r>
      <w:r>
        <w:rPr>
          <w:rFonts w:hint="eastAsia"/>
        </w:rPr>
        <w:t>（</w:t>
      </w:r>
      <w:r>
        <w:t>GB3096-2008</w:t>
      </w:r>
      <w:r>
        <w:rPr>
          <w:rFonts w:hint="eastAsia"/>
        </w:rPr>
        <w:t>）中</w:t>
      </w:r>
      <w:r>
        <w:t>3类标准。即昼间65dB（A），夜间55dB（A），具体限值见</w:t>
      </w:r>
      <w:r>
        <w:rPr>
          <w:rFonts w:hint="eastAsia"/>
        </w:rPr>
        <w:t>下</w:t>
      </w:r>
      <w:r>
        <w:t>表</w:t>
      </w:r>
      <w:r>
        <w:rPr>
          <w:rFonts w:hint="eastAsia"/>
        </w:rPr>
        <w:t>。</w:t>
      </w:r>
    </w:p>
    <w:p w14:paraId="7128CFB6">
      <w:pPr>
        <w:pStyle w:val="47"/>
        <w:spacing w:before="65"/>
      </w:pPr>
      <w:r>
        <w:rPr>
          <w:rFonts w:hint="eastAsia"/>
        </w:rPr>
        <w:t>表2</w:t>
      </w:r>
      <w:r>
        <w:t xml:space="preserve">.5-3   </w:t>
      </w:r>
      <w:r>
        <w:rPr>
          <w:rFonts w:hint="eastAsia"/>
        </w:rPr>
        <w:t>声环境质量标准</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2127"/>
        <w:gridCol w:w="993"/>
        <w:gridCol w:w="992"/>
        <w:gridCol w:w="993"/>
        <w:gridCol w:w="3625"/>
      </w:tblGrid>
      <w:tr w14:paraId="0B84070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218" w:type="pct"/>
            <w:vMerge w:val="restart"/>
            <w:vAlign w:val="center"/>
          </w:tcPr>
          <w:p w14:paraId="43D1B290">
            <w:pPr>
              <w:adjustRightInd w:val="0"/>
              <w:snapToGrid w:val="0"/>
              <w:spacing w:line="240" w:lineRule="auto"/>
              <w:ind w:firstLine="0" w:firstLineChars="0"/>
              <w:jc w:val="center"/>
              <w:rPr>
                <w:sz w:val="21"/>
                <w:szCs w:val="20"/>
              </w:rPr>
            </w:pPr>
            <w:r>
              <w:rPr>
                <w:sz w:val="21"/>
                <w:szCs w:val="20"/>
              </w:rPr>
              <w:t>区域位置</w:t>
            </w:r>
          </w:p>
        </w:tc>
        <w:tc>
          <w:tcPr>
            <w:tcW w:w="569" w:type="pct"/>
            <w:vMerge w:val="restart"/>
            <w:vAlign w:val="center"/>
          </w:tcPr>
          <w:p w14:paraId="3000FECB">
            <w:pPr>
              <w:adjustRightInd w:val="0"/>
              <w:snapToGrid w:val="0"/>
              <w:spacing w:line="240" w:lineRule="auto"/>
              <w:ind w:firstLine="0" w:firstLineChars="0"/>
              <w:jc w:val="center"/>
              <w:rPr>
                <w:sz w:val="21"/>
                <w:szCs w:val="20"/>
              </w:rPr>
            </w:pPr>
            <w:r>
              <w:rPr>
                <w:sz w:val="21"/>
                <w:szCs w:val="20"/>
              </w:rPr>
              <w:t>类别</w:t>
            </w:r>
          </w:p>
        </w:tc>
        <w:tc>
          <w:tcPr>
            <w:tcW w:w="1137" w:type="pct"/>
            <w:gridSpan w:val="2"/>
            <w:vAlign w:val="center"/>
          </w:tcPr>
          <w:p w14:paraId="0BA1F984">
            <w:pPr>
              <w:adjustRightInd w:val="0"/>
              <w:snapToGrid w:val="0"/>
              <w:spacing w:line="240" w:lineRule="auto"/>
              <w:ind w:firstLine="0" w:firstLineChars="0"/>
              <w:jc w:val="center"/>
              <w:rPr>
                <w:sz w:val="21"/>
                <w:szCs w:val="20"/>
              </w:rPr>
            </w:pPr>
            <w:r>
              <w:rPr>
                <w:sz w:val="21"/>
                <w:szCs w:val="20"/>
              </w:rPr>
              <w:t>标准限值dB（A）</w:t>
            </w:r>
          </w:p>
        </w:tc>
        <w:tc>
          <w:tcPr>
            <w:tcW w:w="2076" w:type="pct"/>
            <w:vMerge w:val="restart"/>
            <w:vAlign w:val="center"/>
          </w:tcPr>
          <w:p w14:paraId="3844B633">
            <w:pPr>
              <w:adjustRightInd w:val="0"/>
              <w:snapToGrid w:val="0"/>
              <w:spacing w:line="240" w:lineRule="auto"/>
              <w:ind w:firstLine="0" w:firstLineChars="0"/>
              <w:jc w:val="center"/>
              <w:rPr>
                <w:sz w:val="21"/>
                <w:szCs w:val="20"/>
              </w:rPr>
            </w:pPr>
            <w:r>
              <w:rPr>
                <w:sz w:val="21"/>
                <w:szCs w:val="20"/>
              </w:rPr>
              <w:t>标准来源</w:t>
            </w:r>
          </w:p>
        </w:tc>
      </w:tr>
      <w:tr w14:paraId="2DF3141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218" w:type="pct"/>
            <w:vMerge w:val="continue"/>
            <w:vAlign w:val="center"/>
          </w:tcPr>
          <w:p w14:paraId="312D3924">
            <w:pPr>
              <w:adjustRightInd w:val="0"/>
              <w:snapToGrid w:val="0"/>
              <w:spacing w:line="240" w:lineRule="auto"/>
              <w:ind w:firstLine="0" w:firstLineChars="0"/>
              <w:jc w:val="center"/>
              <w:rPr>
                <w:sz w:val="21"/>
                <w:szCs w:val="20"/>
              </w:rPr>
            </w:pPr>
          </w:p>
        </w:tc>
        <w:tc>
          <w:tcPr>
            <w:tcW w:w="569" w:type="pct"/>
            <w:vMerge w:val="continue"/>
            <w:vAlign w:val="center"/>
          </w:tcPr>
          <w:p w14:paraId="33BB7A59">
            <w:pPr>
              <w:adjustRightInd w:val="0"/>
              <w:snapToGrid w:val="0"/>
              <w:spacing w:line="240" w:lineRule="auto"/>
              <w:ind w:firstLine="0" w:firstLineChars="0"/>
              <w:jc w:val="center"/>
              <w:rPr>
                <w:sz w:val="21"/>
                <w:szCs w:val="20"/>
              </w:rPr>
            </w:pPr>
          </w:p>
        </w:tc>
        <w:tc>
          <w:tcPr>
            <w:tcW w:w="568" w:type="pct"/>
            <w:vAlign w:val="center"/>
          </w:tcPr>
          <w:p w14:paraId="7A5DFA29">
            <w:pPr>
              <w:adjustRightInd w:val="0"/>
              <w:snapToGrid w:val="0"/>
              <w:spacing w:line="240" w:lineRule="auto"/>
              <w:ind w:firstLine="0" w:firstLineChars="0"/>
              <w:jc w:val="center"/>
              <w:rPr>
                <w:sz w:val="21"/>
                <w:szCs w:val="20"/>
              </w:rPr>
            </w:pPr>
            <w:r>
              <w:rPr>
                <w:sz w:val="21"/>
                <w:szCs w:val="20"/>
              </w:rPr>
              <w:t>昼间</w:t>
            </w:r>
          </w:p>
        </w:tc>
        <w:tc>
          <w:tcPr>
            <w:tcW w:w="569" w:type="pct"/>
            <w:vAlign w:val="center"/>
          </w:tcPr>
          <w:p w14:paraId="33166BB1">
            <w:pPr>
              <w:adjustRightInd w:val="0"/>
              <w:snapToGrid w:val="0"/>
              <w:spacing w:line="240" w:lineRule="auto"/>
              <w:ind w:firstLine="0" w:firstLineChars="0"/>
              <w:jc w:val="center"/>
              <w:rPr>
                <w:sz w:val="21"/>
                <w:szCs w:val="20"/>
              </w:rPr>
            </w:pPr>
            <w:r>
              <w:rPr>
                <w:sz w:val="21"/>
                <w:szCs w:val="20"/>
              </w:rPr>
              <w:t>夜间</w:t>
            </w:r>
          </w:p>
        </w:tc>
        <w:tc>
          <w:tcPr>
            <w:tcW w:w="2076" w:type="pct"/>
            <w:vMerge w:val="continue"/>
            <w:vAlign w:val="center"/>
          </w:tcPr>
          <w:p w14:paraId="6D8504B9">
            <w:pPr>
              <w:adjustRightInd w:val="0"/>
              <w:snapToGrid w:val="0"/>
              <w:spacing w:line="240" w:lineRule="auto"/>
              <w:ind w:firstLine="0" w:firstLineChars="0"/>
              <w:jc w:val="center"/>
              <w:rPr>
                <w:sz w:val="21"/>
                <w:szCs w:val="20"/>
              </w:rPr>
            </w:pPr>
          </w:p>
        </w:tc>
      </w:tr>
      <w:tr w14:paraId="5E147D5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218" w:type="pct"/>
            <w:vAlign w:val="center"/>
          </w:tcPr>
          <w:p w14:paraId="110DE9F9">
            <w:pPr>
              <w:adjustRightInd w:val="0"/>
              <w:snapToGrid w:val="0"/>
              <w:spacing w:line="240" w:lineRule="auto"/>
              <w:ind w:firstLine="0" w:firstLineChars="0"/>
              <w:jc w:val="center"/>
              <w:rPr>
                <w:sz w:val="21"/>
                <w:szCs w:val="20"/>
              </w:rPr>
            </w:pPr>
            <w:r>
              <w:rPr>
                <w:rFonts w:hint="eastAsia"/>
                <w:sz w:val="21"/>
                <w:szCs w:val="20"/>
              </w:rPr>
              <w:t>胡杨河经济技术开发区</w:t>
            </w:r>
          </w:p>
        </w:tc>
        <w:tc>
          <w:tcPr>
            <w:tcW w:w="569" w:type="pct"/>
            <w:vAlign w:val="center"/>
          </w:tcPr>
          <w:p w14:paraId="5196E15D">
            <w:pPr>
              <w:adjustRightInd w:val="0"/>
              <w:snapToGrid w:val="0"/>
              <w:spacing w:line="240" w:lineRule="auto"/>
              <w:ind w:firstLine="0" w:firstLineChars="0"/>
              <w:jc w:val="center"/>
              <w:rPr>
                <w:sz w:val="21"/>
                <w:szCs w:val="20"/>
              </w:rPr>
            </w:pPr>
            <w:r>
              <w:rPr>
                <w:sz w:val="21"/>
                <w:szCs w:val="20"/>
              </w:rPr>
              <w:t>3</w:t>
            </w:r>
          </w:p>
        </w:tc>
        <w:tc>
          <w:tcPr>
            <w:tcW w:w="568" w:type="pct"/>
            <w:vAlign w:val="center"/>
          </w:tcPr>
          <w:p w14:paraId="6ADB01C7">
            <w:pPr>
              <w:adjustRightInd w:val="0"/>
              <w:snapToGrid w:val="0"/>
              <w:spacing w:line="240" w:lineRule="auto"/>
              <w:ind w:firstLine="0" w:firstLineChars="0"/>
              <w:jc w:val="center"/>
              <w:rPr>
                <w:sz w:val="21"/>
                <w:szCs w:val="20"/>
              </w:rPr>
            </w:pPr>
            <w:r>
              <w:rPr>
                <w:sz w:val="21"/>
                <w:szCs w:val="20"/>
              </w:rPr>
              <w:t>65</w:t>
            </w:r>
          </w:p>
        </w:tc>
        <w:tc>
          <w:tcPr>
            <w:tcW w:w="569" w:type="pct"/>
            <w:vAlign w:val="center"/>
          </w:tcPr>
          <w:p w14:paraId="2041CB59">
            <w:pPr>
              <w:adjustRightInd w:val="0"/>
              <w:snapToGrid w:val="0"/>
              <w:spacing w:line="240" w:lineRule="auto"/>
              <w:ind w:firstLine="0" w:firstLineChars="0"/>
              <w:jc w:val="center"/>
              <w:rPr>
                <w:sz w:val="21"/>
                <w:szCs w:val="20"/>
              </w:rPr>
            </w:pPr>
            <w:r>
              <w:rPr>
                <w:sz w:val="21"/>
                <w:szCs w:val="20"/>
              </w:rPr>
              <w:t>55</w:t>
            </w:r>
          </w:p>
        </w:tc>
        <w:tc>
          <w:tcPr>
            <w:tcW w:w="2076" w:type="pct"/>
            <w:vAlign w:val="center"/>
          </w:tcPr>
          <w:p w14:paraId="4F979335">
            <w:pPr>
              <w:adjustRightInd w:val="0"/>
              <w:snapToGrid w:val="0"/>
              <w:spacing w:line="240" w:lineRule="auto"/>
              <w:ind w:firstLine="0" w:firstLineChars="0"/>
              <w:jc w:val="center"/>
              <w:rPr>
                <w:sz w:val="21"/>
                <w:szCs w:val="20"/>
              </w:rPr>
            </w:pPr>
            <w:r>
              <w:rPr>
                <w:sz w:val="21"/>
                <w:szCs w:val="20"/>
              </w:rPr>
              <w:t>《声环境质量标准》（GB3096-2008）</w:t>
            </w:r>
          </w:p>
        </w:tc>
      </w:tr>
    </w:tbl>
    <w:p w14:paraId="5FBB2892">
      <w:pPr>
        <w:pStyle w:val="45"/>
        <w:spacing w:before="65" w:after="65"/>
      </w:pPr>
      <w:r>
        <w:rPr>
          <w:rFonts w:hint="eastAsia"/>
        </w:rPr>
        <w:t>土壤环境</w:t>
      </w:r>
    </w:p>
    <w:p w14:paraId="7DCF7CFC">
      <w:pPr>
        <w:ind w:firstLine="480"/>
      </w:pPr>
      <w:r>
        <w:rPr>
          <w:rFonts w:hint="eastAsia"/>
        </w:rPr>
        <w:t>本</w:t>
      </w:r>
      <w:r>
        <w:t>项目位于</w:t>
      </w:r>
      <w:r>
        <w:rPr>
          <w:rFonts w:hint="eastAsia"/>
        </w:rPr>
        <w:t>胡杨河经济技术开发区</w:t>
      </w:r>
      <w:r>
        <w:t>南园区</w:t>
      </w:r>
      <w:r>
        <w:rPr>
          <w:rFonts w:hint="eastAsia"/>
        </w:rPr>
        <w:t>已规划的工业用地范围内</w:t>
      </w:r>
      <w:r>
        <w:t>，土地</w:t>
      </w:r>
      <w:r>
        <w:rPr>
          <w:rFonts w:hint="eastAsia"/>
        </w:rPr>
        <w:t>利用类型</w:t>
      </w:r>
      <w:r>
        <w:t>为工业用地，土壤环境质量执行《土壤环境质量</w:t>
      </w:r>
      <w:r>
        <w:rPr>
          <w:rFonts w:hint="eastAsia"/>
        </w:rPr>
        <w:t xml:space="preserve"> </w:t>
      </w:r>
      <w:r>
        <w:t>建设用地土壤污染风险管控标准（试行）》（GB36600-2018）表1中筛选值。具体限值见</w:t>
      </w:r>
      <w:r>
        <w:rPr>
          <w:rFonts w:hint="eastAsia"/>
        </w:rPr>
        <w:t>下</w:t>
      </w:r>
      <w:r>
        <w:t>表</w:t>
      </w:r>
      <w:r>
        <w:rPr>
          <w:rFonts w:hint="eastAsia"/>
        </w:rPr>
        <w:t>。</w:t>
      </w:r>
    </w:p>
    <w:p w14:paraId="6574E343">
      <w:pPr>
        <w:pStyle w:val="47"/>
        <w:spacing w:before="65"/>
      </w:pPr>
      <w:r>
        <w:rPr>
          <w:rFonts w:hint="eastAsia"/>
        </w:rPr>
        <w:t>表2</w:t>
      </w:r>
      <w:r>
        <w:t xml:space="preserve">.5-4   </w:t>
      </w:r>
      <w:r>
        <w:rPr>
          <w:rFonts w:hint="eastAsia"/>
        </w:rPr>
        <w:t xml:space="preserve">建设用地土壤环境质量标准 </w:t>
      </w:r>
      <w:r>
        <w:t xml:space="preserve">  </w:t>
      </w:r>
      <w:r>
        <w:rPr>
          <w:rFonts w:hint="eastAsia"/>
        </w:rPr>
        <w:t>单位：mg</w:t>
      </w:r>
      <w:r>
        <w:t>/</w:t>
      </w:r>
      <w:r>
        <w:rPr>
          <w:rFonts w:hint="eastAsia"/>
        </w:rPr>
        <w:t>kg</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809"/>
        <w:gridCol w:w="1272"/>
        <w:gridCol w:w="1277"/>
        <w:gridCol w:w="1276"/>
        <w:gridCol w:w="1560"/>
        <w:gridCol w:w="1324"/>
      </w:tblGrid>
      <w:tr w14:paraId="0AF241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239" w:type="pct"/>
            <w:vMerge w:val="restart"/>
            <w:vAlign w:val="center"/>
          </w:tcPr>
          <w:p w14:paraId="15007F20">
            <w:pPr>
              <w:adjustRightInd w:val="0"/>
              <w:snapToGrid w:val="0"/>
              <w:spacing w:line="240" w:lineRule="auto"/>
              <w:ind w:firstLine="0" w:firstLineChars="0"/>
              <w:jc w:val="center"/>
              <w:rPr>
                <w:b/>
                <w:sz w:val="21"/>
                <w:szCs w:val="20"/>
              </w:rPr>
            </w:pPr>
            <w:r>
              <w:rPr>
                <w:b/>
                <w:sz w:val="21"/>
                <w:szCs w:val="20"/>
              </w:rPr>
              <w:t>序号</w:t>
            </w:r>
          </w:p>
        </w:tc>
        <w:tc>
          <w:tcPr>
            <w:tcW w:w="1011" w:type="pct"/>
            <w:vMerge w:val="restart"/>
            <w:vAlign w:val="center"/>
          </w:tcPr>
          <w:p w14:paraId="6030F158">
            <w:pPr>
              <w:adjustRightInd w:val="0"/>
              <w:snapToGrid w:val="0"/>
              <w:spacing w:line="240" w:lineRule="auto"/>
              <w:ind w:firstLine="0" w:firstLineChars="0"/>
              <w:jc w:val="center"/>
              <w:rPr>
                <w:b/>
                <w:sz w:val="21"/>
                <w:szCs w:val="20"/>
              </w:rPr>
            </w:pPr>
            <w:r>
              <w:rPr>
                <w:b/>
                <w:sz w:val="21"/>
                <w:szCs w:val="20"/>
              </w:rPr>
              <w:t>污染物项目</w:t>
            </w:r>
          </w:p>
        </w:tc>
        <w:tc>
          <w:tcPr>
            <w:tcW w:w="711" w:type="pct"/>
            <w:vMerge w:val="restart"/>
            <w:vAlign w:val="center"/>
          </w:tcPr>
          <w:p w14:paraId="5DDF4581">
            <w:pPr>
              <w:adjustRightInd w:val="0"/>
              <w:snapToGrid w:val="0"/>
              <w:spacing w:line="240" w:lineRule="auto"/>
              <w:ind w:firstLine="0" w:firstLineChars="0"/>
              <w:jc w:val="center"/>
              <w:rPr>
                <w:b/>
                <w:sz w:val="21"/>
                <w:szCs w:val="20"/>
              </w:rPr>
            </w:pPr>
            <w:r>
              <w:rPr>
                <w:b/>
                <w:sz w:val="21"/>
                <w:szCs w:val="20"/>
              </w:rPr>
              <w:t>CAS编号</w:t>
            </w:r>
          </w:p>
        </w:tc>
        <w:tc>
          <w:tcPr>
            <w:tcW w:w="1427" w:type="pct"/>
            <w:gridSpan w:val="2"/>
            <w:vAlign w:val="center"/>
          </w:tcPr>
          <w:p w14:paraId="72EEA5D5">
            <w:pPr>
              <w:adjustRightInd w:val="0"/>
              <w:snapToGrid w:val="0"/>
              <w:spacing w:line="240" w:lineRule="auto"/>
              <w:ind w:firstLine="0" w:firstLineChars="0"/>
              <w:jc w:val="center"/>
              <w:rPr>
                <w:b/>
                <w:sz w:val="21"/>
                <w:szCs w:val="20"/>
              </w:rPr>
            </w:pPr>
            <w:r>
              <w:rPr>
                <w:b/>
                <w:sz w:val="21"/>
                <w:szCs w:val="20"/>
              </w:rPr>
              <w:t>筛选值</w:t>
            </w:r>
          </w:p>
        </w:tc>
        <w:tc>
          <w:tcPr>
            <w:tcW w:w="1612" w:type="pct"/>
            <w:gridSpan w:val="2"/>
            <w:vAlign w:val="center"/>
          </w:tcPr>
          <w:p w14:paraId="074051F2">
            <w:pPr>
              <w:adjustRightInd w:val="0"/>
              <w:snapToGrid w:val="0"/>
              <w:spacing w:line="240" w:lineRule="auto"/>
              <w:ind w:firstLine="0" w:firstLineChars="0"/>
              <w:jc w:val="center"/>
              <w:rPr>
                <w:b/>
                <w:sz w:val="21"/>
                <w:szCs w:val="20"/>
              </w:rPr>
            </w:pPr>
            <w:r>
              <w:rPr>
                <w:b/>
                <w:sz w:val="21"/>
                <w:szCs w:val="20"/>
              </w:rPr>
              <w:t>管制值</w:t>
            </w:r>
          </w:p>
        </w:tc>
      </w:tr>
      <w:tr w14:paraId="0940B1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239" w:type="pct"/>
            <w:vMerge w:val="continue"/>
            <w:vAlign w:val="center"/>
          </w:tcPr>
          <w:p w14:paraId="57EB4716">
            <w:pPr>
              <w:adjustRightInd w:val="0"/>
              <w:snapToGrid w:val="0"/>
              <w:spacing w:line="240" w:lineRule="auto"/>
              <w:ind w:firstLine="0" w:firstLineChars="0"/>
              <w:jc w:val="center"/>
              <w:rPr>
                <w:b/>
                <w:sz w:val="21"/>
                <w:szCs w:val="20"/>
              </w:rPr>
            </w:pPr>
          </w:p>
        </w:tc>
        <w:tc>
          <w:tcPr>
            <w:tcW w:w="1011" w:type="pct"/>
            <w:vMerge w:val="continue"/>
            <w:vAlign w:val="center"/>
          </w:tcPr>
          <w:p w14:paraId="1F84D0FF">
            <w:pPr>
              <w:adjustRightInd w:val="0"/>
              <w:snapToGrid w:val="0"/>
              <w:spacing w:line="240" w:lineRule="auto"/>
              <w:ind w:firstLine="0" w:firstLineChars="0"/>
              <w:jc w:val="center"/>
              <w:rPr>
                <w:b/>
                <w:sz w:val="21"/>
                <w:szCs w:val="20"/>
              </w:rPr>
            </w:pPr>
          </w:p>
        </w:tc>
        <w:tc>
          <w:tcPr>
            <w:tcW w:w="711" w:type="pct"/>
            <w:vMerge w:val="continue"/>
            <w:vAlign w:val="center"/>
          </w:tcPr>
          <w:p w14:paraId="6A8EB8EB">
            <w:pPr>
              <w:adjustRightInd w:val="0"/>
              <w:snapToGrid w:val="0"/>
              <w:spacing w:line="240" w:lineRule="auto"/>
              <w:ind w:firstLine="0" w:firstLineChars="0"/>
              <w:jc w:val="center"/>
              <w:rPr>
                <w:b/>
                <w:sz w:val="21"/>
                <w:szCs w:val="20"/>
              </w:rPr>
            </w:pPr>
          </w:p>
        </w:tc>
        <w:tc>
          <w:tcPr>
            <w:tcW w:w="714" w:type="pct"/>
            <w:vAlign w:val="center"/>
          </w:tcPr>
          <w:p w14:paraId="2525CA91">
            <w:pPr>
              <w:adjustRightInd w:val="0"/>
              <w:snapToGrid w:val="0"/>
              <w:spacing w:line="240" w:lineRule="auto"/>
              <w:ind w:firstLine="0" w:firstLineChars="0"/>
              <w:jc w:val="center"/>
              <w:rPr>
                <w:b/>
                <w:sz w:val="21"/>
                <w:szCs w:val="20"/>
              </w:rPr>
            </w:pPr>
            <w:r>
              <w:rPr>
                <w:b/>
                <w:sz w:val="21"/>
                <w:szCs w:val="20"/>
              </w:rPr>
              <w:t>第一类用地</w:t>
            </w:r>
          </w:p>
        </w:tc>
        <w:tc>
          <w:tcPr>
            <w:tcW w:w="713" w:type="pct"/>
            <w:vAlign w:val="center"/>
          </w:tcPr>
          <w:p w14:paraId="2BAA81D1">
            <w:pPr>
              <w:adjustRightInd w:val="0"/>
              <w:snapToGrid w:val="0"/>
              <w:spacing w:line="240" w:lineRule="auto"/>
              <w:ind w:firstLine="0" w:firstLineChars="0"/>
              <w:jc w:val="center"/>
              <w:rPr>
                <w:b/>
                <w:sz w:val="21"/>
                <w:szCs w:val="20"/>
              </w:rPr>
            </w:pPr>
            <w:r>
              <w:rPr>
                <w:b/>
                <w:sz w:val="21"/>
                <w:szCs w:val="20"/>
              </w:rPr>
              <w:t>第二类用地</w:t>
            </w:r>
          </w:p>
        </w:tc>
        <w:tc>
          <w:tcPr>
            <w:tcW w:w="872" w:type="pct"/>
            <w:vAlign w:val="center"/>
          </w:tcPr>
          <w:p w14:paraId="656DC362">
            <w:pPr>
              <w:adjustRightInd w:val="0"/>
              <w:snapToGrid w:val="0"/>
              <w:spacing w:line="240" w:lineRule="auto"/>
              <w:ind w:firstLine="0" w:firstLineChars="0"/>
              <w:jc w:val="center"/>
              <w:rPr>
                <w:b/>
                <w:sz w:val="21"/>
                <w:szCs w:val="20"/>
              </w:rPr>
            </w:pPr>
            <w:r>
              <w:rPr>
                <w:b/>
                <w:sz w:val="21"/>
                <w:szCs w:val="20"/>
              </w:rPr>
              <w:t>第一类用地</w:t>
            </w:r>
          </w:p>
        </w:tc>
        <w:tc>
          <w:tcPr>
            <w:tcW w:w="741" w:type="pct"/>
            <w:vAlign w:val="center"/>
          </w:tcPr>
          <w:p w14:paraId="2D4E6742">
            <w:pPr>
              <w:adjustRightInd w:val="0"/>
              <w:snapToGrid w:val="0"/>
              <w:spacing w:line="240" w:lineRule="auto"/>
              <w:ind w:firstLine="0" w:firstLineChars="0"/>
              <w:jc w:val="center"/>
              <w:rPr>
                <w:b/>
                <w:sz w:val="21"/>
                <w:szCs w:val="20"/>
              </w:rPr>
            </w:pPr>
            <w:r>
              <w:rPr>
                <w:b/>
                <w:sz w:val="21"/>
                <w:szCs w:val="20"/>
              </w:rPr>
              <w:t>第二类用地</w:t>
            </w:r>
          </w:p>
        </w:tc>
      </w:tr>
      <w:tr w14:paraId="39CC4A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5000" w:type="pct"/>
            <w:gridSpan w:val="7"/>
            <w:vAlign w:val="center"/>
          </w:tcPr>
          <w:p w14:paraId="5FF24E90">
            <w:pPr>
              <w:adjustRightInd w:val="0"/>
              <w:snapToGrid w:val="0"/>
              <w:spacing w:line="240" w:lineRule="auto"/>
              <w:ind w:firstLine="0" w:firstLineChars="0"/>
              <w:jc w:val="center"/>
              <w:rPr>
                <w:sz w:val="21"/>
                <w:szCs w:val="20"/>
              </w:rPr>
            </w:pPr>
            <w:r>
              <w:rPr>
                <w:sz w:val="21"/>
                <w:szCs w:val="20"/>
              </w:rPr>
              <w:t>重金属和无机物</w:t>
            </w:r>
          </w:p>
        </w:tc>
      </w:tr>
      <w:tr w14:paraId="79F451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A63A123">
            <w:pPr>
              <w:adjustRightInd w:val="0"/>
              <w:snapToGrid w:val="0"/>
              <w:spacing w:line="240" w:lineRule="auto"/>
              <w:ind w:firstLine="0" w:firstLineChars="0"/>
              <w:jc w:val="center"/>
              <w:rPr>
                <w:sz w:val="21"/>
                <w:szCs w:val="20"/>
              </w:rPr>
            </w:pPr>
            <w:r>
              <w:rPr>
                <w:sz w:val="21"/>
                <w:szCs w:val="20"/>
              </w:rPr>
              <w:t>1</w:t>
            </w:r>
          </w:p>
        </w:tc>
        <w:tc>
          <w:tcPr>
            <w:tcW w:w="1011" w:type="pct"/>
            <w:vAlign w:val="center"/>
          </w:tcPr>
          <w:p w14:paraId="3C85DF4A">
            <w:pPr>
              <w:adjustRightInd w:val="0"/>
              <w:snapToGrid w:val="0"/>
              <w:spacing w:line="240" w:lineRule="auto"/>
              <w:ind w:firstLine="0" w:firstLineChars="0"/>
              <w:jc w:val="center"/>
              <w:rPr>
                <w:sz w:val="21"/>
                <w:szCs w:val="20"/>
              </w:rPr>
            </w:pPr>
            <w:r>
              <w:rPr>
                <w:sz w:val="21"/>
                <w:szCs w:val="20"/>
              </w:rPr>
              <w:t>砷</w:t>
            </w:r>
          </w:p>
        </w:tc>
        <w:tc>
          <w:tcPr>
            <w:tcW w:w="711" w:type="pct"/>
            <w:vAlign w:val="center"/>
          </w:tcPr>
          <w:p w14:paraId="5CA55890">
            <w:pPr>
              <w:adjustRightInd w:val="0"/>
              <w:snapToGrid w:val="0"/>
              <w:spacing w:line="240" w:lineRule="auto"/>
              <w:ind w:firstLine="0" w:firstLineChars="0"/>
              <w:jc w:val="center"/>
              <w:rPr>
                <w:sz w:val="21"/>
                <w:szCs w:val="20"/>
              </w:rPr>
            </w:pPr>
            <w:r>
              <w:rPr>
                <w:sz w:val="21"/>
                <w:szCs w:val="20"/>
              </w:rPr>
              <w:t>7440-38-2</w:t>
            </w:r>
          </w:p>
        </w:tc>
        <w:tc>
          <w:tcPr>
            <w:tcW w:w="714" w:type="pct"/>
            <w:vAlign w:val="center"/>
          </w:tcPr>
          <w:p w14:paraId="037985C4">
            <w:pPr>
              <w:adjustRightInd w:val="0"/>
              <w:snapToGrid w:val="0"/>
              <w:spacing w:line="240" w:lineRule="auto"/>
              <w:ind w:firstLine="0" w:firstLineChars="0"/>
              <w:jc w:val="center"/>
              <w:rPr>
                <w:sz w:val="21"/>
                <w:szCs w:val="20"/>
              </w:rPr>
            </w:pPr>
            <w:r>
              <w:rPr>
                <w:sz w:val="21"/>
                <w:szCs w:val="20"/>
              </w:rPr>
              <w:t>20</w:t>
            </w:r>
            <w:r>
              <w:rPr>
                <w:rFonts w:hint="eastAsia" w:ascii="宋体" w:hAnsi="宋体" w:cs="宋体"/>
                <w:sz w:val="21"/>
                <w:szCs w:val="20"/>
                <w:vertAlign w:val="superscript"/>
              </w:rPr>
              <w:t>①</w:t>
            </w:r>
          </w:p>
        </w:tc>
        <w:tc>
          <w:tcPr>
            <w:tcW w:w="713" w:type="pct"/>
            <w:vAlign w:val="center"/>
          </w:tcPr>
          <w:p w14:paraId="37221EF0">
            <w:pPr>
              <w:adjustRightInd w:val="0"/>
              <w:snapToGrid w:val="0"/>
              <w:spacing w:line="240" w:lineRule="auto"/>
              <w:ind w:firstLine="0" w:firstLineChars="0"/>
              <w:jc w:val="center"/>
              <w:rPr>
                <w:sz w:val="21"/>
                <w:szCs w:val="20"/>
              </w:rPr>
            </w:pPr>
            <w:r>
              <w:rPr>
                <w:sz w:val="21"/>
                <w:szCs w:val="20"/>
              </w:rPr>
              <w:t>60</w:t>
            </w:r>
            <w:r>
              <w:rPr>
                <w:rFonts w:hint="eastAsia" w:ascii="宋体" w:hAnsi="宋体" w:cs="宋体"/>
                <w:sz w:val="21"/>
                <w:szCs w:val="20"/>
                <w:vertAlign w:val="superscript"/>
              </w:rPr>
              <w:t>①</w:t>
            </w:r>
          </w:p>
        </w:tc>
        <w:tc>
          <w:tcPr>
            <w:tcW w:w="872" w:type="pct"/>
            <w:vAlign w:val="center"/>
          </w:tcPr>
          <w:p w14:paraId="500A9848">
            <w:pPr>
              <w:adjustRightInd w:val="0"/>
              <w:snapToGrid w:val="0"/>
              <w:spacing w:line="240" w:lineRule="auto"/>
              <w:ind w:firstLine="0" w:firstLineChars="0"/>
              <w:jc w:val="center"/>
              <w:rPr>
                <w:sz w:val="21"/>
                <w:szCs w:val="20"/>
              </w:rPr>
            </w:pPr>
            <w:r>
              <w:rPr>
                <w:sz w:val="21"/>
                <w:szCs w:val="20"/>
              </w:rPr>
              <w:t>120</w:t>
            </w:r>
          </w:p>
        </w:tc>
        <w:tc>
          <w:tcPr>
            <w:tcW w:w="741" w:type="pct"/>
            <w:vAlign w:val="center"/>
          </w:tcPr>
          <w:p w14:paraId="3B53FC41">
            <w:pPr>
              <w:adjustRightInd w:val="0"/>
              <w:snapToGrid w:val="0"/>
              <w:spacing w:line="240" w:lineRule="auto"/>
              <w:ind w:firstLine="0" w:firstLineChars="0"/>
              <w:jc w:val="center"/>
              <w:rPr>
                <w:sz w:val="21"/>
                <w:szCs w:val="20"/>
              </w:rPr>
            </w:pPr>
            <w:r>
              <w:rPr>
                <w:sz w:val="21"/>
                <w:szCs w:val="20"/>
              </w:rPr>
              <w:t>140</w:t>
            </w:r>
          </w:p>
        </w:tc>
      </w:tr>
      <w:tr w14:paraId="61584D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E1BD935">
            <w:pPr>
              <w:adjustRightInd w:val="0"/>
              <w:snapToGrid w:val="0"/>
              <w:spacing w:line="240" w:lineRule="auto"/>
              <w:ind w:firstLine="0" w:firstLineChars="0"/>
              <w:jc w:val="center"/>
              <w:rPr>
                <w:sz w:val="21"/>
                <w:szCs w:val="20"/>
              </w:rPr>
            </w:pPr>
            <w:r>
              <w:rPr>
                <w:sz w:val="21"/>
                <w:szCs w:val="20"/>
              </w:rPr>
              <w:t>2</w:t>
            </w:r>
          </w:p>
        </w:tc>
        <w:tc>
          <w:tcPr>
            <w:tcW w:w="1011" w:type="pct"/>
            <w:vAlign w:val="center"/>
          </w:tcPr>
          <w:p w14:paraId="0CA80793">
            <w:pPr>
              <w:adjustRightInd w:val="0"/>
              <w:snapToGrid w:val="0"/>
              <w:spacing w:line="240" w:lineRule="auto"/>
              <w:ind w:firstLine="0" w:firstLineChars="0"/>
              <w:jc w:val="center"/>
              <w:rPr>
                <w:sz w:val="21"/>
                <w:szCs w:val="20"/>
              </w:rPr>
            </w:pPr>
            <w:r>
              <w:rPr>
                <w:sz w:val="21"/>
                <w:szCs w:val="20"/>
              </w:rPr>
              <w:t>镉</w:t>
            </w:r>
          </w:p>
        </w:tc>
        <w:tc>
          <w:tcPr>
            <w:tcW w:w="711" w:type="pct"/>
            <w:vAlign w:val="center"/>
          </w:tcPr>
          <w:p w14:paraId="3492B4AF">
            <w:pPr>
              <w:adjustRightInd w:val="0"/>
              <w:snapToGrid w:val="0"/>
              <w:spacing w:line="240" w:lineRule="auto"/>
              <w:ind w:firstLine="0" w:firstLineChars="0"/>
              <w:jc w:val="center"/>
              <w:rPr>
                <w:sz w:val="21"/>
                <w:szCs w:val="20"/>
              </w:rPr>
            </w:pPr>
            <w:r>
              <w:rPr>
                <w:sz w:val="21"/>
                <w:szCs w:val="20"/>
              </w:rPr>
              <w:t>7440-43-9</w:t>
            </w:r>
          </w:p>
        </w:tc>
        <w:tc>
          <w:tcPr>
            <w:tcW w:w="714" w:type="pct"/>
            <w:vAlign w:val="center"/>
          </w:tcPr>
          <w:p w14:paraId="09AE1625">
            <w:pPr>
              <w:adjustRightInd w:val="0"/>
              <w:snapToGrid w:val="0"/>
              <w:spacing w:line="240" w:lineRule="auto"/>
              <w:ind w:firstLine="0" w:firstLineChars="0"/>
              <w:jc w:val="center"/>
              <w:rPr>
                <w:sz w:val="21"/>
                <w:szCs w:val="20"/>
              </w:rPr>
            </w:pPr>
            <w:r>
              <w:rPr>
                <w:sz w:val="21"/>
                <w:szCs w:val="20"/>
              </w:rPr>
              <w:t>20</w:t>
            </w:r>
          </w:p>
        </w:tc>
        <w:tc>
          <w:tcPr>
            <w:tcW w:w="713" w:type="pct"/>
            <w:vAlign w:val="center"/>
          </w:tcPr>
          <w:p w14:paraId="658EFE80">
            <w:pPr>
              <w:adjustRightInd w:val="0"/>
              <w:snapToGrid w:val="0"/>
              <w:spacing w:line="240" w:lineRule="auto"/>
              <w:ind w:firstLine="0" w:firstLineChars="0"/>
              <w:jc w:val="center"/>
              <w:rPr>
                <w:sz w:val="21"/>
                <w:szCs w:val="20"/>
              </w:rPr>
            </w:pPr>
            <w:r>
              <w:rPr>
                <w:sz w:val="21"/>
                <w:szCs w:val="20"/>
              </w:rPr>
              <w:t>65</w:t>
            </w:r>
          </w:p>
        </w:tc>
        <w:tc>
          <w:tcPr>
            <w:tcW w:w="872" w:type="pct"/>
            <w:vAlign w:val="center"/>
          </w:tcPr>
          <w:p w14:paraId="4D0B2935">
            <w:pPr>
              <w:adjustRightInd w:val="0"/>
              <w:snapToGrid w:val="0"/>
              <w:spacing w:line="240" w:lineRule="auto"/>
              <w:ind w:firstLine="0" w:firstLineChars="0"/>
              <w:jc w:val="center"/>
              <w:rPr>
                <w:sz w:val="21"/>
                <w:szCs w:val="20"/>
              </w:rPr>
            </w:pPr>
            <w:r>
              <w:rPr>
                <w:sz w:val="21"/>
                <w:szCs w:val="20"/>
              </w:rPr>
              <w:t>47</w:t>
            </w:r>
          </w:p>
        </w:tc>
        <w:tc>
          <w:tcPr>
            <w:tcW w:w="741" w:type="pct"/>
            <w:vAlign w:val="center"/>
          </w:tcPr>
          <w:p w14:paraId="1DA44E31">
            <w:pPr>
              <w:adjustRightInd w:val="0"/>
              <w:snapToGrid w:val="0"/>
              <w:spacing w:line="240" w:lineRule="auto"/>
              <w:ind w:firstLine="0" w:firstLineChars="0"/>
              <w:jc w:val="center"/>
              <w:rPr>
                <w:sz w:val="21"/>
                <w:szCs w:val="20"/>
              </w:rPr>
            </w:pPr>
            <w:r>
              <w:rPr>
                <w:sz w:val="21"/>
                <w:szCs w:val="20"/>
              </w:rPr>
              <w:t>172</w:t>
            </w:r>
          </w:p>
        </w:tc>
      </w:tr>
      <w:tr w14:paraId="394484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2DE6E6C6">
            <w:pPr>
              <w:adjustRightInd w:val="0"/>
              <w:snapToGrid w:val="0"/>
              <w:spacing w:line="240" w:lineRule="auto"/>
              <w:ind w:firstLine="0" w:firstLineChars="0"/>
              <w:jc w:val="center"/>
              <w:rPr>
                <w:sz w:val="21"/>
                <w:szCs w:val="20"/>
              </w:rPr>
            </w:pPr>
            <w:r>
              <w:rPr>
                <w:sz w:val="21"/>
                <w:szCs w:val="20"/>
              </w:rPr>
              <w:t>3</w:t>
            </w:r>
          </w:p>
        </w:tc>
        <w:tc>
          <w:tcPr>
            <w:tcW w:w="1011" w:type="pct"/>
            <w:vAlign w:val="center"/>
          </w:tcPr>
          <w:p w14:paraId="185A4EC6">
            <w:pPr>
              <w:adjustRightInd w:val="0"/>
              <w:snapToGrid w:val="0"/>
              <w:spacing w:line="240" w:lineRule="auto"/>
              <w:ind w:firstLine="0" w:firstLineChars="0"/>
              <w:jc w:val="center"/>
              <w:rPr>
                <w:sz w:val="21"/>
                <w:szCs w:val="20"/>
              </w:rPr>
            </w:pPr>
            <w:r>
              <w:rPr>
                <w:sz w:val="21"/>
                <w:szCs w:val="20"/>
              </w:rPr>
              <w:t>铬（六价）</w:t>
            </w:r>
          </w:p>
        </w:tc>
        <w:tc>
          <w:tcPr>
            <w:tcW w:w="711" w:type="pct"/>
            <w:vAlign w:val="center"/>
          </w:tcPr>
          <w:p w14:paraId="7C525316">
            <w:pPr>
              <w:adjustRightInd w:val="0"/>
              <w:snapToGrid w:val="0"/>
              <w:spacing w:line="240" w:lineRule="auto"/>
              <w:ind w:firstLine="0" w:firstLineChars="0"/>
              <w:jc w:val="center"/>
              <w:rPr>
                <w:sz w:val="21"/>
                <w:szCs w:val="20"/>
              </w:rPr>
            </w:pPr>
            <w:r>
              <w:rPr>
                <w:sz w:val="21"/>
                <w:szCs w:val="20"/>
              </w:rPr>
              <w:t>18540-29-9</w:t>
            </w:r>
          </w:p>
        </w:tc>
        <w:tc>
          <w:tcPr>
            <w:tcW w:w="714" w:type="pct"/>
            <w:vAlign w:val="center"/>
          </w:tcPr>
          <w:p w14:paraId="2E8F91AA">
            <w:pPr>
              <w:adjustRightInd w:val="0"/>
              <w:snapToGrid w:val="0"/>
              <w:spacing w:line="240" w:lineRule="auto"/>
              <w:ind w:firstLine="0" w:firstLineChars="0"/>
              <w:jc w:val="center"/>
              <w:rPr>
                <w:sz w:val="21"/>
                <w:szCs w:val="20"/>
              </w:rPr>
            </w:pPr>
            <w:r>
              <w:rPr>
                <w:sz w:val="21"/>
                <w:szCs w:val="20"/>
              </w:rPr>
              <w:t>3.0</w:t>
            </w:r>
          </w:p>
        </w:tc>
        <w:tc>
          <w:tcPr>
            <w:tcW w:w="713" w:type="pct"/>
            <w:vAlign w:val="center"/>
          </w:tcPr>
          <w:p w14:paraId="700B1ABF">
            <w:pPr>
              <w:adjustRightInd w:val="0"/>
              <w:snapToGrid w:val="0"/>
              <w:spacing w:line="240" w:lineRule="auto"/>
              <w:ind w:firstLine="0" w:firstLineChars="0"/>
              <w:jc w:val="center"/>
              <w:rPr>
                <w:sz w:val="21"/>
                <w:szCs w:val="20"/>
              </w:rPr>
            </w:pPr>
            <w:r>
              <w:rPr>
                <w:sz w:val="21"/>
                <w:szCs w:val="20"/>
              </w:rPr>
              <w:t>5.7</w:t>
            </w:r>
          </w:p>
        </w:tc>
        <w:tc>
          <w:tcPr>
            <w:tcW w:w="872" w:type="pct"/>
            <w:vAlign w:val="center"/>
          </w:tcPr>
          <w:p w14:paraId="747CE9A5">
            <w:pPr>
              <w:adjustRightInd w:val="0"/>
              <w:snapToGrid w:val="0"/>
              <w:spacing w:line="240" w:lineRule="auto"/>
              <w:ind w:firstLine="0" w:firstLineChars="0"/>
              <w:jc w:val="center"/>
              <w:rPr>
                <w:sz w:val="21"/>
                <w:szCs w:val="20"/>
              </w:rPr>
            </w:pPr>
            <w:r>
              <w:rPr>
                <w:sz w:val="21"/>
                <w:szCs w:val="20"/>
              </w:rPr>
              <w:t>30</w:t>
            </w:r>
          </w:p>
        </w:tc>
        <w:tc>
          <w:tcPr>
            <w:tcW w:w="741" w:type="pct"/>
            <w:vAlign w:val="center"/>
          </w:tcPr>
          <w:p w14:paraId="0FA96DB8">
            <w:pPr>
              <w:adjustRightInd w:val="0"/>
              <w:snapToGrid w:val="0"/>
              <w:spacing w:line="240" w:lineRule="auto"/>
              <w:ind w:firstLine="0" w:firstLineChars="0"/>
              <w:jc w:val="center"/>
              <w:rPr>
                <w:sz w:val="21"/>
                <w:szCs w:val="20"/>
              </w:rPr>
            </w:pPr>
            <w:r>
              <w:rPr>
                <w:sz w:val="21"/>
                <w:szCs w:val="20"/>
              </w:rPr>
              <w:t>78</w:t>
            </w:r>
          </w:p>
        </w:tc>
      </w:tr>
      <w:tr w14:paraId="6B79B1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A5F415F">
            <w:pPr>
              <w:adjustRightInd w:val="0"/>
              <w:snapToGrid w:val="0"/>
              <w:spacing w:line="240" w:lineRule="auto"/>
              <w:ind w:firstLine="0" w:firstLineChars="0"/>
              <w:jc w:val="center"/>
              <w:rPr>
                <w:sz w:val="21"/>
                <w:szCs w:val="20"/>
              </w:rPr>
            </w:pPr>
            <w:r>
              <w:rPr>
                <w:sz w:val="21"/>
                <w:szCs w:val="20"/>
              </w:rPr>
              <w:t>4</w:t>
            </w:r>
          </w:p>
        </w:tc>
        <w:tc>
          <w:tcPr>
            <w:tcW w:w="1011" w:type="pct"/>
            <w:vAlign w:val="center"/>
          </w:tcPr>
          <w:p w14:paraId="01B931E9">
            <w:pPr>
              <w:adjustRightInd w:val="0"/>
              <w:snapToGrid w:val="0"/>
              <w:spacing w:line="240" w:lineRule="auto"/>
              <w:ind w:firstLine="0" w:firstLineChars="0"/>
              <w:jc w:val="center"/>
              <w:rPr>
                <w:sz w:val="21"/>
                <w:szCs w:val="20"/>
              </w:rPr>
            </w:pPr>
            <w:r>
              <w:rPr>
                <w:sz w:val="21"/>
                <w:szCs w:val="20"/>
              </w:rPr>
              <w:t>铜</w:t>
            </w:r>
          </w:p>
        </w:tc>
        <w:tc>
          <w:tcPr>
            <w:tcW w:w="711" w:type="pct"/>
            <w:vAlign w:val="center"/>
          </w:tcPr>
          <w:p w14:paraId="04437313">
            <w:pPr>
              <w:adjustRightInd w:val="0"/>
              <w:snapToGrid w:val="0"/>
              <w:spacing w:line="240" w:lineRule="auto"/>
              <w:ind w:firstLine="0" w:firstLineChars="0"/>
              <w:jc w:val="center"/>
              <w:rPr>
                <w:sz w:val="21"/>
                <w:szCs w:val="20"/>
              </w:rPr>
            </w:pPr>
            <w:r>
              <w:rPr>
                <w:sz w:val="21"/>
                <w:szCs w:val="20"/>
              </w:rPr>
              <w:t>7440-50-8</w:t>
            </w:r>
          </w:p>
        </w:tc>
        <w:tc>
          <w:tcPr>
            <w:tcW w:w="714" w:type="pct"/>
            <w:vAlign w:val="center"/>
          </w:tcPr>
          <w:p w14:paraId="71ADE99B">
            <w:pPr>
              <w:adjustRightInd w:val="0"/>
              <w:snapToGrid w:val="0"/>
              <w:spacing w:line="240" w:lineRule="auto"/>
              <w:ind w:firstLine="0" w:firstLineChars="0"/>
              <w:jc w:val="center"/>
              <w:rPr>
                <w:sz w:val="21"/>
                <w:szCs w:val="20"/>
              </w:rPr>
            </w:pPr>
            <w:r>
              <w:rPr>
                <w:sz w:val="21"/>
                <w:szCs w:val="20"/>
              </w:rPr>
              <w:t>2000</w:t>
            </w:r>
          </w:p>
        </w:tc>
        <w:tc>
          <w:tcPr>
            <w:tcW w:w="713" w:type="pct"/>
            <w:vAlign w:val="center"/>
          </w:tcPr>
          <w:p w14:paraId="6B067F48">
            <w:pPr>
              <w:adjustRightInd w:val="0"/>
              <w:snapToGrid w:val="0"/>
              <w:spacing w:line="240" w:lineRule="auto"/>
              <w:ind w:firstLine="0" w:firstLineChars="0"/>
              <w:jc w:val="center"/>
              <w:rPr>
                <w:sz w:val="21"/>
                <w:szCs w:val="20"/>
              </w:rPr>
            </w:pPr>
            <w:r>
              <w:rPr>
                <w:sz w:val="21"/>
                <w:szCs w:val="20"/>
              </w:rPr>
              <w:t>18000</w:t>
            </w:r>
          </w:p>
        </w:tc>
        <w:tc>
          <w:tcPr>
            <w:tcW w:w="872" w:type="pct"/>
            <w:vAlign w:val="center"/>
          </w:tcPr>
          <w:p w14:paraId="454BFB53">
            <w:pPr>
              <w:adjustRightInd w:val="0"/>
              <w:snapToGrid w:val="0"/>
              <w:spacing w:line="240" w:lineRule="auto"/>
              <w:ind w:firstLine="0" w:firstLineChars="0"/>
              <w:jc w:val="center"/>
              <w:rPr>
                <w:sz w:val="21"/>
                <w:szCs w:val="20"/>
              </w:rPr>
            </w:pPr>
            <w:r>
              <w:rPr>
                <w:sz w:val="21"/>
                <w:szCs w:val="20"/>
              </w:rPr>
              <w:t>8000</w:t>
            </w:r>
          </w:p>
        </w:tc>
        <w:tc>
          <w:tcPr>
            <w:tcW w:w="741" w:type="pct"/>
            <w:vAlign w:val="center"/>
          </w:tcPr>
          <w:p w14:paraId="50DA2731">
            <w:pPr>
              <w:adjustRightInd w:val="0"/>
              <w:snapToGrid w:val="0"/>
              <w:spacing w:line="240" w:lineRule="auto"/>
              <w:ind w:firstLine="0" w:firstLineChars="0"/>
              <w:jc w:val="center"/>
              <w:rPr>
                <w:sz w:val="21"/>
                <w:szCs w:val="20"/>
              </w:rPr>
            </w:pPr>
            <w:r>
              <w:rPr>
                <w:sz w:val="21"/>
                <w:szCs w:val="20"/>
              </w:rPr>
              <w:t>36000</w:t>
            </w:r>
          </w:p>
        </w:tc>
      </w:tr>
      <w:tr w14:paraId="4F8915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283919F">
            <w:pPr>
              <w:adjustRightInd w:val="0"/>
              <w:snapToGrid w:val="0"/>
              <w:spacing w:line="240" w:lineRule="auto"/>
              <w:ind w:firstLine="0" w:firstLineChars="0"/>
              <w:jc w:val="center"/>
              <w:rPr>
                <w:sz w:val="21"/>
                <w:szCs w:val="20"/>
              </w:rPr>
            </w:pPr>
            <w:r>
              <w:rPr>
                <w:sz w:val="21"/>
                <w:szCs w:val="20"/>
              </w:rPr>
              <w:t>5</w:t>
            </w:r>
          </w:p>
        </w:tc>
        <w:tc>
          <w:tcPr>
            <w:tcW w:w="1011" w:type="pct"/>
            <w:vAlign w:val="center"/>
          </w:tcPr>
          <w:p w14:paraId="32249440">
            <w:pPr>
              <w:adjustRightInd w:val="0"/>
              <w:snapToGrid w:val="0"/>
              <w:spacing w:line="240" w:lineRule="auto"/>
              <w:ind w:firstLine="0" w:firstLineChars="0"/>
              <w:jc w:val="center"/>
              <w:rPr>
                <w:sz w:val="21"/>
                <w:szCs w:val="20"/>
              </w:rPr>
            </w:pPr>
            <w:r>
              <w:rPr>
                <w:sz w:val="21"/>
                <w:szCs w:val="20"/>
              </w:rPr>
              <w:t>铅</w:t>
            </w:r>
          </w:p>
        </w:tc>
        <w:tc>
          <w:tcPr>
            <w:tcW w:w="711" w:type="pct"/>
            <w:vAlign w:val="center"/>
          </w:tcPr>
          <w:p w14:paraId="4BB13513">
            <w:pPr>
              <w:adjustRightInd w:val="0"/>
              <w:snapToGrid w:val="0"/>
              <w:spacing w:line="240" w:lineRule="auto"/>
              <w:ind w:firstLine="0" w:firstLineChars="0"/>
              <w:jc w:val="center"/>
              <w:rPr>
                <w:sz w:val="21"/>
                <w:szCs w:val="20"/>
              </w:rPr>
            </w:pPr>
            <w:r>
              <w:rPr>
                <w:sz w:val="21"/>
                <w:szCs w:val="20"/>
              </w:rPr>
              <w:t>7439-92-1</w:t>
            </w:r>
          </w:p>
        </w:tc>
        <w:tc>
          <w:tcPr>
            <w:tcW w:w="714" w:type="pct"/>
            <w:vAlign w:val="center"/>
          </w:tcPr>
          <w:p w14:paraId="6CC5AF14">
            <w:pPr>
              <w:adjustRightInd w:val="0"/>
              <w:snapToGrid w:val="0"/>
              <w:spacing w:line="240" w:lineRule="auto"/>
              <w:ind w:firstLine="0" w:firstLineChars="0"/>
              <w:jc w:val="center"/>
              <w:rPr>
                <w:sz w:val="21"/>
                <w:szCs w:val="20"/>
              </w:rPr>
            </w:pPr>
            <w:r>
              <w:rPr>
                <w:sz w:val="21"/>
                <w:szCs w:val="20"/>
              </w:rPr>
              <w:t>400</w:t>
            </w:r>
          </w:p>
        </w:tc>
        <w:tc>
          <w:tcPr>
            <w:tcW w:w="713" w:type="pct"/>
            <w:vAlign w:val="center"/>
          </w:tcPr>
          <w:p w14:paraId="50099FDF">
            <w:pPr>
              <w:adjustRightInd w:val="0"/>
              <w:snapToGrid w:val="0"/>
              <w:spacing w:line="240" w:lineRule="auto"/>
              <w:ind w:firstLine="0" w:firstLineChars="0"/>
              <w:jc w:val="center"/>
              <w:rPr>
                <w:sz w:val="21"/>
                <w:szCs w:val="20"/>
              </w:rPr>
            </w:pPr>
            <w:r>
              <w:rPr>
                <w:sz w:val="21"/>
                <w:szCs w:val="20"/>
              </w:rPr>
              <w:t>800</w:t>
            </w:r>
          </w:p>
        </w:tc>
        <w:tc>
          <w:tcPr>
            <w:tcW w:w="872" w:type="pct"/>
            <w:vAlign w:val="center"/>
          </w:tcPr>
          <w:p w14:paraId="5C7404DD">
            <w:pPr>
              <w:adjustRightInd w:val="0"/>
              <w:snapToGrid w:val="0"/>
              <w:spacing w:line="240" w:lineRule="auto"/>
              <w:ind w:firstLine="0" w:firstLineChars="0"/>
              <w:jc w:val="center"/>
              <w:rPr>
                <w:sz w:val="21"/>
                <w:szCs w:val="20"/>
              </w:rPr>
            </w:pPr>
            <w:r>
              <w:rPr>
                <w:sz w:val="21"/>
                <w:szCs w:val="20"/>
              </w:rPr>
              <w:t>800</w:t>
            </w:r>
          </w:p>
        </w:tc>
        <w:tc>
          <w:tcPr>
            <w:tcW w:w="741" w:type="pct"/>
            <w:vAlign w:val="center"/>
          </w:tcPr>
          <w:p w14:paraId="50D8ADE6">
            <w:pPr>
              <w:adjustRightInd w:val="0"/>
              <w:snapToGrid w:val="0"/>
              <w:spacing w:line="240" w:lineRule="auto"/>
              <w:ind w:firstLine="0" w:firstLineChars="0"/>
              <w:jc w:val="center"/>
              <w:rPr>
                <w:sz w:val="21"/>
                <w:szCs w:val="20"/>
              </w:rPr>
            </w:pPr>
            <w:r>
              <w:rPr>
                <w:sz w:val="21"/>
                <w:szCs w:val="20"/>
              </w:rPr>
              <w:t>2500</w:t>
            </w:r>
          </w:p>
        </w:tc>
      </w:tr>
      <w:tr w14:paraId="4ADCF6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F297301">
            <w:pPr>
              <w:adjustRightInd w:val="0"/>
              <w:snapToGrid w:val="0"/>
              <w:spacing w:line="240" w:lineRule="auto"/>
              <w:ind w:firstLine="0" w:firstLineChars="0"/>
              <w:jc w:val="center"/>
              <w:rPr>
                <w:sz w:val="21"/>
                <w:szCs w:val="20"/>
              </w:rPr>
            </w:pPr>
            <w:r>
              <w:rPr>
                <w:sz w:val="21"/>
                <w:szCs w:val="20"/>
              </w:rPr>
              <w:t>6</w:t>
            </w:r>
          </w:p>
        </w:tc>
        <w:tc>
          <w:tcPr>
            <w:tcW w:w="1011" w:type="pct"/>
            <w:vAlign w:val="center"/>
          </w:tcPr>
          <w:p w14:paraId="3FF4EBD3">
            <w:pPr>
              <w:adjustRightInd w:val="0"/>
              <w:snapToGrid w:val="0"/>
              <w:spacing w:line="240" w:lineRule="auto"/>
              <w:ind w:firstLine="0" w:firstLineChars="0"/>
              <w:jc w:val="center"/>
              <w:rPr>
                <w:sz w:val="21"/>
                <w:szCs w:val="20"/>
              </w:rPr>
            </w:pPr>
            <w:r>
              <w:rPr>
                <w:sz w:val="21"/>
                <w:szCs w:val="20"/>
              </w:rPr>
              <w:t>汞</w:t>
            </w:r>
          </w:p>
        </w:tc>
        <w:tc>
          <w:tcPr>
            <w:tcW w:w="711" w:type="pct"/>
            <w:vAlign w:val="center"/>
          </w:tcPr>
          <w:p w14:paraId="50C7B3E0">
            <w:pPr>
              <w:adjustRightInd w:val="0"/>
              <w:snapToGrid w:val="0"/>
              <w:spacing w:line="240" w:lineRule="auto"/>
              <w:ind w:firstLine="0" w:firstLineChars="0"/>
              <w:jc w:val="center"/>
              <w:rPr>
                <w:sz w:val="21"/>
                <w:szCs w:val="20"/>
              </w:rPr>
            </w:pPr>
            <w:r>
              <w:rPr>
                <w:sz w:val="21"/>
                <w:szCs w:val="20"/>
              </w:rPr>
              <w:t>7439-97-6</w:t>
            </w:r>
          </w:p>
        </w:tc>
        <w:tc>
          <w:tcPr>
            <w:tcW w:w="714" w:type="pct"/>
            <w:vAlign w:val="center"/>
          </w:tcPr>
          <w:p w14:paraId="27F0904E">
            <w:pPr>
              <w:adjustRightInd w:val="0"/>
              <w:snapToGrid w:val="0"/>
              <w:spacing w:line="240" w:lineRule="auto"/>
              <w:ind w:firstLine="0" w:firstLineChars="0"/>
              <w:jc w:val="center"/>
              <w:rPr>
                <w:sz w:val="21"/>
                <w:szCs w:val="20"/>
              </w:rPr>
            </w:pPr>
            <w:r>
              <w:rPr>
                <w:sz w:val="21"/>
                <w:szCs w:val="20"/>
              </w:rPr>
              <w:t>8</w:t>
            </w:r>
          </w:p>
        </w:tc>
        <w:tc>
          <w:tcPr>
            <w:tcW w:w="713" w:type="pct"/>
            <w:vAlign w:val="center"/>
          </w:tcPr>
          <w:p w14:paraId="75D3BBE1">
            <w:pPr>
              <w:adjustRightInd w:val="0"/>
              <w:snapToGrid w:val="0"/>
              <w:spacing w:line="240" w:lineRule="auto"/>
              <w:ind w:firstLine="0" w:firstLineChars="0"/>
              <w:jc w:val="center"/>
              <w:rPr>
                <w:sz w:val="21"/>
                <w:szCs w:val="20"/>
              </w:rPr>
            </w:pPr>
            <w:r>
              <w:rPr>
                <w:sz w:val="21"/>
                <w:szCs w:val="20"/>
              </w:rPr>
              <w:t>38</w:t>
            </w:r>
          </w:p>
        </w:tc>
        <w:tc>
          <w:tcPr>
            <w:tcW w:w="872" w:type="pct"/>
            <w:vAlign w:val="center"/>
          </w:tcPr>
          <w:p w14:paraId="32D2C6E8">
            <w:pPr>
              <w:adjustRightInd w:val="0"/>
              <w:snapToGrid w:val="0"/>
              <w:spacing w:line="240" w:lineRule="auto"/>
              <w:ind w:firstLine="0" w:firstLineChars="0"/>
              <w:jc w:val="center"/>
              <w:rPr>
                <w:sz w:val="21"/>
                <w:szCs w:val="20"/>
              </w:rPr>
            </w:pPr>
            <w:r>
              <w:rPr>
                <w:sz w:val="21"/>
                <w:szCs w:val="20"/>
              </w:rPr>
              <w:t>33</w:t>
            </w:r>
          </w:p>
        </w:tc>
        <w:tc>
          <w:tcPr>
            <w:tcW w:w="741" w:type="pct"/>
            <w:vAlign w:val="center"/>
          </w:tcPr>
          <w:p w14:paraId="23F1E289">
            <w:pPr>
              <w:adjustRightInd w:val="0"/>
              <w:snapToGrid w:val="0"/>
              <w:spacing w:line="240" w:lineRule="auto"/>
              <w:ind w:firstLine="0" w:firstLineChars="0"/>
              <w:jc w:val="center"/>
              <w:rPr>
                <w:sz w:val="21"/>
                <w:szCs w:val="20"/>
              </w:rPr>
            </w:pPr>
            <w:r>
              <w:rPr>
                <w:sz w:val="21"/>
                <w:szCs w:val="20"/>
              </w:rPr>
              <w:t>82</w:t>
            </w:r>
          </w:p>
        </w:tc>
      </w:tr>
      <w:tr w14:paraId="0DB516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00143F30">
            <w:pPr>
              <w:adjustRightInd w:val="0"/>
              <w:snapToGrid w:val="0"/>
              <w:spacing w:line="240" w:lineRule="auto"/>
              <w:ind w:firstLine="0" w:firstLineChars="0"/>
              <w:jc w:val="center"/>
              <w:rPr>
                <w:sz w:val="21"/>
                <w:szCs w:val="20"/>
              </w:rPr>
            </w:pPr>
            <w:r>
              <w:rPr>
                <w:sz w:val="21"/>
                <w:szCs w:val="20"/>
              </w:rPr>
              <w:t>7</w:t>
            </w:r>
          </w:p>
        </w:tc>
        <w:tc>
          <w:tcPr>
            <w:tcW w:w="1011" w:type="pct"/>
            <w:vAlign w:val="center"/>
          </w:tcPr>
          <w:p w14:paraId="2E3B4B68">
            <w:pPr>
              <w:adjustRightInd w:val="0"/>
              <w:snapToGrid w:val="0"/>
              <w:spacing w:line="240" w:lineRule="auto"/>
              <w:ind w:firstLine="0" w:firstLineChars="0"/>
              <w:jc w:val="center"/>
              <w:rPr>
                <w:sz w:val="21"/>
                <w:szCs w:val="20"/>
              </w:rPr>
            </w:pPr>
            <w:r>
              <w:rPr>
                <w:sz w:val="21"/>
                <w:szCs w:val="20"/>
              </w:rPr>
              <w:t>镍</w:t>
            </w:r>
          </w:p>
        </w:tc>
        <w:tc>
          <w:tcPr>
            <w:tcW w:w="711" w:type="pct"/>
            <w:vAlign w:val="center"/>
          </w:tcPr>
          <w:p w14:paraId="6B7159DD">
            <w:pPr>
              <w:adjustRightInd w:val="0"/>
              <w:snapToGrid w:val="0"/>
              <w:spacing w:line="240" w:lineRule="auto"/>
              <w:ind w:firstLine="0" w:firstLineChars="0"/>
              <w:jc w:val="center"/>
              <w:rPr>
                <w:sz w:val="21"/>
                <w:szCs w:val="20"/>
              </w:rPr>
            </w:pPr>
            <w:r>
              <w:rPr>
                <w:sz w:val="21"/>
                <w:szCs w:val="20"/>
              </w:rPr>
              <w:t>7440-02-0</w:t>
            </w:r>
          </w:p>
        </w:tc>
        <w:tc>
          <w:tcPr>
            <w:tcW w:w="714" w:type="pct"/>
            <w:vAlign w:val="center"/>
          </w:tcPr>
          <w:p w14:paraId="32FED1ED">
            <w:pPr>
              <w:adjustRightInd w:val="0"/>
              <w:snapToGrid w:val="0"/>
              <w:spacing w:line="240" w:lineRule="auto"/>
              <w:ind w:firstLine="0" w:firstLineChars="0"/>
              <w:jc w:val="center"/>
              <w:rPr>
                <w:sz w:val="21"/>
                <w:szCs w:val="20"/>
              </w:rPr>
            </w:pPr>
            <w:r>
              <w:rPr>
                <w:sz w:val="21"/>
                <w:szCs w:val="20"/>
              </w:rPr>
              <w:t>150</w:t>
            </w:r>
          </w:p>
        </w:tc>
        <w:tc>
          <w:tcPr>
            <w:tcW w:w="713" w:type="pct"/>
            <w:vAlign w:val="center"/>
          </w:tcPr>
          <w:p w14:paraId="4F81BE0F">
            <w:pPr>
              <w:adjustRightInd w:val="0"/>
              <w:snapToGrid w:val="0"/>
              <w:spacing w:line="240" w:lineRule="auto"/>
              <w:ind w:firstLine="0" w:firstLineChars="0"/>
              <w:jc w:val="center"/>
              <w:rPr>
                <w:sz w:val="21"/>
                <w:szCs w:val="20"/>
              </w:rPr>
            </w:pPr>
            <w:r>
              <w:rPr>
                <w:sz w:val="21"/>
                <w:szCs w:val="20"/>
              </w:rPr>
              <w:t>900</w:t>
            </w:r>
          </w:p>
        </w:tc>
        <w:tc>
          <w:tcPr>
            <w:tcW w:w="872" w:type="pct"/>
            <w:vAlign w:val="center"/>
          </w:tcPr>
          <w:p w14:paraId="14CA0416">
            <w:pPr>
              <w:adjustRightInd w:val="0"/>
              <w:snapToGrid w:val="0"/>
              <w:spacing w:line="240" w:lineRule="auto"/>
              <w:ind w:firstLine="0" w:firstLineChars="0"/>
              <w:jc w:val="center"/>
              <w:rPr>
                <w:sz w:val="21"/>
                <w:szCs w:val="20"/>
              </w:rPr>
            </w:pPr>
            <w:r>
              <w:rPr>
                <w:sz w:val="21"/>
                <w:szCs w:val="20"/>
              </w:rPr>
              <w:t>600</w:t>
            </w:r>
          </w:p>
        </w:tc>
        <w:tc>
          <w:tcPr>
            <w:tcW w:w="741" w:type="pct"/>
            <w:vAlign w:val="center"/>
          </w:tcPr>
          <w:p w14:paraId="3EEACC82">
            <w:pPr>
              <w:adjustRightInd w:val="0"/>
              <w:snapToGrid w:val="0"/>
              <w:spacing w:line="240" w:lineRule="auto"/>
              <w:ind w:firstLine="0" w:firstLineChars="0"/>
              <w:jc w:val="center"/>
              <w:rPr>
                <w:sz w:val="21"/>
                <w:szCs w:val="20"/>
              </w:rPr>
            </w:pPr>
            <w:r>
              <w:rPr>
                <w:sz w:val="21"/>
                <w:szCs w:val="20"/>
              </w:rPr>
              <w:t>2000</w:t>
            </w:r>
          </w:p>
        </w:tc>
      </w:tr>
      <w:tr w14:paraId="5B8FD6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5000" w:type="pct"/>
            <w:gridSpan w:val="7"/>
            <w:vAlign w:val="center"/>
          </w:tcPr>
          <w:p w14:paraId="23B50EBD">
            <w:pPr>
              <w:adjustRightInd w:val="0"/>
              <w:snapToGrid w:val="0"/>
              <w:spacing w:line="240" w:lineRule="auto"/>
              <w:ind w:firstLine="0" w:firstLineChars="0"/>
              <w:jc w:val="center"/>
              <w:rPr>
                <w:sz w:val="21"/>
                <w:szCs w:val="20"/>
              </w:rPr>
            </w:pPr>
            <w:r>
              <w:rPr>
                <w:sz w:val="21"/>
                <w:szCs w:val="20"/>
              </w:rPr>
              <w:t>挥发性有机物</w:t>
            </w:r>
          </w:p>
        </w:tc>
      </w:tr>
      <w:tr w14:paraId="59BAAF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97C059D">
            <w:pPr>
              <w:adjustRightInd w:val="0"/>
              <w:snapToGrid w:val="0"/>
              <w:spacing w:line="240" w:lineRule="auto"/>
              <w:ind w:firstLine="0" w:firstLineChars="0"/>
              <w:jc w:val="center"/>
              <w:rPr>
                <w:sz w:val="21"/>
                <w:szCs w:val="20"/>
              </w:rPr>
            </w:pPr>
            <w:r>
              <w:rPr>
                <w:sz w:val="21"/>
                <w:szCs w:val="20"/>
              </w:rPr>
              <w:t>8</w:t>
            </w:r>
          </w:p>
        </w:tc>
        <w:tc>
          <w:tcPr>
            <w:tcW w:w="1011" w:type="pct"/>
            <w:vAlign w:val="center"/>
          </w:tcPr>
          <w:p w14:paraId="77F38F5A">
            <w:pPr>
              <w:adjustRightInd w:val="0"/>
              <w:snapToGrid w:val="0"/>
              <w:spacing w:line="240" w:lineRule="auto"/>
              <w:ind w:firstLine="0" w:firstLineChars="0"/>
              <w:jc w:val="center"/>
              <w:rPr>
                <w:sz w:val="21"/>
                <w:szCs w:val="20"/>
              </w:rPr>
            </w:pPr>
            <w:r>
              <w:rPr>
                <w:sz w:val="21"/>
                <w:szCs w:val="20"/>
              </w:rPr>
              <w:t>四氯化碳</w:t>
            </w:r>
          </w:p>
        </w:tc>
        <w:tc>
          <w:tcPr>
            <w:tcW w:w="711" w:type="pct"/>
            <w:vAlign w:val="center"/>
          </w:tcPr>
          <w:p w14:paraId="351E2B94">
            <w:pPr>
              <w:adjustRightInd w:val="0"/>
              <w:snapToGrid w:val="0"/>
              <w:spacing w:line="240" w:lineRule="auto"/>
              <w:ind w:firstLine="0" w:firstLineChars="0"/>
              <w:jc w:val="center"/>
              <w:rPr>
                <w:sz w:val="21"/>
                <w:szCs w:val="20"/>
              </w:rPr>
            </w:pPr>
            <w:r>
              <w:rPr>
                <w:sz w:val="21"/>
                <w:szCs w:val="20"/>
              </w:rPr>
              <w:t>56-23-5</w:t>
            </w:r>
          </w:p>
        </w:tc>
        <w:tc>
          <w:tcPr>
            <w:tcW w:w="714" w:type="pct"/>
            <w:vAlign w:val="center"/>
          </w:tcPr>
          <w:p w14:paraId="4FC173EE">
            <w:pPr>
              <w:adjustRightInd w:val="0"/>
              <w:snapToGrid w:val="0"/>
              <w:spacing w:line="240" w:lineRule="auto"/>
              <w:ind w:firstLine="0" w:firstLineChars="0"/>
              <w:jc w:val="center"/>
              <w:rPr>
                <w:sz w:val="21"/>
                <w:szCs w:val="20"/>
              </w:rPr>
            </w:pPr>
            <w:r>
              <w:rPr>
                <w:sz w:val="21"/>
                <w:szCs w:val="20"/>
              </w:rPr>
              <w:t>0.9</w:t>
            </w:r>
          </w:p>
        </w:tc>
        <w:tc>
          <w:tcPr>
            <w:tcW w:w="713" w:type="pct"/>
            <w:vAlign w:val="center"/>
          </w:tcPr>
          <w:p w14:paraId="1D952772">
            <w:pPr>
              <w:adjustRightInd w:val="0"/>
              <w:snapToGrid w:val="0"/>
              <w:spacing w:line="240" w:lineRule="auto"/>
              <w:ind w:firstLine="0" w:firstLineChars="0"/>
              <w:jc w:val="center"/>
              <w:rPr>
                <w:sz w:val="21"/>
                <w:szCs w:val="20"/>
              </w:rPr>
            </w:pPr>
            <w:r>
              <w:rPr>
                <w:sz w:val="21"/>
                <w:szCs w:val="20"/>
              </w:rPr>
              <w:t>2.8</w:t>
            </w:r>
          </w:p>
        </w:tc>
        <w:tc>
          <w:tcPr>
            <w:tcW w:w="872" w:type="pct"/>
            <w:vAlign w:val="center"/>
          </w:tcPr>
          <w:p w14:paraId="475713A9">
            <w:pPr>
              <w:adjustRightInd w:val="0"/>
              <w:snapToGrid w:val="0"/>
              <w:spacing w:line="240" w:lineRule="auto"/>
              <w:ind w:firstLine="0" w:firstLineChars="0"/>
              <w:jc w:val="center"/>
              <w:rPr>
                <w:sz w:val="21"/>
                <w:szCs w:val="20"/>
              </w:rPr>
            </w:pPr>
            <w:r>
              <w:rPr>
                <w:sz w:val="21"/>
                <w:szCs w:val="20"/>
              </w:rPr>
              <w:t>9</w:t>
            </w:r>
          </w:p>
        </w:tc>
        <w:tc>
          <w:tcPr>
            <w:tcW w:w="741" w:type="pct"/>
            <w:vAlign w:val="center"/>
          </w:tcPr>
          <w:p w14:paraId="36B9292A">
            <w:pPr>
              <w:adjustRightInd w:val="0"/>
              <w:snapToGrid w:val="0"/>
              <w:spacing w:line="240" w:lineRule="auto"/>
              <w:ind w:firstLine="0" w:firstLineChars="0"/>
              <w:jc w:val="center"/>
              <w:rPr>
                <w:sz w:val="21"/>
                <w:szCs w:val="20"/>
              </w:rPr>
            </w:pPr>
            <w:r>
              <w:rPr>
                <w:sz w:val="21"/>
                <w:szCs w:val="20"/>
              </w:rPr>
              <w:t>36</w:t>
            </w:r>
          </w:p>
        </w:tc>
      </w:tr>
      <w:tr w14:paraId="0F9DA7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207621CE">
            <w:pPr>
              <w:adjustRightInd w:val="0"/>
              <w:snapToGrid w:val="0"/>
              <w:spacing w:line="240" w:lineRule="auto"/>
              <w:ind w:firstLine="0" w:firstLineChars="0"/>
              <w:jc w:val="center"/>
              <w:rPr>
                <w:sz w:val="21"/>
                <w:szCs w:val="20"/>
              </w:rPr>
            </w:pPr>
            <w:r>
              <w:rPr>
                <w:sz w:val="21"/>
                <w:szCs w:val="20"/>
              </w:rPr>
              <w:t>9</w:t>
            </w:r>
          </w:p>
        </w:tc>
        <w:tc>
          <w:tcPr>
            <w:tcW w:w="1011" w:type="pct"/>
            <w:vAlign w:val="center"/>
          </w:tcPr>
          <w:p w14:paraId="29145019">
            <w:pPr>
              <w:adjustRightInd w:val="0"/>
              <w:snapToGrid w:val="0"/>
              <w:spacing w:line="240" w:lineRule="auto"/>
              <w:ind w:firstLine="0" w:firstLineChars="0"/>
              <w:jc w:val="center"/>
              <w:rPr>
                <w:sz w:val="21"/>
                <w:szCs w:val="20"/>
              </w:rPr>
            </w:pPr>
            <w:r>
              <w:rPr>
                <w:sz w:val="21"/>
                <w:szCs w:val="20"/>
              </w:rPr>
              <w:t>氯仿</w:t>
            </w:r>
          </w:p>
        </w:tc>
        <w:tc>
          <w:tcPr>
            <w:tcW w:w="711" w:type="pct"/>
            <w:vAlign w:val="center"/>
          </w:tcPr>
          <w:p w14:paraId="6D09DD5D">
            <w:pPr>
              <w:adjustRightInd w:val="0"/>
              <w:snapToGrid w:val="0"/>
              <w:spacing w:line="240" w:lineRule="auto"/>
              <w:ind w:firstLine="0" w:firstLineChars="0"/>
              <w:jc w:val="center"/>
              <w:rPr>
                <w:sz w:val="21"/>
                <w:szCs w:val="20"/>
              </w:rPr>
            </w:pPr>
            <w:r>
              <w:rPr>
                <w:sz w:val="21"/>
                <w:szCs w:val="20"/>
              </w:rPr>
              <w:t>67-66-3</w:t>
            </w:r>
          </w:p>
        </w:tc>
        <w:tc>
          <w:tcPr>
            <w:tcW w:w="714" w:type="pct"/>
            <w:vAlign w:val="center"/>
          </w:tcPr>
          <w:p w14:paraId="343D7C1D">
            <w:pPr>
              <w:adjustRightInd w:val="0"/>
              <w:snapToGrid w:val="0"/>
              <w:spacing w:line="240" w:lineRule="auto"/>
              <w:ind w:firstLine="0" w:firstLineChars="0"/>
              <w:jc w:val="center"/>
              <w:rPr>
                <w:sz w:val="21"/>
                <w:szCs w:val="20"/>
              </w:rPr>
            </w:pPr>
            <w:r>
              <w:rPr>
                <w:sz w:val="21"/>
                <w:szCs w:val="20"/>
              </w:rPr>
              <w:t>0.3</w:t>
            </w:r>
          </w:p>
        </w:tc>
        <w:tc>
          <w:tcPr>
            <w:tcW w:w="713" w:type="pct"/>
            <w:vAlign w:val="center"/>
          </w:tcPr>
          <w:p w14:paraId="30E12813">
            <w:pPr>
              <w:adjustRightInd w:val="0"/>
              <w:snapToGrid w:val="0"/>
              <w:spacing w:line="240" w:lineRule="auto"/>
              <w:ind w:firstLine="0" w:firstLineChars="0"/>
              <w:jc w:val="center"/>
              <w:rPr>
                <w:sz w:val="21"/>
                <w:szCs w:val="20"/>
              </w:rPr>
            </w:pPr>
            <w:r>
              <w:rPr>
                <w:sz w:val="21"/>
                <w:szCs w:val="20"/>
              </w:rPr>
              <w:t>0.9</w:t>
            </w:r>
          </w:p>
        </w:tc>
        <w:tc>
          <w:tcPr>
            <w:tcW w:w="872" w:type="pct"/>
            <w:vAlign w:val="center"/>
          </w:tcPr>
          <w:p w14:paraId="07A804FA">
            <w:pPr>
              <w:adjustRightInd w:val="0"/>
              <w:snapToGrid w:val="0"/>
              <w:spacing w:line="240" w:lineRule="auto"/>
              <w:ind w:firstLine="0" w:firstLineChars="0"/>
              <w:jc w:val="center"/>
              <w:rPr>
                <w:sz w:val="21"/>
                <w:szCs w:val="20"/>
              </w:rPr>
            </w:pPr>
            <w:r>
              <w:rPr>
                <w:sz w:val="21"/>
                <w:szCs w:val="20"/>
              </w:rPr>
              <w:t>5</w:t>
            </w:r>
          </w:p>
        </w:tc>
        <w:tc>
          <w:tcPr>
            <w:tcW w:w="741" w:type="pct"/>
            <w:vAlign w:val="center"/>
          </w:tcPr>
          <w:p w14:paraId="130A159F">
            <w:pPr>
              <w:adjustRightInd w:val="0"/>
              <w:snapToGrid w:val="0"/>
              <w:spacing w:line="240" w:lineRule="auto"/>
              <w:ind w:firstLine="0" w:firstLineChars="0"/>
              <w:jc w:val="center"/>
              <w:rPr>
                <w:sz w:val="21"/>
                <w:szCs w:val="20"/>
              </w:rPr>
            </w:pPr>
            <w:r>
              <w:rPr>
                <w:sz w:val="21"/>
                <w:szCs w:val="20"/>
              </w:rPr>
              <w:t>10</w:t>
            </w:r>
          </w:p>
        </w:tc>
      </w:tr>
      <w:tr w14:paraId="309070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3098177">
            <w:pPr>
              <w:adjustRightInd w:val="0"/>
              <w:snapToGrid w:val="0"/>
              <w:spacing w:line="240" w:lineRule="auto"/>
              <w:ind w:firstLine="0" w:firstLineChars="0"/>
              <w:jc w:val="center"/>
              <w:rPr>
                <w:sz w:val="21"/>
                <w:szCs w:val="20"/>
              </w:rPr>
            </w:pPr>
            <w:r>
              <w:rPr>
                <w:sz w:val="21"/>
                <w:szCs w:val="20"/>
              </w:rPr>
              <w:t>10</w:t>
            </w:r>
          </w:p>
        </w:tc>
        <w:tc>
          <w:tcPr>
            <w:tcW w:w="1011" w:type="pct"/>
            <w:vAlign w:val="center"/>
          </w:tcPr>
          <w:p w14:paraId="0D342544">
            <w:pPr>
              <w:adjustRightInd w:val="0"/>
              <w:snapToGrid w:val="0"/>
              <w:spacing w:line="240" w:lineRule="auto"/>
              <w:ind w:firstLine="0" w:firstLineChars="0"/>
              <w:jc w:val="center"/>
              <w:rPr>
                <w:sz w:val="21"/>
                <w:szCs w:val="20"/>
              </w:rPr>
            </w:pPr>
            <w:r>
              <w:rPr>
                <w:sz w:val="21"/>
                <w:szCs w:val="20"/>
              </w:rPr>
              <w:t>氯甲烷</w:t>
            </w:r>
          </w:p>
        </w:tc>
        <w:tc>
          <w:tcPr>
            <w:tcW w:w="711" w:type="pct"/>
            <w:vAlign w:val="center"/>
          </w:tcPr>
          <w:p w14:paraId="7E4EC8FE">
            <w:pPr>
              <w:adjustRightInd w:val="0"/>
              <w:snapToGrid w:val="0"/>
              <w:spacing w:line="240" w:lineRule="auto"/>
              <w:ind w:firstLine="0" w:firstLineChars="0"/>
              <w:jc w:val="center"/>
              <w:rPr>
                <w:sz w:val="21"/>
                <w:szCs w:val="20"/>
              </w:rPr>
            </w:pPr>
            <w:r>
              <w:rPr>
                <w:sz w:val="21"/>
                <w:szCs w:val="20"/>
              </w:rPr>
              <w:t>74-87-3</w:t>
            </w:r>
          </w:p>
        </w:tc>
        <w:tc>
          <w:tcPr>
            <w:tcW w:w="714" w:type="pct"/>
            <w:vAlign w:val="center"/>
          </w:tcPr>
          <w:p w14:paraId="0C66EE65">
            <w:pPr>
              <w:adjustRightInd w:val="0"/>
              <w:snapToGrid w:val="0"/>
              <w:spacing w:line="240" w:lineRule="auto"/>
              <w:ind w:firstLine="0" w:firstLineChars="0"/>
              <w:jc w:val="center"/>
              <w:rPr>
                <w:sz w:val="21"/>
                <w:szCs w:val="20"/>
              </w:rPr>
            </w:pPr>
            <w:r>
              <w:rPr>
                <w:sz w:val="21"/>
                <w:szCs w:val="20"/>
              </w:rPr>
              <w:t>12</w:t>
            </w:r>
          </w:p>
        </w:tc>
        <w:tc>
          <w:tcPr>
            <w:tcW w:w="713" w:type="pct"/>
            <w:vAlign w:val="center"/>
          </w:tcPr>
          <w:p w14:paraId="768CEBAD">
            <w:pPr>
              <w:adjustRightInd w:val="0"/>
              <w:snapToGrid w:val="0"/>
              <w:spacing w:line="240" w:lineRule="auto"/>
              <w:ind w:firstLine="0" w:firstLineChars="0"/>
              <w:jc w:val="center"/>
              <w:rPr>
                <w:sz w:val="21"/>
                <w:szCs w:val="20"/>
              </w:rPr>
            </w:pPr>
            <w:r>
              <w:rPr>
                <w:sz w:val="21"/>
                <w:szCs w:val="20"/>
              </w:rPr>
              <w:t>37</w:t>
            </w:r>
          </w:p>
        </w:tc>
        <w:tc>
          <w:tcPr>
            <w:tcW w:w="872" w:type="pct"/>
            <w:vAlign w:val="center"/>
          </w:tcPr>
          <w:p w14:paraId="19C23680">
            <w:pPr>
              <w:adjustRightInd w:val="0"/>
              <w:snapToGrid w:val="0"/>
              <w:spacing w:line="240" w:lineRule="auto"/>
              <w:ind w:firstLine="0" w:firstLineChars="0"/>
              <w:jc w:val="center"/>
              <w:rPr>
                <w:sz w:val="21"/>
                <w:szCs w:val="20"/>
              </w:rPr>
            </w:pPr>
            <w:r>
              <w:rPr>
                <w:sz w:val="21"/>
                <w:szCs w:val="20"/>
              </w:rPr>
              <w:t>21</w:t>
            </w:r>
          </w:p>
        </w:tc>
        <w:tc>
          <w:tcPr>
            <w:tcW w:w="741" w:type="pct"/>
            <w:vAlign w:val="center"/>
          </w:tcPr>
          <w:p w14:paraId="1306CE50">
            <w:pPr>
              <w:adjustRightInd w:val="0"/>
              <w:snapToGrid w:val="0"/>
              <w:spacing w:line="240" w:lineRule="auto"/>
              <w:ind w:firstLine="0" w:firstLineChars="0"/>
              <w:jc w:val="center"/>
              <w:rPr>
                <w:sz w:val="21"/>
                <w:szCs w:val="20"/>
              </w:rPr>
            </w:pPr>
            <w:r>
              <w:rPr>
                <w:sz w:val="21"/>
                <w:szCs w:val="20"/>
              </w:rPr>
              <w:t>120</w:t>
            </w:r>
          </w:p>
        </w:tc>
      </w:tr>
      <w:tr w14:paraId="13ED7F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00D4CB36">
            <w:pPr>
              <w:adjustRightInd w:val="0"/>
              <w:snapToGrid w:val="0"/>
              <w:spacing w:line="240" w:lineRule="auto"/>
              <w:ind w:firstLine="0" w:firstLineChars="0"/>
              <w:jc w:val="center"/>
              <w:rPr>
                <w:sz w:val="21"/>
                <w:szCs w:val="20"/>
              </w:rPr>
            </w:pPr>
            <w:r>
              <w:rPr>
                <w:sz w:val="21"/>
                <w:szCs w:val="20"/>
              </w:rPr>
              <w:t>11</w:t>
            </w:r>
          </w:p>
        </w:tc>
        <w:tc>
          <w:tcPr>
            <w:tcW w:w="1011" w:type="pct"/>
            <w:vAlign w:val="center"/>
          </w:tcPr>
          <w:p w14:paraId="6B659E7B">
            <w:pPr>
              <w:adjustRightInd w:val="0"/>
              <w:snapToGrid w:val="0"/>
              <w:spacing w:line="240" w:lineRule="auto"/>
              <w:ind w:firstLine="0" w:firstLineChars="0"/>
              <w:jc w:val="center"/>
              <w:rPr>
                <w:sz w:val="21"/>
                <w:szCs w:val="20"/>
              </w:rPr>
            </w:pPr>
            <w:r>
              <w:rPr>
                <w:sz w:val="21"/>
                <w:szCs w:val="20"/>
              </w:rPr>
              <w:t>1，1-二氯乙烷</w:t>
            </w:r>
          </w:p>
        </w:tc>
        <w:tc>
          <w:tcPr>
            <w:tcW w:w="711" w:type="pct"/>
            <w:vAlign w:val="center"/>
          </w:tcPr>
          <w:p w14:paraId="3E13B256">
            <w:pPr>
              <w:adjustRightInd w:val="0"/>
              <w:snapToGrid w:val="0"/>
              <w:spacing w:line="240" w:lineRule="auto"/>
              <w:ind w:firstLine="0" w:firstLineChars="0"/>
              <w:jc w:val="center"/>
              <w:rPr>
                <w:sz w:val="21"/>
                <w:szCs w:val="20"/>
              </w:rPr>
            </w:pPr>
            <w:r>
              <w:rPr>
                <w:sz w:val="21"/>
                <w:szCs w:val="20"/>
              </w:rPr>
              <w:t>75-34-3</w:t>
            </w:r>
          </w:p>
        </w:tc>
        <w:tc>
          <w:tcPr>
            <w:tcW w:w="714" w:type="pct"/>
            <w:vAlign w:val="center"/>
          </w:tcPr>
          <w:p w14:paraId="697BBD91">
            <w:pPr>
              <w:adjustRightInd w:val="0"/>
              <w:snapToGrid w:val="0"/>
              <w:spacing w:line="240" w:lineRule="auto"/>
              <w:ind w:firstLine="0" w:firstLineChars="0"/>
              <w:jc w:val="center"/>
              <w:rPr>
                <w:sz w:val="21"/>
                <w:szCs w:val="20"/>
              </w:rPr>
            </w:pPr>
            <w:r>
              <w:rPr>
                <w:sz w:val="21"/>
                <w:szCs w:val="20"/>
              </w:rPr>
              <w:t>3</w:t>
            </w:r>
          </w:p>
        </w:tc>
        <w:tc>
          <w:tcPr>
            <w:tcW w:w="713" w:type="pct"/>
            <w:vAlign w:val="center"/>
          </w:tcPr>
          <w:p w14:paraId="34C93DBD">
            <w:pPr>
              <w:adjustRightInd w:val="0"/>
              <w:snapToGrid w:val="0"/>
              <w:spacing w:line="240" w:lineRule="auto"/>
              <w:ind w:firstLine="0" w:firstLineChars="0"/>
              <w:jc w:val="center"/>
              <w:rPr>
                <w:sz w:val="21"/>
                <w:szCs w:val="20"/>
              </w:rPr>
            </w:pPr>
            <w:r>
              <w:rPr>
                <w:sz w:val="21"/>
                <w:szCs w:val="20"/>
              </w:rPr>
              <w:t>9</w:t>
            </w:r>
          </w:p>
        </w:tc>
        <w:tc>
          <w:tcPr>
            <w:tcW w:w="872" w:type="pct"/>
            <w:vAlign w:val="center"/>
          </w:tcPr>
          <w:p w14:paraId="08AC05DC">
            <w:pPr>
              <w:adjustRightInd w:val="0"/>
              <w:snapToGrid w:val="0"/>
              <w:spacing w:line="240" w:lineRule="auto"/>
              <w:ind w:firstLine="0" w:firstLineChars="0"/>
              <w:jc w:val="center"/>
              <w:rPr>
                <w:sz w:val="21"/>
                <w:szCs w:val="20"/>
              </w:rPr>
            </w:pPr>
            <w:r>
              <w:rPr>
                <w:sz w:val="21"/>
                <w:szCs w:val="20"/>
              </w:rPr>
              <w:t>20</w:t>
            </w:r>
          </w:p>
        </w:tc>
        <w:tc>
          <w:tcPr>
            <w:tcW w:w="741" w:type="pct"/>
            <w:vAlign w:val="center"/>
          </w:tcPr>
          <w:p w14:paraId="55E9EF98">
            <w:pPr>
              <w:adjustRightInd w:val="0"/>
              <w:snapToGrid w:val="0"/>
              <w:spacing w:line="240" w:lineRule="auto"/>
              <w:ind w:firstLine="0" w:firstLineChars="0"/>
              <w:jc w:val="center"/>
              <w:rPr>
                <w:sz w:val="21"/>
                <w:szCs w:val="20"/>
              </w:rPr>
            </w:pPr>
            <w:r>
              <w:rPr>
                <w:sz w:val="21"/>
                <w:szCs w:val="20"/>
              </w:rPr>
              <w:t>100</w:t>
            </w:r>
          </w:p>
        </w:tc>
      </w:tr>
      <w:tr w14:paraId="4B45E4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01614FFA">
            <w:pPr>
              <w:adjustRightInd w:val="0"/>
              <w:snapToGrid w:val="0"/>
              <w:spacing w:line="240" w:lineRule="auto"/>
              <w:ind w:firstLine="0" w:firstLineChars="0"/>
              <w:jc w:val="center"/>
              <w:rPr>
                <w:sz w:val="21"/>
                <w:szCs w:val="20"/>
              </w:rPr>
            </w:pPr>
            <w:r>
              <w:rPr>
                <w:sz w:val="21"/>
                <w:szCs w:val="20"/>
              </w:rPr>
              <w:t>12</w:t>
            </w:r>
          </w:p>
        </w:tc>
        <w:tc>
          <w:tcPr>
            <w:tcW w:w="1011" w:type="pct"/>
            <w:vAlign w:val="center"/>
          </w:tcPr>
          <w:p w14:paraId="7C0E77FD">
            <w:pPr>
              <w:adjustRightInd w:val="0"/>
              <w:snapToGrid w:val="0"/>
              <w:spacing w:line="240" w:lineRule="auto"/>
              <w:ind w:firstLine="0" w:firstLineChars="0"/>
              <w:jc w:val="center"/>
              <w:rPr>
                <w:sz w:val="21"/>
                <w:szCs w:val="20"/>
              </w:rPr>
            </w:pPr>
            <w:r>
              <w:rPr>
                <w:sz w:val="21"/>
                <w:szCs w:val="20"/>
              </w:rPr>
              <w:t>1，2-二氯乙烷</w:t>
            </w:r>
          </w:p>
        </w:tc>
        <w:tc>
          <w:tcPr>
            <w:tcW w:w="711" w:type="pct"/>
            <w:vAlign w:val="center"/>
          </w:tcPr>
          <w:p w14:paraId="50B7C499">
            <w:pPr>
              <w:adjustRightInd w:val="0"/>
              <w:snapToGrid w:val="0"/>
              <w:spacing w:line="240" w:lineRule="auto"/>
              <w:ind w:firstLine="0" w:firstLineChars="0"/>
              <w:jc w:val="center"/>
              <w:rPr>
                <w:sz w:val="21"/>
                <w:szCs w:val="20"/>
              </w:rPr>
            </w:pPr>
            <w:r>
              <w:rPr>
                <w:sz w:val="21"/>
                <w:szCs w:val="20"/>
              </w:rPr>
              <w:t>107-06-2</w:t>
            </w:r>
          </w:p>
        </w:tc>
        <w:tc>
          <w:tcPr>
            <w:tcW w:w="714" w:type="pct"/>
            <w:vAlign w:val="center"/>
          </w:tcPr>
          <w:p w14:paraId="3799F34B">
            <w:pPr>
              <w:adjustRightInd w:val="0"/>
              <w:snapToGrid w:val="0"/>
              <w:spacing w:line="240" w:lineRule="auto"/>
              <w:ind w:firstLine="0" w:firstLineChars="0"/>
              <w:jc w:val="center"/>
              <w:rPr>
                <w:sz w:val="21"/>
                <w:szCs w:val="20"/>
              </w:rPr>
            </w:pPr>
            <w:r>
              <w:rPr>
                <w:sz w:val="21"/>
                <w:szCs w:val="20"/>
              </w:rPr>
              <w:t>0.52</w:t>
            </w:r>
          </w:p>
        </w:tc>
        <w:tc>
          <w:tcPr>
            <w:tcW w:w="713" w:type="pct"/>
            <w:vAlign w:val="center"/>
          </w:tcPr>
          <w:p w14:paraId="300CDEC1">
            <w:pPr>
              <w:adjustRightInd w:val="0"/>
              <w:snapToGrid w:val="0"/>
              <w:spacing w:line="240" w:lineRule="auto"/>
              <w:ind w:firstLine="0" w:firstLineChars="0"/>
              <w:jc w:val="center"/>
              <w:rPr>
                <w:sz w:val="21"/>
                <w:szCs w:val="20"/>
              </w:rPr>
            </w:pPr>
            <w:r>
              <w:rPr>
                <w:sz w:val="21"/>
                <w:szCs w:val="20"/>
              </w:rPr>
              <w:t>5</w:t>
            </w:r>
          </w:p>
        </w:tc>
        <w:tc>
          <w:tcPr>
            <w:tcW w:w="872" w:type="pct"/>
            <w:vAlign w:val="center"/>
          </w:tcPr>
          <w:p w14:paraId="46F93979">
            <w:pPr>
              <w:adjustRightInd w:val="0"/>
              <w:snapToGrid w:val="0"/>
              <w:spacing w:line="240" w:lineRule="auto"/>
              <w:ind w:firstLine="0" w:firstLineChars="0"/>
              <w:jc w:val="center"/>
              <w:rPr>
                <w:sz w:val="21"/>
                <w:szCs w:val="20"/>
              </w:rPr>
            </w:pPr>
            <w:r>
              <w:rPr>
                <w:sz w:val="21"/>
                <w:szCs w:val="20"/>
              </w:rPr>
              <w:t>6</w:t>
            </w:r>
          </w:p>
        </w:tc>
        <w:tc>
          <w:tcPr>
            <w:tcW w:w="741" w:type="pct"/>
            <w:vAlign w:val="center"/>
          </w:tcPr>
          <w:p w14:paraId="4B37C7E2">
            <w:pPr>
              <w:adjustRightInd w:val="0"/>
              <w:snapToGrid w:val="0"/>
              <w:spacing w:line="240" w:lineRule="auto"/>
              <w:ind w:firstLine="0" w:firstLineChars="0"/>
              <w:jc w:val="center"/>
              <w:rPr>
                <w:sz w:val="21"/>
                <w:szCs w:val="20"/>
              </w:rPr>
            </w:pPr>
            <w:r>
              <w:rPr>
                <w:sz w:val="21"/>
                <w:szCs w:val="20"/>
              </w:rPr>
              <w:t>21</w:t>
            </w:r>
          </w:p>
        </w:tc>
      </w:tr>
      <w:tr w14:paraId="26E570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3BF076B8">
            <w:pPr>
              <w:adjustRightInd w:val="0"/>
              <w:snapToGrid w:val="0"/>
              <w:spacing w:line="240" w:lineRule="auto"/>
              <w:ind w:firstLine="0" w:firstLineChars="0"/>
              <w:jc w:val="center"/>
              <w:rPr>
                <w:sz w:val="21"/>
                <w:szCs w:val="20"/>
              </w:rPr>
            </w:pPr>
            <w:r>
              <w:rPr>
                <w:sz w:val="21"/>
                <w:szCs w:val="20"/>
              </w:rPr>
              <w:t>13</w:t>
            </w:r>
          </w:p>
        </w:tc>
        <w:tc>
          <w:tcPr>
            <w:tcW w:w="1011" w:type="pct"/>
            <w:vAlign w:val="center"/>
          </w:tcPr>
          <w:p w14:paraId="5B7FE21A">
            <w:pPr>
              <w:adjustRightInd w:val="0"/>
              <w:snapToGrid w:val="0"/>
              <w:spacing w:line="240" w:lineRule="auto"/>
              <w:ind w:firstLine="0" w:firstLineChars="0"/>
              <w:jc w:val="center"/>
              <w:rPr>
                <w:sz w:val="21"/>
                <w:szCs w:val="20"/>
              </w:rPr>
            </w:pPr>
            <w:r>
              <w:rPr>
                <w:sz w:val="21"/>
                <w:szCs w:val="20"/>
              </w:rPr>
              <w:t>1，1-二氯乙烯</w:t>
            </w:r>
          </w:p>
        </w:tc>
        <w:tc>
          <w:tcPr>
            <w:tcW w:w="711" w:type="pct"/>
            <w:vAlign w:val="center"/>
          </w:tcPr>
          <w:p w14:paraId="3D17DB9B">
            <w:pPr>
              <w:adjustRightInd w:val="0"/>
              <w:snapToGrid w:val="0"/>
              <w:spacing w:line="240" w:lineRule="auto"/>
              <w:ind w:firstLine="0" w:firstLineChars="0"/>
              <w:jc w:val="center"/>
              <w:rPr>
                <w:sz w:val="21"/>
                <w:szCs w:val="20"/>
              </w:rPr>
            </w:pPr>
            <w:r>
              <w:rPr>
                <w:sz w:val="21"/>
                <w:szCs w:val="20"/>
              </w:rPr>
              <w:t>75-35-4</w:t>
            </w:r>
          </w:p>
        </w:tc>
        <w:tc>
          <w:tcPr>
            <w:tcW w:w="714" w:type="pct"/>
            <w:vAlign w:val="center"/>
          </w:tcPr>
          <w:p w14:paraId="3A1ED8A6">
            <w:pPr>
              <w:adjustRightInd w:val="0"/>
              <w:snapToGrid w:val="0"/>
              <w:spacing w:line="240" w:lineRule="auto"/>
              <w:ind w:firstLine="0" w:firstLineChars="0"/>
              <w:jc w:val="center"/>
              <w:rPr>
                <w:sz w:val="21"/>
                <w:szCs w:val="20"/>
              </w:rPr>
            </w:pPr>
            <w:r>
              <w:rPr>
                <w:sz w:val="21"/>
                <w:szCs w:val="20"/>
              </w:rPr>
              <w:t>12</w:t>
            </w:r>
          </w:p>
        </w:tc>
        <w:tc>
          <w:tcPr>
            <w:tcW w:w="713" w:type="pct"/>
            <w:vAlign w:val="center"/>
          </w:tcPr>
          <w:p w14:paraId="31A39DA4">
            <w:pPr>
              <w:adjustRightInd w:val="0"/>
              <w:snapToGrid w:val="0"/>
              <w:spacing w:line="240" w:lineRule="auto"/>
              <w:ind w:firstLine="0" w:firstLineChars="0"/>
              <w:jc w:val="center"/>
              <w:rPr>
                <w:sz w:val="21"/>
                <w:szCs w:val="20"/>
              </w:rPr>
            </w:pPr>
            <w:r>
              <w:rPr>
                <w:sz w:val="21"/>
                <w:szCs w:val="20"/>
              </w:rPr>
              <w:t>66</w:t>
            </w:r>
          </w:p>
        </w:tc>
        <w:tc>
          <w:tcPr>
            <w:tcW w:w="872" w:type="pct"/>
            <w:vAlign w:val="center"/>
          </w:tcPr>
          <w:p w14:paraId="28DB6BFE">
            <w:pPr>
              <w:adjustRightInd w:val="0"/>
              <w:snapToGrid w:val="0"/>
              <w:spacing w:line="240" w:lineRule="auto"/>
              <w:ind w:firstLine="0" w:firstLineChars="0"/>
              <w:jc w:val="center"/>
              <w:rPr>
                <w:sz w:val="21"/>
                <w:szCs w:val="20"/>
              </w:rPr>
            </w:pPr>
            <w:r>
              <w:rPr>
                <w:sz w:val="21"/>
                <w:szCs w:val="20"/>
              </w:rPr>
              <w:t>40</w:t>
            </w:r>
          </w:p>
        </w:tc>
        <w:tc>
          <w:tcPr>
            <w:tcW w:w="741" w:type="pct"/>
            <w:vAlign w:val="center"/>
          </w:tcPr>
          <w:p w14:paraId="26CC626A">
            <w:pPr>
              <w:adjustRightInd w:val="0"/>
              <w:snapToGrid w:val="0"/>
              <w:spacing w:line="240" w:lineRule="auto"/>
              <w:ind w:firstLine="0" w:firstLineChars="0"/>
              <w:jc w:val="center"/>
              <w:rPr>
                <w:sz w:val="21"/>
                <w:szCs w:val="20"/>
              </w:rPr>
            </w:pPr>
            <w:r>
              <w:rPr>
                <w:sz w:val="21"/>
                <w:szCs w:val="20"/>
              </w:rPr>
              <w:t>200</w:t>
            </w:r>
          </w:p>
        </w:tc>
      </w:tr>
      <w:tr w14:paraId="28F03B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27915C10">
            <w:pPr>
              <w:adjustRightInd w:val="0"/>
              <w:snapToGrid w:val="0"/>
              <w:spacing w:line="240" w:lineRule="auto"/>
              <w:ind w:firstLine="0" w:firstLineChars="0"/>
              <w:jc w:val="center"/>
              <w:rPr>
                <w:sz w:val="21"/>
                <w:szCs w:val="20"/>
              </w:rPr>
            </w:pPr>
            <w:r>
              <w:rPr>
                <w:sz w:val="21"/>
                <w:szCs w:val="20"/>
              </w:rPr>
              <w:t>14</w:t>
            </w:r>
          </w:p>
        </w:tc>
        <w:tc>
          <w:tcPr>
            <w:tcW w:w="1011" w:type="pct"/>
            <w:vAlign w:val="center"/>
          </w:tcPr>
          <w:p w14:paraId="6AF766D4">
            <w:pPr>
              <w:adjustRightInd w:val="0"/>
              <w:snapToGrid w:val="0"/>
              <w:spacing w:line="240" w:lineRule="auto"/>
              <w:ind w:firstLine="0" w:firstLineChars="0"/>
              <w:jc w:val="center"/>
              <w:rPr>
                <w:sz w:val="21"/>
                <w:szCs w:val="20"/>
              </w:rPr>
            </w:pPr>
            <w:r>
              <w:rPr>
                <w:sz w:val="21"/>
                <w:szCs w:val="20"/>
              </w:rPr>
              <w:t>顺-1，2-二氯乙烯</w:t>
            </w:r>
          </w:p>
        </w:tc>
        <w:tc>
          <w:tcPr>
            <w:tcW w:w="711" w:type="pct"/>
            <w:vAlign w:val="center"/>
          </w:tcPr>
          <w:p w14:paraId="23DA23A1">
            <w:pPr>
              <w:adjustRightInd w:val="0"/>
              <w:snapToGrid w:val="0"/>
              <w:spacing w:line="240" w:lineRule="auto"/>
              <w:ind w:firstLine="0" w:firstLineChars="0"/>
              <w:jc w:val="center"/>
              <w:rPr>
                <w:sz w:val="21"/>
                <w:szCs w:val="20"/>
              </w:rPr>
            </w:pPr>
            <w:r>
              <w:rPr>
                <w:sz w:val="21"/>
                <w:szCs w:val="20"/>
              </w:rPr>
              <w:t>156-59-2</w:t>
            </w:r>
          </w:p>
        </w:tc>
        <w:tc>
          <w:tcPr>
            <w:tcW w:w="714" w:type="pct"/>
            <w:vAlign w:val="center"/>
          </w:tcPr>
          <w:p w14:paraId="1F52A7DE">
            <w:pPr>
              <w:adjustRightInd w:val="0"/>
              <w:snapToGrid w:val="0"/>
              <w:spacing w:line="240" w:lineRule="auto"/>
              <w:ind w:firstLine="0" w:firstLineChars="0"/>
              <w:jc w:val="center"/>
              <w:rPr>
                <w:sz w:val="21"/>
                <w:szCs w:val="20"/>
              </w:rPr>
            </w:pPr>
            <w:r>
              <w:rPr>
                <w:sz w:val="21"/>
                <w:szCs w:val="20"/>
              </w:rPr>
              <w:t>66</w:t>
            </w:r>
          </w:p>
        </w:tc>
        <w:tc>
          <w:tcPr>
            <w:tcW w:w="713" w:type="pct"/>
            <w:vAlign w:val="center"/>
          </w:tcPr>
          <w:p w14:paraId="11ECC6DA">
            <w:pPr>
              <w:adjustRightInd w:val="0"/>
              <w:snapToGrid w:val="0"/>
              <w:spacing w:line="240" w:lineRule="auto"/>
              <w:ind w:firstLine="0" w:firstLineChars="0"/>
              <w:jc w:val="center"/>
              <w:rPr>
                <w:sz w:val="21"/>
                <w:szCs w:val="20"/>
              </w:rPr>
            </w:pPr>
            <w:r>
              <w:rPr>
                <w:sz w:val="21"/>
                <w:szCs w:val="20"/>
              </w:rPr>
              <w:t>596</w:t>
            </w:r>
          </w:p>
        </w:tc>
        <w:tc>
          <w:tcPr>
            <w:tcW w:w="872" w:type="pct"/>
            <w:vAlign w:val="center"/>
          </w:tcPr>
          <w:p w14:paraId="0419E0EE">
            <w:pPr>
              <w:adjustRightInd w:val="0"/>
              <w:snapToGrid w:val="0"/>
              <w:spacing w:line="240" w:lineRule="auto"/>
              <w:ind w:firstLine="0" w:firstLineChars="0"/>
              <w:jc w:val="center"/>
              <w:rPr>
                <w:sz w:val="21"/>
                <w:szCs w:val="20"/>
              </w:rPr>
            </w:pPr>
            <w:r>
              <w:rPr>
                <w:sz w:val="21"/>
                <w:szCs w:val="20"/>
              </w:rPr>
              <w:t>200</w:t>
            </w:r>
          </w:p>
        </w:tc>
        <w:tc>
          <w:tcPr>
            <w:tcW w:w="741" w:type="pct"/>
            <w:vAlign w:val="center"/>
          </w:tcPr>
          <w:p w14:paraId="5CF60A4C">
            <w:pPr>
              <w:adjustRightInd w:val="0"/>
              <w:snapToGrid w:val="0"/>
              <w:spacing w:line="240" w:lineRule="auto"/>
              <w:ind w:firstLine="0" w:firstLineChars="0"/>
              <w:jc w:val="center"/>
              <w:rPr>
                <w:sz w:val="21"/>
                <w:szCs w:val="20"/>
              </w:rPr>
            </w:pPr>
            <w:r>
              <w:rPr>
                <w:sz w:val="21"/>
                <w:szCs w:val="20"/>
              </w:rPr>
              <w:t>2000</w:t>
            </w:r>
          </w:p>
        </w:tc>
      </w:tr>
      <w:tr w14:paraId="296557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6C35FDC">
            <w:pPr>
              <w:adjustRightInd w:val="0"/>
              <w:snapToGrid w:val="0"/>
              <w:spacing w:line="240" w:lineRule="auto"/>
              <w:ind w:firstLine="0" w:firstLineChars="0"/>
              <w:jc w:val="center"/>
              <w:rPr>
                <w:sz w:val="21"/>
                <w:szCs w:val="20"/>
              </w:rPr>
            </w:pPr>
            <w:r>
              <w:rPr>
                <w:sz w:val="21"/>
                <w:szCs w:val="20"/>
              </w:rPr>
              <w:t>15</w:t>
            </w:r>
          </w:p>
        </w:tc>
        <w:tc>
          <w:tcPr>
            <w:tcW w:w="1011" w:type="pct"/>
            <w:vAlign w:val="center"/>
          </w:tcPr>
          <w:p w14:paraId="49A5BD23">
            <w:pPr>
              <w:adjustRightInd w:val="0"/>
              <w:snapToGrid w:val="0"/>
              <w:spacing w:line="240" w:lineRule="auto"/>
              <w:ind w:firstLine="0" w:firstLineChars="0"/>
              <w:jc w:val="center"/>
              <w:rPr>
                <w:sz w:val="21"/>
                <w:szCs w:val="20"/>
              </w:rPr>
            </w:pPr>
            <w:r>
              <w:rPr>
                <w:sz w:val="21"/>
                <w:szCs w:val="20"/>
              </w:rPr>
              <w:t>反-1，2-二氯乙烯</w:t>
            </w:r>
          </w:p>
        </w:tc>
        <w:tc>
          <w:tcPr>
            <w:tcW w:w="711" w:type="pct"/>
            <w:vAlign w:val="center"/>
          </w:tcPr>
          <w:p w14:paraId="40E766D7">
            <w:pPr>
              <w:adjustRightInd w:val="0"/>
              <w:snapToGrid w:val="0"/>
              <w:spacing w:line="240" w:lineRule="auto"/>
              <w:ind w:firstLine="0" w:firstLineChars="0"/>
              <w:jc w:val="center"/>
              <w:rPr>
                <w:sz w:val="21"/>
                <w:szCs w:val="20"/>
              </w:rPr>
            </w:pPr>
            <w:r>
              <w:rPr>
                <w:sz w:val="21"/>
                <w:szCs w:val="20"/>
              </w:rPr>
              <w:t>156-60-5</w:t>
            </w:r>
          </w:p>
        </w:tc>
        <w:tc>
          <w:tcPr>
            <w:tcW w:w="714" w:type="pct"/>
            <w:vAlign w:val="center"/>
          </w:tcPr>
          <w:p w14:paraId="20A15A28">
            <w:pPr>
              <w:adjustRightInd w:val="0"/>
              <w:snapToGrid w:val="0"/>
              <w:spacing w:line="240" w:lineRule="auto"/>
              <w:ind w:firstLine="0" w:firstLineChars="0"/>
              <w:jc w:val="center"/>
              <w:rPr>
                <w:sz w:val="21"/>
                <w:szCs w:val="20"/>
              </w:rPr>
            </w:pPr>
            <w:r>
              <w:rPr>
                <w:sz w:val="21"/>
                <w:szCs w:val="20"/>
              </w:rPr>
              <w:t>10</w:t>
            </w:r>
          </w:p>
        </w:tc>
        <w:tc>
          <w:tcPr>
            <w:tcW w:w="713" w:type="pct"/>
            <w:vAlign w:val="center"/>
          </w:tcPr>
          <w:p w14:paraId="66509BD7">
            <w:pPr>
              <w:adjustRightInd w:val="0"/>
              <w:snapToGrid w:val="0"/>
              <w:spacing w:line="240" w:lineRule="auto"/>
              <w:ind w:firstLine="0" w:firstLineChars="0"/>
              <w:jc w:val="center"/>
              <w:rPr>
                <w:sz w:val="21"/>
                <w:szCs w:val="20"/>
              </w:rPr>
            </w:pPr>
            <w:r>
              <w:rPr>
                <w:sz w:val="21"/>
                <w:szCs w:val="20"/>
              </w:rPr>
              <w:t>54</w:t>
            </w:r>
          </w:p>
        </w:tc>
        <w:tc>
          <w:tcPr>
            <w:tcW w:w="872" w:type="pct"/>
            <w:vAlign w:val="center"/>
          </w:tcPr>
          <w:p w14:paraId="11B49652">
            <w:pPr>
              <w:adjustRightInd w:val="0"/>
              <w:snapToGrid w:val="0"/>
              <w:spacing w:line="240" w:lineRule="auto"/>
              <w:ind w:firstLine="0" w:firstLineChars="0"/>
              <w:jc w:val="center"/>
              <w:rPr>
                <w:sz w:val="21"/>
                <w:szCs w:val="20"/>
              </w:rPr>
            </w:pPr>
            <w:r>
              <w:rPr>
                <w:sz w:val="21"/>
                <w:szCs w:val="20"/>
              </w:rPr>
              <w:t>31</w:t>
            </w:r>
          </w:p>
        </w:tc>
        <w:tc>
          <w:tcPr>
            <w:tcW w:w="741" w:type="pct"/>
            <w:vAlign w:val="center"/>
          </w:tcPr>
          <w:p w14:paraId="116D5030">
            <w:pPr>
              <w:adjustRightInd w:val="0"/>
              <w:snapToGrid w:val="0"/>
              <w:spacing w:line="240" w:lineRule="auto"/>
              <w:ind w:firstLine="0" w:firstLineChars="0"/>
              <w:jc w:val="center"/>
              <w:rPr>
                <w:sz w:val="21"/>
                <w:szCs w:val="20"/>
              </w:rPr>
            </w:pPr>
            <w:r>
              <w:rPr>
                <w:sz w:val="21"/>
                <w:szCs w:val="20"/>
              </w:rPr>
              <w:t>163</w:t>
            </w:r>
          </w:p>
        </w:tc>
      </w:tr>
      <w:tr w14:paraId="706DEF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EA2E804">
            <w:pPr>
              <w:adjustRightInd w:val="0"/>
              <w:snapToGrid w:val="0"/>
              <w:spacing w:line="240" w:lineRule="auto"/>
              <w:ind w:firstLine="0" w:firstLineChars="0"/>
              <w:jc w:val="center"/>
              <w:rPr>
                <w:sz w:val="21"/>
                <w:szCs w:val="20"/>
              </w:rPr>
            </w:pPr>
            <w:r>
              <w:rPr>
                <w:sz w:val="21"/>
                <w:szCs w:val="20"/>
              </w:rPr>
              <w:t>16</w:t>
            </w:r>
          </w:p>
        </w:tc>
        <w:tc>
          <w:tcPr>
            <w:tcW w:w="1011" w:type="pct"/>
            <w:vAlign w:val="center"/>
          </w:tcPr>
          <w:p w14:paraId="038841F8">
            <w:pPr>
              <w:adjustRightInd w:val="0"/>
              <w:snapToGrid w:val="0"/>
              <w:spacing w:line="240" w:lineRule="auto"/>
              <w:ind w:firstLine="0" w:firstLineChars="0"/>
              <w:jc w:val="center"/>
              <w:rPr>
                <w:sz w:val="21"/>
                <w:szCs w:val="20"/>
              </w:rPr>
            </w:pPr>
            <w:r>
              <w:rPr>
                <w:sz w:val="21"/>
                <w:szCs w:val="20"/>
              </w:rPr>
              <w:t>二氯甲烷</w:t>
            </w:r>
          </w:p>
        </w:tc>
        <w:tc>
          <w:tcPr>
            <w:tcW w:w="711" w:type="pct"/>
            <w:vAlign w:val="center"/>
          </w:tcPr>
          <w:p w14:paraId="2988C30D">
            <w:pPr>
              <w:adjustRightInd w:val="0"/>
              <w:snapToGrid w:val="0"/>
              <w:spacing w:line="240" w:lineRule="auto"/>
              <w:ind w:firstLine="0" w:firstLineChars="0"/>
              <w:jc w:val="center"/>
              <w:rPr>
                <w:sz w:val="21"/>
                <w:szCs w:val="20"/>
              </w:rPr>
            </w:pPr>
            <w:r>
              <w:rPr>
                <w:sz w:val="21"/>
                <w:szCs w:val="20"/>
              </w:rPr>
              <w:t>75-09-2</w:t>
            </w:r>
          </w:p>
        </w:tc>
        <w:tc>
          <w:tcPr>
            <w:tcW w:w="714" w:type="pct"/>
            <w:vAlign w:val="center"/>
          </w:tcPr>
          <w:p w14:paraId="24A2DD51">
            <w:pPr>
              <w:adjustRightInd w:val="0"/>
              <w:snapToGrid w:val="0"/>
              <w:spacing w:line="240" w:lineRule="auto"/>
              <w:ind w:firstLine="0" w:firstLineChars="0"/>
              <w:jc w:val="center"/>
              <w:rPr>
                <w:sz w:val="21"/>
                <w:szCs w:val="20"/>
              </w:rPr>
            </w:pPr>
            <w:r>
              <w:rPr>
                <w:sz w:val="21"/>
                <w:szCs w:val="20"/>
              </w:rPr>
              <w:t>94</w:t>
            </w:r>
          </w:p>
        </w:tc>
        <w:tc>
          <w:tcPr>
            <w:tcW w:w="713" w:type="pct"/>
            <w:vAlign w:val="center"/>
          </w:tcPr>
          <w:p w14:paraId="65F0BF0D">
            <w:pPr>
              <w:adjustRightInd w:val="0"/>
              <w:snapToGrid w:val="0"/>
              <w:spacing w:line="240" w:lineRule="auto"/>
              <w:ind w:firstLine="0" w:firstLineChars="0"/>
              <w:jc w:val="center"/>
              <w:rPr>
                <w:sz w:val="21"/>
                <w:szCs w:val="20"/>
              </w:rPr>
            </w:pPr>
            <w:r>
              <w:rPr>
                <w:sz w:val="21"/>
                <w:szCs w:val="20"/>
              </w:rPr>
              <w:t>616</w:t>
            </w:r>
          </w:p>
        </w:tc>
        <w:tc>
          <w:tcPr>
            <w:tcW w:w="872" w:type="pct"/>
            <w:vAlign w:val="center"/>
          </w:tcPr>
          <w:p w14:paraId="2C7CFF27">
            <w:pPr>
              <w:adjustRightInd w:val="0"/>
              <w:snapToGrid w:val="0"/>
              <w:spacing w:line="240" w:lineRule="auto"/>
              <w:ind w:firstLine="0" w:firstLineChars="0"/>
              <w:jc w:val="center"/>
              <w:rPr>
                <w:sz w:val="21"/>
                <w:szCs w:val="20"/>
              </w:rPr>
            </w:pPr>
            <w:r>
              <w:rPr>
                <w:sz w:val="21"/>
                <w:szCs w:val="20"/>
              </w:rPr>
              <w:t>300</w:t>
            </w:r>
          </w:p>
        </w:tc>
        <w:tc>
          <w:tcPr>
            <w:tcW w:w="741" w:type="pct"/>
            <w:vAlign w:val="center"/>
          </w:tcPr>
          <w:p w14:paraId="704E7BDD">
            <w:pPr>
              <w:adjustRightInd w:val="0"/>
              <w:snapToGrid w:val="0"/>
              <w:spacing w:line="240" w:lineRule="auto"/>
              <w:ind w:firstLine="0" w:firstLineChars="0"/>
              <w:jc w:val="center"/>
              <w:rPr>
                <w:sz w:val="21"/>
                <w:szCs w:val="20"/>
              </w:rPr>
            </w:pPr>
            <w:r>
              <w:rPr>
                <w:sz w:val="21"/>
                <w:szCs w:val="20"/>
              </w:rPr>
              <w:t>2000</w:t>
            </w:r>
          </w:p>
        </w:tc>
      </w:tr>
      <w:tr w14:paraId="5CBA76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72E6F5F5">
            <w:pPr>
              <w:adjustRightInd w:val="0"/>
              <w:snapToGrid w:val="0"/>
              <w:spacing w:line="240" w:lineRule="auto"/>
              <w:ind w:firstLine="0" w:firstLineChars="0"/>
              <w:jc w:val="center"/>
              <w:rPr>
                <w:sz w:val="21"/>
                <w:szCs w:val="20"/>
              </w:rPr>
            </w:pPr>
            <w:r>
              <w:rPr>
                <w:sz w:val="21"/>
                <w:szCs w:val="20"/>
              </w:rPr>
              <w:t>17</w:t>
            </w:r>
          </w:p>
        </w:tc>
        <w:tc>
          <w:tcPr>
            <w:tcW w:w="1011" w:type="pct"/>
            <w:vAlign w:val="center"/>
          </w:tcPr>
          <w:p w14:paraId="027AD958">
            <w:pPr>
              <w:adjustRightInd w:val="0"/>
              <w:snapToGrid w:val="0"/>
              <w:spacing w:line="240" w:lineRule="auto"/>
              <w:ind w:firstLine="0" w:firstLineChars="0"/>
              <w:jc w:val="center"/>
              <w:rPr>
                <w:sz w:val="21"/>
                <w:szCs w:val="20"/>
              </w:rPr>
            </w:pPr>
            <w:r>
              <w:rPr>
                <w:sz w:val="21"/>
                <w:szCs w:val="20"/>
              </w:rPr>
              <w:t>1，2-二氯丙烷</w:t>
            </w:r>
          </w:p>
        </w:tc>
        <w:tc>
          <w:tcPr>
            <w:tcW w:w="711" w:type="pct"/>
            <w:vAlign w:val="center"/>
          </w:tcPr>
          <w:p w14:paraId="625ACC1B">
            <w:pPr>
              <w:adjustRightInd w:val="0"/>
              <w:snapToGrid w:val="0"/>
              <w:spacing w:line="240" w:lineRule="auto"/>
              <w:ind w:firstLine="0" w:firstLineChars="0"/>
              <w:jc w:val="center"/>
              <w:rPr>
                <w:sz w:val="21"/>
                <w:szCs w:val="20"/>
              </w:rPr>
            </w:pPr>
            <w:r>
              <w:rPr>
                <w:sz w:val="21"/>
                <w:szCs w:val="20"/>
              </w:rPr>
              <w:t>78-87-5</w:t>
            </w:r>
          </w:p>
        </w:tc>
        <w:tc>
          <w:tcPr>
            <w:tcW w:w="714" w:type="pct"/>
            <w:vAlign w:val="center"/>
          </w:tcPr>
          <w:p w14:paraId="527A93DE">
            <w:pPr>
              <w:adjustRightInd w:val="0"/>
              <w:snapToGrid w:val="0"/>
              <w:spacing w:line="240" w:lineRule="auto"/>
              <w:ind w:firstLine="0" w:firstLineChars="0"/>
              <w:jc w:val="center"/>
              <w:rPr>
                <w:sz w:val="21"/>
                <w:szCs w:val="20"/>
              </w:rPr>
            </w:pPr>
            <w:r>
              <w:rPr>
                <w:sz w:val="21"/>
                <w:szCs w:val="20"/>
              </w:rPr>
              <w:t>1</w:t>
            </w:r>
          </w:p>
        </w:tc>
        <w:tc>
          <w:tcPr>
            <w:tcW w:w="713" w:type="pct"/>
            <w:vAlign w:val="center"/>
          </w:tcPr>
          <w:p w14:paraId="661D4153">
            <w:pPr>
              <w:adjustRightInd w:val="0"/>
              <w:snapToGrid w:val="0"/>
              <w:spacing w:line="240" w:lineRule="auto"/>
              <w:ind w:firstLine="0" w:firstLineChars="0"/>
              <w:jc w:val="center"/>
              <w:rPr>
                <w:sz w:val="21"/>
                <w:szCs w:val="20"/>
              </w:rPr>
            </w:pPr>
            <w:r>
              <w:rPr>
                <w:sz w:val="21"/>
                <w:szCs w:val="20"/>
              </w:rPr>
              <w:t>5</w:t>
            </w:r>
          </w:p>
        </w:tc>
        <w:tc>
          <w:tcPr>
            <w:tcW w:w="872" w:type="pct"/>
            <w:vAlign w:val="center"/>
          </w:tcPr>
          <w:p w14:paraId="7EC60DAC">
            <w:pPr>
              <w:adjustRightInd w:val="0"/>
              <w:snapToGrid w:val="0"/>
              <w:spacing w:line="240" w:lineRule="auto"/>
              <w:ind w:firstLine="0" w:firstLineChars="0"/>
              <w:jc w:val="center"/>
              <w:rPr>
                <w:sz w:val="21"/>
                <w:szCs w:val="20"/>
              </w:rPr>
            </w:pPr>
            <w:r>
              <w:rPr>
                <w:sz w:val="21"/>
                <w:szCs w:val="20"/>
              </w:rPr>
              <w:t>5</w:t>
            </w:r>
          </w:p>
        </w:tc>
        <w:tc>
          <w:tcPr>
            <w:tcW w:w="741" w:type="pct"/>
            <w:vAlign w:val="center"/>
          </w:tcPr>
          <w:p w14:paraId="1150987B">
            <w:pPr>
              <w:adjustRightInd w:val="0"/>
              <w:snapToGrid w:val="0"/>
              <w:spacing w:line="240" w:lineRule="auto"/>
              <w:ind w:firstLine="0" w:firstLineChars="0"/>
              <w:jc w:val="center"/>
              <w:rPr>
                <w:sz w:val="21"/>
                <w:szCs w:val="20"/>
              </w:rPr>
            </w:pPr>
            <w:r>
              <w:rPr>
                <w:sz w:val="21"/>
                <w:szCs w:val="20"/>
              </w:rPr>
              <w:t>47</w:t>
            </w:r>
          </w:p>
        </w:tc>
      </w:tr>
      <w:tr w14:paraId="679E8E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C290FE0">
            <w:pPr>
              <w:adjustRightInd w:val="0"/>
              <w:snapToGrid w:val="0"/>
              <w:spacing w:line="240" w:lineRule="auto"/>
              <w:ind w:firstLine="0" w:firstLineChars="0"/>
              <w:jc w:val="center"/>
              <w:rPr>
                <w:sz w:val="21"/>
                <w:szCs w:val="20"/>
              </w:rPr>
            </w:pPr>
            <w:r>
              <w:rPr>
                <w:sz w:val="21"/>
                <w:szCs w:val="20"/>
              </w:rPr>
              <w:t>18</w:t>
            </w:r>
          </w:p>
        </w:tc>
        <w:tc>
          <w:tcPr>
            <w:tcW w:w="1011" w:type="pct"/>
            <w:vAlign w:val="center"/>
          </w:tcPr>
          <w:p w14:paraId="62C4C6BB">
            <w:pPr>
              <w:adjustRightInd w:val="0"/>
              <w:snapToGrid w:val="0"/>
              <w:spacing w:line="240" w:lineRule="auto"/>
              <w:ind w:firstLine="0" w:firstLineChars="0"/>
              <w:jc w:val="center"/>
              <w:rPr>
                <w:sz w:val="21"/>
                <w:szCs w:val="20"/>
              </w:rPr>
            </w:pPr>
            <w:r>
              <w:rPr>
                <w:sz w:val="21"/>
                <w:szCs w:val="20"/>
              </w:rPr>
              <w:t>1，1，1，2-四氯乙烷</w:t>
            </w:r>
          </w:p>
        </w:tc>
        <w:tc>
          <w:tcPr>
            <w:tcW w:w="711" w:type="pct"/>
            <w:vAlign w:val="center"/>
          </w:tcPr>
          <w:p w14:paraId="3A99FC6B">
            <w:pPr>
              <w:adjustRightInd w:val="0"/>
              <w:snapToGrid w:val="0"/>
              <w:spacing w:line="240" w:lineRule="auto"/>
              <w:ind w:firstLine="0" w:firstLineChars="0"/>
              <w:jc w:val="center"/>
              <w:rPr>
                <w:sz w:val="21"/>
                <w:szCs w:val="20"/>
              </w:rPr>
            </w:pPr>
            <w:r>
              <w:rPr>
                <w:sz w:val="21"/>
                <w:szCs w:val="20"/>
              </w:rPr>
              <w:t>630-20-6</w:t>
            </w:r>
          </w:p>
        </w:tc>
        <w:tc>
          <w:tcPr>
            <w:tcW w:w="714" w:type="pct"/>
            <w:vAlign w:val="center"/>
          </w:tcPr>
          <w:p w14:paraId="6F24E6CC">
            <w:pPr>
              <w:adjustRightInd w:val="0"/>
              <w:snapToGrid w:val="0"/>
              <w:spacing w:line="240" w:lineRule="auto"/>
              <w:ind w:firstLine="0" w:firstLineChars="0"/>
              <w:jc w:val="center"/>
              <w:rPr>
                <w:sz w:val="21"/>
                <w:szCs w:val="20"/>
              </w:rPr>
            </w:pPr>
            <w:r>
              <w:rPr>
                <w:sz w:val="21"/>
                <w:szCs w:val="20"/>
              </w:rPr>
              <w:t>2.6</w:t>
            </w:r>
          </w:p>
        </w:tc>
        <w:tc>
          <w:tcPr>
            <w:tcW w:w="713" w:type="pct"/>
            <w:vAlign w:val="center"/>
          </w:tcPr>
          <w:p w14:paraId="2A415B05">
            <w:pPr>
              <w:adjustRightInd w:val="0"/>
              <w:snapToGrid w:val="0"/>
              <w:spacing w:line="240" w:lineRule="auto"/>
              <w:ind w:firstLine="0" w:firstLineChars="0"/>
              <w:jc w:val="center"/>
              <w:rPr>
                <w:sz w:val="21"/>
                <w:szCs w:val="20"/>
              </w:rPr>
            </w:pPr>
            <w:r>
              <w:rPr>
                <w:sz w:val="21"/>
                <w:szCs w:val="20"/>
              </w:rPr>
              <w:t>10</w:t>
            </w:r>
          </w:p>
        </w:tc>
        <w:tc>
          <w:tcPr>
            <w:tcW w:w="872" w:type="pct"/>
            <w:vAlign w:val="center"/>
          </w:tcPr>
          <w:p w14:paraId="172D4755">
            <w:pPr>
              <w:adjustRightInd w:val="0"/>
              <w:snapToGrid w:val="0"/>
              <w:spacing w:line="240" w:lineRule="auto"/>
              <w:ind w:firstLine="0" w:firstLineChars="0"/>
              <w:jc w:val="center"/>
              <w:rPr>
                <w:sz w:val="21"/>
                <w:szCs w:val="20"/>
              </w:rPr>
            </w:pPr>
            <w:r>
              <w:rPr>
                <w:sz w:val="21"/>
                <w:szCs w:val="20"/>
              </w:rPr>
              <w:t>26</w:t>
            </w:r>
          </w:p>
        </w:tc>
        <w:tc>
          <w:tcPr>
            <w:tcW w:w="741" w:type="pct"/>
            <w:vAlign w:val="center"/>
          </w:tcPr>
          <w:p w14:paraId="0FC8D2A1">
            <w:pPr>
              <w:adjustRightInd w:val="0"/>
              <w:snapToGrid w:val="0"/>
              <w:spacing w:line="240" w:lineRule="auto"/>
              <w:ind w:firstLine="0" w:firstLineChars="0"/>
              <w:jc w:val="center"/>
              <w:rPr>
                <w:sz w:val="21"/>
                <w:szCs w:val="20"/>
              </w:rPr>
            </w:pPr>
            <w:r>
              <w:rPr>
                <w:sz w:val="21"/>
                <w:szCs w:val="20"/>
              </w:rPr>
              <w:t>100</w:t>
            </w:r>
          </w:p>
        </w:tc>
      </w:tr>
      <w:tr w14:paraId="093F70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C3B471F">
            <w:pPr>
              <w:adjustRightInd w:val="0"/>
              <w:snapToGrid w:val="0"/>
              <w:spacing w:line="240" w:lineRule="auto"/>
              <w:ind w:firstLine="0" w:firstLineChars="0"/>
              <w:jc w:val="center"/>
              <w:rPr>
                <w:sz w:val="21"/>
                <w:szCs w:val="20"/>
              </w:rPr>
            </w:pPr>
            <w:r>
              <w:rPr>
                <w:sz w:val="21"/>
                <w:szCs w:val="20"/>
              </w:rPr>
              <w:t>19</w:t>
            </w:r>
          </w:p>
        </w:tc>
        <w:tc>
          <w:tcPr>
            <w:tcW w:w="1011" w:type="pct"/>
            <w:vAlign w:val="center"/>
          </w:tcPr>
          <w:p w14:paraId="2E9C40AC">
            <w:pPr>
              <w:adjustRightInd w:val="0"/>
              <w:snapToGrid w:val="0"/>
              <w:spacing w:line="240" w:lineRule="auto"/>
              <w:ind w:firstLine="0" w:firstLineChars="0"/>
              <w:jc w:val="center"/>
              <w:rPr>
                <w:sz w:val="21"/>
                <w:szCs w:val="20"/>
              </w:rPr>
            </w:pPr>
            <w:r>
              <w:rPr>
                <w:sz w:val="21"/>
                <w:szCs w:val="20"/>
              </w:rPr>
              <w:t>1，1，2，2-四氯乙烷</w:t>
            </w:r>
          </w:p>
        </w:tc>
        <w:tc>
          <w:tcPr>
            <w:tcW w:w="711" w:type="pct"/>
            <w:vAlign w:val="center"/>
          </w:tcPr>
          <w:p w14:paraId="67A640C2">
            <w:pPr>
              <w:adjustRightInd w:val="0"/>
              <w:snapToGrid w:val="0"/>
              <w:spacing w:line="240" w:lineRule="auto"/>
              <w:ind w:firstLine="0" w:firstLineChars="0"/>
              <w:jc w:val="center"/>
              <w:rPr>
                <w:sz w:val="21"/>
                <w:szCs w:val="20"/>
              </w:rPr>
            </w:pPr>
            <w:r>
              <w:rPr>
                <w:sz w:val="21"/>
                <w:szCs w:val="20"/>
              </w:rPr>
              <w:t>79-34-5</w:t>
            </w:r>
          </w:p>
        </w:tc>
        <w:tc>
          <w:tcPr>
            <w:tcW w:w="714" w:type="pct"/>
            <w:vAlign w:val="center"/>
          </w:tcPr>
          <w:p w14:paraId="2C29E569">
            <w:pPr>
              <w:adjustRightInd w:val="0"/>
              <w:snapToGrid w:val="0"/>
              <w:spacing w:line="240" w:lineRule="auto"/>
              <w:ind w:firstLine="0" w:firstLineChars="0"/>
              <w:jc w:val="center"/>
              <w:rPr>
                <w:sz w:val="21"/>
                <w:szCs w:val="20"/>
              </w:rPr>
            </w:pPr>
            <w:r>
              <w:rPr>
                <w:sz w:val="21"/>
                <w:szCs w:val="20"/>
              </w:rPr>
              <w:t>1.6</w:t>
            </w:r>
          </w:p>
        </w:tc>
        <w:tc>
          <w:tcPr>
            <w:tcW w:w="713" w:type="pct"/>
            <w:vAlign w:val="center"/>
          </w:tcPr>
          <w:p w14:paraId="3DD47991">
            <w:pPr>
              <w:adjustRightInd w:val="0"/>
              <w:snapToGrid w:val="0"/>
              <w:spacing w:line="240" w:lineRule="auto"/>
              <w:ind w:firstLine="0" w:firstLineChars="0"/>
              <w:jc w:val="center"/>
              <w:rPr>
                <w:sz w:val="21"/>
                <w:szCs w:val="20"/>
              </w:rPr>
            </w:pPr>
            <w:r>
              <w:rPr>
                <w:sz w:val="21"/>
                <w:szCs w:val="20"/>
              </w:rPr>
              <w:t>6.8</w:t>
            </w:r>
          </w:p>
        </w:tc>
        <w:tc>
          <w:tcPr>
            <w:tcW w:w="872" w:type="pct"/>
            <w:vAlign w:val="center"/>
          </w:tcPr>
          <w:p w14:paraId="4CF3110D">
            <w:pPr>
              <w:adjustRightInd w:val="0"/>
              <w:snapToGrid w:val="0"/>
              <w:spacing w:line="240" w:lineRule="auto"/>
              <w:ind w:firstLine="0" w:firstLineChars="0"/>
              <w:jc w:val="center"/>
              <w:rPr>
                <w:sz w:val="21"/>
                <w:szCs w:val="20"/>
              </w:rPr>
            </w:pPr>
            <w:r>
              <w:rPr>
                <w:sz w:val="21"/>
                <w:szCs w:val="20"/>
              </w:rPr>
              <w:t>14</w:t>
            </w:r>
          </w:p>
        </w:tc>
        <w:tc>
          <w:tcPr>
            <w:tcW w:w="741" w:type="pct"/>
            <w:vAlign w:val="center"/>
          </w:tcPr>
          <w:p w14:paraId="799B82BA">
            <w:pPr>
              <w:adjustRightInd w:val="0"/>
              <w:snapToGrid w:val="0"/>
              <w:spacing w:line="240" w:lineRule="auto"/>
              <w:ind w:firstLine="0" w:firstLineChars="0"/>
              <w:jc w:val="center"/>
              <w:rPr>
                <w:sz w:val="21"/>
                <w:szCs w:val="20"/>
              </w:rPr>
            </w:pPr>
            <w:r>
              <w:rPr>
                <w:sz w:val="21"/>
                <w:szCs w:val="20"/>
              </w:rPr>
              <w:t>50</w:t>
            </w:r>
          </w:p>
        </w:tc>
      </w:tr>
      <w:tr w14:paraId="48BC1A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5BF88FB">
            <w:pPr>
              <w:adjustRightInd w:val="0"/>
              <w:snapToGrid w:val="0"/>
              <w:spacing w:line="240" w:lineRule="auto"/>
              <w:ind w:firstLine="0" w:firstLineChars="0"/>
              <w:jc w:val="center"/>
              <w:rPr>
                <w:sz w:val="21"/>
                <w:szCs w:val="20"/>
              </w:rPr>
            </w:pPr>
            <w:r>
              <w:rPr>
                <w:sz w:val="21"/>
                <w:szCs w:val="20"/>
              </w:rPr>
              <w:t>20</w:t>
            </w:r>
          </w:p>
        </w:tc>
        <w:tc>
          <w:tcPr>
            <w:tcW w:w="1011" w:type="pct"/>
            <w:vAlign w:val="center"/>
          </w:tcPr>
          <w:p w14:paraId="06C1DACA">
            <w:pPr>
              <w:adjustRightInd w:val="0"/>
              <w:snapToGrid w:val="0"/>
              <w:spacing w:line="240" w:lineRule="auto"/>
              <w:ind w:firstLine="0" w:firstLineChars="0"/>
              <w:jc w:val="center"/>
              <w:rPr>
                <w:sz w:val="21"/>
                <w:szCs w:val="20"/>
              </w:rPr>
            </w:pPr>
            <w:r>
              <w:rPr>
                <w:sz w:val="21"/>
                <w:szCs w:val="20"/>
              </w:rPr>
              <w:t>四氯乙烯</w:t>
            </w:r>
          </w:p>
        </w:tc>
        <w:tc>
          <w:tcPr>
            <w:tcW w:w="711" w:type="pct"/>
            <w:vAlign w:val="center"/>
          </w:tcPr>
          <w:p w14:paraId="448118ED">
            <w:pPr>
              <w:adjustRightInd w:val="0"/>
              <w:snapToGrid w:val="0"/>
              <w:spacing w:line="240" w:lineRule="auto"/>
              <w:ind w:firstLine="0" w:firstLineChars="0"/>
              <w:jc w:val="center"/>
              <w:rPr>
                <w:sz w:val="21"/>
                <w:szCs w:val="20"/>
              </w:rPr>
            </w:pPr>
            <w:r>
              <w:rPr>
                <w:sz w:val="21"/>
                <w:szCs w:val="20"/>
              </w:rPr>
              <w:t>127-18-4</w:t>
            </w:r>
          </w:p>
        </w:tc>
        <w:tc>
          <w:tcPr>
            <w:tcW w:w="714" w:type="pct"/>
            <w:vAlign w:val="center"/>
          </w:tcPr>
          <w:p w14:paraId="30E8E636">
            <w:pPr>
              <w:adjustRightInd w:val="0"/>
              <w:snapToGrid w:val="0"/>
              <w:spacing w:line="240" w:lineRule="auto"/>
              <w:ind w:firstLine="0" w:firstLineChars="0"/>
              <w:jc w:val="center"/>
              <w:rPr>
                <w:sz w:val="21"/>
                <w:szCs w:val="20"/>
              </w:rPr>
            </w:pPr>
            <w:r>
              <w:rPr>
                <w:sz w:val="21"/>
                <w:szCs w:val="20"/>
              </w:rPr>
              <w:t>11</w:t>
            </w:r>
          </w:p>
        </w:tc>
        <w:tc>
          <w:tcPr>
            <w:tcW w:w="713" w:type="pct"/>
            <w:vAlign w:val="center"/>
          </w:tcPr>
          <w:p w14:paraId="1F5F8466">
            <w:pPr>
              <w:adjustRightInd w:val="0"/>
              <w:snapToGrid w:val="0"/>
              <w:spacing w:line="240" w:lineRule="auto"/>
              <w:ind w:firstLine="0" w:firstLineChars="0"/>
              <w:jc w:val="center"/>
              <w:rPr>
                <w:sz w:val="21"/>
                <w:szCs w:val="20"/>
              </w:rPr>
            </w:pPr>
            <w:r>
              <w:rPr>
                <w:sz w:val="21"/>
                <w:szCs w:val="20"/>
              </w:rPr>
              <w:t>53</w:t>
            </w:r>
          </w:p>
        </w:tc>
        <w:tc>
          <w:tcPr>
            <w:tcW w:w="872" w:type="pct"/>
            <w:vAlign w:val="center"/>
          </w:tcPr>
          <w:p w14:paraId="02D5BDF4">
            <w:pPr>
              <w:adjustRightInd w:val="0"/>
              <w:snapToGrid w:val="0"/>
              <w:spacing w:line="240" w:lineRule="auto"/>
              <w:ind w:firstLine="0" w:firstLineChars="0"/>
              <w:jc w:val="center"/>
              <w:rPr>
                <w:sz w:val="21"/>
                <w:szCs w:val="20"/>
              </w:rPr>
            </w:pPr>
            <w:r>
              <w:rPr>
                <w:sz w:val="21"/>
                <w:szCs w:val="20"/>
              </w:rPr>
              <w:t>34</w:t>
            </w:r>
          </w:p>
        </w:tc>
        <w:tc>
          <w:tcPr>
            <w:tcW w:w="741" w:type="pct"/>
            <w:vAlign w:val="center"/>
          </w:tcPr>
          <w:p w14:paraId="3B1E6E6A">
            <w:pPr>
              <w:adjustRightInd w:val="0"/>
              <w:snapToGrid w:val="0"/>
              <w:spacing w:line="240" w:lineRule="auto"/>
              <w:ind w:firstLine="0" w:firstLineChars="0"/>
              <w:jc w:val="center"/>
              <w:rPr>
                <w:sz w:val="21"/>
                <w:szCs w:val="20"/>
              </w:rPr>
            </w:pPr>
            <w:r>
              <w:rPr>
                <w:sz w:val="21"/>
                <w:szCs w:val="20"/>
              </w:rPr>
              <w:t>183</w:t>
            </w:r>
          </w:p>
        </w:tc>
      </w:tr>
      <w:tr w14:paraId="2708BF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90FEE86">
            <w:pPr>
              <w:adjustRightInd w:val="0"/>
              <w:snapToGrid w:val="0"/>
              <w:spacing w:line="240" w:lineRule="auto"/>
              <w:ind w:firstLine="0" w:firstLineChars="0"/>
              <w:jc w:val="center"/>
              <w:rPr>
                <w:sz w:val="21"/>
                <w:szCs w:val="20"/>
              </w:rPr>
            </w:pPr>
            <w:r>
              <w:rPr>
                <w:sz w:val="21"/>
                <w:szCs w:val="20"/>
              </w:rPr>
              <w:t>21</w:t>
            </w:r>
          </w:p>
        </w:tc>
        <w:tc>
          <w:tcPr>
            <w:tcW w:w="1011" w:type="pct"/>
            <w:vAlign w:val="center"/>
          </w:tcPr>
          <w:p w14:paraId="32F9386B">
            <w:pPr>
              <w:adjustRightInd w:val="0"/>
              <w:snapToGrid w:val="0"/>
              <w:spacing w:line="240" w:lineRule="auto"/>
              <w:ind w:firstLine="0" w:firstLineChars="0"/>
              <w:jc w:val="center"/>
              <w:rPr>
                <w:sz w:val="21"/>
                <w:szCs w:val="20"/>
              </w:rPr>
            </w:pPr>
            <w:r>
              <w:rPr>
                <w:sz w:val="21"/>
                <w:szCs w:val="20"/>
              </w:rPr>
              <w:t>1，1，1-三氯乙烷</w:t>
            </w:r>
          </w:p>
        </w:tc>
        <w:tc>
          <w:tcPr>
            <w:tcW w:w="711" w:type="pct"/>
            <w:vAlign w:val="center"/>
          </w:tcPr>
          <w:p w14:paraId="4AE6A050">
            <w:pPr>
              <w:adjustRightInd w:val="0"/>
              <w:snapToGrid w:val="0"/>
              <w:spacing w:line="240" w:lineRule="auto"/>
              <w:ind w:firstLine="0" w:firstLineChars="0"/>
              <w:jc w:val="center"/>
              <w:rPr>
                <w:sz w:val="21"/>
                <w:szCs w:val="20"/>
              </w:rPr>
            </w:pPr>
            <w:r>
              <w:rPr>
                <w:sz w:val="21"/>
                <w:szCs w:val="20"/>
              </w:rPr>
              <w:t>71-55-6</w:t>
            </w:r>
          </w:p>
        </w:tc>
        <w:tc>
          <w:tcPr>
            <w:tcW w:w="714" w:type="pct"/>
            <w:vAlign w:val="center"/>
          </w:tcPr>
          <w:p w14:paraId="3C5DD43B">
            <w:pPr>
              <w:adjustRightInd w:val="0"/>
              <w:snapToGrid w:val="0"/>
              <w:spacing w:line="240" w:lineRule="auto"/>
              <w:ind w:firstLine="0" w:firstLineChars="0"/>
              <w:jc w:val="center"/>
              <w:rPr>
                <w:sz w:val="21"/>
                <w:szCs w:val="20"/>
              </w:rPr>
            </w:pPr>
            <w:r>
              <w:rPr>
                <w:sz w:val="21"/>
                <w:szCs w:val="20"/>
              </w:rPr>
              <w:t>701</w:t>
            </w:r>
          </w:p>
        </w:tc>
        <w:tc>
          <w:tcPr>
            <w:tcW w:w="713" w:type="pct"/>
            <w:vAlign w:val="center"/>
          </w:tcPr>
          <w:p w14:paraId="0437D488">
            <w:pPr>
              <w:adjustRightInd w:val="0"/>
              <w:snapToGrid w:val="0"/>
              <w:spacing w:line="240" w:lineRule="auto"/>
              <w:ind w:firstLine="0" w:firstLineChars="0"/>
              <w:jc w:val="center"/>
              <w:rPr>
                <w:sz w:val="21"/>
                <w:szCs w:val="20"/>
              </w:rPr>
            </w:pPr>
            <w:r>
              <w:rPr>
                <w:sz w:val="21"/>
                <w:szCs w:val="20"/>
              </w:rPr>
              <w:t>840</w:t>
            </w:r>
          </w:p>
        </w:tc>
        <w:tc>
          <w:tcPr>
            <w:tcW w:w="872" w:type="pct"/>
            <w:vAlign w:val="center"/>
          </w:tcPr>
          <w:p w14:paraId="34912529">
            <w:pPr>
              <w:adjustRightInd w:val="0"/>
              <w:snapToGrid w:val="0"/>
              <w:spacing w:line="240" w:lineRule="auto"/>
              <w:ind w:firstLine="0" w:firstLineChars="0"/>
              <w:jc w:val="center"/>
              <w:rPr>
                <w:sz w:val="21"/>
                <w:szCs w:val="20"/>
              </w:rPr>
            </w:pPr>
            <w:r>
              <w:rPr>
                <w:sz w:val="21"/>
                <w:szCs w:val="20"/>
              </w:rPr>
              <w:t>840</w:t>
            </w:r>
          </w:p>
        </w:tc>
        <w:tc>
          <w:tcPr>
            <w:tcW w:w="741" w:type="pct"/>
            <w:vAlign w:val="center"/>
          </w:tcPr>
          <w:p w14:paraId="1278A6B5">
            <w:pPr>
              <w:adjustRightInd w:val="0"/>
              <w:snapToGrid w:val="0"/>
              <w:spacing w:line="240" w:lineRule="auto"/>
              <w:ind w:firstLine="0" w:firstLineChars="0"/>
              <w:jc w:val="center"/>
              <w:rPr>
                <w:sz w:val="21"/>
                <w:szCs w:val="20"/>
              </w:rPr>
            </w:pPr>
            <w:r>
              <w:rPr>
                <w:sz w:val="21"/>
                <w:szCs w:val="20"/>
              </w:rPr>
              <w:t>840</w:t>
            </w:r>
          </w:p>
        </w:tc>
      </w:tr>
      <w:tr w14:paraId="125DAC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3E5FD30E">
            <w:pPr>
              <w:adjustRightInd w:val="0"/>
              <w:snapToGrid w:val="0"/>
              <w:spacing w:line="240" w:lineRule="auto"/>
              <w:ind w:firstLine="0" w:firstLineChars="0"/>
              <w:jc w:val="center"/>
              <w:rPr>
                <w:sz w:val="21"/>
                <w:szCs w:val="20"/>
              </w:rPr>
            </w:pPr>
            <w:r>
              <w:rPr>
                <w:sz w:val="21"/>
                <w:szCs w:val="20"/>
              </w:rPr>
              <w:t>22</w:t>
            </w:r>
          </w:p>
        </w:tc>
        <w:tc>
          <w:tcPr>
            <w:tcW w:w="1011" w:type="pct"/>
            <w:vAlign w:val="center"/>
          </w:tcPr>
          <w:p w14:paraId="72AA4442">
            <w:pPr>
              <w:adjustRightInd w:val="0"/>
              <w:snapToGrid w:val="0"/>
              <w:spacing w:line="240" w:lineRule="auto"/>
              <w:ind w:firstLine="0" w:firstLineChars="0"/>
              <w:jc w:val="center"/>
              <w:rPr>
                <w:sz w:val="21"/>
                <w:szCs w:val="20"/>
              </w:rPr>
            </w:pPr>
            <w:r>
              <w:rPr>
                <w:sz w:val="21"/>
                <w:szCs w:val="20"/>
              </w:rPr>
              <w:t>1，1，2-三氯乙烷</w:t>
            </w:r>
          </w:p>
        </w:tc>
        <w:tc>
          <w:tcPr>
            <w:tcW w:w="711" w:type="pct"/>
            <w:vAlign w:val="center"/>
          </w:tcPr>
          <w:p w14:paraId="37ABC4D1">
            <w:pPr>
              <w:adjustRightInd w:val="0"/>
              <w:snapToGrid w:val="0"/>
              <w:spacing w:line="240" w:lineRule="auto"/>
              <w:ind w:firstLine="0" w:firstLineChars="0"/>
              <w:jc w:val="center"/>
              <w:rPr>
                <w:sz w:val="21"/>
                <w:szCs w:val="20"/>
              </w:rPr>
            </w:pPr>
            <w:r>
              <w:rPr>
                <w:sz w:val="21"/>
                <w:szCs w:val="20"/>
              </w:rPr>
              <w:t>79-00-5</w:t>
            </w:r>
          </w:p>
        </w:tc>
        <w:tc>
          <w:tcPr>
            <w:tcW w:w="714" w:type="pct"/>
            <w:vAlign w:val="center"/>
          </w:tcPr>
          <w:p w14:paraId="715D33F1">
            <w:pPr>
              <w:adjustRightInd w:val="0"/>
              <w:snapToGrid w:val="0"/>
              <w:spacing w:line="240" w:lineRule="auto"/>
              <w:ind w:firstLine="0" w:firstLineChars="0"/>
              <w:jc w:val="center"/>
              <w:rPr>
                <w:sz w:val="21"/>
                <w:szCs w:val="20"/>
              </w:rPr>
            </w:pPr>
            <w:r>
              <w:rPr>
                <w:sz w:val="21"/>
                <w:szCs w:val="20"/>
              </w:rPr>
              <w:t>0.6</w:t>
            </w:r>
          </w:p>
        </w:tc>
        <w:tc>
          <w:tcPr>
            <w:tcW w:w="713" w:type="pct"/>
            <w:vAlign w:val="center"/>
          </w:tcPr>
          <w:p w14:paraId="7886A59A">
            <w:pPr>
              <w:adjustRightInd w:val="0"/>
              <w:snapToGrid w:val="0"/>
              <w:spacing w:line="240" w:lineRule="auto"/>
              <w:ind w:firstLine="0" w:firstLineChars="0"/>
              <w:jc w:val="center"/>
              <w:rPr>
                <w:sz w:val="21"/>
                <w:szCs w:val="20"/>
              </w:rPr>
            </w:pPr>
            <w:r>
              <w:rPr>
                <w:sz w:val="21"/>
                <w:szCs w:val="20"/>
              </w:rPr>
              <w:t>2.8</w:t>
            </w:r>
          </w:p>
        </w:tc>
        <w:tc>
          <w:tcPr>
            <w:tcW w:w="872" w:type="pct"/>
            <w:vAlign w:val="center"/>
          </w:tcPr>
          <w:p w14:paraId="4AE197EF">
            <w:pPr>
              <w:adjustRightInd w:val="0"/>
              <w:snapToGrid w:val="0"/>
              <w:spacing w:line="240" w:lineRule="auto"/>
              <w:ind w:firstLine="0" w:firstLineChars="0"/>
              <w:jc w:val="center"/>
              <w:rPr>
                <w:sz w:val="21"/>
                <w:szCs w:val="20"/>
              </w:rPr>
            </w:pPr>
            <w:r>
              <w:rPr>
                <w:sz w:val="21"/>
                <w:szCs w:val="20"/>
              </w:rPr>
              <w:t>5</w:t>
            </w:r>
          </w:p>
        </w:tc>
        <w:tc>
          <w:tcPr>
            <w:tcW w:w="741" w:type="pct"/>
            <w:vAlign w:val="center"/>
          </w:tcPr>
          <w:p w14:paraId="66CD7957">
            <w:pPr>
              <w:adjustRightInd w:val="0"/>
              <w:snapToGrid w:val="0"/>
              <w:spacing w:line="240" w:lineRule="auto"/>
              <w:ind w:firstLine="0" w:firstLineChars="0"/>
              <w:jc w:val="center"/>
              <w:rPr>
                <w:sz w:val="21"/>
                <w:szCs w:val="20"/>
              </w:rPr>
            </w:pPr>
            <w:r>
              <w:rPr>
                <w:sz w:val="21"/>
                <w:szCs w:val="20"/>
              </w:rPr>
              <w:t>15</w:t>
            </w:r>
          </w:p>
        </w:tc>
      </w:tr>
      <w:tr w14:paraId="008573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5BA3E187">
            <w:pPr>
              <w:adjustRightInd w:val="0"/>
              <w:snapToGrid w:val="0"/>
              <w:spacing w:line="240" w:lineRule="auto"/>
              <w:ind w:firstLine="0" w:firstLineChars="0"/>
              <w:jc w:val="center"/>
              <w:rPr>
                <w:sz w:val="21"/>
                <w:szCs w:val="20"/>
              </w:rPr>
            </w:pPr>
            <w:r>
              <w:rPr>
                <w:sz w:val="21"/>
                <w:szCs w:val="20"/>
              </w:rPr>
              <w:t>23</w:t>
            </w:r>
          </w:p>
        </w:tc>
        <w:tc>
          <w:tcPr>
            <w:tcW w:w="1011" w:type="pct"/>
            <w:vAlign w:val="center"/>
          </w:tcPr>
          <w:p w14:paraId="4A908729">
            <w:pPr>
              <w:adjustRightInd w:val="0"/>
              <w:snapToGrid w:val="0"/>
              <w:spacing w:line="240" w:lineRule="auto"/>
              <w:ind w:firstLine="0" w:firstLineChars="0"/>
              <w:jc w:val="center"/>
              <w:rPr>
                <w:sz w:val="21"/>
                <w:szCs w:val="20"/>
              </w:rPr>
            </w:pPr>
            <w:r>
              <w:rPr>
                <w:sz w:val="21"/>
                <w:szCs w:val="20"/>
              </w:rPr>
              <w:t>三氯乙烯</w:t>
            </w:r>
          </w:p>
        </w:tc>
        <w:tc>
          <w:tcPr>
            <w:tcW w:w="711" w:type="pct"/>
            <w:vAlign w:val="center"/>
          </w:tcPr>
          <w:p w14:paraId="65C0A7EB">
            <w:pPr>
              <w:adjustRightInd w:val="0"/>
              <w:snapToGrid w:val="0"/>
              <w:spacing w:line="240" w:lineRule="auto"/>
              <w:ind w:firstLine="0" w:firstLineChars="0"/>
              <w:jc w:val="center"/>
              <w:rPr>
                <w:sz w:val="21"/>
                <w:szCs w:val="20"/>
              </w:rPr>
            </w:pPr>
            <w:r>
              <w:rPr>
                <w:sz w:val="21"/>
                <w:szCs w:val="20"/>
              </w:rPr>
              <w:t>79-01-6</w:t>
            </w:r>
          </w:p>
        </w:tc>
        <w:tc>
          <w:tcPr>
            <w:tcW w:w="714" w:type="pct"/>
            <w:vAlign w:val="center"/>
          </w:tcPr>
          <w:p w14:paraId="09456972">
            <w:pPr>
              <w:adjustRightInd w:val="0"/>
              <w:snapToGrid w:val="0"/>
              <w:spacing w:line="240" w:lineRule="auto"/>
              <w:ind w:firstLine="0" w:firstLineChars="0"/>
              <w:jc w:val="center"/>
              <w:rPr>
                <w:sz w:val="21"/>
                <w:szCs w:val="20"/>
              </w:rPr>
            </w:pPr>
            <w:r>
              <w:rPr>
                <w:sz w:val="21"/>
                <w:szCs w:val="20"/>
              </w:rPr>
              <w:t>0.7</w:t>
            </w:r>
          </w:p>
        </w:tc>
        <w:tc>
          <w:tcPr>
            <w:tcW w:w="713" w:type="pct"/>
            <w:vAlign w:val="center"/>
          </w:tcPr>
          <w:p w14:paraId="1E8C16EB">
            <w:pPr>
              <w:adjustRightInd w:val="0"/>
              <w:snapToGrid w:val="0"/>
              <w:spacing w:line="240" w:lineRule="auto"/>
              <w:ind w:firstLine="0" w:firstLineChars="0"/>
              <w:jc w:val="center"/>
              <w:rPr>
                <w:sz w:val="21"/>
                <w:szCs w:val="20"/>
              </w:rPr>
            </w:pPr>
            <w:r>
              <w:rPr>
                <w:sz w:val="21"/>
                <w:szCs w:val="20"/>
              </w:rPr>
              <w:t>2.8</w:t>
            </w:r>
          </w:p>
        </w:tc>
        <w:tc>
          <w:tcPr>
            <w:tcW w:w="872" w:type="pct"/>
            <w:vAlign w:val="center"/>
          </w:tcPr>
          <w:p w14:paraId="737A6A1B">
            <w:pPr>
              <w:adjustRightInd w:val="0"/>
              <w:snapToGrid w:val="0"/>
              <w:spacing w:line="240" w:lineRule="auto"/>
              <w:ind w:firstLine="0" w:firstLineChars="0"/>
              <w:jc w:val="center"/>
              <w:rPr>
                <w:sz w:val="21"/>
                <w:szCs w:val="20"/>
              </w:rPr>
            </w:pPr>
            <w:r>
              <w:rPr>
                <w:sz w:val="21"/>
                <w:szCs w:val="20"/>
              </w:rPr>
              <w:t>7</w:t>
            </w:r>
          </w:p>
        </w:tc>
        <w:tc>
          <w:tcPr>
            <w:tcW w:w="741" w:type="pct"/>
            <w:vAlign w:val="center"/>
          </w:tcPr>
          <w:p w14:paraId="2D03C125">
            <w:pPr>
              <w:adjustRightInd w:val="0"/>
              <w:snapToGrid w:val="0"/>
              <w:spacing w:line="240" w:lineRule="auto"/>
              <w:ind w:firstLine="0" w:firstLineChars="0"/>
              <w:jc w:val="center"/>
              <w:rPr>
                <w:sz w:val="21"/>
                <w:szCs w:val="20"/>
              </w:rPr>
            </w:pPr>
            <w:r>
              <w:rPr>
                <w:sz w:val="21"/>
                <w:szCs w:val="20"/>
              </w:rPr>
              <w:t>20</w:t>
            </w:r>
          </w:p>
        </w:tc>
      </w:tr>
      <w:tr w14:paraId="4B3202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FD6FE13">
            <w:pPr>
              <w:adjustRightInd w:val="0"/>
              <w:snapToGrid w:val="0"/>
              <w:spacing w:line="240" w:lineRule="auto"/>
              <w:ind w:firstLine="0" w:firstLineChars="0"/>
              <w:jc w:val="center"/>
              <w:rPr>
                <w:sz w:val="21"/>
                <w:szCs w:val="20"/>
              </w:rPr>
            </w:pPr>
            <w:r>
              <w:rPr>
                <w:sz w:val="21"/>
                <w:szCs w:val="20"/>
              </w:rPr>
              <w:t>24</w:t>
            </w:r>
          </w:p>
        </w:tc>
        <w:tc>
          <w:tcPr>
            <w:tcW w:w="1011" w:type="pct"/>
            <w:vAlign w:val="center"/>
          </w:tcPr>
          <w:p w14:paraId="2AF5AC89">
            <w:pPr>
              <w:adjustRightInd w:val="0"/>
              <w:snapToGrid w:val="0"/>
              <w:spacing w:line="240" w:lineRule="auto"/>
              <w:ind w:firstLine="0" w:firstLineChars="0"/>
              <w:jc w:val="center"/>
              <w:rPr>
                <w:sz w:val="21"/>
                <w:szCs w:val="20"/>
              </w:rPr>
            </w:pPr>
            <w:r>
              <w:rPr>
                <w:sz w:val="21"/>
                <w:szCs w:val="20"/>
              </w:rPr>
              <w:t>1，2，3，-三氯丙烷</w:t>
            </w:r>
          </w:p>
        </w:tc>
        <w:tc>
          <w:tcPr>
            <w:tcW w:w="711" w:type="pct"/>
            <w:vAlign w:val="center"/>
          </w:tcPr>
          <w:p w14:paraId="27044FCB">
            <w:pPr>
              <w:adjustRightInd w:val="0"/>
              <w:snapToGrid w:val="0"/>
              <w:spacing w:line="240" w:lineRule="auto"/>
              <w:ind w:firstLine="0" w:firstLineChars="0"/>
              <w:jc w:val="center"/>
              <w:rPr>
                <w:sz w:val="21"/>
                <w:szCs w:val="20"/>
              </w:rPr>
            </w:pPr>
            <w:r>
              <w:rPr>
                <w:sz w:val="21"/>
                <w:szCs w:val="20"/>
              </w:rPr>
              <w:t>96-18-4</w:t>
            </w:r>
          </w:p>
        </w:tc>
        <w:tc>
          <w:tcPr>
            <w:tcW w:w="714" w:type="pct"/>
            <w:vAlign w:val="center"/>
          </w:tcPr>
          <w:p w14:paraId="1A3118F7">
            <w:pPr>
              <w:adjustRightInd w:val="0"/>
              <w:snapToGrid w:val="0"/>
              <w:spacing w:line="240" w:lineRule="auto"/>
              <w:ind w:firstLine="0" w:firstLineChars="0"/>
              <w:jc w:val="center"/>
              <w:rPr>
                <w:sz w:val="21"/>
                <w:szCs w:val="20"/>
              </w:rPr>
            </w:pPr>
            <w:r>
              <w:rPr>
                <w:sz w:val="21"/>
                <w:szCs w:val="20"/>
              </w:rPr>
              <w:t>0.05</w:t>
            </w:r>
          </w:p>
        </w:tc>
        <w:tc>
          <w:tcPr>
            <w:tcW w:w="713" w:type="pct"/>
            <w:vAlign w:val="center"/>
          </w:tcPr>
          <w:p w14:paraId="387AFCE5">
            <w:pPr>
              <w:adjustRightInd w:val="0"/>
              <w:snapToGrid w:val="0"/>
              <w:spacing w:line="240" w:lineRule="auto"/>
              <w:ind w:firstLine="0" w:firstLineChars="0"/>
              <w:jc w:val="center"/>
              <w:rPr>
                <w:sz w:val="21"/>
                <w:szCs w:val="20"/>
              </w:rPr>
            </w:pPr>
            <w:r>
              <w:rPr>
                <w:sz w:val="21"/>
                <w:szCs w:val="20"/>
              </w:rPr>
              <w:t>0.5</w:t>
            </w:r>
          </w:p>
        </w:tc>
        <w:tc>
          <w:tcPr>
            <w:tcW w:w="872" w:type="pct"/>
            <w:vAlign w:val="center"/>
          </w:tcPr>
          <w:p w14:paraId="112FB79D">
            <w:pPr>
              <w:adjustRightInd w:val="0"/>
              <w:snapToGrid w:val="0"/>
              <w:spacing w:line="240" w:lineRule="auto"/>
              <w:ind w:firstLine="0" w:firstLineChars="0"/>
              <w:jc w:val="center"/>
              <w:rPr>
                <w:sz w:val="21"/>
                <w:szCs w:val="20"/>
              </w:rPr>
            </w:pPr>
            <w:r>
              <w:rPr>
                <w:sz w:val="21"/>
                <w:szCs w:val="20"/>
              </w:rPr>
              <w:t>0.5</w:t>
            </w:r>
          </w:p>
        </w:tc>
        <w:tc>
          <w:tcPr>
            <w:tcW w:w="741" w:type="pct"/>
            <w:vAlign w:val="center"/>
          </w:tcPr>
          <w:p w14:paraId="14F22FDA">
            <w:pPr>
              <w:adjustRightInd w:val="0"/>
              <w:snapToGrid w:val="0"/>
              <w:spacing w:line="240" w:lineRule="auto"/>
              <w:ind w:firstLine="0" w:firstLineChars="0"/>
              <w:jc w:val="center"/>
              <w:rPr>
                <w:sz w:val="21"/>
                <w:szCs w:val="20"/>
              </w:rPr>
            </w:pPr>
            <w:r>
              <w:rPr>
                <w:sz w:val="21"/>
                <w:szCs w:val="20"/>
              </w:rPr>
              <w:t>5</w:t>
            </w:r>
          </w:p>
        </w:tc>
      </w:tr>
      <w:tr w14:paraId="153DC2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D566186">
            <w:pPr>
              <w:adjustRightInd w:val="0"/>
              <w:snapToGrid w:val="0"/>
              <w:spacing w:line="240" w:lineRule="auto"/>
              <w:ind w:firstLine="0" w:firstLineChars="0"/>
              <w:jc w:val="center"/>
              <w:rPr>
                <w:sz w:val="21"/>
                <w:szCs w:val="20"/>
              </w:rPr>
            </w:pPr>
            <w:r>
              <w:rPr>
                <w:sz w:val="21"/>
                <w:szCs w:val="20"/>
              </w:rPr>
              <w:t>25</w:t>
            </w:r>
          </w:p>
        </w:tc>
        <w:tc>
          <w:tcPr>
            <w:tcW w:w="1011" w:type="pct"/>
            <w:vAlign w:val="center"/>
          </w:tcPr>
          <w:p w14:paraId="6BC83EA7">
            <w:pPr>
              <w:adjustRightInd w:val="0"/>
              <w:snapToGrid w:val="0"/>
              <w:spacing w:line="240" w:lineRule="auto"/>
              <w:ind w:firstLine="0" w:firstLineChars="0"/>
              <w:jc w:val="center"/>
              <w:rPr>
                <w:sz w:val="21"/>
                <w:szCs w:val="20"/>
              </w:rPr>
            </w:pPr>
            <w:r>
              <w:rPr>
                <w:sz w:val="21"/>
                <w:szCs w:val="20"/>
              </w:rPr>
              <w:t>氯乙烯</w:t>
            </w:r>
          </w:p>
        </w:tc>
        <w:tc>
          <w:tcPr>
            <w:tcW w:w="711" w:type="pct"/>
            <w:vAlign w:val="center"/>
          </w:tcPr>
          <w:p w14:paraId="246282CA">
            <w:pPr>
              <w:adjustRightInd w:val="0"/>
              <w:snapToGrid w:val="0"/>
              <w:spacing w:line="240" w:lineRule="auto"/>
              <w:ind w:firstLine="0" w:firstLineChars="0"/>
              <w:jc w:val="center"/>
              <w:rPr>
                <w:sz w:val="21"/>
                <w:szCs w:val="20"/>
              </w:rPr>
            </w:pPr>
            <w:r>
              <w:rPr>
                <w:sz w:val="21"/>
                <w:szCs w:val="20"/>
              </w:rPr>
              <w:t>75-01-4</w:t>
            </w:r>
          </w:p>
        </w:tc>
        <w:tc>
          <w:tcPr>
            <w:tcW w:w="714" w:type="pct"/>
            <w:vAlign w:val="center"/>
          </w:tcPr>
          <w:p w14:paraId="40D69026">
            <w:pPr>
              <w:adjustRightInd w:val="0"/>
              <w:snapToGrid w:val="0"/>
              <w:spacing w:line="240" w:lineRule="auto"/>
              <w:ind w:firstLine="0" w:firstLineChars="0"/>
              <w:jc w:val="center"/>
              <w:rPr>
                <w:sz w:val="21"/>
                <w:szCs w:val="20"/>
              </w:rPr>
            </w:pPr>
            <w:r>
              <w:rPr>
                <w:sz w:val="21"/>
                <w:szCs w:val="20"/>
              </w:rPr>
              <w:t>0.12</w:t>
            </w:r>
          </w:p>
        </w:tc>
        <w:tc>
          <w:tcPr>
            <w:tcW w:w="713" w:type="pct"/>
            <w:vAlign w:val="center"/>
          </w:tcPr>
          <w:p w14:paraId="51C9B6B2">
            <w:pPr>
              <w:adjustRightInd w:val="0"/>
              <w:snapToGrid w:val="0"/>
              <w:spacing w:line="240" w:lineRule="auto"/>
              <w:ind w:firstLine="0" w:firstLineChars="0"/>
              <w:jc w:val="center"/>
              <w:rPr>
                <w:sz w:val="21"/>
                <w:szCs w:val="20"/>
              </w:rPr>
            </w:pPr>
            <w:r>
              <w:rPr>
                <w:sz w:val="21"/>
                <w:szCs w:val="20"/>
              </w:rPr>
              <w:t>0.43</w:t>
            </w:r>
          </w:p>
        </w:tc>
        <w:tc>
          <w:tcPr>
            <w:tcW w:w="872" w:type="pct"/>
            <w:vAlign w:val="center"/>
          </w:tcPr>
          <w:p w14:paraId="306D3FA9">
            <w:pPr>
              <w:adjustRightInd w:val="0"/>
              <w:snapToGrid w:val="0"/>
              <w:spacing w:line="240" w:lineRule="auto"/>
              <w:ind w:firstLine="0" w:firstLineChars="0"/>
              <w:jc w:val="center"/>
              <w:rPr>
                <w:sz w:val="21"/>
                <w:szCs w:val="20"/>
              </w:rPr>
            </w:pPr>
            <w:r>
              <w:rPr>
                <w:sz w:val="21"/>
                <w:szCs w:val="20"/>
              </w:rPr>
              <w:t>1.2</w:t>
            </w:r>
          </w:p>
        </w:tc>
        <w:tc>
          <w:tcPr>
            <w:tcW w:w="741" w:type="pct"/>
            <w:vAlign w:val="center"/>
          </w:tcPr>
          <w:p w14:paraId="1216D6E6">
            <w:pPr>
              <w:adjustRightInd w:val="0"/>
              <w:snapToGrid w:val="0"/>
              <w:spacing w:line="240" w:lineRule="auto"/>
              <w:ind w:firstLine="0" w:firstLineChars="0"/>
              <w:jc w:val="center"/>
              <w:rPr>
                <w:sz w:val="21"/>
                <w:szCs w:val="20"/>
              </w:rPr>
            </w:pPr>
            <w:r>
              <w:rPr>
                <w:sz w:val="21"/>
                <w:szCs w:val="20"/>
              </w:rPr>
              <w:t>4.3</w:t>
            </w:r>
          </w:p>
        </w:tc>
      </w:tr>
      <w:tr w14:paraId="6FC09A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D400A85">
            <w:pPr>
              <w:adjustRightInd w:val="0"/>
              <w:snapToGrid w:val="0"/>
              <w:spacing w:line="240" w:lineRule="auto"/>
              <w:ind w:firstLine="0" w:firstLineChars="0"/>
              <w:jc w:val="center"/>
              <w:rPr>
                <w:sz w:val="21"/>
                <w:szCs w:val="20"/>
              </w:rPr>
            </w:pPr>
            <w:r>
              <w:rPr>
                <w:sz w:val="21"/>
                <w:szCs w:val="20"/>
              </w:rPr>
              <w:t>26</w:t>
            </w:r>
          </w:p>
        </w:tc>
        <w:tc>
          <w:tcPr>
            <w:tcW w:w="1011" w:type="pct"/>
            <w:vAlign w:val="center"/>
          </w:tcPr>
          <w:p w14:paraId="03DDDDD6">
            <w:pPr>
              <w:adjustRightInd w:val="0"/>
              <w:snapToGrid w:val="0"/>
              <w:spacing w:line="240" w:lineRule="auto"/>
              <w:ind w:firstLine="0" w:firstLineChars="0"/>
              <w:jc w:val="center"/>
              <w:rPr>
                <w:sz w:val="21"/>
                <w:szCs w:val="20"/>
              </w:rPr>
            </w:pPr>
            <w:r>
              <w:rPr>
                <w:sz w:val="21"/>
                <w:szCs w:val="20"/>
              </w:rPr>
              <w:t>苯</w:t>
            </w:r>
          </w:p>
        </w:tc>
        <w:tc>
          <w:tcPr>
            <w:tcW w:w="711" w:type="pct"/>
            <w:vAlign w:val="center"/>
          </w:tcPr>
          <w:p w14:paraId="2A95090D">
            <w:pPr>
              <w:adjustRightInd w:val="0"/>
              <w:snapToGrid w:val="0"/>
              <w:spacing w:line="240" w:lineRule="auto"/>
              <w:ind w:firstLine="0" w:firstLineChars="0"/>
              <w:jc w:val="center"/>
              <w:rPr>
                <w:sz w:val="21"/>
                <w:szCs w:val="20"/>
              </w:rPr>
            </w:pPr>
            <w:r>
              <w:rPr>
                <w:sz w:val="21"/>
                <w:szCs w:val="20"/>
              </w:rPr>
              <w:t>71-43-2</w:t>
            </w:r>
          </w:p>
        </w:tc>
        <w:tc>
          <w:tcPr>
            <w:tcW w:w="714" w:type="pct"/>
            <w:vAlign w:val="center"/>
          </w:tcPr>
          <w:p w14:paraId="5219B349">
            <w:pPr>
              <w:adjustRightInd w:val="0"/>
              <w:snapToGrid w:val="0"/>
              <w:spacing w:line="240" w:lineRule="auto"/>
              <w:ind w:firstLine="0" w:firstLineChars="0"/>
              <w:jc w:val="center"/>
              <w:rPr>
                <w:sz w:val="21"/>
                <w:szCs w:val="20"/>
              </w:rPr>
            </w:pPr>
            <w:r>
              <w:rPr>
                <w:sz w:val="21"/>
                <w:szCs w:val="20"/>
              </w:rPr>
              <w:t>1</w:t>
            </w:r>
          </w:p>
        </w:tc>
        <w:tc>
          <w:tcPr>
            <w:tcW w:w="713" w:type="pct"/>
            <w:vAlign w:val="center"/>
          </w:tcPr>
          <w:p w14:paraId="3A6BFAF4">
            <w:pPr>
              <w:adjustRightInd w:val="0"/>
              <w:snapToGrid w:val="0"/>
              <w:spacing w:line="240" w:lineRule="auto"/>
              <w:ind w:firstLine="0" w:firstLineChars="0"/>
              <w:jc w:val="center"/>
              <w:rPr>
                <w:sz w:val="21"/>
                <w:szCs w:val="20"/>
              </w:rPr>
            </w:pPr>
            <w:r>
              <w:rPr>
                <w:sz w:val="21"/>
                <w:szCs w:val="20"/>
              </w:rPr>
              <w:t>4</w:t>
            </w:r>
          </w:p>
        </w:tc>
        <w:tc>
          <w:tcPr>
            <w:tcW w:w="872" w:type="pct"/>
            <w:vAlign w:val="center"/>
          </w:tcPr>
          <w:p w14:paraId="197BAC8B">
            <w:pPr>
              <w:adjustRightInd w:val="0"/>
              <w:snapToGrid w:val="0"/>
              <w:spacing w:line="240" w:lineRule="auto"/>
              <w:ind w:firstLine="0" w:firstLineChars="0"/>
              <w:jc w:val="center"/>
              <w:rPr>
                <w:sz w:val="21"/>
                <w:szCs w:val="20"/>
              </w:rPr>
            </w:pPr>
            <w:r>
              <w:rPr>
                <w:sz w:val="21"/>
                <w:szCs w:val="20"/>
              </w:rPr>
              <w:t>10</w:t>
            </w:r>
          </w:p>
        </w:tc>
        <w:tc>
          <w:tcPr>
            <w:tcW w:w="741" w:type="pct"/>
            <w:vAlign w:val="center"/>
          </w:tcPr>
          <w:p w14:paraId="0AAFBE89">
            <w:pPr>
              <w:adjustRightInd w:val="0"/>
              <w:snapToGrid w:val="0"/>
              <w:spacing w:line="240" w:lineRule="auto"/>
              <w:ind w:firstLine="0" w:firstLineChars="0"/>
              <w:jc w:val="center"/>
              <w:rPr>
                <w:sz w:val="21"/>
                <w:szCs w:val="20"/>
              </w:rPr>
            </w:pPr>
            <w:r>
              <w:rPr>
                <w:sz w:val="21"/>
                <w:szCs w:val="20"/>
              </w:rPr>
              <w:t>40</w:t>
            </w:r>
          </w:p>
        </w:tc>
      </w:tr>
      <w:tr w14:paraId="0BB4E4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EF38704">
            <w:pPr>
              <w:adjustRightInd w:val="0"/>
              <w:snapToGrid w:val="0"/>
              <w:spacing w:line="240" w:lineRule="auto"/>
              <w:ind w:firstLine="0" w:firstLineChars="0"/>
              <w:jc w:val="center"/>
              <w:rPr>
                <w:sz w:val="21"/>
                <w:szCs w:val="20"/>
              </w:rPr>
            </w:pPr>
            <w:r>
              <w:rPr>
                <w:sz w:val="21"/>
                <w:szCs w:val="20"/>
              </w:rPr>
              <w:t>27</w:t>
            </w:r>
          </w:p>
        </w:tc>
        <w:tc>
          <w:tcPr>
            <w:tcW w:w="1011" w:type="pct"/>
            <w:vAlign w:val="center"/>
          </w:tcPr>
          <w:p w14:paraId="38BF0D14">
            <w:pPr>
              <w:adjustRightInd w:val="0"/>
              <w:snapToGrid w:val="0"/>
              <w:spacing w:line="240" w:lineRule="auto"/>
              <w:ind w:firstLine="0" w:firstLineChars="0"/>
              <w:jc w:val="center"/>
              <w:rPr>
                <w:sz w:val="21"/>
                <w:szCs w:val="20"/>
              </w:rPr>
            </w:pPr>
            <w:r>
              <w:rPr>
                <w:sz w:val="21"/>
                <w:szCs w:val="20"/>
              </w:rPr>
              <w:t>氯苯</w:t>
            </w:r>
          </w:p>
        </w:tc>
        <w:tc>
          <w:tcPr>
            <w:tcW w:w="711" w:type="pct"/>
            <w:vAlign w:val="center"/>
          </w:tcPr>
          <w:p w14:paraId="4ABED007">
            <w:pPr>
              <w:adjustRightInd w:val="0"/>
              <w:snapToGrid w:val="0"/>
              <w:spacing w:line="240" w:lineRule="auto"/>
              <w:ind w:firstLine="0" w:firstLineChars="0"/>
              <w:jc w:val="center"/>
              <w:rPr>
                <w:sz w:val="21"/>
                <w:szCs w:val="20"/>
              </w:rPr>
            </w:pPr>
            <w:r>
              <w:rPr>
                <w:sz w:val="21"/>
                <w:szCs w:val="20"/>
              </w:rPr>
              <w:t>108-90-7</w:t>
            </w:r>
          </w:p>
        </w:tc>
        <w:tc>
          <w:tcPr>
            <w:tcW w:w="714" w:type="pct"/>
            <w:vAlign w:val="center"/>
          </w:tcPr>
          <w:p w14:paraId="569EC3E2">
            <w:pPr>
              <w:adjustRightInd w:val="0"/>
              <w:snapToGrid w:val="0"/>
              <w:spacing w:line="240" w:lineRule="auto"/>
              <w:ind w:firstLine="0" w:firstLineChars="0"/>
              <w:jc w:val="center"/>
              <w:rPr>
                <w:sz w:val="21"/>
                <w:szCs w:val="20"/>
              </w:rPr>
            </w:pPr>
            <w:r>
              <w:rPr>
                <w:sz w:val="21"/>
                <w:szCs w:val="20"/>
              </w:rPr>
              <w:t>68</w:t>
            </w:r>
          </w:p>
        </w:tc>
        <w:tc>
          <w:tcPr>
            <w:tcW w:w="713" w:type="pct"/>
            <w:vAlign w:val="center"/>
          </w:tcPr>
          <w:p w14:paraId="02629314">
            <w:pPr>
              <w:adjustRightInd w:val="0"/>
              <w:snapToGrid w:val="0"/>
              <w:spacing w:line="240" w:lineRule="auto"/>
              <w:ind w:firstLine="0" w:firstLineChars="0"/>
              <w:jc w:val="center"/>
              <w:rPr>
                <w:sz w:val="21"/>
                <w:szCs w:val="20"/>
              </w:rPr>
            </w:pPr>
            <w:r>
              <w:rPr>
                <w:sz w:val="21"/>
                <w:szCs w:val="20"/>
              </w:rPr>
              <w:t>270</w:t>
            </w:r>
          </w:p>
        </w:tc>
        <w:tc>
          <w:tcPr>
            <w:tcW w:w="872" w:type="pct"/>
            <w:vAlign w:val="center"/>
          </w:tcPr>
          <w:p w14:paraId="274B89EC">
            <w:pPr>
              <w:adjustRightInd w:val="0"/>
              <w:snapToGrid w:val="0"/>
              <w:spacing w:line="240" w:lineRule="auto"/>
              <w:ind w:firstLine="0" w:firstLineChars="0"/>
              <w:jc w:val="center"/>
              <w:rPr>
                <w:sz w:val="21"/>
                <w:szCs w:val="20"/>
              </w:rPr>
            </w:pPr>
            <w:r>
              <w:rPr>
                <w:sz w:val="21"/>
                <w:szCs w:val="20"/>
              </w:rPr>
              <w:t>200</w:t>
            </w:r>
          </w:p>
        </w:tc>
        <w:tc>
          <w:tcPr>
            <w:tcW w:w="741" w:type="pct"/>
            <w:vAlign w:val="center"/>
          </w:tcPr>
          <w:p w14:paraId="6125CCAF">
            <w:pPr>
              <w:adjustRightInd w:val="0"/>
              <w:snapToGrid w:val="0"/>
              <w:spacing w:line="240" w:lineRule="auto"/>
              <w:ind w:firstLine="0" w:firstLineChars="0"/>
              <w:jc w:val="center"/>
              <w:rPr>
                <w:sz w:val="21"/>
                <w:szCs w:val="20"/>
              </w:rPr>
            </w:pPr>
            <w:r>
              <w:rPr>
                <w:sz w:val="21"/>
                <w:szCs w:val="20"/>
              </w:rPr>
              <w:t>1000</w:t>
            </w:r>
          </w:p>
        </w:tc>
      </w:tr>
      <w:tr w14:paraId="3586FC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D542454">
            <w:pPr>
              <w:adjustRightInd w:val="0"/>
              <w:snapToGrid w:val="0"/>
              <w:spacing w:line="240" w:lineRule="auto"/>
              <w:ind w:firstLine="0" w:firstLineChars="0"/>
              <w:jc w:val="center"/>
              <w:rPr>
                <w:sz w:val="21"/>
                <w:szCs w:val="20"/>
              </w:rPr>
            </w:pPr>
            <w:r>
              <w:rPr>
                <w:sz w:val="21"/>
                <w:szCs w:val="20"/>
              </w:rPr>
              <w:t>28</w:t>
            </w:r>
          </w:p>
        </w:tc>
        <w:tc>
          <w:tcPr>
            <w:tcW w:w="1011" w:type="pct"/>
            <w:vAlign w:val="center"/>
          </w:tcPr>
          <w:p w14:paraId="5FF69EE4">
            <w:pPr>
              <w:adjustRightInd w:val="0"/>
              <w:snapToGrid w:val="0"/>
              <w:spacing w:line="240" w:lineRule="auto"/>
              <w:ind w:firstLine="0" w:firstLineChars="0"/>
              <w:jc w:val="center"/>
              <w:rPr>
                <w:sz w:val="21"/>
                <w:szCs w:val="20"/>
              </w:rPr>
            </w:pPr>
            <w:r>
              <w:rPr>
                <w:sz w:val="21"/>
                <w:szCs w:val="20"/>
              </w:rPr>
              <w:t>1，2-二氯苯</w:t>
            </w:r>
          </w:p>
        </w:tc>
        <w:tc>
          <w:tcPr>
            <w:tcW w:w="711" w:type="pct"/>
            <w:vAlign w:val="center"/>
          </w:tcPr>
          <w:p w14:paraId="156D6629">
            <w:pPr>
              <w:adjustRightInd w:val="0"/>
              <w:snapToGrid w:val="0"/>
              <w:spacing w:line="240" w:lineRule="auto"/>
              <w:ind w:firstLine="0" w:firstLineChars="0"/>
              <w:jc w:val="center"/>
              <w:rPr>
                <w:sz w:val="21"/>
                <w:szCs w:val="20"/>
              </w:rPr>
            </w:pPr>
            <w:r>
              <w:rPr>
                <w:sz w:val="21"/>
                <w:szCs w:val="20"/>
              </w:rPr>
              <w:t>95-50-1</w:t>
            </w:r>
          </w:p>
        </w:tc>
        <w:tc>
          <w:tcPr>
            <w:tcW w:w="714" w:type="pct"/>
            <w:vAlign w:val="center"/>
          </w:tcPr>
          <w:p w14:paraId="5959F609">
            <w:pPr>
              <w:adjustRightInd w:val="0"/>
              <w:snapToGrid w:val="0"/>
              <w:spacing w:line="240" w:lineRule="auto"/>
              <w:ind w:firstLine="0" w:firstLineChars="0"/>
              <w:jc w:val="center"/>
              <w:rPr>
                <w:sz w:val="21"/>
                <w:szCs w:val="20"/>
              </w:rPr>
            </w:pPr>
            <w:r>
              <w:rPr>
                <w:sz w:val="21"/>
                <w:szCs w:val="20"/>
              </w:rPr>
              <w:t>560</w:t>
            </w:r>
          </w:p>
        </w:tc>
        <w:tc>
          <w:tcPr>
            <w:tcW w:w="713" w:type="pct"/>
            <w:vAlign w:val="center"/>
          </w:tcPr>
          <w:p w14:paraId="45A05526">
            <w:pPr>
              <w:adjustRightInd w:val="0"/>
              <w:snapToGrid w:val="0"/>
              <w:spacing w:line="240" w:lineRule="auto"/>
              <w:ind w:firstLine="0" w:firstLineChars="0"/>
              <w:jc w:val="center"/>
              <w:rPr>
                <w:sz w:val="21"/>
                <w:szCs w:val="20"/>
              </w:rPr>
            </w:pPr>
            <w:r>
              <w:rPr>
                <w:sz w:val="21"/>
                <w:szCs w:val="20"/>
              </w:rPr>
              <w:t>560</w:t>
            </w:r>
          </w:p>
        </w:tc>
        <w:tc>
          <w:tcPr>
            <w:tcW w:w="872" w:type="pct"/>
            <w:vAlign w:val="center"/>
          </w:tcPr>
          <w:p w14:paraId="50DD2662">
            <w:pPr>
              <w:adjustRightInd w:val="0"/>
              <w:snapToGrid w:val="0"/>
              <w:spacing w:line="240" w:lineRule="auto"/>
              <w:ind w:firstLine="0" w:firstLineChars="0"/>
              <w:jc w:val="center"/>
              <w:rPr>
                <w:sz w:val="21"/>
                <w:szCs w:val="20"/>
              </w:rPr>
            </w:pPr>
            <w:r>
              <w:rPr>
                <w:sz w:val="21"/>
                <w:szCs w:val="20"/>
              </w:rPr>
              <w:t>560</w:t>
            </w:r>
          </w:p>
        </w:tc>
        <w:tc>
          <w:tcPr>
            <w:tcW w:w="741" w:type="pct"/>
            <w:vAlign w:val="center"/>
          </w:tcPr>
          <w:p w14:paraId="7B7650BB">
            <w:pPr>
              <w:adjustRightInd w:val="0"/>
              <w:snapToGrid w:val="0"/>
              <w:spacing w:line="240" w:lineRule="auto"/>
              <w:ind w:firstLine="0" w:firstLineChars="0"/>
              <w:jc w:val="center"/>
              <w:rPr>
                <w:sz w:val="21"/>
                <w:szCs w:val="20"/>
              </w:rPr>
            </w:pPr>
            <w:r>
              <w:rPr>
                <w:sz w:val="21"/>
                <w:szCs w:val="20"/>
              </w:rPr>
              <w:t>560</w:t>
            </w:r>
          </w:p>
        </w:tc>
      </w:tr>
      <w:tr w14:paraId="277143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FD8354D">
            <w:pPr>
              <w:adjustRightInd w:val="0"/>
              <w:snapToGrid w:val="0"/>
              <w:spacing w:line="240" w:lineRule="auto"/>
              <w:ind w:firstLine="0" w:firstLineChars="0"/>
              <w:jc w:val="center"/>
              <w:rPr>
                <w:sz w:val="21"/>
                <w:szCs w:val="20"/>
              </w:rPr>
            </w:pPr>
            <w:r>
              <w:rPr>
                <w:sz w:val="21"/>
                <w:szCs w:val="20"/>
              </w:rPr>
              <w:t>29</w:t>
            </w:r>
          </w:p>
        </w:tc>
        <w:tc>
          <w:tcPr>
            <w:tcW w:w="1011" w:type="pct"/>
            <w:vAlign w:val="center"/>
          </w:tcPr>
          <w:p w14:paraId="1A640055">
            <w:pPr>
              <w:adjustRightInd w:val="0"/>
              <w:snapToGrid w:val="0"/>
              <w:spacing w:line="240" w:lineRule="auto"/>
              <w:ind w:firstLine="0" w:firstLineChars="0"/>
              <w:jc w:val="center"/>
              <w:rPr>
                <w:sz w:val="21"/>
                <w:szCs w:val="20"/>
              </w:rPr>
            </w:pPr>
            <w:r>
              <w:rPr>
                <w:sz w:val="21"/>
                <w:szCs w:val="20"/>
              </w:rPr>
              <w:t>1，4-二氯苯</w:t>
            </w:r>
          </w:p>
        </w:tc>
        <w:tc>
          <w:tcPr>
            <w:tcW w:w="711" w:type="pct"/>
            <w:vAlign w:val="center"/>
          </w:tcPr>
          <w:p w14:paraId="2CA587F7">
            <w:pPr>
              <w:adjustRightInd w:val="0"/>
              <w:snapToGrid w:val="0"/>
              <w:spacing w:line="240" w:lineRule="auto"/>
              <w:ind w:firstLine="0" w:firstLineChars="0"/>
              <w:jc w:val="center"/>
              <w:rPr>
                <w:sz w:val="21"/>
                <w:szCs w:val="20"/>
              </w:rPr>
            </w:pPr>
            <w:r>
              <w:rPr>
                <w:sz w:val="21"/>
                <w:szCs w:val="20"/>
              </w:rPr>
              <w:t>106-46-7</w:t>
            </w:r>
          </w:p>
        </w:tc>
        <w:tc>
          <w:tcPr>
            <w:tcW w:w="714" w:type="pct"/>
            <w:vAlign w:val="center"/>
          </w:tcPr>
          <w:p w14:paraId="31605EF6">
            <w:pPr>
              <w:adjustRightInd w:val="0"/>
              <w:snapToGrid w:val="0"/>
              <w:spacing w:line="240" w:lineRule="auto"/>
              <w:ind w:firstLine="0" w:firstLineChars="0"/>
              <w:jc w:val="center"/>
              <w:rPr>
                <w:sz w:val="21"/>
                <w:szCs w:val="20"/>
              </w:rPr>
            </w:pPr>
            <w:r>
              <w:rPr>
                <w:sz w:val="21"/>
                <w:szCs w:val="20"/>
              </w:rPr>
              <w:t>5.6</w:t>
            </w:r>
          </w:p>
        </w:tc>
        <w:tc>
          <w:tcPr>
            <w:tcW w:w="713" w:type="pct"/>
            <w:vAlign w:val="center"/>
          </w:tcPr>
          <w:p w14:paraId="7EDB89CA">
            <w:pPr>
              <w:adjustRightInd w:val="0"/>
              <w:snapToGrid w:val="0"/>
              <w:spacing w:line="240" w:lineRule="auto"/>
              <w:ind w:firstLine="0" w:firstLineChars="0"/>
              <w:jc w:val="center"/>
              <w:rPr>
                <w:sz w:val="21"/>
                <w:szCs w:val="20"/>
              </w:rPr>
            </w:pPr>
            <w:r>
              <w:rPr>
                <w:sz w:val="21"/>
                <w:szCs w:val="20"/>
              </w:rPr>
              <w:t>20</w:t>
            </w:r>
          </w:p>
        </w:tc>
        <w:tc>
          <w:tcPr>
            <w:tcW w:w="872" w:type="pct"/>
            <w:vAlign w:val="center"/>
          </w:tcPr>
          <w:p w14:paraId="075C58AB">
            <w:pPr>
              <w:adjustRightInd w:val="0"/>
              <w:snapToGrid w:val="0"/>
              <w:spacing w:line="240" w:lineRule="auto"/>
              <w:ind w:firstLine="0" w:firstLineChars="0"/>
              <w:jc w:val="center"/>
              <w:rPr>
                <w:sz w:val="21"/>
                <w:szCs w:val="20"/>
              </w:rPr>
            </w:pPr>
            <w:r>
              <w:rPr>
                <w:sz w:val="21"/>
                <w:szCs w:val="20"/>
              </w:rPr>
              <w:t>56</w:t>
            </w:r>
          </w:p>
        </w:tc>
        <w:tc>
          <w:tcPr>
            <w:tcW w:w="741" w:type="pct"/>
            <w:vAlign w:val="center"/>
          </w:tcPr>
          <w:p w14:paraId="00C64B92">
            <w:pPr>
              <w:adjustRightInd w:val="0"/>
              <w:snapToGrid w:val="0"/>
              <w:spacing w:line="240" w:lineRule="auto"/>
              <w:ind w:firstLine="0" w:firstLineChars="0"/>
              <w:jc w:val="center"/>
              <w:rPr>
                <w:sz w:val="21"/>
                <w:szCs w:val="20"/>
              </w:rPr>
            </w:pPr>
            <w:r>
              <w:rPr>
                <w:sz w:val="21"/>
                <w:szCs w:val="20"/>
              </w:rPr>
              <w:t>200</w:t>
            </w:r>
          </w:p>
        </w:tc>
      </w:tr>
      <w:tr w14:paraId="03BDAB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22966DEA">
            <w:pPr>
              <w:adjustRightInd w:val="0"/>
              <w:snapToGrid w:val="0"/>
              <w:spacing w:line="240" w:lineRule="auto"/>
              <w:ind w:firstLine="0" w:firstLineChars="0"/>
              <w:jc w:val="center"/>
              <w:rPr>
                <w:sz w:val="21"/>
                <w:szCs w:val="20"/>
              </w:rPr>
            </w:pPr>
            <w:r>
              <w:rPr>
                <w:sz w:val="21"/>
                <w:szCs w:val="20"/>
              </w:rPr>
              <w:t>30</w:t>
            </w:r>
          </w:p>
        </w:tc>
        <w:tc>
          <w:tcPr>
            <w:tcW w:w="1011" w:type="pct"/>
            <w:vAlign w:val="center"/>
          </w:tcPr>
          <w:p w14:paraId="035EC2CD">
            <w:pPr>
              <w:adjustRightInd w:val="0"/>
              <w:snapToGrid w:val="0"/>
              <w:spacing w:line="240" w:lineRule="auto"/>
              <w:ind w:firstLine="0" w:firstLineChars="0"/>
              <w:jc w:val="center"/>
              <w:rPr>
                <w:sz w:val="21"/>
                <w:szCs w:val="20"/>
              </w:rPr>
            </w:pPr>
            <w:r>
              <w:rPr>
                <w:sz w:val="21"/>
                <w:szCs w:val="20"/>
              </w:rPr>
              <w:t>乙苯</w:t>
            </w:r>
          </w:p>
        </w:tc>
        <w:tc>
          <w:tcPr>
            <w:tcW w:w="711" w:type="pct"/>
            <w:vAlign w:val="center"/>
          </w:tcPr>
          <w:p w14:paraId="664FD734">
            <w:pPr>
              <w:adjustRightInd w:val="0"/>
              <w:snapToGrid w:val="0"/>
              <w:spacing w:line="240" w:lineRule="auto"/>
              <w:ind w:firstLine="0" w:firstLineChars="0"/>
              <w:jc w:val="center"/>
              <w:rPr>
                <w:sz w:val="21"/>
                <w:szCs w:val="20"/>
              </w:rPr>
            </w:pPr>
            <w:r>
              <w:rPr>
                <w:sz w:val="21"/>
                <w:szCs w:val="20"/>
              </w:rPr>
              <w:t>100-41-4</w:t>
            </w:r>
          </w:p>
        </w:tc>
        <w:tc>
          <w:tcPr>
            <w:tcW w:w="714" w:type="pct"/>
            <w:vAlign w:val="center"/>
          </w:tcPr>
          <w:p w14:paraId="50578D28">
            <w:pPr>
              <w:adjustRightInd w:val="0"/>
              <w:snapToGrid w:val="0"/>
              <w:spacing w:line="240" w:lineRule="auto"/>
              <w:ind w:firstLine="0" w:firstLineChars="0"/>
              <w:jc w:val="center"/>
              <w:rPr>
                <w:sz w:val="21"/>
                <w:szCs w:val="20"/>
              </w:rPr>
            </w:pPr>
            <w:r>
              <w:rPr>
                <w:sz w:val="21"/>
                <w:szCs w:val="20"/>
              </w:rPr>
              <w:t>7.2</w:t>
            </w:r>
          </w:p>
        </w:tc>
        <w:tc>
          <w:tcPr>
            <w:tcW w:w="713" w:type="pct"/>
            <w:vAlign w:val="center"/>
          </w:tcPr>
          <w:p w14:paraId="6BEFD7E2">
            <w:pPr>
              <w:adjustRightInd w:val="0"/>
              <w:snapToGrid w:val="0"/>
              <w:spacing w:line="240" w:lineRule="auto"/>
              <w:ind w:firstLine="0" w:firstLineChars="0"/>
              <w:jc w:val="center"/>
              <w:rPr>
                <w:sz w:val="21"/>
                <w:szCs w:val="20"/>
              </w:rPr>
            </w:pPr>
            <w:r>
              <w:rPr>
                <w:sz w:val="21"/>
                <w:szCs w:val="20"/>
              </w:rPr>
              <w:t>28</w:t>
            </w:r>
          </w:p>
        </w:tc>
        <w:tc>
          <w:tcPr>
            <w:tcW w:w="872" w:type="pct"/>
            <w:vAlign w:val="center"/>
          </w:tcPr>
          <w:p w14:paraId="57B89CD0">
            <w:pPr>
              <w:adjustRightInd w:val="0"/>
              <w:snapToGrid w:val="0"/>
              <w:spacing w:line="240" w:lineRule="auto"/>
              <w:ind w:firstLine="0" w:firstLineChars="0"/>
              <w:jc w:val="center"/>
              <w:rPr>
                <w:sz w:val="21"/>
                <w:szCs w:val="20"/>
              </w:rPr>
            </w:pPr>
            <w:r>
              <w:rPr>
                <w:sz w:val="21"/>
                <w:szCs w:val="20"/>
              </w:rPr>
              <w:t>72</w:t>
            </w:r>
          </w:p>
        </w:tc>
        <w:tc>
          <w:tcPr>
            <w:tcW w:w="741" w:type="pct"/>
            <w:vAlign w:val="center"/>
          </w:tcPr>
          <w:p w14:paraId="5EE1E609">
            <w:pPr>
              <w:adjustRightInd w:val="0"/>
              <w:snapToGrid w:val="0"/>
              <w:spacing w:line="240" w:lineRule="auto"/>
              <w:ind w:firstLine="0" w:firstLineChars="0"/>
              <w:jc w:val="center"/>
              <w:rPr>
                <w:sz w:val="21"/>
                <w:szCs w:val="20"/>
              </w:rPr>
            </w:pPr>
            <w:r>
              <w:rPr>
                <w:sz w:val="21"/>
                <w:szCs w:val="20"/>
              </w:rPr>
              <w:t>280</w:t>
            </w:r>
          </w:p>
        </w:tc>
      </w:tr>
      <w:tr w14:paraId="7A2A90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5904555D">
            <w:pPr>
              <w:adjustRightInd w:val="0"/>
              <w:snapToGrid w:val="0"/>
              <w:spacing w:line="240" w:lineRule="auto"/>
              <w:ind w:firstLine="0" w:firstLineChars="0"/>
              <w:jc w:val="center"/>
              <w:rPr>
                <w:sz w:val="21"/>
                <w:szCs w:val="20"/>
              </w:rPr>
            </w:pPr>
            <w:r>
              <w:rPr>
                <w:sz w:val="21"/>
                <w:szCs w:val="20"/>
              </w:rPr>
              <w:t>31</w:t>
            </w:r>
          </w:p>
        </w:tc>
        <w:tc>
          <w:tcPr>
            <w:tcW w:w="1011" w:type="pct"/>
            <w:vAlign w:val="center"/>
          </w:tcPr>
          <w:p w14:paraId="6018E777">
            <w:pPr>
              <w:adjustRightInd w:val="0"/>
              <w:snapToGrid w:val="0"/>
              <w:spacing w:line="240" w:lineRule="auto"/>
              <w:ind w:firstLine="0" w:firstLineChars="0"/>
              <w:jc w:val="center"/>
              <w:rPr>
                <w:sz w:val="21"/>
                <w:szCs w:val="20"/>
              </w:rPr>
            </w:pPr>
            <w:r>
              <w:rPr>
                <w:sz w:val="21"/>
                <w:szCs w:val="20"/>
              </w:rPr>
              <w:t>苯乙烯</w:t>
            </w:r>
          </w:p>
        </w:tc>
        <w:tc>
          <w:tcPr>
            <w:tcW w:w="711" w:type="pct"/>
            <w:vAlign w:val="center"/>
          </w:tcPr>
          <w:p w14:paraId="754BCF7D">
            <w:pPr>
              <w:adjustRightInd w:val="0"/>
              <w:snapToGrid w:val="0"/>
              <w:spacing w:line="240" w:lineRule="auto"/>
              <w:ind w:firstLine="0" w:firstLineChars="0"/>
              <w:jc w:val="center"/>
              <w:rPr>
                <w:sz w:val="21"/>
                <w:szCs w:val="20"/>
              </w:rPr>
            </w:pPr>
            <w:r>
              <w:rPr>
                <w:sz w:val="21"/>
                <w:szCs w:val="20"/>
              </w:rPr>
              <w:t>100-42-5</w:t>
            </w:r>
          </w:p>
        </w:tc>
        <w:tc>
          <w:tcPr>
            <w:tcW w:w="714" w:type="pct"/>
            <w:vAlign w:val="center"/>
          </w:tcPr>
          <w:p w14:paraId="7AD1BBF9">
            <w:pPr>
              <w:adjustRightInd w:val="0"/>
              <w:snapToGrid w:val="0"/>
              <w:spacing w:line="240" w:lineRule="auto"/>
              <w:ind w:firstLine="0" w:firstLineChars="0"/>
              <w:jc w:val="center"/>
              <w:rPr>
                <w:sz w:val="21"/>
                <w:szCs w:val="20"/>
              </w:rPr>
            </w:pPr>
            <w:r>
              <w:rPr>
                <w:sz w:val="21"/>
                <w:szCs w:val="20"/>
              </w:rPr>
              <w:t>1290</w:t>
            </w:r>
          </w:p>
        </w:tc>
        <w:tc>
          <w:tcPr>
            <w:tcW w:w="713" w:type="pct"/>
            <w:vAlign w:val="center"/>
          </w:tcPr>
          <w:p w14:paraId="5652F73E">
            <w:pPr>
              <w:adjustRightInd w:val="0"/>
              <w:snapToGrid w:val="0"/>
              <w:spacing w:line="240" w:lineRule="auto"/>
              <w:ind w:firstLine="0" w:firstLineChars="0"/>
              <w:jc w:val="center"/>
              <w:rPr>
                <w:sz w:val="21"/>
                <w:szCs w:val="20"/>
              </w:rPr>
            </w:pPr>
            <w:r>
              <w:rPr>
                <w:sz w:val="21"/>
                <w:szCs w:val="20"/>
              </w:rPr>
              <w:t>1290</w:t>
            </w:r>
          </w:p>
        </w:tc>
        <w:tc>
          <w:tcPr>
            <w:tcW w:w="872" w:type="pct"/>
            <w:vAlign w:val="center"/>
          </w:tcPr>
          <w:p w14:paraId="58D2E987">
            <w:pPr>
              <w:adjustRightInd w:val="0"/>
              <w:snapToGrid w:val="0"/>
              <w:spacing w:line="240" w:lineRule="auto"/>
              <w:ind w:firstLine="0" w:firstLineChars="0"/>
              <w:jc w:val="center"/>
              <w:rPr>
                <w:sz w:val="21"/>
                <w:szCs w:val="20"/>
              </w:rPr>
            </w:pPr>
            <w:r>
              <w:rPr>
                <w:sz w:val="21"/>
                <w:szCs w:val="20"/>
              </w:rPr>
              <w:t>1290</w:t>
            </w:r>
          </w:p>
        </w:tc>
        <w:tc>
          <w:tcPr>
            <w:tcW w:w="741" w:type="pct"/>
            <w:vAlign w:val="center"/>
          </w:tcPr>
          <w:p w14:paraId="2B4A4A4D">
            <w:pPr>
              <w:adjustRightInd w:val="0"/>
              <w:snapToGrid w:val="0"/>
              <w:spacing w:line="240" w:lineRule="auto"/>
              <w:ind w:firstLine="0" w:firstLineChars="0"/>
              <w:jc w:val="center"/>
              <w:rPr>
                <w:sz w:val="21"/>
                <w:szCs w:val="20"/>
              </w:rPr>
            </w:pPr>
            <w:r>
              <w:rPr>
                <w:sz w:val="21"/>
                <w:szCs w:val="20"/>
              </w:rPr>
              <w:t>1290</w:t>
            </w:r>
          </w:p>
        </w:tc>
      </w:tr>
      <w:tr w14:paraId="79DCB8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32D784D6">
            <w:pPr>
              <w:adjustRightInd w:val="0"/>
              <w:snapToGrid w:val="0"/>
              <w:spacing w:line="240" w:lineRule="auto"/>
              <w:ind w:firstLine="0" w:firstLineChars="0"/>
              <w:jc w:val="center"/>
              <w:rPr>
                <w:sz w:val="21"/>
                <w:szCs w:val="20"/>
              </w:rPr>
            </w:pPr>
            <w:r>
              <w:rPr>
                <w:sz w:val="21"/>
                <w:szCs w:val="20"/>
              </w:rPr>
              <w:t>32</w:t>
            </w:r>
          </w:p>
        </w:tc>
        <w:tc>
          <w:tcPr>
            <w:tcW w:w="1011" w:type="pct"/>
            <w:vAlign w:val="center"/>
          </w:tcPr>
          <w:p w14:paraId="2638098E">
            <w:pPr>
              <w:adjustRightInd w:val="0"/>
              <w:snapToGrid w:val="0"/>
              <w:spacing w:line="240" w:lineRule="auto"/>
              <w:ind w:firstLine="0" w:firstLineChars="0"/>
              <w:jc w:val="center"/>
              <w:rPr>
                <w:sz w:val="21"/>
                <w:szCs w:val="20"/>
              </w:rPr>
            </w:pPr>
            <w:r>
              <w:rPr>
                <w:sz w:val="21"/>
                <w:szCs w:val="20"/>
              </w:rPr>
              <w:t>甲苯</w:t>
            </w:r>
          </w:p>
        </w:tc>
        <w:tc>
          <w:tcPr>
            <w:tcW w:w="711" w:type="pct"/>
            <w:vAlign w:val="center"/>
          </w:tcPr>
          <w:p w14:paraId="1C549360">
            <w:pPr>
              <w:adjustRightInd w:val="0"/>
              <w:snapToGrid w:val="0"/>
              <w:spacing w:line="240" w:lineRule="auto"/>
              <w:ind w:firstLine="0" w:firstLineChars="0"/>
              <w:jc w:val="center"/>
              <w:rPr>
                <w:sz w:val="21"/>
                <w:szCs w:val="20"/>
              </w:rPr>
            </w:pPr>
            <w:r>
              <w:rPr>
                <w:sz w:val="21"/>
                <w:szCs w:val="20"/>
              </w:rPr>
              <w:t>108-88-3</w:t>
            </w:r>
          </w:p>
        </w:tc>
        <w:tc>
          <w:tcPr>
            <w:tcW w:w="714" w:type="pct"/>
            <w:vAlign w:val="center"/>
          </w:tcPr>
          <w:p w14:paraId="1007188F">
            <w:pPr>
              <w:adjustRightInd w:val="0"/>
              <w:snapToGrid w:val="0"/>
              <w:spacing w:line="240" w:lineRule="auto"/>
              <w:ind w:firstLine="0" w:firstLineChars="0"/>
              <w:jc w:val="center"/>
              <w:rPr>
                <w:sz w:val="21"/>
                <w:szCs w:val="20"/>
              </w:rPr>
            </w:pPr>
            <w:r>
              <w:rPr>
                <w:sz w:val="21"/>
                <w:szCs w:val="20"/>
              </w:rPr>
              <w:t>1200</w:t>
            </w:r>
          </w:p>
        </w:tc>
        <w:tc>
          <w:tcPr>
            <w:tcW w:w="713" w:type="pct"/>
            <w:vAlign w:val="center"/>
          </w:tcPr>
          <w:p w14:paraId="440DAA05">
            <w:pPr>
              <w:adjustRightInd w:val="0"/>
              <w:snapToGrid w:val="0"/>
              <w:spacing w:line="240" w:lineRule="auto"/>
              <w:ind w:firstLine="0" w:firstLineChars="0"/>
              <w:jc w:val="center"/>
              <w:rPr>
                <w:sz w:val="21"/>
                <w:szCs w:val="20"/>
              </w:rPr>
            </w:pPr>
            <w:r>
              <w:rPr>
                <w:sz w:val="21"/>
                <w:szCs w:val="20"/>
              </w:rPr>
              <w:t>1200</w:t>
            </w:r>
          </w:p>
        </w:tc>
        <w:tc>
          <w:tcPr>
            <w:tcW w:w="872" w:type="pct"/>
            <w:vAlign w:val="center"/>
          </w:tcPr>
          <w:p w14:paraId="5807EEA1">
            <w:pPr>
              <w:adjustRightInd w:val="0"/>
              <w:snapToGrid w:val="0"/>
              <w:spacing w:line="240" w:lineRule="auto"/>
              <w:ind w:firstLine="0" w:firstLineChars="0"/>
              <w:jc w:val="center"/>
              <w:rPr>
                <w:sz w:val="21"/>
                <w:szCs w:val="20"/>
              </w:rPr>
            </w:pPr>
            <w:r>
              <w:rPr>
                <w:sz w:val="21"/>
                <w:szCs w:val="20"/>
              </w:rPr>
              <w:t>1200</w:t>
            </w:r>
          </w:p>
        </w:tc>
        <w:tc>
          <w:tcPr>
            <w:tcW w:w="741" w:type="pct"/>
            <w:vAlign w:val="center"/>
          </w:tcPr>
          <w:p w14:paraId="42040E25">
            <w:pPr>
              <w:adjustRightInd w:val="0"/>
              <w:snapToGrid w:val="0"/>
              <w:spacing w:line="240" w:lineRule="auto"/>
              <w:ind w:firstLine="0" w:firstLineChars="0"/>
              <w:jc w:val="center"/>
              <w:rPr>
                <w:sz w:val="21"/>
                <w:szCs w:val="20"/>
              </w:rPr>
            </w:pPr>
            <w:r>
              <w:rPr>
                <w:sz w:val="21"/>
                <w:szCs w:val="20"/>
              </w:rPr>
              <w:t>1200</w:t>
            </w:r>
          </w:p>
        </w:tc>
      </w:tr>
      <w:tr w14:paraId="520AA3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6BB4B8DA">
            <w:pPr>
              <w:adjustRightInd w:val="0"/>
              <w:snapToGrid w:val="0"/>
              <w:spacing w:line="240" w:lineRule="auto"/>
              <w:ind w:firstLine="0" w:firstLineChars="0"/>
              <w:jc w:val="center"/>
              <w:rPr>
                <w:sz w:val="21"/>
                <w:szCs w:val="20"/>
              </w:rPr>
            </w:pPr>
            <w:r>
              <w:rPr>
                <w:sz w:val="21"/>
                <w:szCs w:val="20"/>
              </w:rPr>
              <w:t>33</w:t>
            </w:r>
          </w:p>
        </w:tc>
        <w:tc>
          <w:tcPr>
            <w:tcW w:w="1011" w:type="pct"/>
            <w:vAlign w:val="center"/>
          </w:tcPr>
          <w:p w14:paraId="1507F390">
            <w:pPr>
              <w:adjustRightInd w:val="0"/>
              <w:snapToGrid w:val="0"/>
              <w:spacing w:line="240" w:lineRule="auto"/>
              <w:ind w:firstLine="0" w:firstLineChars="0"/>
              <w:jc w:val="center"/>
              <w:rPr>
                <w:sz w:val="21"/>
                <w:szCs w:val="20"/>
              </w:rPr>
            </w:pPr>
            <w:r>
              <w:rPr>
                <w:sz w:val="21"/>
                <w:szCs w:val="20"/>
              </w:rPr>
              <w:t>间二甲苯+对二甲苯</w:t>
            </w:r>
          </w:p>
        </w:tc>
        <w:tc>
          <w:tcPr>
            <w:tcW w:w="711" w:type="pct"/>
            <w:vAlign w:val="center"/>
          </w:tcPr>
          <w:p w14:paraId="370988AA">
            <w:pPr>
              <w:adjustRightInd w:val="0"/>
              <w:snapToGrid w:val="0"/>
              <w:spacing w:line="240" w:lineRule="auto"/>
              <w:ind w:firstLine="0" w:firstLineChars="0"/>
              <w:jc w:val="center"/>
              <w:rPr>
                <w:sz w:val="21"/>
                <w:szCs w:val="20"/>
              </w:rPr>
            </w:pPr>
            <w:r>
              <w:rPr>
                <w:sz w:val="21"/>
                <w:szCs w:val="20"/>
              </w:rPr>
              <w:t>108-38-3，</w:t>
            </w:r>
          </w:p>
          <w:p w14:paraId="2FB66377">
            <w:pPr>
              <w:adjustRightInd w:val="0"/>
              <w:snapToGrid w:val="0"/>
              <w:spacing w:line="240" w:lineRule="auto"/>
              <w:ind w:firstLine="0" w:firstLineChars="0"/>
              <w:jc w:val="center"/>
              <w:rPr>
                <w:sz w:val="21"/>
                <w:szCs w:val="20"/>
              </w:rPr>
            </w:pPr>
            <w:r>
              <w:rPr>
                <w:sz w:val="21"/>
                <w:szCs w:val="20"/>
              </w:rPr>
              <w:t>106-42-3</w:t>
            </w:r>
          </w:p>
        </w:tc>
        <w:tc>
          <w:tcPr>
            <w:tcW w:w="714" w:type="pct"/>
            <w:vAlign w:val="center"/>
          </w:tcPr>
          <w:p w14:paraId="66D1632D">
            <w:pPr>
              <w:adjustRightInd w:val="0"/>
              <w:snapToGrid w:val="0"/>
              <w:spacing w:line="240" w:lineRule="auto"/>
              <w:ind w:firstLine="0" w:firstLineChars="0"/>
              <w:jc w:val="center"/>
              <w:rPr>
                <w:sz w:val="21"/>
                <w:szCs w:val="20"/>
              </w:rPr>
            </w:pPr>
            <w:r>
              <w:rPr>
                <w:sz w:val="21"/>
                <w:szCs w:val="20"/>
              </w:rPr>
              <w:t>163</w:t>
            </w:r>
          </w:p>
        </w:tc>
        <w:tc>
          <w:tcPr>
            <w:tcW w:w="713" w:type="pct"/>
            <w:vAlign w:val="center"/>
          </w:tcPr>
          <w:p w14:paraId="60E57A76">
            <w:pPr>
              <w:adjustRightInd w:val="0"/>
              <w:snapToGrid w:val="0"/>
              <w:spacing w:line="240" w:lineRule="auto"/>
              <w:ind w:firstLine="0" w:firstLineChars="0"/>
              <w:jc w:val="center"/>
              <w:rPr>
                <w:sz w:val="21"/>
                <w:szCs w:val="20"/>
              </w:rPr>
            </w:pPr>
            <w:r>
              <w:rPr>
                <w:sz w:val="21"/>
                <w:szCs w:val="20"/>
              </w:rPr>
              <w:t>570</w:t>
            </w:r>
          </w:p>
        </w:tc>
        <w:tc>
          <w:tcPr>
            <w:tcW w:w="872" w:type="pct"/>
            <w:vAlign w:val="center"/>
          </w:tcPr>
          <w:p w14:paraId="0DAA2C06">
            <w:pPr>
              <w:adjustRightInd w:val="0"/>
              <w:snapToGrid w:val="0"/>
              <w:spacing w:line="240" w:lineRule="auto"/>
              <w:ind w:firstLine="0" w:firstLineChars="0"/>
              <w:jc w:val="center"/>
              <w:rPr>
                <w:sz w:val="21"/>
                <w:szCs w:val="20"/>
              </w:rPr>
            </w:pPr>
            <w:r>
              <w:rPr>
                <w:sz w:val="21"/>
                <w:szCs w:val="20"/>
              </w:rPr>
              <w:t>500</w:t>
            </w:r>
          </w:p>
        </w:tc>
        <w:tc>
          <w:tcPr>
            <w:tcW w:w="741" w:type="pct"/>
            <w:vAlign w:val="center"/>
          </w:tcPr>
          <w:p w14:paraId="79934AFF">
            <w:pPr>
              <w:adjustRightInd w:val="0"/>
              <w:snapToGrid w:val="0"/>
              <w:spacing w:line="240" w:lineRule="auto"/>
              <w:ind w:firstLine="0" w:firstLineChars="0"/>
              <w:jc w:val="center"/>
              <w:rPr>
                <w:sz w:val="21"/>
                <w:szCs w:val="20"/>
              </w:rPr>
            </w:pPr>
            <w:r>
              <w:rPr>
                <w:sz w:val="21"/>
                <w:szCs w:val="20"/>
              </w:rPr>
              <w:t>570</w:t>
            </w:r>
          </w:p>
        </w:tc>
      </w:tr>
      <w:tr w14:paraId="68917B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7A953D0E">
            <w:pPr>
              <w:adjustRightInd w:val="0"/>
              <w:snapToGrid w:val="0"/>
              <w:spacing w:line="240" w:lineRule="auto"/>
              <w:ind w:firstLine="0" w:firstLineChars="0"/>
              <w:jc w:val="center"/>
              <w:rPr>
                <w:sz w:val="21"/>
                <w:szCs w:val="20"/>
              </w:rPr>
            </w:pPr>
            <w:r>
              <w:rPr>
                <w:sz w:val="21"/>
                <w:szCs w:val="20"/>
              </w:rPr>
              <w:t>34</w:t>
            </w:r>
          </w:p>
        </w:tc>
        <w:tc>
          <w:tcPr>
            <w:tcW w:w="1011" w:type="pct"/>
            <w:vAlign w:val="center"/>
          </w:tcPr>
          <w:p w14:paraId="1B0E4DA4">
            <w:pPr>
              <w:adjustRightInd w:val="0"/>
              <w:snapToGrid w:val="0"/>
              <w:spacing w:line="240" w:lineRule="auto"/>
              <w:ind w:firstLine="0" w:firstLineChars="0"/>
              <w:jc w:val="center"/>
              <w:rPr>
                <w:sz w:val="21"/>
                <w:szCs w:val="20"/>
              </w:rPr>
            </w:pPr>
            <w:r>
              <w:rPr>
                <w:sz w:val="21"/>
                <w:szCs w:val="20"/>
              </w:rPr>
              <w:t>邻二甲苯</w:t>
            </w:r>
          </w:p>
        </w:tc>
        <w:tc>
          <w:tcPr>
            <w:tcW w:w="711" w:type="pct"/>
            <w:vAlign w:val="center"/>
          </w:tcPr>
          <w:p w14:paraId="5F0C0D89">
            <w:pPr>
              <w:adjustRightInd w:val="0"/>
              <w:snapToGrid w:val="0"/>
              <w:spacing w:line="240" w:lineRule="auto"/>
              <w:ind w:firstLine="0" w:firstLineChars="0"/>
              <w:jc w:val="center"/>
              <w:rPr>
                <w:sz w:val="21"/>
                <w:szCs w:val="20"/>
              </w:rPr>
            </w:pPr>
            <w:r>
              <w:rPr>
                <w:sz w:val="21"/>
                <w:szCs w:val="20"/>
              </w:rPr>
              <w:t>95-47-6</w:t>
            </w:r>
          </w:p>
        </w:tc>
        <w:tc>
          <w:tcPr>
            <w:tcW w:w="714" w:type="pct"/>
            <w:vAlign w:val="center"/>
          </w:tcPr>
          <w:p w14:paraId="18ADEAE5">
            <w:pPr>
              <w:adjustRightInd w:val="0"/>
              <w:snapToGrid w:val="0"/>
              <w:spacing w:line="240" w:lineRule="auto"/>
              <w:ind w:firstLine="0" w:firstLineChars="0"/>
              <w:jc w:val="center"/>
              <w:rPr>
                <w:sz w:val="21"/>
                <w:szCs w:val="20"/>
              </w:rPr>
            </w:pPr>
            <w:r>
              <w:rPr>
                <w:sz w:val="21"/>
                <w:szCs w:val="20"/>
              </w:rPr>
              <w:t>222</w:t>
            </w:r>
          </w:p>
        </w:tc>
        <w:tc>
          <w:tcPr>
            <w:tcW w:w="713" w:type="pct"/>
            <w:vAlign w:val="center"/>
          </w:tcPr>
          <w:p w14:paraId="4EBEF5B8">
            <w:pPr>
              <w:adjustRightInd w:val="0"/>
              <w:snapToGrid w:val="0"/>
              <w:spacing w:line="240" w:lineRule="auto"/>
              <w:ind w:firstLine="0" w:firstLineChars="0"/>
              <w:jc w:val="center"/>
              <w:rPr>
                <w:sz w:val="21"/>
                <w:szCs w:val="20"/>
              </w:rPr>
            </w:pPr>
            <w:r>
              <w:rPr>
                <w:sz w:val="21"/>
                <w:szCs w:val="20"/>
              </w:rPr>
              <w:t>640</w:t>
            </w:r>
          </w:p>
        </w:tc>
        <w:tc>
          <w:tcPr>
            <w:tcW w:w="872" w:type="pct"/>
            <w:vAlign w:val="center"/>
          </w:tcPr>
          <w:p w14:paraId="2B5006B3">
            <w:pPr>
              <w:adjustRightInd w:val="0"/>
              <w:snapToGrid w:val="0"/>
              <w:spacing w:line="240" w:lineRule="auto"/>
              <w:ind w:firstLine="0" w:firstLineChars="0"/>
              <w:jc w:val="center"/>
              <w:rPr>
                <w:sz w:val="21"/>
                <w:szCs w:val="20"/>
              </w:rPr>
            </w:pPr>
            <w:r>
              <w:rPr>
                <w:sz w:val="21"/>
                <w:szCs w:val="20"/>
              </w:rPr>
              <w:t>640</w:t>
            </w:r>
          </w:p>
        </w:tc>
        <w:tc>
          <w:tcPr>
            <w:tcW w:w="741" w:type="pct"/>
            <w:vAlign w:val="center"/>
          </w:tcPr>
          <w:p w14:paraId="1106CB6F">
            <w:pPr>
              <w:adjustRightInd w:val="0"/>
              <w:snapToGrid w:val="0"/>
              <w:spacing w:line="240" w:lineRule="auto"/>
              <w:ind w:firstLine="0" w:firstLineChars="0"/>
              <w:jc w:val="center"/>
              <w:rPr>
                <w:sz w:val="21"/>
                <w:szCs w:val="20"/>
              </w:rPr>
            </w:pPr>
            <w:r>
              <w:rPr>
                <w:sz w:val="21"/>
                <w:szCs w:val="20"/>
              </w:rPr>
              <w:t>640</w:t>
            </w:r>
          </w:p>
        </w:tc>
      </w:tr>
      <w:tr w14:paraId="2F3A9F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5000" w:type="pct"/>
            <w:gridSpan w:val="7"/>
            <w:vAlign w:val="center"/>
          </w:tcPr>
          <w:p w14:paraId="7CC09206">
            <w:pPr>
              <w:adjustRightInd w:val="0"/>
              <w:snapToGrid w:val="0"/>
              <w:spacing w:line="240" w:lineRule="auto"/>
              <w:ind w:firstLine="0" w:firstLineChars="0"/>
              <w:jc w:val="center"/>
              <w:rPr>
                <w:sz w:val="21"/>
                <w:szCs w:val="20"/>
              </w:rPr>
            </w:pPr>
            <w:r>
              <w:rPr>
                <w:sz w:val="21"/>
                <w:szCs w:val="20"/>
              </w:rPr>
              <w:t>半挥发性有机物</w:t>
            </w:r>
          </w:p>
        </w:tc>
      </w:tr>
      <w:tr w14:paraId="6015E7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3AA74A54">
            <w:pPr>
              <w:adjustRightInd w:val="0"/>
              <w:snapToGrid w:val="0"/>
              <w:spacing w:line="240" w:lineRule="auto"/>
              <w:ind w:firstLine="0" w:firstLineChars="0"/>
              <w:jc w:val="center"/>
              <w:rPr>
                <w:sz w:val="21"/>
                <w:szCs w:val="20"/>
              </w:rPr>
            </w:pPr>
            <w:r>
              <w:rPr>
                <w:sz w:val="21"/>
                <w:szCs w:val="20"/>
              </w:rPr>
              <w:t>35</w:t>
            </w:r>
          </w:p>
        </w:tc>
        <w:tc>
          <w:tcPr>
            <w:tcW w:w="1011" w:type="pct"/>
            <w:vAlign w:val="center"/>
          </w:tcPr>
          <w:p w14:paraId="2C54BCB7">
            <w:pPr>
              <w:adjustRightInd w:val="0"/>
              <w:snapToGrid w:val="0"/>
              <w:spacing w:line="240" w:lineRule="auto"/>
              <w:ind w:firstLine="0" w:firstLineChars="0"/>
              <w:jc w:val="center"/>
              <w:rPr>
                <w:sz w:val="21"/>
                <w:szCs w:val="20"/>
              </w:rPr>
            </w:pPr>
            <w:r>
              <w:rPr>
                <w:sz w:val="21"/>
                <w:szCs w:val="20"/>
              </w:rPr>
              <w:t>硝基苯</w:t>
            </w:r>
          </w:p>
        </w:tc>
        <w:tc>
          <w:tcPr>
            <w:tcW w:w="711" w:type="pct"/>
            <w:vAlign w:val="center"/>
          </w:tcPr>
          <w:p w14:paraId="6506FF2D">
            <w:pPr>
              <w:adjustRightInd w:val="0"/>
              <w:snapToGrid w:val="0"/>
              <w:spacing w:line="240" w:lineRule="auto"/>
              <w:ind w:firstLine="0" w:firstLineChars="0"/>
              <w:jc w:val="center"/>
              <w:rPr>
                <w:sz w:val="21"/>
                <w:szCs w:val="20"/>
              </w:rPr>
            </w:pPr>
            <w:r>
              <w:rPr>
                <w:sz w:val="21"/>
                <w:szCs w:val="20"/>
              </w:rPr>
              <w:t>98-95-3</w:t>
            </w:r>
          </w:p>
        </w:tc>
        <w:tc>
          <w:tcPr>
            <w:tcW w:w="714" w:type="pct"/>
            <w:vAlign w:val="center"/>
          </w:tcPr>
          <w:p w14:paraId="100C8F5F">
            <w:pPr>
              <w:adjustRightInd w:val="0"/>
              <w:snapToGrid w:val="0"/>
              <w:spacing w:line="240" w:lineRule="auto"/>
              <w:ind w:firstLine="0" w:firstLineChars="0"/>
              <w:jc w:val="center"/>
              <w:rPr>
                <w:sz w:val="21"/>
                <w:szCs w:val="20"/>
              </w:rPr>
            </w:pPr>
            <w:r>
              <w:rPr>
                <w:sz w:val="21"/>
                <w:szCs w:val="20"/>
              </w:rPr>
              <w:t>34</w:t>
            </w:r>
          </w:p>
        </w:tc>
        <w:tc>
          <w:tcPr>
            <w:tcW w:w="713" w:type="pct"/>
            <w:vAlign w:val="center"/>
          </w:tcPr>
          <w:p w14:paraId="17AE4D6F">
            <w:pPr>
              <w:adjustRightInd w:val="0"/>
              <w:snapToGrid w:val="0"/>
              <w:spacing w:line="240" w:lineRule="auto"/>
              <w:ind w:firstLine="0" w:firstLineChars="0"/>
              <w:jc w:val="center"/>
              <w:rPr>
                <w:sz w:val="21"/>
                <w:szCs w:val="20"/>
              </w:rPr>
            </w:pPr>
            <w:r>
              <w:rPr>
                <w:sz w:val="21"/>
                <w:szCs w:val="20"/>
              </w:rPr>
              <w:t>76</w:t>
            </w:r>
          </w:p>
        </w:tc>
        <w:tc>
          <w:tcPr>
            <w:tcW w:w="872" w:type="pct"/>
            <w:vAlign w:val="center"/>
          </w:tcPr>
          <w:p w14:paraId="0B2564A1">
            <w:pPr>
              <w:adjustRightInd w:val="0"/>
              <w:snapToGrid w:val="0"/>
              <w:spacing w:line="240" w:lineRule="auto"/>
              <w:ind w:firstLine="0" w:firstLineChars="0"/>
              <w:jc w:val="center"/>
              <w:rPr>
                <w:sz w:val="21"/>
                <w:szCs w:val="20"/>
              </w:rPr>
            </w:pPr>
            <w:r>
              <w:rPr>
                <w:sz w:val="21"/>
                <w:szCs w:val="20"/>
              </w:rPr>
              <w:t>190</w:t>
            </w:r>
          </w:p>
        </w:tc>
        <w:tc>
          <w:tcPr>
            <w:tcW w:w="741" w:type="pct"/>
            <w:vAlign w:val="center"/>
          </w:tcPr>
          <w:p w14:paraId="6598AFE6">
            <w:pPr>
              <w:adjustRightInd w:val="0"/>
              <w:snapToGrid w:val="0"/>
              <w:spacing w:line="240" w:lineRule="auto"/>
              <w:ind w:firstLine="0" w:firstLineChars="0"/>
              <w:jc w:val="center"/>
              <w:rPr>
                <w:sz w:val="21"/>
                <w:szCs w:val="20"/>
              </w:rPr>
            </w:pPr>
            <w:r>
              <w:rPr>
                <w:sz w:val="21"/>
                <w:szCs w:val="20"/>
              </w:rPr>
              <w:t>760</w:t>
            </w:r>
          </w:p>
        </w:tc>
      </w:tr>
      <w:tr w14:paraId="5DFDAC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FA3F164">
            <w:pPr>
              <w:adjustRightInd w:val="0"/>
              <w:snapToGrid w:val="0"/>
              <w:spacing w:line="240" w:lineRule="auto"/>
              <w:ind w:firstLine="0" w:firstLineChars="0"/>
              <w:jc w:val="center"/>
              <w:rPr>
                <w:sz w:val="21"/>
                <w:szCs w:val="20"/>
              </w:rPr>
            </w:pPr>
            <w:r>
              <w:rPr>
                <w:sz w:val="21"/>
                <w:szCs w:val="20"/>
              </w:rPr>
              <w:t>36</w:t>
            </w:r>
          </w:p>
        </w:tc>
        <w:tc>
          <w:tcPr>
            <w:tcW w:w="1011" w:type="pct"/>
            <w:vAlign w:val="center"/>
          </w:tcPr>
          <w:p w14:paraId="599E1333">
            <w:pPr>
              <w:adjustRightInd w:val="0"/>
              <w:snapToGrid w:val="0"/>
              <w:spacing w:line="240" w:lineRule="auto"/>
              <w:ind w:firstLine="0" w:firstLineChars="0"/>
              <w:jc w:val="center"/>
              <w:rPr>
                <w:sz w:val="21"/>
                <w:szCs w:val="20"/>
              </w:rPr>
            </w:pPr>
            <w:r>
              <w:rPr>
                <w:sz w:val="21"/>
                <w:szCs w:val="20"/>
              </w:rPr>
              <w:t>苯胺</w:t>
            </w:r>
          </w:p>
        </w:tc>
        <w:tc>
          <w:tcPr>
            <w:tcW w:w="711" w:type="pct"/>
            <w:vAlign w:val="center"/>
          </w:tcPr>
          <w:p w14:paraId="34CF51C5">
            <w:pPr>
              <w:adjustRightInd w:val="0"/>
              <w:snapToGrid w:val="0"/>
              <w:spacing w:line="240" w:lineRule="auto"/>
              <w:ind w:firstLine="0" w:firstLineChars="0"/>
              <w:jc w:val="center"/>
              <w:rPr>
                <w:sz w:val="21"/>
                <w:szCs w:val="20"/>
              </w:rPr>
            </w:pPr>
            <w:r>
              <w:rPr>
                <w:sz w:val="21"/>
                <w:szCs w:val="20"/>
              </w:rPr>
              <w:t>62-53-3</w:t>
            </w:r>
          </w:p>
        </w:tc>
        <w:tc>
          <w:tcPr>
            <w:tcW w:w="714" w:type="pct"/>
            <w:vAlign w:val="center"/>
          </w:tcPr>
          <w:p w14:paraId="4DB9ECA7">
            <w:pPr>
              <w:adjustRightInd w:val="0"/>
              <w:snapToGrid w:val="0"/>
              <w:spacing w:line="240" w:lineRule="auto"/>
              <w:ind w:firstLine="0" w:firstLineChars="0"/>
              <w:jc w:val="center"/>
              <w:rPr>
                <w:sz w:val="21"/>
                <w:szCs w:val="20"/>
              </w:rPr>
            </w:pPr>
            <w:r>
              <w:rPr>
                <w:sz w:val="21"/>
                <w:szCs w:val="20"/>
              </w:rPr>
              <w:t>92</w:t>
            </w:r>
          </w:p>
        </w:tc>
        <w:tc>
          <w:tcPr>
            <w:tcW w:w="713" w:type="pct"/>
            <w:vAlign w:val="center"/>
          </w:tcPr>
          <w:p w14:paraId="490FEB01">
            <w:pPr>
              <w:adjustRightInd w:val="0"/>
              <w:snapToGrid w:val="0"/>
              <w:spacing w:line="240" w:lineRule="auto"/>
              <w:ind w:firstLine="0" w:firstLineChars="0"/>
              <w:jc w:val="center"/>
              <w:rPr>
                <w:sz w:val="21"/>
                <w:szCs w:val="20"/>
              </w:rPr>
            </w:pPr>
            <w:r>
              <w:rPr>
                <w:sz w:val="21"/>
                <w:szCs w:val="20"/>
              </w:rPr>
              <w:t>260</w:t>
            </w:r>
          </w:p>
        </w:tc>
        <w:tc>
          <w:tcPr>
            <w:tcW w:w="872" w:type="pct"/>
            <w:vAlign w:val="center"/>
          </w:tcPr>
          <w:p w14:paraId="4465FC22">
            <w:pPr>
              <w:adjustRightInd w:val="0"/>
              <w:snapToGrid w:val="0"/>
              <w:spacing w:line="240" w:lineRule="auto"/>
              <w:ind w:firstLine="0" w:firstLineChars="0"/>
              <w:jc w:val="center"/>
              <w:rPr>
                <w:sz w:val="21"/>
                <w:szCs w:val="20"/>
              </w:rPr>
            </w:pPr>
            <w:r>
              <w:rPr>
                <w:sz w:val="21"/>
                <w:szCs w:val="20"/>
              </w:rPr>
              <w:t>211</w:t>
            </w:r>
          </w:p>
        </w:tc>
        <w:tc>
          <w:tcPr>
            <w:tcW w:w="741" w:type="pct"/>
            <w:vAlign w:val="center"/>
          </w:tcPr>
          <w:p w14:paraId="2596AE97">
            <w:pPr>
              <w:adjustRightInd w:val="0"/>
              <w:snapToGrid w:val="0"/>
              <w:spacing w:line="240" w:lineRule="auto"/>
              <w:ind w:firstLine="0" w:firstLineChars="0"/>
              <w:jc w:val="center"/>
              <w:rPr>
                <w:sz w:val="21"/>
                <w:szCs w:val="20"/>
              </w:rPr>
            </w:pPr>
            <w:r>
              <w:rPr>
                <w:sz w:val="21"/>
                <w:szCs w:val="20"/>
              </w:rPr>
              <w:t>663</w:t>
            </w:r>
          </w:p>
        </w:tc>
      </w:tr>
      <w:tr w14:paraId="2ACAB3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255C8CF2">
            <w:pPr>
              <w:adjustRightInd w:val="0"/>
              <w:snapToGrid w:val="0"/>
              <w:spacing w:line="240" w:lineRule="auto"/>
              <w:ind w:firstLine="0" w:firstLineChars="0"/>
              <w:jc w:val="center"/>
              <w:rPr>
                <w:sz w:val="21"/>
                <w:szCs w:val="20"/>
              </w:rPr>
            </w:pPr>
            <w:r>
              <w:rPr>
                <w:sz w:val="21"/>
                <w:szCs w:val="20"/>
              </w:rPr>
              <w:t>37</w:t>
            </w:r>
          </w:p>
        </w:tc>
        <w:tc>
          <w:tcPr>
            <w:tcW w:w="1011" w:type="pct"/>
            <w:vAlign w:val="center"/>
          </w:tcPr>
          <w:p w14:paraId="69373567">
            <w:pPr>
              <w:adjustRightInd w:val="0"/>
              <w:snapToGrid w:val="0"/>
              <w:spacing w:line="240" w:lineRule="auto"/>
              <w:ind w:firstLine="0" w:firstLineChars="0"/>
              <w:jc w:val="center"/>
              <w:rPr>
                <w:sz w:val="21"/>
                <w:szCs w:val="20"/>
              </w:rPr>
            </w:pPr>
            <w:r>
              <w:rPr>
                <w:sz w:val="21"/>
                <w:szCs w:val="20"/>
              </w:rPr>
              <w:t>2-氯酚</w:t>
            </w:r>
          </w:p>
        </w:tc>
        <w:tc>
          <w:tcPr>
            <w:tcW w:w="711" w:type="pct"/>
            <w:vAlign w:val="center"/>
          </w:tcPr>
          <w:p w14:paraId="73A459A1">
            <w:pPr>
              <w:adjustRightInd w:val="0"/>
              <w:snapToGrid w:val="0"/>
              <w:spacing w:line="240" w:lineRule="auto"/>
              <w:ind w:firstLine="0" w:firstLineChars="0"/>
              <w:jc w:val="center"/>
              <w:rPr>
                <w:sz w:val="21"/>
                <w:szCs w:val="20"/>
              </w:rPr>
            </w:pPr>
            <w:r>
              <w:rPr>
                <w:sz w:val="21"/>
                <w:szCs w:val="20"/>
              </w:rPr>
              <w:t>95-57-8</w:t>
            </w:r>
          </w:p>
        </w:tc>
        <w:tc>
          <w:tcPr>
            <w:tcW w:w="714" w:type="pct"/>
            <w:vAlign w:val="center"/>
          </w:tcPr>
          <w:p w14:paraId="68E17F14">
            <w:pPr>
              <w:adjustRightInd w:val="0"/>
              <w:snapToGrid w:val="0"/>
              <w:spacing w:line="240" w:lineRule="auto"/>
              <w:ind w:firstLine="0" w:firstLineChars="0"/>
              <w:jc w:val="center"/>
              <w:rPr>
                <w:sz w:val="21"/>
                <w:szCs w:val="20"/>
              </w:rPr>
            </w:pPr>
            <w:r>
              <w:rPr>
                <w:sz w:val="21"/>
                <w:szCs w:val="20"/>
              </w:rPr>
              <w:t>250</w:t>
            </w:r>
          </w:p>
        </w:tc>
        <w:tc>
          <w:tcPr>
            <w:tcW w:w="713" w:type="pct"/>
            <w:vAlign w:val="center"/>
          </w:tcPr>
          <w:p w14:paraId="7DEFA654">
            <w:pPr>
              <w:adjustRightInd w:val="0"/>
              <w:snapToGrid w:val="0"/>
              <w:spacing w:line="240" w:lineRule="auto"/>
              <w:ind w:firstLine="0" w:firstLineChars="0"/>
              <w:jc w:val="center"/>
              <w:rPr>
                <w:sz w:val="21"/>
                <w:szCs w:val="20"/>
              </w:rPr>
            </w:pPr>
            <w:r>
              <w:rPr>
                <w:sz w:val="21"/>
                <w:szCs w:val="20"/>
              </w:rPr>
              <w:t>2256</w:t>
            </w:r>
          </w:p>
        </w:tc>
        <w:tc>
          <w:tcPr>
            <w:tcW w:w="872" w:type="pct"/>
            <w:vAlign w:val="center"/>
          </w:tcPr>
          <w:p w14:paraId="093D8D02">
            <w:pPr>
              <w:adjustRightInd w:val="0"/>
              <w:snapToGrid w:val="0"/>
              <w:spacing w:line="240" w:lineRule="auto"/>
              <w:ind w:firstLine="0" w:firstLineChars="0"/>
              <w:jc w:val="center"/>
              <w:rPr>
                <w:sz w:val="21"/>
                <w:szCs w:val="20"/>
              </w:rPr>
            </w:pPr>
            <w:r>
              <w:rPr>
                <w:sz w:val="21"/>
                <w:szCs w:val="20"/>
              </w:rPr>
              <w:t>500</w:t>
            </w:r>
          </w:p>
        </w:tc>
        <w:tc>
          <w:tcPr>
            <w:tcW w:w="741" w:type="pct"/>
            <w:vAlign w:val="center"/>
          </w:tcPr>
          <w:p w14:paraId="1084FAEA">
            <w:pPr>
              <w:adjustRightInd w:val="0"/>
              <w:snapToGrid w:val="0"/>
              <w:spacing w:line="240" w:lineRule="auto"/>
              <w:ind w:firstLine="0" w:firstLineChars="0"/>
              <w:jc w:val="center"/>
              <w:rPr>
                <w:sz w:val="21"/>
                <w:szCs w:val="20"/>
              </w:rPr>
            </w:pPr>
            <w:r>
              <w:rPr>
                <w:sz w:val="21"/>
                <w:szCs w:val="20"/>
              </w:rPr>
              <w:t>4500</w:t>
            </w:r>
          </w:p>
        </w:tc>
      </w:tr>
      <w:tr w14:paraId="65F8F7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5F2FC661">
            <w:pPr>
              <w:adjustRightInd w:val="0"/>
              <w:snapToGrid w:val="0"/>
              <w:spacing w:line="240" w:lineRule="auto"/>
              <w:ind w:firstLine="0" w:firstLineChars="0"/>
              <w:jc w:val="center"/>
              <w:rPr>
                <w:sz w:val="21"/>
                <w:szCs w:val="20"/>
              </w:rPr>
            </w:pPr>
            <w:r>
              <w:rPr>
                <w:sz w:val="21"/>
                <w:szCs w:val="20"/>
              </w:rPr>
              <w:t>38</w:t>
            </w:r>
          </w:p>
        </w:tc>
        <w:tc>
          <w:tcPr>
            <w:tcW w:w="1011" w:type="pct"/>
            <w:vAlign w:val="center"/>
          </w:tcPr>
          <w:p w14:paraId="59F9B22A">
            <w:pPr>
              <w:adjustRightInd w:val="0"/>
              <w:snapToGrid w:val="0"/>
              <w:spacing w:line="240" w:lineRule="auto"/>
              <w:ind w:firstLine="0" w:firstLineChars="0"/>
              <w:jc w:val="center"/>
              <w:rPr>
                <w:sz w:val="21"/>
                <w:szCs w:val="20"/>
              </w:rPr>
            </w:pPr>
            <w:r>
              <w:rPr>
                <w:sz w:val="21"/>
                <w:szCs w:val="20"/>
              </w:rPr>
              <w:t>苯并[a]蒽</w:t>
            </w:r>
          </w:p>
        </w:tc>
        <w:tc>
          <w:tcPr>
            <w:tcW w:w="711" w:type="pct"/>
            <w:vAlign w:val="center"/>
          </w:tcPr>
          <w:p w14:paraId="7538520D">
            <w:pPr>
              <w:adjustRightInd w:val="0"/>
              <w:snapToGrid w:val="0"/>
              <w:spacing w:line="240" w:lineRule="auto"/>
              <w:ind w:firstLine="0" w:firstLineChars="0"/>
              <w:jc w:val="center"/>
              <w:rPr>
                <w:sz w:val="21"/>
                <w:szCs w:val="20"/>
              </w:rPr>
            </w:pPr>
            <w:r>
              <w:rPr>
                <w:sz w:val="21"/>
                <w:szCs w:val="20"/>
              </w:rPr>
              <w:t>56-55-3</w:t>
            </w:r>
          </w:p>
        </w:tc>
        <w:tc>
          <w:tcPr>
            <w:tcW w:w="714" w:type="pct"/>
            <w:vAlign w:val="center"/>
          </w:tcPr>
          <w:p w14:paraId="05C09A68">
            <w:pPr>
              <w:adjustRightInd w:val="0"/>
              <w:snapToGrid w:val="0"/>
              <w:spacing w:line="240" w:lineRule="auto"/>
              <w:ind w:firstLine="0" w:firstLineChars="0"/>
              <w:jc w:val="center"/>
              <w:rPr>
                <w:sz w:val="21"/>
                <w:szCs w:val="20"/>
              </w:rPr>
            </w:pPr>
            <w:r>
              <w:rPr>
                <w:sz w:val="21"/>
                <w:szCs w:val="20"/>
              </w:rPr>
              <w:t>5.5</w:t>
            </w:r>
          </w:p>
        </w:tc>
        <w:tc>
          <w:tcPr>
            <w:tcW w:w="713" w:type="pct"/>
            <w:vAlign w:val="center"/>
          </w:tcPr>
          <w:p w14:paraId="3EE949E9">
            <w:pPr>
              <w:adjustRightInd w:val="0"/>
              <w:snapToGrid w:val="0"/>
              <w:spacing w:line="240" w:lineRule="auto"/>
              <w:ind w:firstLine="0" w:firstLineChars="0"/>
              <w:jc w:val="center"/>
              <w:rPr>
                <w:sz w:val="21"/>
                <w:szCs w:val="20"/>
              </w:rPr>
            </w:pPr>
            <w:r>
              <w:rPr>
                <w:sz w:val="21"/>
                <w:szCs w:val="20"/>
              </w:rPr>
              <w:t>15</w:t>
            </w:r>
          </w:p>
        </w:tc>
        <w:tc>
          <w:tcPr>
            <w:tcW w:w="872" w:type="pct"/>
            <w:vAlign w:val="center"/>
          </w:tcPr>
          <w:p w14:paraId="3BA7B9B8">
            <w:pPr>
              <w:adjustRightInd w:val="0"/>
              <w:snapToGrid w:val="0"/>
              <w:spacing w:line="240" w:lineRule="auto"/>
              <w:ind w:firstLine="0" w:firstLineChars="0"/>
              <w:jc w:val="center"/>
              <w:rPr>
                <w:sz w:val="21"/>
                <w:szCs w:val="20"/>
              </w:rPr>
            </w:pPr>
            <w:r>
              <w:rPr>
                <w:sz w:val="21"/>
                <w:szCs w:val="20"/>
              </w:rPr>
              <w:t>55</w:t>
            </w:r>
          </w:p>
        </w:tc>
        <w:tc>
          <w:tcPr>
            <w:tcW w:w="741" w:type="pct"/>
            <w:vAlign w:val="center"/>
          </w:tcPr>
          <w:p w14:paraId="315E0A19">
            <w:pPr>
              <w:adjustRightInd w:val="0"/>
              <w:snapToGrid w:val="0"/>
              <w:spacing w:line="240" w:lineRule="auto"/>
              <w:ind w:firstLine="0" w:firstLineChars="0"/>
              <w:jc w:val="center"/>
              <w:rPr>
                <w:sz w:val="21"/>
                <w:szCs w:val="20"/>
              </w:rPr>
            </w:pPr>
            <w:r>
              <w:rPr>
                <w:sz w:val="21"/>
                <w:szCs w:val="20"/>
              </w:rPr>
              <w:t>151</w:t>
            </w:r>
          </w:p>
        </w:tc>
      </w:tr>
      <w:tr w14:paraId="0B89D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65D29E8">
            <w:pPr>
              <w:adjustRightInd w:val="0"/>
              <w:snapToGrid w:val="0"/>
              <w:spacing w:line="240" w:lineRule="auto"/>
              <w:ind w:firstLine="0" w:firstLineChars="0"/>
              <w:jc w:val="center"/>
              <w:rPr>
                <w:sz w:val="21"/>
                <w:szCs w:val="20"/>
              </w:rPr>
            </w:pPr>
            <w:r>
              <w:rPr>
                <w:sz w:val="21"/>
                <w:szCs w:val="20"/>
              </w:rPr>
              <w:t>39</w:t>
            </w:r>
          </w:p>
        </w:tc>
        <w:tc>
          <w:tcPr>
            <w:tcW w:w="1011" w:type="pct"/>
            <w:vAlign w:val="center"/>
          </w:tcPr>
          <w:p w14:paraId="60AB8D09">
            <w:pPr>
              <w:adjustRightInd w:val="0"/>
              <w:snapToGrid w:val="0"/>
              <w:spacing w:line="240" w:lineRule="auto"/>
              <w:ind w:firstLine="0" w:firstLineChars="0"/>
              <w:jc w:val="center"/>
              <w:rPr>
                <w:sz w:val="21"/>
                <w:szCs w:val="20"/>
              </w:rPr>
            </w:pPr>
            <w:r>
              <w:rPr>
                <w:sz w:val="21"/>
                <w:szCs w:val="20"/>
              </w:rPr>
              <w:t>苯并[a]芘</w:t>
            </w:r>
          </w:p>
        </w:tc>
        <w:tc>
          <w:tcPr>
            <w:tcW w:w="711" w:type="pct"/>
            <w:vAlign w:val="center"/>
          </w:tcPr>
          <w:p w14:paraId="0DCD0975">
            <w:pPr>
              <w:adjustRightInd w:val="0"/>
              <w:snapToGrid w:val="0"/>
              <w:spacing w:line="240" w:lineRule="auto"/>
              <w:ind w:firstLine="0" w:firstLineChars="0"/>
              <w:jc w:val="center"/>
              <w:rPr>
                <w:sz w:val="21"/>
                <w:szCs w:val="20"/>
              </w:rPr>
            </w:pPr>
            <w:r>
              <w:rPr>
                <w:sz w:val="21"/>
                <w:szCs w:val="20"/>
              </w:rPr>
              <w:t>50-32-8</w:t>
            </w:r>
          </w:p>
        </w:tc>
        <w:tc>
          <w:tcPr>
            <w:tcW w:w="714" w:type="pct"/>
            <w:vAlign w:val="center"/>
          </w:tcPr>
          <w:p w14:paraId="788B7298">
            <w:pPr>
              <w:adjustRightInd w:val="0"/>
              <w:snapToGrid w:val="0"/>
              <w:spacing w:line="240" w:lineRule="auto"/>
              <w:ind w:firstLine="0" w:firstLineChars="0"/>
              <w:jc w:val="center"/>
              <w:rPr>
                <w:sz w:val="21"/>
                <w:szCs w:val="20"/>
              </w:rPr>
            </w:pPr>
            <w:r>
              <w:rPr>
                <w:sz w:val="21"/>
                <w:szCs w:val="20"/>
              </w:rPr>
              <w:t>0.55</w:t>
            </w:r>
          </w:p>
        </w:tc>
        <w:tc>
          <w:tcPr>
            <w:tcW w:w="713" w:type="pct"/>
            <w:vAlign w:val="center"/>
          </w:tcPr>
          <w:p w14:paraId="11E3C19C">
            <w:pPr>
              <w:adjustRightInd w:val="0"/>
              <w:snapToGrid w:val="0"/>
              <w:spacing w:line="240" w:lineRule="auto"/>
              <w:ind w:firstLine="0" w:firstLineChars="0"/>
              <w:jc w:val="center"/>
              <w:rPr>
                <w:sz w:val="21"/>
                <w:szCs w:val="20"/>
              </w:rPr>
            </w:pPr>
            <w:r>
              <w:rPr>
                <w:sz w:val="21"/>
                <w:szCs w:val="20"/>
              </w:rPr>
              <w:t>1.5</w:t>
            </w:r>
          </w:p>
        </w:tc>
        <w:tc>
          <w:tcPr>
            <w:tcW w:w="872" w:type="pct"/>
            <w:vAlign w:val="center"/>
          </w:tcPr>
          <w:p w14:paraId="1226FCE2">
            <w:pPr>
              <w:adjustRightInd w:val="0"/>
              <w:snapToGrid w:val="0"/>
              <w:spacing w:line="240" w:lineRule="auto"/>
              <w:ind w:firstLine="0" w:firstLineChars="0"/>
              <w:jc w:val="center"/>
              <w:rPr>
                <w:sz w:val="21"/>
                <w:szCs w:val="20"/>
              </w:rPr>
            </w:pPr>
            <w:r>
              <w:rPr>
                <w:sz w:val="21"/>
                <w:szCs w:val="20"/>
              </w:rPr>
              <w:t>5.5</w:t>
            </w:r>
          </w:p>
        </w:tc>
        <w:tc>
          <w:tcPr>
            <w:tcW w:w="741" w:type="pct"/>
            <w:vAlign w:val="center"/>
          </w:tcPr>
          <w:p w14:paraId="63FF4DA0">
            <w:pPr>
              <w:adjustRightInd w:val="0"/>
              <w:snapToGrid w:val="0"/>
              <w:spacing w:line="240" w:lineRule="auto"/>
              <w:ind w:firstLine="0" w:firstLineChars="0"/>
              <w:jc w:val="center"/>
              <w:rPr>
                <w:sz w:val="21"/>
                <w:szCs w:val="20"/>
              </w:rPr>
            </w:pPr>
            <w:r>
              <w:rPr>
                <w:sz w:val="21"/>
                <w:szCs w:val="20"/>
              </w:rPr>
              <w:t>15</w:t>
            </w:r>
          </w:p>
        </w:tc>
      </w:tr>
      <w:tr w14:paraId="3F9C3F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2E87EC8">
            <w:pPr>
              <w:adjustRightInd w:val="0"/>
              <w:snapToGrid w:val="0"/>
              <w:spacing w:line="240" w:lineRule="auto"/>
              <w:ind w:firstLine="0" w:firstLineChars="0"/>
              <w:jc w:val="center"/>
              <w:rPr>
                <w:sz w:val="21"/>
                <w:szCs w:val="20"/>
              </w:rPr>
            </w:pPr>
            <w:r>
              <w:rPr>
                <w:sz w:val="21"/>
                <w:szCs w:val="20"/>
              </w:rPr>
              <w:t>40</w:t>
            </w:r>
          </w:p>
        </w:tc>
        <w:tc>
          <w:tcPr>
            <w:tcW w:w="1011" w:type="pct"/>
            <w:vAlign w:val="center"/>
          </w:tcPr>
          <w:p w14:paraId="3B973FD6">
            <w:pPr>
              <w:adjustRightInd w:val="0"/>
              <w:snapToGrid w:val="0"/>
              <w:spacing w:line="240" w:lineRule="auto"/>
              <w:ind w:firstLine="0" w:firstLineChars="0"/>
              <w:jc w:val="center"/>
              <w:rPr>
                <w:sz w:val="21"/>
                <w:szCs w:val="20"/>
              </w:rPr>
            </w:pPr>
            <w:r>
              <w:rPr>
                <w:sz w:val="21"/>
                <w:szCs w:val="20"/>
              </w:rPr>
              <w:t>苯并[b]荧蒽</w:t>
            </w:r>
          </w:p>
        </w:tc>
        <w:tc>
          <w:tcPr>
            <w:tcW w:w="711" w:type="pct"/>
            <w:vAlign w:val="center"/>
          </w:tcPr>
          <w:p w14:paraId="1711A325">
            <w:pPr>
              <w:adjustRightInd w:val="0"/>
              <w:snapToGrid w:val="0"/>
              <w:spacing w:line="240" w:lineRule="auto"/>
              <w:ind w:firstLine="0" w:firstLineChars="0"/>
              <w:jc w:val="center"/>
              <w:rPr>
                <w:sz w:val="21"/>
                <w:szCs w:val="20"/>
              </w:rPr>
            </w:pPr>
            <w:r>
              <w:rPr>
                <w:sz w:val="21"/>
                <w:szCs w:val="20"/>
              </w:rPr>
              <w:t>205-99-2</w:t>
            </w:r>
          </w:p>
        </w:tc>
        <w:tc>
          <w:tcPr>
            <w:tcW w:w="714" w:type="pct"/>
            <w:vAlign w:val="center"/>
          </w:tcPr>
          <w:p w14:paraId="41B0854F">
            <w:pPr>
              <w:adjustRightInd w:val="0"/>
              <w:snapToGrid w:val="0"/>
              <w:spacing w:line="240" w:lineRule="auto"/>
              <w:ind w:firstLine="0" w:firstLineChars="0"/>
              <w:jc w:val="center"/>
              <w:rPr>
                <w:sz w:val="21"/>
                <w:szCs w:val="20"/>
              </w:rPr>
            </w:pPr>
            <w:r>
              <w:rPr>
                <w:sz w:val="21"/>
                <w:szCs w:val="20"/>
              </w:rPr>
              <w:t>5.5</w:t>
            </w:r>
          </w:p>
        </w:tc>
        <w:tc>
          <w:tcPr>
            <w:tcW w:w="713" w:type="pct"/>
            <w:vAlign w:val="center"/>
          </w:tcPr>
          <w:p w14:paraId="14A06905">
            <w:pPr>
              <w:adjustRightInd w:val="0"/>
              <w:snapToGrid w:val="0"/>
              <w:spacing w:line="240" w:lineRule="auto"/>
              <w:ind w:firstLine="0" w:firstLineChars="0"/>
              <w:jc w:val="center"/>
              <w:rPr>
                <w:sz w:val="21"/>
                <w:szCs w:val="20"/>
              </w:rPr>
            </w:pPr>
            <w:r>
              <w:rPr>
                <w:sz w:val="21"/>
                <w:szCs w:val="20"/>
              </w:rPr>
              <w:t>15</w:t>
            </w:r>
          </w:p>
        </w:tc>
        <w:tc>
          <w:tcPr>
            <w:tcW w:w="872" w:type="pct"/>
            <w:vAlign w:val="center"/>
          </w:tcPr>
          <w:p w14:paraId="775FDEA9">
            <w:pPr>
              <w:adjustRightInd w:val="0"/>
              <w:snapToGrid w:val="0"/>
              <w:spacing w:line="240" w:lineRule="auto"/>
              <w:ind w:firstLine="0" w:firstLineChars="0"/>
              <w:jc w:val="center"/>
              <w:rPr>
                <w:sz w:val="21"/>
                <w:szCs w:val="20"/>
              </w:rPr>
            </w:pPr>
            <w:r>
              <w:rPr>
                <w:sz w:val="21"/>
                <w:szCs w:val="20"/>
              </w:rPr>
              <w:t>55</w:t>
            </w:r>
          </w:p>
        </w:tc>
        <w:tc>
          <w:tcPr>
            <w:tcW w:w="741" w:type="pct"/>
            <w:vAlign w:val="center"/>
          </w:tcPr>
          <w:p w14:paraId="56BAF247">
            <w:pPr>
              <w:adjustRightInd w:val="0"/>
              <w:snapToGrid w:val="0"/>
              <w:spacing w:line="240" w:lineRule="auto"/>
              <w:ind w:firstLine="0" w:firstLineChars="0"/>
              <w:jc w:val="center"/>
              <w:rPr>
                <w:sz w:val="21"/>
                <w:szCs w:val="20"/>
              </w:rPr>
            </w:pPr>
            <w:r>
              <w:rPr>
                <w:sz w:val="21"/>
                <w:szCs w:val="20"/>
              </w:rPr>
              <w:t>151</w:t>
            </w:r>
          </w:p>
        </w:tc>
      </w:tr>
      <w:tr w14:paraId="75B970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2B493541">
            <w:pPr>
              <w:adjustRightInd w:val="0"/>
              <w:snapToGrid w:val="0"/>
              <w:spacing w:line="240" w:lineRule="auto"/>
              <w:ind w:firstLine="0" w:firstLineChars="0"/>
              <w:jc w:val="center"/>
              <w:rPr>
                <w:sz w:val="21"/>
                <w:szCs w:val="20"/>
              </w:rPr>
            </w:pPr>
            <w:r>
              <w:rPr>
                <w:sz w:val="21"/>
                <w:szCs w:val="20"/>
              </w:rPr>
              <w:t>41</w:t>
            </w:r>
          </w:p>
        </w:tc>
        <w:tc>
          <w:tcPr>
            <w:tcW w:w="1011" w:type="pct"/>
            <w:vAlign w:val="center"/>
          </w:tcPr>
          <w:p w14:paraId="416546CB">
            <w:pPr>
              <w:adjustRightInd w:val="0"/>
              <w:snapToGrid w:val="0"/>
              <w:spacing w:line="240" w:lineRule="auto"/>
              <w:ind w:firstLine="0" w:firstLineChars="0"/>
              <w:jc w:val="center"/>
              <w:rPr>
                <w:sz w:val="21"/>
                <w:szCs w:val="20"/>
              </w:rPr>
            </w:pPr>
            <w:r>
              <w:rPr>
                <w:sz w:val="21"/>
                <w:szCs w:val="20"/>
              </w:rPr>
              <w:t>苯并[k]荧蒽</w:t>
            </w:r>
          </w:p>
        </w:tc>
        <w:tc>
          <w:tcPr>
            <w:tcW w:w="711" w:type="pct"/>
            <w:vAlign w:val="center"/>
          </w:tcPr>
          <w:p w14:paraId="3A3D1F89">
            <w:pPr>
              <w:adjustRightInd w:val="0"/>
              <w:snapToGrid w:val="0"/>
              <w:spacing w:line="240" w:lineRule="auto"/>
              <w:ind w:firstLine="0" w:firstLineChars="0"/>
              <w:jc w:val="center"/>
              <w:rPr>
                <w:sz w:val="21"/>
                <w:szCs w:val="20"/>
              </w:rPr>
            </w:pPr>
            <w:r>
              <w:rPr>
                <w:sz w:val="21"/>
                <w:szCs w:val="20"/>
              </w:rPr>
              <w:t>207-08-9</w:t>
            </w:r>
          </w:p>
        </w:tc>
        <w:tc>
          <w:tcPr>
            <w:tcW w:w="714" w:type="pct"/>
            <w:vAlign w:val="center"/>
          </w:tcPr>
          <w:p w14:paraId="7EBE4BC0">
            <w:pPr>
              <w:adjustRightInd w:val="0"/>
              <w:snapToGrid w:val="0"/>
              <w:spacing w:line="240" w:lineRule="auto"/>
              <w:ind w:firstLine="0" w:firstLineChars="0"/>
              <w:jc w:val="center"/>
              <w:rPr>
                <w:sz w:val="21"/>
                <w:szCs w:val="20"/>
              </w:rPr>
            </w:pPr>
            <w:r>
              <w:rPr>
                <w:sz w:val="21"/>
                <w:szCs w:val="20"/>
              </w:rPr>
              <w:t>55</w:t>
            </w:r>
          </w:p>
        </w:tc>
        <w:tc>
          <w:tcPr>
            <w:tcW w:w="713" w:type="pct"/>
            <w:vAlign w:val="center"/>
          </w:tcPr>
          <w:p w14:paraId="00FF348C">
            <w:pPr>
              <w:adjustRightInd w:val="0"/>
              <w:snapToGrid w:val="0"/>
              <w:spacing w:line="240" w:lineRule="auto"/>
              <w:ind w:firstLine="0" w:firstLineChars="0"/>
              <w:jc w:val="center"/>
              <w:rPr>
                <w:sz w:val="21"/>
                <w:szCs w:val="20"/>
              </w:rPr>
            </w:pPr>
            <w:r>
              <w:rPr>
                <w:sz w:val="21"/>
                <w:szCs w:val="20"/>
              </w:rPr>
              <w:t>151</w:t>
            </w:r>
          </w:p>
        </w:tc>
        <w:tc>
          <w:tcPr>
            <w:tcW w:w="872" w:type="pct"/>
            <w:vAlign w:val="center"/>
          </w:tcPr>
          <w:p w14:paraId="0F7E0AAA">
            <w:pPr>
              <w:adjustRightInd w:val="0"/>
              <w:snapToGrid w:val="0"/>
              <w:spacing w:line="240" w:lineRule="auto"/>
              <w:ind w:firstLine="0" w:firstLineChars="0"/>
              <w:jc w:val="center"/>
              <w:rPr>
                <w:sz w:val="21"/>
                <w:szCs w:val="20"/>
              </w:rPr>
            </w:pPr>
            <w:r>
              <w:rPr>
                <w:sz w:val="21"/>
                <w:szCs w:val="20"/>
              </w:rPr>
              <w:t>550</w:t>
            </w:r>
          </w:p>
        </w:tc>
        <w:tc>
          <w:tcPr>
            <w:tcW w:w="741" w:type="pct"/>
            <w:vAlign w:val="center"/>
          </w:tcPr>
          <w:p w14:paraId="56DAD864">
            <w:pPr>
              <w:adjustRightInd w:val="0"/>
              <w:snapToGrid w:val="0"/>
              <w:spacing w:line="240" w:lineRule="auto"/>
              <w:ind w:firstLine="0" w:firstLineChars="0"/>
              <w:jc w:val="center"/>
              <w:rPr>
                <w:sz w:val="21"/>
                <w:szCs w:val="20"/>
              </w:rPr>
            </w:pPr>
            <w:r>
              <w:rPr>
                <w:sz w:val="21"/>
                <w:szCs w:val="20"/>
              </w:rPr>
              <w:t>1500</w:t>
            </w:r>
          </w:p>
        </w:tc>
      </w:tr>
      <w:tr w14:paraId="23F477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44FFBEFA">
            <w:pPr>
              <w:adjustRightInd w:val="0"/>
              <w:snapToGrid w:val="0"/>
              <w:spacing w:line="240" w:lineRule="auto"/>
              <w:ind w:firstLine="0" w:firstLineChars="0"/>
              <w:jc w:val="center"/>
              <w:rPr>
                <w:sz w:val="21"/>
                <w:szCs w:val="20"/>
              </w:rPr>
            </w:pPr>
            <w:r>
              <w:rPr>
                <w:sz w:val="21"/>
                <w:szCs w:val="20"/>
              </w:rPr>
              <w:t>42</w:t>
            </w:r>
          </w:p>
        </w:tc>
        <w:tc>
          <w:tcPr>
            <w:tcW w:w="1011" w:type="pct"/>
            <w:vAlign w:val="center"/>
          </w:tcPr>
          <w:p w14:paraId="1F4B1E6D">
            <w:pPr>
              <w:adjustRightInd w:val="0"/>
              <w:snapToGrid w:val="0"/>
              <w:spacing w:line="240" w:lineRule="auto"/>
              <w:ind w:firstLine="0" w:firstLineChars="0"/>
              <w:jc w:val="center"/>
              <w:rPr>
                <w:sz w:val="21"/>
                <w:szCs w:val="20"/>
              </w:rPr>
            </w:pPr>
            <w:r>
              <w:rPr>
                <w:sz w:val="21"/>
                <w:szCs w:val="20"/>
              </w:rPr>
              <w:t>䓛</w:t>
            </w:r>
          </w:p>
        </w:tc>
        <w:tc>
          <w:tcPr>
            <w:tcW w:w="711" w:type="pct"/>
            <w:vAlign w:val="center"/>
          </w:tcPr>
          <w:p w14:paraId="55C351A1">
            <w:pPr>
              <w:adjustRightInd w:val="0"/>
              <w:snapToGrid w:val="0"/>
              <w:spacing w:line="240" w:lineRule="auto"/>
              <w:ind w:firstLine="0" w:firstLineChars="0"/>
              <w:jc w:val="center"/>
              <w:rPr>
                <w:sz w:val="21"/>
                <w:szCs w:val="20"/>
              </w:rPr>
            </w:pPr>
            <w:r>
              <w:rPr>
                <w:sz w:val="21"/>
                <w:szCs w:val="20"/>
              </w:rPr>
              <w:t>218-01-9</w:t>
            </w:r>
          </w:p>
        </w:tc>
        <w:tc>
          <w:tcPr>
            <w:tcW w:w="714" w:type="pct"/>
            <w:vAlign w:val="center"/>
          </w:tcPr>
          <w:p w14:paraId="13902BD3">
            <w:pPr>
              <w:adjustRightInd w:val="0"/>
              <w:snapToGrid w:val="0"/>
              <w:spacing w:line="240" w:lineRule="auto"/>
              <w:ind w:firstLine="0" w:firstLineChars="0"/>
              <w:jc w:val="center"/>
              <w:rPr>
                <w:sz w:val="21"/>
                <w:szCs w:val="20"/>
              </w:rPr>
            </w:pPr>
            <w:r>
              <w:rPr>
                <w:sz w:val="21"/>
                <w:szCs w:val="20"/>
              </w:rPr>
              <w:t>490</w:t>
            </w:r>
          </w:p>
        </w:tc>
        <w:tc>
          <w:tcPr>
            <w:tcW w:w="713" w:type="pct"/>
            <w:vAlign w:val="center"/>
          </w:tcPr>
          <w:p w14:paraId="4FD85ECE">
            <w:pPr>
              <w:adjustRightInd w:val="0"/>
              <w:snapToGrid w:val="0"/>
              <w:spacing w:line="240" w:lineRule="auto"/>
              <w:ind w:firstLine="0" w:firstLineChars="0"/>
              <w:jc w:val="center"/>
              <w:rPr>
                <w:sz w:val="21"/>
                <w:szCs w:val="20"/>
              </w:rPr>
            </w:pPr>
            <w:r>
              <w:rPr>
                <w:sz w:val="21"/>
                <w:szCs w:val="20"/>
              </w:rPr>
              <w:t>1293</w:t>
            </w:r>
          </w:p>
        </w:tc>
        <w:tc>
          <w:tcPr>
            <w:tcW w:w="872" w:type="pct"/>
            <w:vAlign w:val="center"/>
          </w:tcPr>
          <w:p w14:paraId="44787B7C">
            <w:pPr>
              <w:adjustRightInd w:val="0"/>
              <w:snapToGrid w:val="0"/>
              <w:spacing w:line="240" w:lineRule="auto"/>
              <w:ind w:firstLine="0" w:firstLineChars="0"/>
              <w:jc w:val="center"/>
              <w:rPr>
                <w:sz w:val="21"/>
                <w:szCs w:val="20"/>
              </w:rPr>
            </w:pPr>
            <w:r>
              <w:rPr>
                <w:sz w:val="21"/>
                <w:szCs w:val="20"/>
              </w:rPr>
              <w:t>4900</w:t>
            </w:r>
          </w:p>
        </w:tc>
        <w:tc>
          <w:tcPr>
            <w:tcW w:w="741" w:type="pct"/>
            <w:vAlign w:val="center"/>
          </w:tcPr>
          <w:p w14:paraId="6079FA01">
            <w:pPr>
              <w:adjustRightInd w:val="0"/>
              <w:snapToGrid w:val="0"/>
              <w:spacing w:line="240" w:lineRule="auto"/>
              <w:ind w:firstLine="0" w:firstLineChars="0"/>
              <w:jc w:val="center"/>
              <w:rPr>
                <w:sz w:val="21"/>
                <w:szCs w:val="20"/>
              </w:rPr>
            </w:pPr>
            <w:r>
              <w:rPr>
                <w:sz w:val="21"/>
                <w:szCs w:val="20"/>
              </w:rPr>
              <w:t>12900</w:t>
            </w:r>
          </w:p>
        </w:tc>
      </w:tr>
      <w:tr w14:paraId="7127B0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0483885D">
            <w:pPr>
              <w:adjustRightInd w:val="0"/>
              <w:snapToGrid w:val="0"/>
              <w:spacing w:line="240" w:lineRule="auto"/>
              <w:ind w:firstLine="0" w:firstLineChars="0"/>
              <w:jc w:val="center"/>
              <w:rPr>
                <w:sz w:val="21"/>
                <w:szCs w:val="20"/>
              </w:rPr>
            </w:pPr>
            <w:r>
              <w:rPr>
                <w:sz w:val="21"/>
                <w:szCs w:val="20"/>
              </w:rPr>
              <w:t>43</w:t>
            </w:r>
          </w:p>
        </w:tc>
        <w:tc>
          <w:tcPr>
            <w:tcW w:w="1011" w:type="pct"/>
            <w:vAlign w:val="center"/>
          </w:tcPr>
          <w:p w14:paraId="7A2831EB">
            <w:pPr>
              <w:adjustRightInd w:val="0"/>
              <w:snapToGrid w:val="0"/>
              <w:spacing w:line="240" w:lineRule="auto"/>
              <w:ind w:firstLine="0" w:firstLineChars="0"/>
              <w:jc w:val="center"/>
              <w:rPr>
                <w:sz w:val="21"/>
                <w:szCs w:val="20"/>
              </w:rPr>
            </w:pPr>
            <w:r>
              <w:rPr>
                <w:sz w:val="21"/>
                <w:szCs w:val="20"/>
              </w:rPr>
              <w:t>二苯并[a，h]蒽</w:t>
            </w:r>
          </w:p>
        </w:tc>
        <w:tc>
          <w:tcPr>
            <w:tcW w:w="711" w:type="pct"/>
            <w:vAlign w:val="center"/>
          </w:tcPr>
          <w:p w14:paraId="6F345ABB">
            <w:pPr>
              <w:adjustRightInd w:val="0"/>
              <w:snapToGrid w:val="0"/>
              <w:spacing w:line="240" w:lineRule="auto"/>
              <w:ind w:firstLine="0" w:firstLineChars="0"/>
              <w:jc w:val="center"/>
              <w:rPr>
                <w:sz w:val="21"/>
                <w:szCs w:val="20"/>
              </w:rPr>
            </w:pPr>
            <w:r>
              <w:rPr>
                <w:sz w:val="21"/>
                <w:szCs w:val="20"/>
              </w:rPr>
              <w:t>53-70-3</w:t>
            </w:r>
          </w:p>
        </w:tc>
        <w:tc>
          <w:tcPr>
            <w:tcW w:w="714" w:type="pct"/>
            <w:vAlign w:val="center"/>
          </w:tcPr>
          <w:p w14:paraId="52DEC713">
            <w:pPr>
              <w:adjustRightInd w:val="0"/>
              <w:snapToGrid w:val="0"/>
              <w:spacing w:line="240" w:lineRule="auto"/>
              <w:ind w:firstLine="0" w:firstLineChars="0"/>
              <w:jc w:val="center"/>
              <w:rPr>
                <w:sz w:val="21"/>
                <w:szCs w:val="20"/>
              </w:rPr>
            </w:pPr>
            <w:r>
              <w:rPr>
                <w:sz w:val="21"/>
                <w:szCs w:val="20"/>
              </w:rPr>
              <w:t>0.55</w:t>
            </w:r>
          </w:p>
        </w:tc>
        <w:tc>
          <w:tcPr>
            <w:tcW w:w="713" w:type="pct"/>
            <w:vAlign w:val="center"/>
          </w:tcPr>
          <w:p w14:paraId="693686D7">
            <w:pPr>
              <w:adjustRightInd w:val="0"/>
              <w:snapToGrid w:val="0"/>
              <w:spacing w:line="240" w:lineRule="auto"/>
              <w:ind w:firstLine="0" w:firstLineChars="0"/>
              <w:jc w:val="center"/>
              <w:rPr>
                <w:sz w:val="21"/>
                <w:szCs w:val="20"/>
              </w:rPr>
            </w:pPr>
            <w:r>
              <w:rPr>
                <w:sz w:val="21"/>
                <w:szCs w:val="20"/>
              </w:rPr>
              <w:t>1.5</w:t>
            </w:r>
          </w:p>
        </w:tc>
        <w:tc>
          <w:tcPr>
            <w:tcW w:w="872" w:type="pct"/>
            <w:vAlign w:val="center"/>
          </w:tcPr>
          <w:p w14:paraId="3646B0BD">
            <w:pPr>
              <w:adjustRightInd w:val="0"/>
              <w:snapToGrid w:val="0"/>
              <w:spacing w:line="240" w:lineRule="auto"/>
              <w:ind w:firstLine="0" w:firstLineChars="0"/>
              <w:jc w:val="center"/>
              <w:rPr>
                <w:sz w:val="21"/>
                <w:szCs w:val="20"/>
              </w:rPr>
            </w:pPr>
            <w:r>
              <w:rPr>
                <w:sz w:val="21"/>
                <w:szCs w:val="20"/>
              </w:rPr>
              <w:t>5.5</w:t>
            </w:r>
          </w:p>
        </w:tc>
        <w:tc>
          <w:tcPr>
            <w:tcW w:w="741" w:type="pct"/>
            <w:vAlign w:val="center"/>
          </w:tcPr>
          <w:p w14:paraId="7E56F2C5">
            <w:pPr>
              <w:adjustRightInd w:val="0"/>
              <w:snapToGrid w:val="0"/>
              <w:spacing w:line="240" w:lineRule="auto"/>
              <w:ind w:firstLine="0" w:firstLineChars="0"/>
              <w:jc w:val="center"/>
              <w:rPr>
                <w:sz w:val="21"/>
                <w:szCs w:val="20"/>
              </w:rPr>
            </w:pPr>
            <w:r>
              <w:rPr>
                <w:sz w:val="21"/>
                <w:szCs w:val="20"/>
              </w:rPr>
              <w:t>15</w:t>
            </w:r>
          </w:p>
        </w:tc>
      </w:tr>
      <w:tr w14:paraId="0AB786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trHeight w:val="20" w:hRule="atLeast"/>
          <w:tblHeader/>
          <w:jc w:val="center"/>
        </w:trPr>
        <w:tc>
          <w:tcPr>
            <w:tcW w:w="239" w:type="pct"/>
            <w:vAlign w:val="center"/>
          </w:tcPr>
          <w:p w14:paraId="04D53B62">
            <w:pPr>
              <w:adjustRightInd w:val="0"/>
              <w:snapToGrid w:val="0"/>
              <w:spacing w:line="240" w:lineRule="auto"/>
              <w:ind w:firstLine="0" w:firstLineChars="0"/>
              <w:jc w:val="center"/>
              <w:rPr>
                <w:sz w:val="21"/>
                <w:szCs w:val="20"/>
              </w:rPr>
            </w:pPr>
            <w:r>
              <w:rPr>
                <w:sz w:val="21"/>
                <w:szCs w:val="20"/>
              </w:rPr>
              <w:t>44</w:t>
            </w:r>
          </w:p>
        </w:tc>
        <w:tc>
          <w:tcPr>
            <w:tcW w:w="1011" w:type="pct"/>
            <w:vAlign w:val="center"/>
          </w:tcPr>
          <w:p w14:paraId="22FBF2D2">
            <w:pPr>
              <w:adjustRightInd w:val="0"/>
              <w:snapToGrid w:val="0"/>
              <w:spacing w:line="240" w:lineRule="auto"/>
              <w:ind w:firstLine="0" w:firstLineChars="0"/>
              <w:jc w:val="center"/>
              <w:rPr>
                <w:sz w:val="21"/>
                <w:szCs w:val="20"/>
              </w:rPr>
            </w:pPr>
            <w:r>
              <w:rPr>
                <w:sz w:val="21"/>
                <w:szCs w:val="20"/>
              </w:rPr>
              <w:t>茚并[1，2，3-cd]芘</w:t>
            </w:r>
          </w:p>
        </w:tc>
        <w:tc>
          <w:tcPr>
            <w:tcW w:w="711" w:type="pct"/>
            <w:vAlign w:val="center"/>
          </w:tcPr>
          <w:p w14:paraId="7631C6F4">
            <w:pPr>
              <w:adjustRightInd w:val="0"/>
              <w:snapToGrid w:val="0"/>
              <w:spacing w:line="240" w:lineRule="auto"/>
              <w:ind w:firstLine="0" w:firstLineChars="0"/>
              <w:jc w:val="center"/>
              <w:rPr>
                <w:sz w:val="21"/>
                <w:szCs w:val="20"/>
              </w:rPr>
            </w:pPr>
            <w:r>
              <w:rPr>
                <w:sz w:val="21"/>
                <w:szCs w:val="20"/>
              </w:rPr>
              <w:t>193-39-5</w:t>
            </w:r>
          </w:p>
        </w:tc>
        <w:tc>
          <w:tcPr>
            <w:tcW w:w="714" w:type="pct"/>
            <w:vAlign w:val="center"/>
          </w:tcPr>
          <w:p w14:paraId="0B81A7DE">
            <w:pPr>
              <w:adjustRightInd w:val="0"/>
              <w:snapToGrid w:val="0"/>
              <w:spacing w:line="240" w:lineRule="auto"/>
              <w:ind w:firstLine="0" w:firstLineChars="0"/>
              <w:jc w:val="center"/>
              <w:rPr>
                <w:sz w:val="21"/>
                <w:szCs w:val="20"/>
              </w:rPr>
            </w:pPr>
            <w:r>
              <w:rPr>
                <w:sz w:val="21"/>
                <w:szCs w:val="20"/>
              </w:rPr>
              <w:t>5.5</w:t>
            </w:r>
          </w:p>
        </w:tc>
        <w:tc>
          <w:tcPr>
            <w:tcW w:w="713" w:type="pct"/>
            <w:vAlign w:val="center"/>
          </w:tcPr>
          <w:p w14:paraId="466E96A6">
            <w:pPr>
              <w:adjustRightInd w:val="0"/>
              <w:snapToGrid w:val="0"/>
              <w:spacing w:line="240" w:lineRule="auto"/>
              <w:ind w:firstLine="0" w:firstLineChars="0"/>
              <w:jc w:val="center"/>
              <w:rPr>
                <w:sz w:val="21"/>
                <w:szCs w:val="20"/>
              </w:rPr>
            </w:pPr>
            <w:r>
              <w:rPr>
                <w:sz w:val="21"/>
                <w:szCs w:val="20"/>
              </w:rPr>
              <w:t>15</w:t>
            </w:r>
          </w:p>
        </w:tc>
        <w:tc>
          <w:tcPr>
            <w:tcW w:w="872" w:type="pct"/>
            <w:vAlign w:val="center"/>
          </w:tcPr>
          <w:p w14:paraId="01AC54DB">
            <w:pPr>
              <w:adjustRightInd w:val="0"/>
              <w:snapToGrid w:val="0"/>
              <w:spacing w:line="240" w:lineRule="auto"/>
              <w:ind w:firstLine="0" w:firstLineChars="0"/>
              <w:jc w:val="center"/>
              <w:rPr>
                <w:sz w:val="21"/>
                <w:szCs w:val="20"/>
              </w:rPr>
            </w:pPr>
            <w:r>
              <w:rPr>
                <w:sz w:val="21"/>
                <w:szCs w:val="20"/>
              </w:rPr>
              <w:t>55</w:t>
            </w:r>
          </w:p>
        </w:tc>
        <w:tc>
          <w:tcPr>
            <w:tcW w:w="741" w:type="pct"/>
            <w:vAlign w:val="center"/>
          </w:tcPr>
          <w:p w14:paraId="5F4F33D5">
            <w:pPr>
              <w:adjustRightInd w:val="0"/>
              <w:snapToGrid w:val="0"/>
              <w:spacing w:line="240" w:lineRule="auto"/>
              <w:ind w:firstLine="0" w:firstLineChars="0"/>
              <w:jc w:val="center"/>
              <w:rPr>
                <w:sz w:val="21"/>
                <w:szCs w:val="20"/>
              </w:rPr>
            </w:pPr>
            <w:r>
              <w:rPr>
                <w:sz w:val="21"/>
                <w:szCs w:val="20"/>
              </w:rPr>
              <w:t>151</w:t>
            </w:r>
          </w:p>
        </w:tc>
      </w:tr>
      <w:tr w14:paraId="77B046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5D64C1F7">
            <w:pPr>
              <w:adjustRightInd w:val="0"/>
              <w:snapToGrid w:val="0"/>
              <w:spacing w:line="240" w:lineRule="auto"/>
              <w:ind w:firstLine="0" w:firstLineChars="0"/>
              <w:jc w:val="center"/>
              <w:rPr>
                <w:sz w:val="21"/>
                <w:szCs w:val="20"/>
              </w:rPr>
            </w:pPr>
            <w:r>
              <w:rPr>
                <w:sz w:val="21"/>
                <w:szCs w:val="20"/>
              </w:rPr>
              <w:t>45</w:t>
            </w:r>
          </w:p>
        </w:tc>
        <w:tc>
          <w:tcPr>
            <w:tcW w:w="1011" w:type="pct"/>
            <w:vAlign w:val="center"/>
          </w:tcPr>
          <w:p w14:paraId="53B7E6A3">
            <w:pPr>
              <w:adjustRightInd w:val="0"/>
              <w:snapToGrid w:val="0"/>
              <w:spacing w:line="240" w:lineRule="auto"/>
              <w:ind w:firstLine="0" w:firstLineChars="0"/>
              <w:jc w:val="center"/>
              <w:rPr>
                <w:sz w:val="21"/>
                <w:szCs w:val="20"/>
              </w:rPr>
            </w:pPr>
            <w:r>
              <w:rPr>
                <w:sz w:val="21"/>
                <w:szCs w:val="20"/>
              </w:rPr>
              <w:t>萘</w:t>
            </w:r>
          </w:p>
        </w:tc>
        <w:tc>
          <w:tcPr>
            <w:tcW w:w="711" w:type="pct"/>
            <w:vAlign w:val="center"/>
          </w:tcPr>
          <w:p w14:paraId="0D8229B1">
            <w:pPr>
              <w:adjustRightInd w:val="0"/>
              <w:snapToGrid w:val="0"/>
              <w:spacing w:line="240" w:lineRule="auto"/>
              <w:ind w:firstLine="0" w:firstLineChars="0"/>
              <w:jc w:val="center"/>
              <w:rPr>
                <w:sz w:val="21"/>
                <w:szCs w:val="20"/>
              </w:rPr>
            </w:pPr>
            <w:r>
              <w:rPr>
                <w:sz w:val="21"/>
                <w:szCs w:val="20"/>
              </w:rPr>
              <w:t>91-20-3</w:t>
            </w:r>
          </w:p>
        </w:tc>
        <w:tc>
          <w:tcPr>
            <w:tcW w:w="714" w:type="pct"/>
            <w:vAlign w:val="center"/>
          </w:tcPr>
          <w:p w14:paraId="6A4DEF79">
            <w:pPr>
              <w:adjustRightInd w:val="0"/>
              <w:snapToGrid w:val="0"/>
              <w:spacing w:line="240" w:lineRule="auto"/>
              <w:ind w:firstLine="0" w:firstLineChars="0"/>
              <w:jc w:val="center"/>
              <w:rPr>
                <w:sz w:val="21"/>
                <w:szCs w:val="20"/>
              </w:rPr>
            </w:pPr>
            <w:r>
              <w:rPr>
                <w:sz w:val="21"/>
                <w:szCs w:val="20"/>
              </w:rPr>
              <w:t>25</w:t>
            </w:r>
          </w:p>
        </w:tc>
        <w:tc>
          <w:tcPr>
            <w:tcW w:w="713" w:type="pct"/>
            <w:vAlign w:val="center"/>
          </w:tcPr>
          <w:p w14:paraId="65C2F862">
            <w:pPr>
              <w:adjustRightInd w:val="0"/>
              <w:snapToGrid w:val="0"/>
              <w:spacing w:line="240" w:lineRule="auto"/>
              <w:ind w:firstLine="0" w:firstLineChars="0"/>
              <w:jc w:val="center"/>
              <w:rPr>
                <w:sz w:val="21"/>
                <w:szCs w:val="20"/>
              </w:rPr>
            </w:pPr>
            <w:r>
              <w:rPr>
                <w:sz w:val="21"/>
                <w:szCs w:val="20"/>
              </w:rPr>
              <w:t>70</w:t>
            </w:r>
          </w:p>
        </w:tc>
        <w:tc>
          <w:tcPr>
            <w:tcW w:w="872" w:type="pct"/>
            <w:vAlign w:val="center"/>
          </w:tcPr>
          <w:p w14:paraId="30158434">
            <w:pPr>
              <w:adjustRightInd w:val="0"/>
              <w:snapToGrid w:val="0"/>
              <w:spacing w:line="240" w:lineRule="auto"/>
              <w:ind w:firstLine="0" w:firstLineChars="0"/>
              <w:jc w:val="center"/>
              <w:rPr>
                <w:sz w:val="21"/>
                <w:szCs w:val="20"/>
              </w:rPr>
            </w:pPr>
            <w:r>
              <w:rPr>
                <w:sz w:val="21"/>
                <w:szCs w:val="20"/>
              </w:rPr>
              <w:t>255</w:t>
            </w:r>
          </w:p>
        </w:tc>
        <w:tc>
          <w:tcPr>
            <w:tcW w:w="741" w:type="pct"/>
            <w:vAlign w:val="center"/>
          </w:tcPr>
          <w:p w14:paraId="4962E602">
            <w:pPr>
              <w:adjustRightInd w:val="0"/>
              <w:snapToGrid w:val="0"/>
              <w:spacing w:line="240" w:lineRule="auto"/>
              <w:ind w:firstLine="0" w:firstLineChars="0"/>
              <w:jc w:val="center"/>
              <w:rPr>
                <w:sz w:val="21"/>
                <w:szCs w:val="20"/>
              </w:rPr>
            </w:pPr>
            <w:r>
              <w:rPr>
                <w:sz w:val="21"/>
                <w:szCs w:val="20"/>
              </w:rPr>
              <w:t>700</w:t>
            </w:r>
          </w:p>
        </w:tc>
      </w:tr>
      <w:tr w14:paraId="6B2B90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239" w:type="pct"/>
            <w:vAlign w:val="center"/>
          </w:tcPr>
          <w:p w14:paraId="15A124D2">
            <w:pPr>
              <w:adjustRightInd w:val="0"/>
              <w:snapToGrid w:val="0"/>
              <w:spacing w:line="240" w:lineRule="auto"/>
              <w:ind w:firstLine="0" w:firstLineChars="0"/>
              <w:jc w:val="center"/>
              <w:rPr>
                <w:sz w:val="21"/>
                <w:szCs w:val="20"/>
              </w:rPr>
            </w:pPr>
            <w:r>
              <w:rPr>
                <w:rFonts w:hint="eastAsia"/>
                <w:sz w:val="21"/>
                <w:szCs w:val="20"/>
              </w:rPr>
              <w:t>4</w:t>
            </w:r>
            <w:r>
              <w:rPr>
                <w:sz w:val="21"/>
                <w:szCs w:val="20"/>
              </w:rPr>
              <w:t>6</w:t>
            </w:r>
          </w:p>
        </w:tc>
        <w:tc>
          <w:tcPr>
            <w:tcW w:w="1011" w:type="pct"/>
            <w:vAlign w:val="center"/>
          </w:tcPr>
          <w:p w14:paraId="292573BC">
            <w:pPr>
              <w:adjustRightInd w:val="0"/>
              <w:snapToGrid w:val="0"/>
              <w:spacing w:line="240" w:lineRule="auto"/>
              <w:ind w:firstLine="0" w:firstLineChars="0"/>
              <w:jc w:val="center"/>
              <w:rPr>
                <w:sz w:val="21"/>
                <w:szCs w:val="20"/>
              </w:rPr>
            </w:pPr>
            <w:r>
              <w:rPr>
                <w:rFonts w:hint="eastAsia"/>
                <w:sz w:val="21"/>
                <w:szCs w:val="20"/>
              </w:rPr>
              <w:t>石油烃</w:t>
            </w:r>
          </w:p>
        </w:tc>
        <w:tc>
          <w:tcPr>
            <w:tcW w:w="711" w:type="pct"/>
            <w:vAlign w:val="center"/>
          </w:tcPr>
          <w:p w14:paraId="540DF54D">
            <w:pPr>
              <w:adjustRightInd w:val="0"/>
              <w:snapToGrid w:val="0"/>
              <w:spacing w:line="240" w:lineRule="auto"/>
              <w:ind w:firstLine="0" w:firstLineChars="0"/>
              <w:jc w:val="center"/>
              <w:rPr>
                <w:sz w:val="21"/>
                <w:szCs w:val="20"/>
              </w:rPr>
            </w:pPr>
            <w:r>
              <w:rPr>
                <w:rFonts w:hint="eastAsia"/>
                <w:sz w:val="21"/>
                <w:szCs w:val="20"/>
              </w:rPr>
              <w:t>——</w:t>
            </w:r>
          </w:p>
        </w:tc>
        <w:tc>
          <w:tcPr>
            <w:tcW w:w="714" w:type="pct"/>
            <w:vAlign w:val="center"/>
          </w:tcPr>
          <w:p w14:paraId="7EA349CC">
            <w:pPr>
              <w:adjustRightInd w:val="0"/>
              <w:snapToGrid w:val="0"/>
              <w:spacing w:line="240" w:lineRule="auto"/>
              <w:ind w:firstLine="0" w:firstLineChars="0"/>
              <w:jc w:val="center"/>
              <w:rPr>
                <w:sz w:val="21"/>
                <w:szCs w:val="20"/>
              </w:rPr>
            </w:pPr>
            <w:r>
              <w:rPr>
                <w:rFonts w:hint="eastAsia"/>
                <w:sz w:val="21"/>
                <w:szCs w:val="20"/>
              </w:rPr>
              <w:t>8</w:t>
            </w:r>
            <w:r>
              <w:rPr>
                <w:sz w:val="21"/>
                <w:szCs w:val="20"/>
              </w:rPr>
              <w:t>26</w:t>
            </w:r>
          </w:p>
        </w:tc>
        <w:tc>
          <w:tcPr>
            <w:tcW w:w="713" w:type="pct"/>
            <w:vAlign w:val="center"/>
          </w:tcPr>
          <w:p w14:paraId="1417A064">
            <w:pPr>
              <w:adjustRightInd w:val="0"/>
              <w:snapToGrid w:val="0"/>
              <w:spacing w:line="240" w:lineRule="auto"/>
              <w:ind w:firstLine="0" w:firstLineChars="0"/>
              <w:jc w:val="center"/>
              <w:rPr>
                <w:sz w:val="21"/>
                <w:szCs w:val="20"/>
              </w:rPr>
            </w:pPr>
            <w:r>
              <w:rPr>
                <w:rFonts w:hint="eastAsia"/>
                <w:sz w:val="21"/>
                <w:szCs w:val="20"/>
              </w:rPr>
              <w:t>4</w:t>
            </w:r>
            <w:r>
              <w:rPr>
                <w:sz w:val="21"/>
                <w:szCs w:val="20"/>
              </w:rPr>
              <w:t>500</w:t>
            </w:r>
          </w:p>
        </w:tc>
        <w:tc>
          <w:tcPr>
            <w:tcW w:w="872" w:type="pct"/>
            <w:vAlign w:val="center"/>
          </w:tcPr>
          <w:p w14:paraId="30B7B7A2">
            <w:pPr>
              <w:adjustRightInd w:val="0"/>
              <w:snapToGrid w:val="0"/>
              <w:spacing w:line="240" w:lineRule="auto"/>
              <w:ind w:firstLine="0" w:firstLineChars="0"/>
              <w:jc w:val="center"/>
              <w:rPr>
                <w:sz w:val="21"/>
                <w:szCs w:val="20"/>
              </w:rPr>
            </w:pPr>
            <w:r>
              <w:rPr>
                <w:rFonts w:hint="eastAsia"/>
                <w:sz w:val="21"/>
                <w:szCs w:val="20"/>
              </w:rPr>
              <w:t>5</w:t>
            </w:r>
            <w:r>
              <w:rPr>
                <w:sz w:val="21"/>
                <w:szCs w:val="20"/>
              </w:rPr>
              <w:t>000</w:t>
            </w:r>
          </w:p>
        </w:tc>
        <w:tc>
          <w:tcPr>
            <w:tcW w:w="741" w:type="pct"/>
            <w:vAlign w:val="center"/>
          </w:tcPr>
          <w:p w14:paraId="6404E874">
            <w:pPr>
              <w:adjustRightInd w:val="0"/>
              <w:snapToGrid w:val="0"/>
              <w:spacing w:line="240" w:lineRule="auto"/>
              <w:ind w:firstLine="0" w:firstLineChars="0"/>
              <w:jc w:val="center"/>
              <w:rPr>
                <w:sz w:val="21"/>
                <w:szCs w:val="20"/>
              </w:rPr>
            </w:pPr>
            <w:r>
              <w:rPr>
                <w:rFonts w:hint="eastAsia"/>
                <w:sz w:val="21"/>
                <w:szCs w:val="20"/>
              </w:rPr>
              <w:t>9</w:t>
            </w:r>
            <w:r>
              <w:rPr>
                <w:sz w:val="21"/>
                <w:szCs w:val="20"/>
              </w:rPr>
              <w:t>000</w:t>
            </w:r>
          </w:p>
        </w:tc>
      </w:tr>
      <w:tr w14:paraId="73DBE6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5000" w:type="pct"/>
            <w:gridSpan w:val="7"/>
            <w:vAlign w:val="center"/>
          </w:tcPr>
          <w:p w14:paraId="2D459DAE">
            <w:pPr>
              <w:adjustRightInd w:val="0"/>
              <w:snapToGrid w:val="0"/>
              <w:spacing w:line="240" w:lineRule="auto"/>
              <w:ind w:firstLine="0" w:firstLineChars="0"/>
              <w:rPr>
                <w:sz w:val="21"/>
                <w:szCs w:val="20"/>
              </w:rPr>
            </w:pPr>
            <w:r>
              <w:rPr>
                <w:sz w:val="21"/>
                <w:szCs w:val="20"/>
              </w:rPr>
              <w:t>注：</w:t>
            </w:r>
            <w:r>
              <w:rPr>
                <w:rFonts w:hint="eastAsia" w:ascii="宋体" w:hAnsi="宋体" w:cs="宋体"/>
                <w:sz w:val="21"/>
                <w:szCs w:val="20"/>
              </w:rPr>
              <w:t>①</w:t>
            </w:r>
            <w:r>
              <w:rPr>
                <w:sz w:val="21"/>
                <w:szCs w:val="20"/>
              </w:rPr>
              <w:t>具体地块土壤中污染物检测含量超过筛选值，但等于或者低于土壤环境背景值水平的，不纳入污染地块管理。</w:t>
            </w:r>
          </w:p>
        </w:tc>
      </w:tr>
    </w:tbl>
    <w:p w14:paraId="012398E9">
      <w:pPr>
        <w:pStyle w:val="43"/>
        <w:adjustRightInd w:val="0"/>
        <w:snapToGrid w:val="0"/>
        <w:spacing w:before="163" w:beforeLines="50"/>
      </w:pPr>
      <w:bookmarkStart w:id="62" w:name="_Toc81214022"/>
      <w:bookmarkStart w:id="63" w:name="_Toc80193027"/>
      <w:bookmarkStart w:id="64" w:name="_Toc80973454"/>
      <w:bookmarkStart w:id="65" w:name="_Toc77007740"/>
      <w:bookmarkStart w:id="66" w:name="_Toc82518703"/>
      <w:bookmarkStart w:id="67" w:name="_Toc152864147"/>
      <w:bookmarkStart w:id="68" w:name="_Toc79515398"/>
      <w:r>
        <w:rPr>
          <w:rFonts w:hint="eastAsia"/>
        </w:rPr>
        <w:t>污染物排放标准</w:t>
      </w:r>
      <w:bookmarkEnd w:id="62"/>
      <w:bookmarkEnd w:id="63"/>
      <w:bookmarkEnd w:id="64"/>
      <w:bookmarkEnd w:id="65"/>
      <w:bookmarkEnd w:id="66"/>
      <w:bookmarkEnd w:id="67"/>
      <w:bookmarkEnd w:id="68"/>
    </w:p>
    <w:p w14:paraId="66B41FDA">
      <w:pPr>
        <w:pStyle w:val="45"/>
        <w:spacing w:before="65" w:after="65"/>
      </w:pPr>
      <w:r>
        <w:rPr>
          <w:rFonts w:hint="eastAsia"/>
        </w:rPr>
        <w:t>大气污染物排放标准</w:t>
      </w:r>
    </w:p>
    <w:p w14:paraId="6954E9C8">
      <w:pPr>
        <w:ind w:firstLine="480"/>
      </w:pPr>
      <w:r>
        <w:rPr>
          <w:rFonts w:hint="eastAsia"/>
        </w:rPr>
        <w:t>本项目大气污染物非甲烷总烃排放浓度执行《石油炼制工业污染物排放标准》（GB31570-2015）表</w:t>
      </w:r>
      <w:r>
        <w:t>4</w:t>
      </w:r>
      <w:r>
        <w:rPr>
          <w:rFonts w:hint="eastAsia"/>
        </w:rPr>
        <w:t>大气污染物排放限值，厂界无组织排放执行《石油炼制工业污染物排放标准》（GB31570-2015）表</w:t>
      </w:r>
      <w:r>
        <w:t>5</w:t>
      </w:r>
      <w:r>
        <w:rPr>
          <w:rFonts w:hint="eastAsia"/>
        </w:rPr>
        <w:t>中排放限值，厂界无组织氨、硫化氢浓度执行《恶臭污染物排放标准》（GB</w:t>
      </w:r>
      <w:r>
        <w:t>14554-1993</w:t>
      </w:r>
      <w:r>
        <w:rPr>
          <w:rFonts w:hint="eastAsia"/>
        </w:rPr>
        <w:t>）表1中的二级新扩改建标准限值。本项目大气污染物排放标准见下表。</w:t>
      </w:r>
    </w:p>
    <w:p w14:paraId="0F6DB74A">
      <w:pPr>
        <w:pStyle w:val="47"/>
        <w:spacing w:before="65"/>
      </w:pPr>
      <w:r>
        <w:rPr>
          <w:rFonts w:hint="eastAsia"/>
        </w:rPr>
        <w:t>表2</w:t>
      </w:r>
      <w:r>
        <w:t xml:space="preserve">.5-5   </w:t>
      </w:r>
      <w:r>
        <w:rPr>
          <w:rFonts w:hint="eastAsia"/>
        </w:rPr>
        <w:t>本项目大气污染物排放标准</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9"/>
        <w:gridCol w:w="1559"/>
        <w:gridCol w:w="567"/>
        <w:gridCol w:w="1088"/>
        <w:gridCol w:w="1815"/>
        <w:gridCol w:w="2992"/>
      </w:tblGrid>
      <w:tr w14:paraId="65CE0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68" w:type="dxa"/>
            <w:gridSpan w:val="2"/>
            <w:shd w:val="clear" w:color="auto" w:fill="auto"/>
            <w:vAlign w:val="center"/>
          </w:tcPr>
          <w:p w14:paraId="435A507C">
            <w:pPr>
              <w:adjustRightInd w:val="0"/>
              <w:snapToGrid w:val="0"/>
              <w:spacing w:line="240" w:lineRule="auto"/>
              <w:ind w:firstLine="0" w:firstLineChars="0"/>
              <w:jc w:val="center"/>
              <w:rPr>
                <w:sz w:val="21"/>
                <w:szCs w:val="21"/>
              </w:rPr>
            </w:pPr>
            <w:r>
              <w:rPr>
                <w:rFonts w:hint="eastAsia"/>
                <w:sz w:val="21"/>
                <w:szCs w:val="21"/>
              </w:rPr>
              <w:t>排放形式</w:t>
            </w:r>
          </w:p>
        </w:tc>
        <w:tc>
          <w:tcPr>
            <w:tcW w:w="567" w:type="dxa"/>
            <w:shd w:val="clear" w:color="auto" w:fill="auto"/>
            <w:vAlign w:val="center"/>
          </w:tcPr>
          <w:p w14:paraId="3C28B42C">
            <w:pPr>
              <w:adjustRightInd w:val="0"/>
              <w:snapToGrid w:val="0"/>
              <w:spacing w:line="240" w:lineRule="auto"/>
              <w:ind w:firstLine="0" w:firstLineChars="0"/>
              <w:jc w:val="center"/>
              <w:rPr>
                <w:sz w:val="21"/>
                <w:szCs w:val="21"/>
              </w:rPr>
            </w:pPr>
            <w:r>
              <w:rPr>
                <w:sz w:val="21"/>
                <w:szCs w:val="21"/>
              </w:rPr>
              <w:t>序号</w:t>
            </w:r>
          </w:p>
        </w:tc>
        <w:tc>
          <w:tcPr>
            <w:tcW w:w="1088" w:type="dxa"/>
            <w:shd w:val="clear" w:color="auto" w:fill="auto"/>
            <w:vAlign w:val="center"/>
          </w:tcPr>
          <w:p w14:paraId="0D032926">
            <w:pPr>
              <w:adjustRightInd w:val="0"/>
              <w:snapToGrid w:val="0"/>
              <w:spacing w:line="240" w:lineRule="auto"/>
              <w:ind w:firstLine="0" w:firstLineChars="0"/>
              <w:jc w:val="center"/>
              <w:rPr>
                <w:sz w:val="21"/>
                <w:szCs w:val="21"/>
              </w:rPr>
            </w:pPr>
            <w:r>
              <w:rPr>
                <w:sz w:val="21"/>
                <w:szCs w:val="21"/>
              </w:rPr>
              <w:t>污染物</w:t>
            </w:r>
          </w:p>
        </w:tc>
        <w:tc>
          <w:tcPr>
            <w:tcW w:w="1815" w:type="dxa"/>
            <w:shd w:val="clear" w:color="auto" w:fill="auto"/>
            <w:vAlign w:val="center"/>
          </w:tcPr>
          <w:p w14:paraId="2AA0C2AC">
            <w:pPr>
              <w:adjustRightInd w:val="0"/>
              <w:snapToGrid w:val="0"/>
              <w:spacing w:line="240" w:lineRule="auto"/>
              <w:ind w:firstLine="0" w:firstLineChars="0"/>
              <w:jc w:val="center"/>
              <w:rPr>
                <w:sz w:val="21"/>
                <w:szCs w:val="21"/>
              </w:rPr>
            </w:pPr>
            <w:r>
              <w:rPr>
                <w:sz w:val="21"/>
                <w:szCs w:val="21"/>
              </w:rPr>
              <w:t>排放限值（mg/m</w:t>
            </w:r>
            <w:r>
              <w:rPr>
                <w:sz w:val="21"/>
                <w:szCs w:val="21"/>
                <w:vertAlign w:val="superscript"/>
              </w:rPr>
              <w:t>3</w:t>
            </w:r>
            <w:r>
              <w:rPr>
                <w:sz w:val="21"/>
                <w:szCs w:val="21"/>
              </w:rPr>
              <w:t>）</w:t>
            </w:r>
          </w:p>
        </w:tc>
        <w:tc>
          <w:tcPr>
            <w:tcW w:w="2992" w:type="dxa"/>
            <w:shd w:val="clear" w:color="auto" w:fill="auto"/>
            <w:vAlign w:val="center"/>
          </w:tcPr>
          <w:p w14:paraId="2EA7BE4F">
            <w:pPr>
              <w:adjustRightInd w:val="0"/>
              <w:snapToGrid w:val="0"/>
              <w:spacing w:line="240" w:lineRule="auto"/>
              <w:ind w:firstLine="0" w:firstLineChars="0"/>
              <w:jc w:val="center"/>
              <w:rPr>
                <w:sz w:val="21"/>
                <w:szCs w:val="21"/>
              </w:rPr>
            </w:pPr>
            <w:r>
              <w:rPr>
                <w:sz w:val="21"/>
                <w:szCs w:val="21"/>
              </w:rPr>
              <w:t>标准名称</w:t>
            </w:r>
          </w:p>
        </w:tc>
      </w:tr>
      <w:tr w14:paraId="019DD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restart"/>
            <w:shd w:val="clear" w:color="auto" w:fill="auto"/>
            <w:vAlign w:val="center"/>
          </w:tcPr>
          <w:p w14:paraId="462F2659">
            <w:pPr>
              <w:pStyle w:val="90"/>
            </w:pPr>
            <w:r>
              <w:rPr>
                <w:rFonts w:hint="eastAsia"/>
              </w:rPr>
              <w:t>有组织</w:t>
            </w:r>
          </w:p>
        </w:tc>
        <w:tc>
          <w:tcPr>
            <w:tcW w:w="1559" w:type="dxa"/>
            <w:vMerge w:val="restart"/>
            <w:shd w:val="clear" w:color="auto" w:fill="auto"/>
            <w:vAlign w:val="center"/>
          </w:tcPr>
          <w:p w14:paraId="53D0F79A">
            <w:pPr>
              <w:adjustRightInd w:val="0"/>
              <w:snapToGrid w:val="0"/>
              <w:spacing w:line="240" w:lineRule="auto"/>
              <w:ind w:firstLine="0" w:firstLineChars="0"/>
              <w:jc w:val="center"/>
              <w:rPr>
                <w:sz w:val="21"/>
                <w:szCs w:val="21"/>
              </w:rPr>
            </w:pPr>
            <w:r>
              <w:rPr>
                <w:rFonts w:hint="eastAsia"/>
                <w:sz w:val="21"/>
                <w:szCs w:val="21"/>
              </w:rPr>
              <w:t>导热油炉烟气排放口</w:t>
            </w:r>
          </w:p>
        </w:tc>
        <w:tc>
          <w:tcPr>
            <w:tcW w:w="567" w:type="dxa"/>
            <w:shd w:val="clear" w:color="auto" w:fill="auto"/>
            <w:vAlign w:val="center"/>
          </w:tcPr>
          <w:p w14:paraId="69A0B75B">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15FC4412">
            <w:pPr>
              <w:adjustRightInd w:val="0"/>
              <w:snapToGrid w:val="0"/>
              <w:spacing w:line="240" w:lineRule="auto"/>
              <w:ind w:firstLine="0" w:firstLineChars="0"/>
              <w:jc w:val="center"/>
              <w:rPr>
                <w:sz w:val="21"/>
                <w:szCs w:val="21"/>
              </w:rPr>
            </w:pPr>
            <w:r>
              <w:rPr>
                <w:rFonts w:hint="eastAsia"/>
                <w:sz w:val="21"/>
                <w:szCs w:val="21"/>
              </w:rPr>
              <w:t>颗粒物</w:t>
            </w:r>
          </w:p>
        </w:tc>
        <w:tc>
          <w:tcPr>
            <w:tcW w:w="1815" w:type="dxa"/>
            <w:shd w:val="clear" w:color="auto" w:fill="auto"/>
            <w:vAlign w:val="center"/>
          </w:tcPr>
          <w:p w14:paraId="2DB0BF30">
            <w:pPr>
              <w:adjustRightInd w:val="0"/>
              <w:snapToGrid w:val="0"/>
              <w:spacing w:line="240" w:lineRule="auto"/>
              <w:ind w:firstLine="0" w:firstLineChars="0"/>
              <w:jc w:val="center"/>
              <w:rPr>
                <w:sz w:val="21"/>
                <w:szCs w:val="21"/>
              </w:rPr>
            </w:pPr>
            <w:r>
              <w:rPr>
                <w:rFonts w:hint="eastAsia"/>
                <w:sz w:val="21"/>
                <w:szCs w:val="21"/>
              </w:rPr>
              <w:t>2</w:t>
            </w:r>
            <w:r>
              <w:rPr>
                <w:sz w:val="21"/>
                <w:szCs w:val="21"/>
              </w:rPr>
              <w:t>0</w:t>
            </w:r>
          </w:p>
        </w:tc>
        <w:tc>
          <w:tcPr>
            <w:tcW w:w="2992" w:type="dxa"/>
            <w:vMerge w:val="restart"/>
            <w:shd w:val="clear" w:color="auto" w:fill="auto"/>
            <w:vAlign w:val="center"/>
          </w:tcPr>
          <w:p w14:paraId="0E481464">
            <w:pPr>
              <w:pStyle w:val="90"/>
            </w:pPr>
            <w:r>
              <w:rPr>
                <w:rFonts w:hint="eastAsia"/>
              </w:rPr>
              <w:t>《石油炼制工业污染物排放标准》（GB31570-2015）表4</w:t>
            </w:r>
          </w:p>
        </w:tc>
      </w:tr>
      <w:tr w14:paraId="5C1B4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69C2371E">
            <w:pPr>
              <w:adjustRightInd w:val="0"/>
              <w:snapToGrid w:val="0"/>
              <w:spacing w:line="240" w:lineRule="auto"/>
              <w:ind w:firstLine="420"/>
              <w:jc w:val="center"/>
              <w:rPr>
                <w:sz w:val="21"/>
                <w:szCs w:val="21"/>
              </w:rPr>
            </w:pPr>
          </w:p>
        </w:tc>
        <w:tc>
          <w:tcPr>
            <w:tcW w:w="1559" w:type="dxa"/>
            <w:vMerge w:val="continue"/>
            <w:shd w:val="clear" w:color="auto" w:fill="auto"/>
            <w:vAlign w:val="center"/>
          </w:tcPr>
          <w:p w14:paraId="654212C8">
            <w:pPr>
              <w:adjustRightInd w:val="0"/>
              <w:snapToGrid w:val="0"/>
              <w:spacing w:line="240" w:lineRule="auto"/>
              <w:ind w:firstLine="0" w:firstLineChars="0"/>
              <w:jc w:val="center"/>
              <w:rPr>
                <w:sz w:val="21"/>
                <w:szCs w:val="21"/>
              </w:rPr>
            </w:pPr>
          </w:p>
        </w:tc>
        <w:tc>
          <w:tcPr>
            <w:tcW w:w="567" w:type="dxa"/>
            <w:shd w:val="clear" w:color="auto" w:fill="auto"/>
            <w:vAlign w:val="center"/>
          </w:tcPr>
          <w:p w14:paraId="2277E40E">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182D6B97">
            <w:pPr>
              <w:adjustRightInd w:val="0"/>
              <w:snapToGrid w:val="0"/>
              <w:spacing w:line="240" w:lineRule="auto"/>
              <w:ind w:firstLine="0" w:firstLineChars="0"/>
              <w:jc w:val="center"/>
              <w:rPr>
                <w:sz w:val="21"/>
                <w:szCs w:val="21"/>
              </w:rPr>
            </w:pPr>
            <w:r>
              <w:rPr>
                <w:rFonts w:hint="eastAsia"/>
                <w:sz w:val="21"/>
                <w:szCs w:val="21"/>
              </w:rPr>
              <w:t>二氧化硫</w:t>
            </w:r>
          </w:p>
        </w:tc>
        <w:tc>
          <w:tcPr>
            <w:tcW w:w="1815" w:type="dxa"/>
            <w:shd w:val="clear" w:color="auto" w:fill="auto"/>
            <w:vAlign w:val="center"/>
          </w:tcPr>
          <w:p w14:paraId="60196D53">
            <w:pPr>
              <w:adjustRightInd w:val="0"/>
              <w:snapToGrid w:val="0"/>
              <w:spacing w:line="240" w:lineRule="auto"/>
              <w:ind w:firstLine="0" w:firstLineChars="0"/>
              <w:jc w:val="center"/>
              <w:rPr>
                <w:sz w:val="21"/>
                <w:szCs w:val="21"/>
              </w:rPr>
            </w:pPr>
            <w:r>
              <w:rPr>
                <w:rFonts w:hint="eastAsia"/>
                <w:sz w:val="21"/>
                <w:szCs w:val="21"/>
              </w:rPr>
              <w:t>5</w:t>
            </w:r>
            <w:r>
              <w:rPr>
                <w:sz w:val="21"/>
                <w:szCs w:val="21"/>
              </w:rPr>
              <w:t>0</w:t>
            </w:r>
          </w:p>
        </w:tc>
        <w:tc>
          <w:tcPr>
            <w:tcW w:w="2992" w:type="dxa"/>
            <w:vMerge w:val="continue"/>
            <w:shd w:val="clear" w:color="auto" w:fill="auto"/>
            <w:vAlign w:val="center"/>
          </w:tcPr>
          <w:p w14:paraId="02E01333">
            <w:pPr>
              <w:adjustRightInd w:val="0"/>
              <w:snapToGrid w:val="0"/>
              <w:spacing w:line="240" w:lineRule="auto"/>
              <w:ind w:firstLine="420"/>
              <w:jc w:val="center"/>
              <w:rPr>
                <w:sz w:val="21"/>
                <w:szCs w:val="21"/>
              </w:rPr>
            </w:pPr>
          </w:p>
        </w:tc>
      </w:tr>
      <w:tr w14:paraId="4333C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43239BAC">
            <w:pPr>
              <w:adjustRightInd w:val="0"/>
              <w:snapToGrid w:val="0"/>
              <w:spacing w:line="240" w:lineRule="auto"/>
              <w:ind w:firstLine="420"/>
              <w:jc w:val="center"/>
              <w:rPr>
                <w:sz w:val="21"/>
                <w:szCs w:val="21"/>
              </w:rPr>
            </w:pPr>
          </w:p>
        </w:tc>
        <w:tc>
          <w:tcPr>
            <w:tcW w:w="1559" w:type="dxa"/>
            <w:vMerge w:val="continue"/>
            <w:shd w:val="clear" w:color="auto" w:fill="auto"/>
            <w:vAlign w:val="center"/>
          </w:tcPr>
          <w:p w14:paraId="3C46B074">
            <w:pPr>
              <w:adjustRightInd w:val="0"/>
              <w:snapToGrid w:val="0"/>
              <w:spacing w:line="240" w:lineRule="auto"/>
              <w:ind w:firstLine="0" w:firstLineChars="0"/>
              <w:jc w:val="center"/>
              <w:rPr>
                <w:sz w:val="21"/>
                <w:szCs w:val="21"/>
              </w:rPr>
            </w:pPr>
          </w:p>
        </w:tc>
        <w:tc>
          <w:tcPr>
            <w:tcW w:w="567" w:type="dxa"/>
            <w:shd w:val="clear" w:color="auto" w:fill="auto"/>
            <w:vAlign w:val="center"/>
          </w:tcPr>
          <w:p w14:paraId="789709D7">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5DA8F23B">
            <w:pPr>
              <w:adjustRightInd w:val="0"/>
              <w:snapToGrid w:val="0"/>
              <w:spacing w:line="240" w:lineRule="auto"/>
              <w:ind w:firstLine="0" w:firstLineChars="0"/>
              <w:jc w:val="center"/>
              <w:rPr>
                <w:sz w:val="21"/>
                <w:szCs w:val="21"/>
              </w:rPr>
            </w:pPr>
            <w:r>
              <w:rPr>
                <w:rFonts w:hint="eastAsia"/>
                <w:sz w:val="21"/>
                <w:szCs w:val="21"/>
              </w:rPr>
              <w:t>氮氧化物</w:t>
            </w:r>
          </w:p>
        </w:tc>
        <w:tc>
          <w:tcPr>
            <w:tcW w:w="1815" w:type="dxa"/>
            <w:shd w:val="clear" w:color="auto" w:fill="auto"/>
            <w:vAlign w:val="center"/>
          </w:tcPr>
          <w:p w14:paraId="7F4BDB4F">
            <w:pPr>
              <w:adjustRightInd w:val="0"/>
              <w:snapToGrid w:val="0"/>
              <w:spacing w:line="240" w:lineRule="auto"/>
              <w:ind w:firstLine="0" w:firstLineChars="0"/>
              <w:jc w:val="center"/>
              <w:rPr>
                <w:sz w:val="21"/>
                <w:szCs w:val="21"/>
              </w:rPr>
            </w:pPr>
            <w:r>
              <w:rPr>
                <w:rFonts w:hint="eastAsia"/>
                <w:sz w:val="21"/>
                <w:szCs w:val="21"/>
              </w:rPr>
              <w:t>1</w:t>
            </w:r>
            <w:r>
              <w:rPr>
                <w:sz w:val="21"/>
                <w:szCs w:val="21"/>
              </w:rPr>
              <w:t>00</w:t>
            </w:r>
          </w:p>
        </w:tc>
        <w:tc>
          <w:tcPr>
            <w:tcW w:w="2992" w:type="dxa"/>
            <w:vMerge w:val="continue"/>
            <w:shd w:val="clear" w:color="auto" w:fill="auto"/>
            <w:vAlign w:val="center"/>
          </w:tcPr>
          <w:p w14:paraId="483BA7DB">
            <w:pPr>
              <w:adjustRightInd w:val="0"/>
              <w:snapToGrid w:val="0"/>
              <w:spacing w:line="240" w:lineRule="auto"/>
              <w:ind w:firstLine="420"/>
              <w:jc w:val="center"/>
              <w:rPr>
                <w:sz w:val="21"/>
                <w:szCs w:val="21"/>
              </w:rPr>
            </w:pPr>
          </w:p>
        </w:tc>
      </w:tr>
      <w:tr w14:paraId="6D7FF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01503588">
            <w:pPr>
              <w:adjustRightInd w:val="0"/>
              <w:snapToGrid w:val="0"/>
              <w:spacing w:line="240" w:lineRule="auto"/>
              <w:ind w:firstLine="0" w:firstLineChars="0"/>
              <w:jc w:val="center"/>
              <w:rPr>
                <w:sz w:val="21"/>
                <w:szCs w:val="21"/>
              </w:rPr>
            </w:pPr>
          </w:p>
        </w:tc>
        <w:tc>
          <w:tcPr>
            <w:tcW w:w="1559" w:type="dxa"/>
            <w:shd w:val="clear" w:color="auto" w:fill="auto"/>
            <w:vAlign w:val="center"/>
          </w:tcPr>
          <w:p w14:paraId="7F4AA01A">
            <w:pPr>
              <w:adjustRightInd w:val="0"/>
              <w:snapToGrid w:val="0"/>
              <w:spacing w:line="240" w:lineRule="auto"/>
              <w:ind w:firstLine="0" w:firstLineChars="0"/>
              <w:jc w:val="center"/>
              <w:rPr>
                <w:sz w:val="21"/>
                <w:szCs w:val="21"/>
              </w:rPr>
            </w:pPr>
            <w:r>
              <w:rPr>
                <w:rFonts w:hint="eastAsia"/>
                <w:sz w:val="21"/>
                <w:szCs w:val="21"/>
              </w:rPr>
              <w:t>有机废气排放口</w:t>
            </w:r>
          </w:p>
        </w:tc>
        <w:tc>
          <w:tcPr>
            <w:tcW w:w="567" w:type="dxa"/>
            <w:shd w:val="clear" w:color="auto" w:fill="auto"/>
            <w:vAlign w:val="center"/>
          </w:tcPr>
          <w:p w14:paraId="45BD0B75">
            <w:pPr>
              <w:numPr>
                <w:ilvl w:val="0"/>
                <w:numId w:val="9"/>
              </w:numPr>
              <w:adjustRightInd w:val="0"/>
              <w:snapToGrid w:val="0"/>
              <w:spacing w:line="240" w:lineRule="auto"/>
              <w:ind w:firstLineChars="0"/>
              <w:jc w:val="center"/>
              <w:rPr>
                <w:sz w:val="21"/>
                <w:szCs w:val="21"/>
              </w:rPr>
            </w:pPr>
          </w:p>
        </w:tc>
        <w:tc>
          <w:tcPr>
            <w:tcW w:w="1088" w:type="dxa"/>
            <w:vMerge w:val="restart"/>
            <w:shd w:val="clear" w:color="auto" w:fill="auto"/>
            <w:vAlign w:val="center"/>
          </w:tcPr>
          <w:p w14:paraId="0A622095">
            <w:pPr>
              <w:adjustRightInd w:val="0"/>
              <w:snapToGrid w:val="0"/>
              <w:spacing w:line="240" w:lineRule="auto"/>
              <w:ind w:firstLine="0" w:firstLineChars="0"/>
              <w:jc w:val="center"/>
              <w:rPr>
                <w:sz w:val="21"/>
                <w:szCs w:val="21"/>
              </w:rPr>
            </w:pPr>
            <w:r>
              <w:rPr>
                <w:rFonts w:hint="eastAsia"/>
                <w:sz w:val="21"/>
                <w:szCs w:val="21"/>
              </w:rPr>
              <w:t>非甲烷总烃</w:t>
            </w:r>
          </w:p>
        </w:tc>
        <w:tc>
          <w:tcPr>
            <w:tcW w:w="1815" w:type="dxa"/>
            <w:shd w:val="clear" w:color="auto" w:fill="auto"/>
            <w:vAlign w:val="center"/>
          </w:tcPr>
          <w:p w14:paraId="5C46F754">
            <w:pPr>
              <w:adjustRightInd w:val="0"/>
              <w:snapToGrid w:val="0"/>
              <w:spacing w:line="240" w:lineRule="auto"/>
              <w:ind w:firstLine="0" w:firstLineChars="0"/>
              <w:jc w:val="center"/>
              <w:rPr>
                <w:sz w:val="21"/>
                <w:szCs w:val="21"/>
              </w:rPr>
            </w:pPr>
            <w:r>
              <w:rPr>
                <w:rFonts w:hint="eastAsia"/>
                <w:sz w:val="21"/>
                <w:szCs w:val="21"/>
              </w:rPr>
              <w:t>去除率≥</w:t>
            </w:r>
            <w:r>
              <w:rPr>
                <w:sz w:val="21"/>
                <w:szCs w:val="21"/>
              </w:rPr>
              <w:t>97%</w:t>
            </w:r>
          </w:p>
        </w:tc>
        <w:tc>
          <w:tcPr>
            <w:tcW w:w="2992" w:type="dxa"/>
            <w:vMerge w:val="continue"/>
            <w:shd w:val="clear" w:color="auto" w:fill="auto"/>
            <w:vAlign w:val="center"/>
          </w:tcPr>
          <w:p w14:paraId="65DFE788">
            <w:pPr>
              <w:adjustRightInd w:val="0"/>
              <w:snapToGrid w:val="0"/>
              <w:spacing w:line="240" w:lineRule="auto"/>
              <w:ind w:firstLine="0" w:firstLineChars="0"/>
              <w:jc w:val="center"/>
              <w:rPr>
                <w:sz w:val="21"/>
                <w:szCs w:val="21"/>
              </w:rPr>
            </w:pPr>
          </w:p>
        </w:tc>
      </w:tr>
      <w:tr w14:paraId="6877B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35755D41">
            <w:pPr>
              <w:adjustRightInd w:val="0"/>
              <w:snapToGrid w:val="0"/>
              <w:spacing w:line="240" w:lineRule="auto"/>
              <w:ind w:firstLine="0" w:firstLineChars="0"/>
              <w:jc w:val="center"/>
              <w:rPr>
                <w:sz w:val="21"/>
                <w:szCs w:val="21"/>
              </w:rPr>
            </w:pPr>
          </w:p>
        </w:tc>
        <w:tc>
          <w:tcPr>
            <w:tcW w:w="1559" w:type="dxa"/>
            <w:shd w:val="clear" w:color="auto" w:fill="auto"/>
            <w:vAlign w:val="center"/>
          </w:tcPr>
          <w:p w14:paraId="313CF8FF">
            <w:pPr>
              <w:adjustRightInd w:val="0"/>
              <w:snapToGrid w:val="0"/>
              <w:spacing w:line="240" w:lineRule="auto"/>
              <w:ind w:firstLine="0" w:firstLineChars="0"/>
              <w:jc w:val="center"/>
              <w:rPr>
                <w:sz w:val="21"/>
                <w:szCs w:val="21"/>
              </w:rPr>
            </w:pPr>
            <w:r>
              <w:rPr>
                <w:rFonts w:hint="eastAsia"/>
                <w:sz w:val="21"/>
                <w:szCs w:val="21"/>
              </w:rPr>
              <w:t>废水处理</w:t>
            </w:r>
          </w:p>
        </w:tc>
        <w:tc>
          <w:tcPr>
            <w:tcW w:w="567" w:type="dxa"/>
            <w:shd w:val="clear" w:color="auto" w:fill="auto"/>
            <w:vAlign w:val="center"/>
          </w:tcPr>
          <w:p w14:paraId="6464AF0C">
            <w:pPr>
              <w:numPr>
                <w:ilvl w:val="0"/>
                <w:numId w:val="9"/>
              </w:numPr>
              <w:adjustRightInd w:val="0"/>
              <w:snapToGrid w:val="0"/>
              <w:spacing w:line="240" w:lineRule="auto"/>
              <w:ind w:firstLineChars="0"/>
              <w:jc w:val="center"/>
              <w:rPr>
                <w:sz w:val="21"/>
                <w:szCs w:val="21"/>
              </w:rPr>
            </w:pPr>
          </w:p>
        </w:tc>
        <w:tc>
          <w:tcPr>
            <w:tcW w:w="1088" w:type="dxa"/>
            <w:vMerge w:val="continue"/>
            <w:shd w:val="clear" w:color="auto" w:fill="auto"/>
            <w:vAlign w:val="center"/>
          </w:tcPr>
          <w:p w14:paraId="38C94890">
            <w:pPr>
              <w:adjustRightInd w:val="0"/>
              <w:snapToGrid w:val="0"/>
              <w:spacing w:line="240" w:lineRule="auto"/>
              <w:ind w:firstLine="0" w:firstLineChars="0"/>
              <w:jc w:val="center"/>
              <w:rPr>
                <w:sz w:val="21"/>
                <w:szCs w:val="21"/>
              </w:rPr>
            </w:pPr>
          </w:p>
        </w:tc>
        <w:tc>
          <w:tcPr>
            <w:tcW w:w="1815" w:type="dxa"/>
            <w:shd w:val="clear" w:color="auto" w:fill="auto"/>
            <w:vAlign w:val="center"/>
          </w:tcPr>
          <w:p w14:paraId="55A74D7D">
            <w:pPr>
              <w:adjustRightInd w:val="0"/>
              <w:snapToGrid w:val="0"/>
              <w:spacing w:line="240" w:lineRule="auto"/>
              <w:ind w:firstLine="0" w:firstLineChars="0"/>
              <w:jc w:val="center"/>
              <w:rPr>
                <w:sz w:val="21"/>
                <w:szCs w:val="21"/>
              </w:rPr>
            </w:pPr>
            <w:r>
              <w:rPr>
                <w:rFonts w:hint="eastAsia"/>
                <w:sz w:val="21"/>
                <w:szCs w:val="21"/>
              </w:rPr>
              <w:t>12</w:t>
            </w:r>
            <w:r>
              <w:rPr>
                <w:sz w:val="21"/>
                <w:szCs w:val="21"/>
              </w:rPr>
              <w:t>0</w:t>
            </w:r>
          </w:p>
        </w:tc>
        <w:tc>
          <w:tcPr>
            <w:tcW w:w="2992" w:type="dxa"/>
            <w:vMerge w:val="continue"/>
            <w:shd w:val="clear" w:color="auto" w:fill="auto"/>
            <w:vAlign w:val="center"/>
          </w:tcPr>
          <w:p w14:paraId="4B97D7E3">
            <w:pPr>
              <w:adjustRightInd w:val="0"/>
              <w:snapToGrid w:val="0"/>
              <w:spacing w:line="240" w:lineRule="auto"/>
              <w:ind w:firstLine="0" w:firstLineChars="0"/>
              <w:jc w:val="center"/>
              <w:rPr>
                <w:sz w:val="21"/>
                <w:szCs w:val="21"/>
              </w:rPr>
            </w:pPr>
          </w:p>
        </w:tc>
      </w:tr>
      <w:tr w14:paraId="1C6BD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restart"/>
            <w:shd w:val="clear" w:color="auto" w:fill="auto"/>
            <w:vAlign w:val="center"/>
          </w:tcPr>
          <w:p w14:paraId="3B229077">
            <w:pPr>
              <w:adjustRightInd w:val="0"/>
              <w:snapToGrid w:val="0"/>
              <w:spacing w:line="240" w:lineRule="auto"/>
              <w:ind w:firstLine="0" w:firstLineChars="0"/>
              <w:jc w:val="center"/>
              <w:rPr>
                <w:sz w:val="21"/>
                <w:szCs w:val="21"/>
              </w:rPr>
            </w:pPr>
            <w:r>
              <w:rPr>
                <w:rFonts w:hint="eastAsia"/>
                <w:sz w:val="21"/>
                <w:szCs w:val="21"/>
              </w:rPr>
              <w:t>无组织</w:t>
            </w:r>
          </w:p>
        </w:tc>
        <w:tc>
          <w:tcPr>
            <w:tcW w:w="1559" w:type="dxa"/>
            <w:vMerge w:val="restart"/>
            <w:shd w:val="clear" w:color="auto" w:fill="auto"/>
            <w:vAlign w:val="center"/>
          </w:tcPr>
          <w:p w14:paraId="19121F92">
            <w:pPr>
              <w:pStyle w:val="90"/>
            </w:pPr>
            <w:r>
              <w:rPr>
                <w:rFonts w:hint="eastAsia"/>
              </w:rPr>
              <w:t>厂界</w:t>
            </w:r>
          </w:p>
        </w:tc>
        <w:tc>
          <w:tcPr>
            <w:tcW w:w="567" w:type="dxa"/>
            <w:shd w:val="clear" w:color="auto" w:fill="auto"/>
            <w:vAlign w:val="center"/>
          </w:tcPr>
          <w:p w14:paraId="0D86D6C4">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04A0F2B0">
            <w:pPr>
              <w:adjustRightInd w:val="0"/>
              <w:snapToGrid w:val="0"/>
              <w:spacing w:line="240" w:lineRule="auto"/>
              <w:ind w:firstLine="0" w:firstLineChars="0"/>
              <w:jc w:val="center"/>
              <w:rPr>
                <w:sz w:val="21"/>
                <w:szCs w:val="21"/>
              </w:rPr>
            </w:pPr>
            <w:r>
              <w:rPr>
                <w:rFonts w:hint="eastAsia"/>
                <w:sz w:val="21"/>
                <w:szCs w:val="21"/>
              </w:rPr>
              <w:t>非甲烷总烃</w:t>
            </w:r>
          </w:p>
        </w:tc>
        <w:tc>
          <w:tcPr>
            <w:tcW w:w="1815" w:type="dxa"/>
            <w:shd w:val="clear" w:color="auto" w:fill="auto"/>
            <w:vAlign w:val="center"/>
          </w:tcPr>
          <w:p w14:paraId="282AE0DA">
            <w:pPr>
              <w:adjustRightInd w:val="0"/>
              <w:snapToGrid w:val="0"/>
              <w:spacing w:line="240" w:lineRule="auto"/>
              <w:ind w:firstLine="0" w:firstLineChars="0"/>
              <w:jc w:val="center"/>
              <w:rPr>
                <w:sz w:val="21"/>
                <w:szCs w:val="21"/>
              </w:rPr>
            </w:pPr>
            <w:r>
              <w:rPr>
                <w:sz w:val="21"/>
                <w:szCs w:val="21"/>
              </w:rPr>
              <w:t>4.0</w:t>
            </w:r>
          </w:p>
        </w:tc>
        <w:tc>
          <w:tcPr>
            <w:tcW w:w="2992" w:type="dxa"/>
            <w:vMerge w:val="restart"/>
            <w:shd w:val="clear" w:color="auto" w:fill="auto"/>
            <w:vAlign w:val="center"/>
          </w:tcPr>
          <w:p w14:paraId="2575A65C">
            <w:pPr>
              <w:adjustRightInd w:val="0"/>
              <w:snapToGrid w:val="0"/>
              <w:spacing w:line="240" w:lineRule="auto"/>
              <w:ind w:firstLine="0" w:firstLineChars="0"/>
              <w:jc w:val="center"/>
              <w:rPr>
                <w:sz w:val="21"/>
                <w:szCs w:val="21"/>
              </w:rPr>
            </w:pPr>
            <w:r>
              <w:rPr>
                <w:rFonts w:hint="eastAsia"/>
                <w:sz w:val="21"/>
                <w:szCs w:val="21"/>
              </w:rPr>
              <w:t>《石油炼制工业污染物排放标准》（GB31570-2015）表</w:t>
            </w:r>
            <w:r>
              <w:rPr>
                <w:sz w:val="21"/>
                <w:szCs w:val="21"/>
              </w:rPr>
              <w:t>5</w:t>
            </w:r>
          </w:p>
        </w:tc>
      </w:tr>
      <w:tr w14:paraId="7CBD3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7FCBA200">
            <w:pPr>
              <w:adjustRightInd w:val="0"/>
              <w:snapToGrid w:val="0"/>
              <w:spacing w:line="240" w:lineRule="auto"/>
              <w:ind w:firstLine="0" w:firstLineChars="0"/>
              <w:jc w:val="center"/>
              <w:rPr>
                <w:rFonts w:hint="eastAsia"/>
                <w:sz w:val="21"/>
                <w:szCs w:val="21"/>
              </w:rPr>
            </w:pPr>
          </w:p>
        </w:tc>
        <w:tc>
          <w:tcPr>
            <w:tcW w:w="1559" w:type="dxa"/>
            <w:vMerge w:val="continue"/>
            <w:shd w:val="clear" w:color="auto" w:fill="auto"/>
            <w:vAlign w:val="center"/>
          </w:tcPr>
          <w:p w14:paraId="1B714050">
            <w:pPr>
              <w:pStyle w:val="90"/>
              <w:rPr>
                <w:rFonts w:hint="eastAsia"/>
              </w:rPr>
            </w:pPr>
          </w:p>
        </w:tc>
        <w:tc>
          <w:tcPr>
            <w:tcW w:w="567" w:type="dxa"/>
            <w:shd w:val="clear" w:color="auto" w:fill="auto"/>
            <w:vAlign w:val="center"/>
          </w:tcPr>
          <w:p w14:paraId="1ED14EF4">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4E97A7AD">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颗粒物</w:t>
            </w:r>
          </w:p>
        </w:tc>
        <w:tc>
          <w:tcPr>
            <w:tcW w:w="1815" w:type="dxa"/>
            <w:shd w:val="clear" w:color="auto" w:fill="auto"/>
            <w:vAlign w:val="center"/>
          </w:tcPr>
          <w:p w14:paraId="369D0B86">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2992" w:type="dxa"/>
            <w:vMerge w:val="continue"/>
            <w:shd w:val="clear" w:color="auto" w:fill="auto"/>
            <w:vAlign w:val="center"/>
          </w:tcPr>
          <w:p w14:paraId="17AA0242">
            <w:pPr>
              <w:adjustRightInd w:val="0"/>
              <w:snapToGrid w:val="0"/>
              <w:spacing w:line="240" w:lineRule="auto"/>
              <w:ind w:firstLine="0" w:firstLineChars="0"/>
              <w:jc w:val="center"/>
              <w:rPr>
                <w:rFonts w:hint="eastAsia"/>
                <w:sz w:val="21"/>
                <w:szCs w:val="21"/>
              </w:rPr>
            </w:pPr>
          </w:p>
        </w:tc>
      </w:tr>
      <w:tr w14:paraId="352FE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7F218CDC">
            <w:pPr>
              <w:adjustRightInd w:val="0"/>
              <w:snapToGrid w:val="0"/>
              <w:spacing w:line="240" w:lineRule="auto"/>
              <w:ind w:firstLine="0" w:firstLineChars="0"/>
              <w:jc w:val="center"/>
              <w:rPr>
                <w:sz w:val="21"/>
                <w:szCs w:val="21"/>
              </w:rPr>
            </w:pPr>
          </w:p>
        </w:tc>
        <w:tc>
          <w:tcPr>
            <w:tcW w:w="1559" w:type="dxa"/>
            <w:vMerge w:val="continue"/>
            <w:shd w:val="clear" w:color="auto" w:fill="auto"/>
            <w:vAlign w:val="center"/>
          </w:tcPr>
          <w:p w14:paraId="4A697537">
            <w:pPr>
              <w:pStyle w:val="90"/>
            </w:pPr>
          </w:p>
        </w:tc>
        <w:tc>
          <w:tcPr>
            <w:tcW w:w="567" w:type="dxa"/>
            <w:shd w:val="clear" w:color="auto" w:fill="auto"/>
            <w:vAlign w:val="center"/>
          </w:tcPr>
          <w:p w14:paraId="4B2AB1E0">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6BCB91F5">
            <w:pPr>
              <w:adjustRightInd w:val="0"/>
              <w:snapToGrid w:val="0"/>
              <w:spacing w:line="240" w:lineRule="auto"/>
              <w:ind w:firstLine="0" w:firstLineChars="0"/>
              <w:jc w:val="center"/>
              <w:rPr>
                <w:sz w:val="21"/>
                <w:szCs w:val="21"/>
              </w:rPr>
            </w:pPr>
            <w:r>
              <w:rPr>
                <w:rFonts w:hint="eastAsia"/>
                <w:sz w:val="21"/>
                <w:szCs w:val="21"/>
              </w:rPr>
              <w:t>氨</w:t>
            </w:r>
          </w:p>
        </w:tc>
        <w:tc>
          <w:tcPr>
            <w:tcW w:w="1815" w:type="dxa"/>
            <w:shd w:val="clear" w:color="auto" w:fill="auto"/>
            <w:vAlign w:val="center"/>
          </w:tcPr>
          <w:p w14:paraId="3AADBA15">
            <w:pPr>
              <w:adjustRightInd w:val="0"/>
              <w:snapToGrid w:val="0"/>
              <w:spacing w:line="240" w:lineRule="auto"/>
              <w:ind w:firstLine="0" w:firstLineChars="0"/>
              <w:jc w:val="center"/>
              <w:rPr>
                <w:sz w:val="21"/>
                <w:szCs w:val="21"/>
              </w:rPr>
            </w:pPr>
            <w:r>
              <w:rPr>
                <w:rFonts w:hint="eastAsia"/>
                <w:sz w:val="21"/>
                <w:szCs w:val="21"/>
              </w:rPr>
              <w:t>1</w:t>
            </w:r>
            <w:r>
              <w:rPr>
                <w:sz w:val="21"/>
                <w:szCs w:val="21"/>
              </w:rPr>
              <w:t>.5</w:t>
            </w:r>
          </w:p>
        </w:tc>
        <w:tc>
          <w:tcPr>
            <w:tcW w:w="2992" w:type="dxa"/>
            <w:vMerge w:val="restart"/>
            <w:shd w:val="clear" w:color="auto" w:fill="auto"/>
            <w:vAlign w:val="center"/>
          </w:tcPr>
          <w:p w14:paraId="76A7AC5D">
            <w:pPr>
              <w:adjustRightInd w:val="0"/>
              <w:snapToGrid w:val="0"/>
              <w:spacing w:line="240" w:lineRule="auto"/>
              <w:ind w:firstLine="0" w:firstLineChars="0"/>
              <w:jc w:val="center"/>
              <w:rPr>
                <w:sz w:val="21"/>
                <w:szCs w:val="21"/>
              </w:rPr>
            </w:pPr>
            <w:r>
              <w:rPr>
                <w:rFonts w:hint="eastAsia"/>
                <w:sz w:val="21"/>
                <w:szCs w:val="21"/>
              </w:rPr>
              <w:t>《恶臭污染物排放标准》（GB</w:t>
            </w:r>
            <w:r>
              <w:rPr>
                <w:sz w:val="21"/>
                <w:szCs w:val="21"/>
              </w:rPr>
              <w:t>14554-1993</w:t>
            </w:r>
            <w:r>
              <w:rPr>
                <w:rFonts w:hint="eastAsia"/>
                <w:sz w:val="21"/>
                <w:szCs w:val="21"/>
              </w:rPr>
              <w:t>）表1</w:t>
            </w:r>
          </w:p>
        </w:tc>
      </w:tr>
      <w:tr w14:paraId="7C9E9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09" w:type="dxa"/>
            <w:vMerge w:val="continue"/>
            <w:shd w:val="clear" w:color="auto" w:fill="auto"/>
            <w:vAlign w:val="center"/>
          </w:tcPr>
          <w:p w14:paraId="32EF5022">
            <w:pPr>
              <w:adjustRightInd w:val="0"/>
              <w:snapToGrid w:val="0"/>
              <w:spacing w:line="240" w:lineRule="auto"/>
              <w:ind w:firstLine="0" w:firstLineChars="0"/>
              <w:jc w:val="center"/>
              <w:rPr>
                <w:sz w:val="21"/>
                <w:szCs w:val="21"/>
              </w:rPr>
            </w:pPr>
          </w:p>
        </w:tc>
        <w:tc>
          <w:tcPr>
            <w:tcW w:w="1559" w:type="dxa"/>
            <w:vMerge w:val="continue"/>
            <w:shd w:val="clear" w:color="auto" w:fill="auto"/>
            <w:vAlign w:val="center"/>
          </w:tcPr>
          <w:p w14:paraId="5258F78B">
            <w:pPr>
              <w:pStyle w:val="90"/>
            </w:pPr>
          </w:p>
        </w:tc>
        <w:tc>
          <w:tcPr>
            <w:tcW w:w="567" w:type="dxa"/>
            <w:shd w:val="clear" w:color="auto" w:fill="auto"/>
            <w:vAlign w:val="center"/>
          </w:tcPr>
          <w:p w14:paraId="2F89D950">
            <w:pPr>
              <w:numPr>
                <w:ilvl w:val="0"/>
                <w:numId w:val="9"/>
              </w:numPr>
              <w:adjustRightInd w:val="0"/>
              <w:snapToGrid w:val="0"/>
              <w:spacing w:line="240" w:lineRule="auto"/>
              <w:ind w:firstLineChars="0"/>
              <w:jc w:val="center"/>
              <w:rPr>
                <w:sz w:val="21"/>
                <w:szCs w:val="21"/>
              </w:rPr>
            </w:pPr>
          </w:p>
        </w:tc>
        <w:tc>
          <w:tcPr>
            <w:tcW w:w="1088" w:type="dxa"/>
            <w:shd w:val="clear" w:color="auto" w:fill="auto"/>
            <w:vAlign w:val="center"/>
          </w:tcPr>
          <w:p w14:paraId="55578E57">
            <w:pPr>
              <w:adjustRightInd w:val="0"/>
              <w:snapToGrid w:val="0"/>
              <w:spacing w:line="240" w:lineRule="auto"/>
              <w:ind w:firstLine="0" w:firstLineChars="0"/>
              <w:jc w:val="center"/>
              <w:rPr>
                <w:sz w:val="21"/>
                <w:szCs w:val="21"/>
              </w:rPr>
            </w:pPr>
            <w:r>
              <w:rPr>
                <w:rFonts w:hint="eastAsia"/>
                <w:sz w:val="21"/>
                <w:szCs w:val="21"/>
              </w:rPr>
              <w:t>硫化氢</w:t>
            </w:r>
          </w:p>
        </w:tc>
        <w:tc>
          <w:tcPr>
            <w:tcW w:w="1815" w:type="dxa"/>
            <w:shd w:val="clear" w:color="auto" w:fill="auto"/>
            <w:vAlign w:val="center"/>
          </w:tcPr>
          <w:p w14:paraId="5ECCC2D5">
            <w:pPr>
              <w:adjustRightInd w:val="0"/>
              <w:snapToGrid w:val="0"/>
              <w:spacing w:line="240" w:lineRule="auto"/>
              <w:ind w:firstLine="0" w:firstLineChars="0"/>
              <w:jc w:val="center"/>
              <w:rPr>
                <w:sz w:val="21"/>
                <w:szCs w:val="21"/>
              </w:rPr>
            </w:pPr>
            <w:r>
              <w:rPr>
                <w:rFonts w:hint="eastAsia"/>
                <w:sz w:val="21"/>
                <w:szCs w:val="21"/>
              </w:rPr>
              <w:t>0</w:t>
            </w:r>
            <w:r>
              <w:rPr>
                <w:sz w:val="21"/>
                <w:szCs w:val="21"/>
              </w:rPr>
              <w:t>.06</w:t>
            </w:r>
          </w:p>
        </w:tc>
        <w:tc>
          <w:tcPr>
            <w:tcW w:w="2992" w:type="dxa"/>
            <w:vMerge w:val="continue"/>
            <w:shd w:val="clear" w:color="auto" w:fill="auto"/>
            <w:vAlign w:val="center"/>
          </w:tcPr>
          <w:p w14:paraId="63B6AB53">
            <w:pPr>
              <w:adjustRightInd w:val="0"/>
              <w:snapToGrid w:val="0"/>
              <w:spacing w:line="240" w:lineRule="auto"/>
              <w:ind w:firstLine="0" w:firstLineChars="0"/>
              <w:jc w:val="center"/>
              <w:rPr>
                <w:sz w:val="21"/>
                <w:szCs w:val="21"/>
              </w:rPr>
            </w:pPr>
          </w:p>
        </w:tc>
      </w:tr>
    </w:tbl>
    <w:p w14:paraId="34FC1499">
      <w:pPr>
        <w:pStyle w:val="45"/>
        <w:spacing w:before="65" w:after="65"/>
      </w:pPr>
      <w:r>
        <w:rPr>
          <w:rFonts w:hint="eastAsia"/>
        </w:rPr>
        <w:t>废水排放标准</w:t>
      </w:r>
    </w:p>
    <w:p w14:paraId="05F85ACF">
      <w:pPr>
        <w:ind w:firstLine="480"/>
      </w:pPr>
      <w:r>
        <w:rPr>
          <w:rFonts w:hint="eastAsia"/>
        </w:rPr>
        <w:t>本项目生产废水经厂区污水处理站处理后依托园区污水处理厂进一步处理，厂区废水总排口污染物排放限值执行《石油炼制工业污染物排放标准》（GB31570-2015）中表1间接排放限值，其中未给出限值污染因子执行《污水综合排放标准》（GB</w:t>
      </w:r>
      <w:r>
        <w:t>8978-1996</w:t>
      </w:r>
      <w:r>
        <w:rPr>
          <w:rFonts w:hint="eastAsia"/>
        </w:rPr>
        <w:t>）表4中的三级标准，本项目废水排放标准限值见下表。</w:t>
      </w:r>
    </w:p>
    <w:p w14:paraId="0DADA1F5">
      <w:pPr>
        <w:pStyle w:val="47"/>
        <w:spacing w:before="65"/>
      </w:pPr>
      <w:r>
        <w:rPr>
          <w:rFonts w:hint="eastAsia"/>
        </w:rPr>
        <w:t>表2.</w:t>
      </w:r>
      <w:r>
        <w:t xml:space="preserve">5-6   </w:t>
      </w:r>
      <w:r>
        <w:rPr>
          <w:rFonts w:hint="eastAsia"/>
        </w:rPr>
        <w:t xml:space="preserve">废水排放标准 </w:t>
      </w:r>
      <w:r>
        <w:t xml:space="preserve">  </w:t>
      </w:r>
      <w:r>
        <w:rPr>
          <w:rFonts w:hint="eastAsia"/>
        </w:rPr>
        <w:t>单位：mg</w:t>
      </w:r>
      <w:r>
        <w:t>/</w:t>
      </w:r>
      <w:r>
        <w:rPr>
          <w:rFonts w:hint="eastAsia"/>
        </w:rPr>
        <w:t>L（pH除外）</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1"/>
        <w:gridCol w:w="1105"/>
        <w:gridCol w:w="1779"/>
        <w:gridCol w:w="850"/>
        <w:gridCol w:w="4195"/>
      </w:tblGrid>
      <w:tr w14:paraId="5B823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42D8B1FE">
            <w:pPr>
              <w:adjustRightInd w:val="0"/>
              <w:snapToGrid w:val="0"/>
              <w:spacing w:line="240" w:lineRule="auto"/>
              <w:ind w:firstLine="0" w:firstLineChars="0"/>
              <w:jc w:val="center"/>
              <w:rPr>
                <w:sz w:val="21"/>
                <w:szCs w:val="21"/>
              </w:rPr>
            </w:pPr>
            <w:r>
              <w:rPr>
                <w:sz w:val="21"/>
                <w:szCs w:val="21"/>
              </w:rPr>
              <w:t>序号</w:t>
            </w:r>
          </w:p>
        </w:tc>
        <w:tc>
          <w:tcPr>
            <w:tcW w:w="633" w:type="pct"/>
          </w:tcPr>
          <w:p w14:paraId="142A6FCF">
            <w:pPr>
              <w:adjustRightInd w:val="0"/>
              <w:snapToGrid w:val="0"/>
              <w:spacing w:line="240" w:lineRule="auto"/>
              <w:ind w:firstLine="0" w:firstLineChars="0"/>
              <w:jc w:val="center"/>
              <w:rPr>
                <w:sz w:val="21"/>
                <w:szCs w:val="21"/>
              </w:rPr>
            </w:pPr>
            <w:r>
              <w:rPr>
                <w:rFonts w:hint="eastAsia"/>
                <w:sz w:val="21"/>
                <w:szCs w:val="21"/>
              </w:rPr>
              <w:t>废水类型</w:t>
            </w:r>
          </w:p>
        </w:tc>
        <w:tc>
          <w:tcPr>
            <w:tcW w:w="1019" w:type="pct"/>
            <w:shd w:val="clear" w:color="auto" w:fill="auto"/>
            <w:vAlign w:val="center"/>
          </w:tcPr>
          <w:p w14:paraId="560CDA18">
            <w:pPr>
              <w:adjustRightInd w:val="0"/>
              <w:snapToGrid w:val="0"/>
              <w:spacing w:line="240" w:lineRule="auto"/>
              <w:ind w:firstLine="0" w:firstLineChars="0"/>
              <w:jc w:val="center"/>
              <w:rPr>
                <w:sz w:val="21"/>
                <w:szCs w:val="21"/>
              </w:rPr>
            </w:pPr>
            <w:r>
              <w:rPr>
                <w:sz w:val="21"/>
                <w:szCs w:val="21"/>
              </w:rPr>
              <w:t>污染物</w:t>
            </w:r>
          </w:p>
        </w:tc>
        <w:tc>
          <w:tcPr>
            <w:tcW w:w="487" w:type="pct"/>
            <w:shd w:val="clear" w:color="auto" w:fill="auto"/>
            <w:vAlign w:val="center"/>
          </w:tcPr>
          <w:p w14:paraId="2FEC55CC">
            <w:pPr>
              <w:adjustRightInd w:val="0"/>
              <w:snapToGrid w:val="0"/>
              <w:spacing w:line="240" w:lineRule="auto"/>
              <w:ind w:firstLine="0" w:firstLineChars="0"/>
              <w:jc w:val="center"/>
              <w:rPr>
                <w:sz w:val="21"/>
                <w:szCs w:val="21"/>
              </w:rPr>
            </w:pPr>
            <w:r>
              <w:rPr>
                <w:sz w:val="21"/>
                <w:szCs w:val="21"/>
              </w:rPr>
              <w:t>排放限值</w:t>
            </w:r>
          </w:p>
        </w:tc>
        <w:tc>
          <w:tcPr>
            <w:tcW w:w="2402" w:type="pct"/>
            <w:shd w:val="clear" w:color="auto" w:fill="auto"/>
            <w:vAlign w:val="center"/>
          </w:tcPr>
          <w:p w14:paraId="69A7A628">
            <w:pPr>
              <w:adjustRightInd w:val="0"/>
              <w:snapToGrid w:val="0"/>
              <w:spacing w:line="240" w:lineRule="auto"/>
              <w:ind w:firstLine="0" w:firstLineChars="0"/>
              <w:jc w:val="center"/>
              <w:rPr>
                <w:sz w:val="21"/>
                <w:szCs w:val="21"/>
              </w:rPr>
            </w:pPr>
            <w:r>
              <w:rPr>
                <w:sz w:val="21"/>
                <w:szCs w:val="21"/>
              </w:rPr>
              <w:t>标准名称</w:t>
            </w:r>
          </w:p>
        </w:tc>
      </w:tr>
      <w:tr w14:paraId="1EA0E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0B87C13F">
            <w:pPr>
              <w:numPr>
                <w:ilvl w:val="0"/>
                <w:numId w:val="10"/>
              </w:numPr>
              <w:adjustRightInd w:val="0"/>
              <w:snapToGrid w:val="0"/>
              <w:spacing w:line="240" w:lineRule="auto"/>
              <w:ind w:firstLineChars="0"/>
              <w:jc w:val="center"/>
              <w:rPr>
                <w:sz w:val="21"/>
                <w:szCs w:val="21"/>
              </w:rPr>
            </w:pPr>
          </w:p>
        </w:tc>
        <w:tc>
          <w:tcPr>
            <w:tcW w:w="633" w:type="pct"/>
            <w:vMerge w:val="restart"/>
            <w:vAlign w:val="center"/>
          </w:tcPr>
          <w:p w14:paraId="1EC46B12">
            <w:pPr>
              <w:adjustRightInd w:val="0"/>
              <w:snapToGrid w:val="0"/>
              <w:spacing w:line="240" w:lineRule="auto"/>
              <w:ind w:firstLine="0" w:firstLineChars="0"/>
              <w:jc w:val="center"/>
              <w:rPr>
                <w:sz w:val="21"/>
                <w:szCs w:val="21"/>
              </w:rPr>
            </w:pPr>
            <w:r>
              <w:rPr>
                <w:rFonts w:hint="eastAsia"/>
                <w:sz w:val="21"/>
                <w:szCs w:val="21"/>
              </w:rPr>
              <w:t>生产废水总排口</w:t>
            </w:r>
          </w:p>
        </w:tc>
        <w:tc>
          <w:tcPr>
            <w:tcW w:w="1019" w:type="pct"/>
            <w:shd w:val="clear" w:color="auto" w:fill="auto"/>
            <w:vAlign w:val="center"/>
          </w:tcPr>
          <w:p w14:paraId="32DAFAAC">
            <w:pPr>
              <w:adjustRightInd w:val="0"/>
              <w:snapToGrid w:val="0"/>
              <w:spacing w:line="240" w:lineRule="auto"/>
              <w:ind w:firstLine="0" w:firstLineChars="0"/>
              <w:jc w:val="center"/>
              <w:rPr>
                <w:sz w:val="21"/>
                <w:szCs w:val="21"/>
              </w:rPr>
            </w:pPr>
            <w:r>
              <w:rPr>
                <w:rFonts w:hint="eastAsia"/>
                <w:sz w:val="21"/>
                <w:szCs w:val="21"/>
              </w:rPr>
              <w:t>pH值</w:t>
            </w:r>
          </w:p>
        </w:tc>
        <w:tc>
          <w:tcPr>
            <w:tcW w:w="487" w:type="pct"/>
            <w:shd w:val="clear" w:color="auto" w:fill="auto"/>
            <w:vAlign w:val="center"/>
          </w:tcPr>
          <w:p w14:paraId="7A4582B7">
            <w:pPr>
              <w:adjustRightInd w:val="0"/>
              <w:snapToGrid w:val="0"/>
              <w:spacing w:line="240" w:lineRule="auto"/>
              <w:ind w:firstLine="0" w:firstLineChars="0"/>
              <w:jc w:val="center"/>
              <w:rPr>
                <w:sz w:val="21"/>
                <w:szCs w:val="21"/>
              </w:rPr>
            </w:pPr>
            <w:r>
              <w:rPr>
                <w:sz w:val="21"/>
                <w:szCs w:val="21"/>
              </w:rPr>
              <w:t>6</w:t>
            </w:r>
            <w:r>
              <w:rPr>
                <w:rFonts w:hint="eastAsia"/>
                <w:sz w:val="21"/>
                <w:szCs w:val="21"/>
              </w:rPr>
              <w:t>～9</w:t>
            </w:r>
          </w:p>
        </w:tc>
        <w:tc>
          <w:tcPr>
            <w:tcW w:w="2402" w:type="pct"/>
            <w:vMerge w:val="restart"/>
            <w:shd w:val="clear" w:color="auto" w:fill="auto"/>
            <w:vAlign w:val="center"/>
          </w:tcPr>
          <w:p w14:paraId="39ABF9A2">
            <w:pPr>
              <w:adjustRightInd w:val="0"/>
              <w:snapToGrid w:val="0"/>
              <w:spacing w:line="240" w:lineRule="auto"/>
              <w:ind w:firstLine="0" w:firstLineChars="0"/>
              <w:jc w:val="center"/>
              <w:rPr>
                <w:sz w:val="21"/>
                <w:szCs w:val="21"/>
              </w:rPr>
            </w:pPr>
            <w:r>
              <w:rPr>
                <w:rFonts w:hint="eastAsia"/>
                <w:sz w:val="21"/>
                <w:szCs w:val="21"/>
              </w:rPr>
              <w:t>《污水综合排放标准》（GB</w:t>
            </w:r>
            <w:r>
              <w:rPr>
                <w:sz w:val="21"/>
                <w:szCs w:val="21"/>
              </w:rPr>
              <w:t>8978-1996</w:t>
            </w:r>
            <w:r>
              <w:rPr>
                <w:rFonts w:hint="eastAsia"/>
                <w:sz w:val="21"/>
                <w:szCs w:val="21"/>
              </w:rPr>
              <w:t>）表4中的三级标准</w:t>
            </w:r>
          </w:p>
        </w:tc>
      </w:tr>
      <w:tr w14:paraId="3A5CC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586F80AA">
            <w:pPr>
              <w:numPr>
                <w:ilvl w:val="0"/>
                <w:numId w:val="10"/>
              </w:numPr>
              <w:adjustRightInd w:val="0"/>
              <w:snapToGrid w:val="0"/>
              <w:spacing w:line="240" w:lineRule="auto"/>
              <w:ind w:firstLineChars="0"/>
              <w:jc w:val="center"/>
              <w:rPr>
                <w:sz w:val="21"/>
                <w:szCs w:val="21"/>
              </w:rPr>
            </w:pPr>
          </w:p>
        </w:tc>
        <w:tc>
          <w:tcPr>
            <w:tcW w:w="633" w:type="pct"/>
            <w:vMerge w:val="continue"/>
          </w:tcPr>
          <w:p w14:paraId="2310C58B">
            <w:pPr>
              <w:adjustRightInd w:val="0"/>
              <w:snapToGrid w:val="0"/>
              <w:spacing w:line="240" w:lineRule="auto"/>
              <w:ind w:firstLine="0" w:firstLineChars="0"/>
              <w:jc w:val="center"/>
              <w:rPr>
                <w:sz w:val="21"/>
                <w:szCs w:val="21"/>
              </w:rPr>
            </w:pPr>
          </w:p>
        </w:tc>
        <w:tc>
          <w:tcPr>
            <w:tcW w:w="1019" w:type="pct"/>
            <w:shd w:val="clear" w:color="auto" w:fill="auto"/>
            <w:vAlign w:val="center"/>
          </w:tcPr>
          <w:p w14:paraId="5CC30006">
            <w:pPr>
              <w:adjustRightInd w:val="0"/>
              <w:snapToGrid w:val="0"/>
              <w:spacing w:line="240" w:lineRule="auto"/>
              <w:ind w:firstLine="0" w:firstLineChars="0"/>
              <w:jc w:val="center"/>
              <w:rPr>
                <w:sz w:val="21"/>
                <w:szCs w:val="21"/>
              </w:rPr>
            </w:pPr>
            <w:r>
              <w:rPr>
                <w:rFonts w:hint="eastAsia"/>
                <w:sz w:val="21"/>
                <w:szCs w:val="21"/>
              </w:rPr>
              <w:t>悬浮物</w:t>
            </w:r>
          </w:p>
        </w:tc>
        <w:tc>
          <w:tcPr>
            <w:tcW w:w="487" w:type="pct"/>
            <w:shd w:val="clear" w:color="auto" w:fill="auto"/>
            <w:vAlign w:val="center"/>
          </w:tcPr>
          <w:p w14:paraId="601867F2">
            <w:pPr>
              <w:adjustRightInd w:val="0"/>
              <w:snapToGrid w:val="0"/>
              <w:spacing w:line="240" w:lineRule="auto"/>
              <w:ind w:firstLine="0" w:firstLineChars="0"/>
              <w:jc w:val="center"/>
              <w:rPr>
                <w:sz w:val="21"/>
                <w:szCs w:val="21"/>
              </w:rPr>
            </w:pPr>
            <w:r>
              <w:rPr>
                <w:sz w:val="21"/>
                <w:szCs w:val="21"/>
              </w:rPr>
              <w:t>400</w:t>
            </w:r>
          </w:p>
        </w:tc>
        <w:tc>
          <w:tcPr>
            <w:tcW w:w="2402" w:type="pct"/>
            <w:vMerge w:val="continue"/>
            <w:shd w:val="clear" w:color="auto" w:fill="auto"/>
            <w:vAlign w:val="center"/>
          </w:tcPr>
          <w:p w14:paraId="107FB964">
            <w:pPr>
              <w:adjustRightInd w:val="0"/>
              <w:snapToGrid w:val="0"/>
              <w:spacing w:line="240" w:lineRule="auto"/>
              <w:ind w:firstLine="0" w:firstLineChars="0"/>
              <w:jc w:val="center"/>
              <w:rPr>
                <w:sz w:val="21"/>
                <w:szCs w:val="21"/>
              </w:rPr>
            </w:pPr>
          </w:p>
        </w:tc>
      </w:tr>
      <w:tr w14:paraId="5EFC0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7F3328A7">
            <w:pPr>
              <w:numPr>
                <w:ilvl w:val="0"/>
                <w:numId w:val="10"/>
              </w:numPr>
              <w:adjustRightInd w:val="0"/>
              <w:snapToGrid w:val="0"/>
              <w:spacing w:line="240" w:lineRule="auto"/>
              <w:ind w:firstLineChars="0"/>
              <w:jc w:val="center"/>
              <w:rPr>
                <w:sz w:val="21"/>
                <w:szCs w:val="21"/>
              </w:rPr>
            </w:pPr>
          </w:p>
        </w:tc>
        <w:tc>
          <w:tcPr>
            <w:tcW w:w="633" w:type="pct"/>
            <w:vMerge w:val="continue"/>
          </w:tcPr>
          <w:p w14:paraId="6FF27B31">
            <w:pPr>
              <w:adjustRightInd w:val="0"/>
              <w:snapToGrid w:val="0"/>
              <w:spacing w:line="240" w:lineRule="auto"/>
              <w:ind w:firstLine="0" w:firstLineChars="0"/>
              <w:jc w:val="center"/>
              <w:rPr>
                <w:sz w:val="21"/>
                <w:szCs w:val="21"/>
              </w:rPr>
            </w:pPr>
          </w:p>
        </w:tc>
        <w:tc>
          <w:tcPr>
            <w:tcW w:w="1019" w:type="pct"/>
            <w:shd w:val="clear" w:color="auto" w:fill="auto"/>
            <w:vAlign w:val="center"/>
          </w:tcPr>
          <w:p w14:paraId="44B947BF">
            <w:pPr>
              <w:adjustRightInd w:val="0"/>
              <w:snapToGrid w:val="0"/>
              <w:spacing w:line="240" w:lineRule="auto"/>
              <w:ind w:firstLine="0" w:firstLineChars="0"/>
              <w:jc w:val="center"/>
              <w:rPr>
                <w:sz w:val="21"/>
                <w:szCs w:val="21"/>
              </w:rPr>
            </w:pPr>
            <w:r>
              <w:rPr>
                <w:rFonts w:hint="eastAsia"/>
                <w:sz w:val="21"/>
                <w:szCs w:val="21"/>
              </w:rPr>
              <w:t>化学需氧量</w:t>
            </w:r>
          </w:p>
        </w:tc>
        <w:tc>
          <w:tcPr>
            <w:tcW w:w="487" w:type="pct"/>
            <w:shd w:val="clear" w:color="auto" w:fill="auto"/>
            <w:vAlign w:val="center"/>
          </w:tcPr>
          <w:p w14:paraId="4697C31A">
            <w:pPr>
              <w:adjustRightInd w:val="0"/>
              <w:snapToGrid w:val="0"/>
              <w:spacing w:line="240" w:lineRule="auto"/>
              <w:ind w:firstLine="0" w:firstLineChars="0"/>
              <w:jc w:val="center"/>
              <w:rPr>
                <w:sz w:val="21"/>
                <w:szCs w:val="21"/>
              </w:rPr>
            </w:pPr>
            <w:r>
              <w:rPr>
                <w:sz w:val="21"/>
                <w:szCs w:val="21"/>
              </w:rPr>
              <w:t>500</w:t>
            </w:r>
          </w:p>
        </w:tc>
        <w:tc>
          <w:tcPr>
            <w:tcW w:w="2402" w:type="pct"/>
            <w:vMerge w:val="continue"/>
            <w:shd w:val="clear" w:color="auto" w:fill="auto"/>
            <w:vAlign w:val="center"/>
          </w:tcPr>
          <w:p w14:paraId="20D30205">
            <w:pPr>
              <w:adjustRightInd w:val="0"/>
              <w:snapToGrid w:val="0"/>
              <w:spacing w:line="240" w:lineRule="auto"/>
              <w:ind w:firstLine="0" w:firstLineChars="0"/>
              <w:jc w:val="center"/>
              <w:rPr>
                <w:sz w:val="21"/>
                <w:szCs w:val="21"/>
              </w:rPr>
            </w:pPr>
          </w:p>
        </w:tc>
      </w:tr>
      <w:tr w14:paraId="33392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2B3F1D2E">
            <w:pPr>
              <w:numPr>
                <w:ilvl w:val="0"/>
                <w:numId w:val="10"/>
              </w:numPr>
              <w:adjustRightInd w:val="0"/>
              <w:snapToGrid w:val="0"/>
              <w:spacing w:line="240" w:lineRule="auto"/>
              <w:ind w:firstLineChars="0"/>
              <w:jc w:val="center"/>
              <w:rPr>
                <w:sz w:val="21"/>
                <w:szCs w:val="21"/>
              </w:rPr>
            </w:pPr>
          </w:p>
        </w:tc>
        <w:tc>
          <w:tcPr>
            <w:tcW w:w="633" w:type="pct"/>
            <w:vMerge w:val="continue"/>
          </w:tcPr>
          <w:p w14:paraId="38B1615F">
            <w:pPr>
              <w:adjustRightInd w:val="0"/>
              <w:snapToGrid w:val="0"/>
              <w:spacing w:line="240" w:lineRule="auto"/>
              <w:ind w:firstLine="0" w:firstLineChars="0"/>
              <w:jc w:val="center"/>
              <w:rPr>
                <w:sz w:val="21"/>
                <w:szCs w:val="21"/>
              </w:rPr>
            </w:pPr>
          </w:p>
        </w:tc>
        <w:tc>
          <w:tcPr>
            <w:tcW w:w="1019" w:type="pct"/>
            <w:shd w:val="clear" w:color="auto" w:fill="auto"/>
            <w:vAlign w:val="center"/>
          </w:tcPr>
          <w:p w14:paraId="1D016C24">
            <w:pPr>
              <w:adjustRightInd w:val="0"/>
              <w:snapToGrid w:val="0"/>
              <w:spacing w:line="240" w:lineRule="auto"/>
              <w:ind w:firstLine="0" w:firstLineChars="0"/>
              <w:jc w:val="center"/>
              <w:rPr>
                <w:sz w:val="21"/>
                <w:szCs w:val="21"/>
              </w:rPr>
            </w:pPr>
            <w:r>
              <w:rPr>
                <w:rFonts w:hint="eastAsia"/>
                <w:sz w:val="21"/>
                <w:szCs w:val="21"/>
              </w:rPr>
              <w:t>五日生化需氧量</w:t>
            </w:r>
          </w:p>
        </w:tc>
        <w:tc>
          <w:tcPr>
            <w:tcW w:w="487" w:type="pct"/>
            <w:shd w:val="clear" w:color="auto" w:fill="auto"/>
            <w:vAlign w:val="center"/>
          </w:tcPr>
          <w:p w14:paraId="561872BC">
            <w:pPr>
              <w:adjustRightInd w:val="0"/>
              <w:snapToGrid w:val="0"/>
              <w:spacing w:line="240" w:lineRule="auto"/>
              <w:ind w:firstLine="0" w:firstLineChars="0"/>
              <w:jc w:val="center"/>
              <w:rPr>
                <w:sz w:val="21"/>
                <w:szCs w:val="21"/>
              </w:rPr>
            </w:pPr>
            <w:r>
              <w:rPr>
                <w:rFonts w:hint="eastAsia"/>
                <w:sz w:val="21"/>
                <w:szCs w:val="21"/>
              </w:rPr>
              <w:t>3</w:t>
            </w:r>
            <w:r>
              <w:rPr>
                <w:sz w:val="21"/>
                <w:szCs w:val="21"/>
              </w:rPr>
              <w:t>00</w:t>
            </w:r>
          </w:p>
        </w:tc>
        <w:tc>
          <w:tcPr>
            <w:tcW w:w="2402" w:type="pct"/>
            <w:vMerge w:val="continue"/>
            <w:shd w:val="clear" w:color="auto" w:fill="auto"/>
            <w:vAlign w:val="center"/>
          </w:tcPr>
          <w:p w14:paraId="26671A49">
            <w:pPr>
              <w:adjustRightInd w:val="0"/>
              <w:snapToGrid w:val="0"/>
              <w:spacing w:line="240" w:lineRule="auto"/>
              <w:ind w:firstLine="0" w:firstLineChars="0"/>
              <w:jc w:val="center"/>
              <w:rPr>
                <w:sz w:val="21"/>
                <w:szCs w:val="21"/>
              </w:rPr>
            </w:pPr>
          </w:p>
        </w:tc>
      </w:tr>
      <w:tr w14:paraId="1E693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6695047F">
            <w:pPr>
              <w:numPr>
                <w:ilvl w:val="0"/>
                <w:numId w:val="10"/>
              </w:numPr>
              <w:adjustRightInd w:val="0"/>
              <w:snapToGrid w:val="0"/>
              <w:spacing w:line="240" w:lineRule="auto"/>
              <w:ind w:firstLineChars="0"/>
              <w:jc w:val="center"/>
              <w:rPr>
                <w:sz w:val="21"/>
                <w:szCs w:val="21"/>
              </w:rPr>
            </w:pPr>
          </w:p>
        </w:tc>
        <w:tc>
          <w:tcPr>
            <w:tcW w:w="633" w:type="pct"/>
            <w:vMerge w:val="continue"/>
          </w:tcPr>
          <w:p w14:paraId="23B84760">
            <w:pPr>
              <w:adjustRightInd w:val="0"/>
              <w:snapToGrid w:val="0"/>
              <w:spacing w:line="240" w:lineRule="auto"/>
              <w:ind w:firstLine="0" w:firstLineChars="0"/>
              <w:jc w:val="center"/>
              <w:rPr>
                <w:sz w:val="21"/>
                <w:szCs w:val="21"/>
              </w:rPr>
            </w:pPr>
          </w:p>
        </w:tc>
        <w:tc>
          <w:tcPr>
            <w:tcW w:w="1019" w:type="pct"/>
            <w:shd w:val="clear" w:color="auto" w:fill="auto"/>
            <w:vAlign w:val="center"/>
          </w:tcPr>
          <w:p w14:paraId="2D92504B">
            <w:pPr>
              <w:adjustRightInd w:val="0"/>
              <w:snapToGrid w:val="0"/>
              <w:spacing w:line="240" w:lineRule="auto"/>
              <w:ind w:firstLine="0" w:firstLineChars="0"/>
              <w:jc w:val="center"/>
              <w:rPr>
                <w:sz w:val="21"/>
                <w:szCs w:val="21"/>
              </w:rPr>
            </w:pPr>
            <w:r>
              <w:rPr>
                <w:rFonts w:hint="eastAsia"/>
                <w:sz w:val="21"/>
                <w:szCs w:val="21"/>
              </w:rPr>
              <w:t>石油类</w:t>
            </w:r>
          </w:p>
        </w:tc>
        <w:tc>
          <w:tcPr>
            <w:tcW w:w="487" w:type="pct"/>
            <w:shd w:val="clear" w:color="auto" w:fill="auto"/>
            <w:vAlign w:val="center"/>
          </w:tcPr>
          <w:p w14:paraId="5EF09424">
            <w:pPr>
              <w:adjustRightInd w:val="0"/>
              <w:snapToGrid w:val="0"/>
              <w:spacing w:line="240" w:lineRule="auto"/>
              <w:ind w:firstLine="0" w:firstLineChars="0"/>
              <w:jc w:val="center"/>
              <w:rPr>
                <w:sz w:val="21"/>
                <w:szCs w:val="21"/>
              </w:rPr>
            </w:pPr>
            <w:r>
              <w:rPr>
                <w:rFonts w:hint="eastAsia"/>
                <w:sz w:val="21"/>
                <w:szCs w:val="21"/>
              </w:rPr>
              <w:t>1</w:t>
            </w:r>
            <w:r>
              <w:rPr>
                <w:sz w:val="21"/>
                <w:szCs w:val="21"/>
              </w:rPr>
              <w:t>5</w:t>
            </w:r>
          </w:p>
        </w:tc>
        <w:tc>
          <w:tcPr>
            <w:tcW w:w="2402" w:type="pct"/>
            <w:vMerge w:val="restart"/>
            <w:shd w:val="clear" w:color="auto" w:fill="auto"/>
            <w:vAlign w:val="center"/>
          </w:tcPr>
          <w:p w14:paraId="5589DAA1">
            <w:pPr>
              <w:adjustRightInd w:val="0"/>
              <w:snapToGrid w:val="0"/>
              <w:spacing w:line="240" w:lineRule="auto"/>
              <w:ind w:firstLine="0" w:firstLineChars="0"/>
              <w:jc w:val="center"/>
              <w:rPr>
                <w:sz w:val="21"/>
                <w:szCs w:val="21"/>
              </w:rPr>
            </w:pPr>
            <w:r>
              <w:rPr>
                <w:rFonts w:hint="eastAsia"/>
                <w:sz w:val="21"/>
                <w:szCs w:val="21"/>
              </w:rPr>
              <w:t>《石油炼制工业污染物排放标准》（GB31570-2015）中表</w:t>
            </w:r>
            <w:r>
              <w:rPr>
                <w:sz w:val="21"/>
                <w:szCs w:val="21"/>
              </w:rPr>
              <w:t>1</w:t>
            </w:r>
            <w:r>
              <w:rPr>
                <w:rFonts w:hint="eastAsia"/>
                <w:sz w:val="21"/>
                <w:szCs w:val="21"/>
              </w:rPr>
              <w:t>间接排放限值</w:t>
            </w:r>
          </w:p>
        </w:tc>
      </w:tr>
      <w:tr w14:paraId="51FE0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3F4FD340">
            <w:pPr>
              <w:numPr>
                <w:ilvl w:val="0"/>
                <w:numId w:val="10"/>
              </w:numPr>
              <w:adjustRightInd w:val="0"/>
              <w:snapToGrid w:val="0"/>
              <w:spacing w:line="240" w:lineRule="auto"/>
              <w:ind w:firstLineChars="0"/>
              <w:jc w:val="center"/>
              <w:rPr>
                <w:sz w:val="21"/>
                <w:szCs w:val="21"/>
              </w:rPr>
            </w:pPr>
          </w:p>
        </w:tc>
        <w:tc>
          <w:tcPr>
            <w:tcW w:w="633" w:type="pct"/>
            <w:vMerge w:val="continue"/>
          </w:tcPr>
          <w:p w14:paraId="1D4F0C76">
            <w:pPr>
              <w:adjustRightInd w:val="0"/>
              <w:snapToGrid w:val="0"/>
              <w:spacing w:line="240" w:lineRule="auto"/>
              <w:ind w:firstLine="0" w:firstLineChars="0"/>
              <w:jc w:val="center"/>
              <w:rPr>
                <w:sz w:val="21"/>
                <w:szCs w:val="21"/>
              </w:rPr>
            </w:pPr>
          </w:p>
        </w:tc>
        <w:tc>
          <w:tcPr>
            <w:tcW w:w="1019" w:type="pct"/>
            <w:shd w:val="clear" w:color="auto" w:fill="auto"/>
            <w:vAlign w:val="center"/>
          </w:tcPr>
          <w:p w14:paraId="5E0490D6">
            <w:pPr>
              <w:adjustRightInd w:val="0"/>
              <w:snapToGrid w:val="0"/>
              <w:spacing w:line="240" w:lineRule="auto"/>
              <w:ind w:firstLine="0" w:firstLineChars="0"/>
              <w:jc w:val="center"/>
              <w:rPr>
                <w:sz w:val="21"/>
                <w:szCs w:val="21"/>
              </w:rPr>
            </w:pPr>
            <w:r>
              <w:rPr>
                <w:rFonts w:hint="eastAsia"/>
                <w:sz w:val="21"/>
                <w:szCs w:val="21"/>
              </w:rPr>
              <w:t>硫化物</w:t>
            </w:r>
          </w:p>
        </w:tc>
        <w:tc>
          <w:tcPr>
            <w:tcW w:w="487" w:type="pct"/>
            <w:shd w:val="clear" w:color="auto" w:fill="auto"/>
            <w:vAlign w:val="center"/>
          </w:tcPr>
          <w:p w14:paraId="2D17FB30">
            <w:pPr>
              <w:adjustRightInd w:val="0"/>
              <w:snapToGrid w:val="0"/>
              <w:spacing w:line="240" w:lineRule="auto"/>
              <w:ind w:firstLine="0" w:firstLineChars="0"/>
              <w:jc w:val="center"/>
              <w:rPr>
                <w:sz w:val="21"/>
                <w:szCs w:val="21"/>
              </w:rPr>
            </w:pPr>
            <w:r>
              <w:rPr>
                <w:rFonts w:hint="eastAsia"/>
                <w:sz w:val="21"/>
                <w:szCs w:val="21"/>
              </w:rPr>
              <w:t>1</w:t>
            </w:r>
            <w:r>
              <w:rPr>
                <w:sz w:val="21"/>
                <w:szCs w:val="21"/>
              </w:rPr>
              <w:t>.0</w:t>
            </w:r>
          </w:p>
        </w:tc>
        <w:tc>
          <w:tcPr>
            <w:tcW w:w="2402" w:type="pct"/>
            <w:vMerge w:val="continue"/>
            <w:shd w:val="clear" w:color="auto" w:fill="auto"/>
            <w:vAlign w:val="center"/>
          </w:tcPr>
          <w:p w14:paraId="1230393A">
            <w:pPr>
              <w:adjustRightInd w:val="0"/>
              <w:snapToGrid w:val="0"/>
              <w:spacing w:line="240" w:lineRule="auto"/>
              <w:ind w:firstLine="0" w:firstLineChars="0"/>
              <w:jc w:val="center"/>
              <w:rPr>
                <w:sz w:val="21"/>
                <w:szCs w:val="21"/>
              </w:rPr>
            </w:pPr>
          </w:p>
        </w:tc>
      </w:tr>
      <w:tr w14:paraId="53B54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1077DFB6">
            <w:pPr>
              <w:numPr>
                <w:ilvl w:val="0"/>
                <w:numId w:val="10"/>
              </w:numPr>
              <w:adjustRightInd w:val="0"/>
              <w:snapToGrid w:val="0"/>
              <w:spacing w:line="240" w:lineRule="auto"/>
              <w:ind w:firstLineChars="0"/>
              <w:jc w:val="center"/>
              <w:rPr>
                <w:sz w:val="21"/>
                <w:szCs w:val="21"/>
              </w:rPr>
            </w:pPr>
          </w:p>
        </w:tc>
        <w:tc>
          <w:tcPr>
            <w:tcW w:w="633" w:type="pct"/>
            <w:vMerge w:val="continue"/>
          </w:tcPr>
          <w:p w14:paraId="7EA5812C">
            <w:pPr>
              <w:adjustRightInd w:val="0"/>
              <w:snapToGrid w:val="0"/>
              <w:spacing w:line="240" w:lineRule="auto"/>
              <w:ind w:firstLine="0" w:firstLineChars="0"/>
              <w:jc w:val="center"/>
              <w:rPr>
                <w:sz w:val="21"/>
                <w:szCs w:val="21"/>
              </w:rPr>
            </w:pPr>
          </w:p>
        </w:tc>
        <w:tc>
          <w:tcPr>
            <w:tcW w:w="1019" w:type="pct"/>
            <w:shd w:val="clear" w:color="auto" w:fill="auto"/>
            <w:vAlign w:val="center"/>
          </w:tcPr>
          <w:p w14:paraId="2EC809F3">
            <w:pPr>
              <w:adjustRightInd w:val="0"/>
              <w:snapToGrid w:val="0"/>
              <w:spacing w:line="240" w:lineRule="auto"/>
              <w:ind w:firstLine="0" w:firstLineChars="0"/>
              <w:jc w:val="center"/>
              <w:rPr>
                <w:sz w:val="21"/>
                <w:szCs w:val="21"/>
              </w:rPr>
            </w:pPr>
            <w:r>
              <w:rPr>
                <w:rFonts w:hint="eastAsia"/>
                <w:sz w:val="21"/>
                <w:szCs w:val="21"/>
              </w:rPr>
              <w:t>挥发酚</w:t>
            </w:r>
          </w:p>
        </w:tc>
        <w:tc>
          <w:tcPr>
            <w:tcW w:w="487" w:type="pct"/>
            <w:shd w:val="clear" w:color="auto" w:fill="auto"/>
            <w:vAlign w:val="center"/>
          </w:tcPr>
          <w:p w14:paraId="47BB12BC">
            <w:pPr>
              <w:adjustRightInd w:val="0"/>
              <w:snapToGrid w:val="0"/>
              <w:spacing w:line="240" w:lineRule="auto"/>
              <w:ind w:firstLine="0" w:firstLineChars="0"/>
              <w:jc w:val="center"/>
              <w:rPr>
                <w:sz w:val="21"/>
                <w:szCs w:val="21"/>
              </w:rPr>
            </w:pPr>
            <w:r>
              <w:rPr>
                <w:rFonts w:hint="eastAsia"/>
                <w:sz w:val="21"/>
                <w:szCs w:val="21"/>
              </w:rPr>
              <w:t>0</w:t>
            </w:r>
            <w:r>
              <w:rPr>
                <w:sz w:val="21"/>
                <w:szCs w:val="21"/>
              </w:rPr>
              <w:t>.5</w:t>
            </w:r>
          </w:p>
        </w:tc>
        <w:tc>
          <w:tcPr>
            <w:tcW w:w="2402" w:type="pct"/>
            <w:vMerge w:val="continue"/>
            <w:shd w:val="clear" w:color="auto" w:fill="auto"/>
            <w:vAlign w:val="center"/>
          </w:tcPr>
          <w:p w14:paraId="1B89E0AF">
            <w:pPr>
              <w:adjustRightInd w:val="0"/>
              <w:snapToGrid w:val="0"/>
              <w:spacing w:line="240" w:lineRule="auto"/>
              <w:ind w:firstLine="0" w:firstLineChars="0"/>
              <w:jc w:val="center"/>
              <w:rPr>
                <w:sz w:val="21"/>
                <w:szCs w:val="21"/>
              </w:rPr>
            </w:pPr>
          </w:p>
        </w:tc>
      </w:tr>
      <w:tr w14:paraId="2E5B0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5E13E363">
            <w:pPr>
              <w:numPr>
                <w:ilvl w:val="0"/>
                <w:numId w:val="10"/>
              </w:numPr>
              <w:adjustRightInd w:val="0"/>
              <w:snapToGrid w:val="0"/>
              <w:spacing w:line="240" w:lineRule="auto"/>
              <w:ind w:firstLineChars="0"/>
              <w:jc w:val="center"/>
              <w:rPr>
                <w:sz w:val="21"/>
                <w:szCs w:val="21"/>
              </w:rPr>
            </w:pPr>
          </w:p>
        </w:tc>
        <w:tc>
          <w:tcPr>
            <w:tcW w:w="633" w:type="pct"/>
            <w:vMerge w:val="continue"/>
          </w:tcPr>
          <w:p w14:paraId="0C427C2B">
            <w:pPr>
              <w:adjustRightInd w:val="0"/>
              <w:snapToGrid w:val="0"/>
              <w:spacing w:line="240" w:lineRule="auto"/>
              <w:ind w:firstLine="0" w:firstLineChars="0"/>
              <w:jc w:val="center"/>
              <w:rPr>
                <w:sz w:val="21"/>
                <w:szCs w:val="21"/>
              </w:rPr>
            </w:pPr>
          </w:p>
        </w:tc>
        <w:tc>
          <w:tcPr>
            <w:tcW w:w="1019" w:type="pct"/>
            <w:shd w:val="clear" w:color="auto" w:fill="auto"/>
            <w:vAlign w:val="center"/>
          </w:tcPr>
          <w:p w14:paraId="3E4F7DA4">
            <w:pPr>
              <w:adjustRightInd w:val="0"/>
              <w:snapToGrid w:val="0"/>
              <w:spacing w:line="240" w:lineRule="auto"/>
              <w:ind w:firstLine="0" w:firstLineChars="0"/>
              <w:jc w:val="center"/>
              <w:rPr>
                <w:sz w:val="21"/>
                <w:szCs w:val="21"/>
              </w:rPr>
            </w:pPr>
            <w:r>
              <w:rPr>
                <w:rFonts w:hint="eastAsia"/>
                <w:sz w:val="21"/>
                <w:szCs w:val="21"/>
              </w:rPr>
              <w:t>总钒</w:t>
            </w:r>
          </w:p>
        </w:tc>
        <w:tc>
          <w:tcPr>
            <w:tcW w:w="487" w:type="pct"/>
            <w:shd w:val="clear" w:color="auto" w:fill="auto"/>
            <w:vAlign w:val="center"/>
          </w:tcPr>
          <w:p w14:paraId="16907D86">
            <w:pPr>
              <w:adjustRightInd w:val="0"/>
              <w:snapToGrid w:val="0"/>
              <w:spacing w:line="240" w:lineRule="auto"/>
              <w:ind w:firstLine="0" w:firstLineChars="0"/>
              <w:jc w:val="center"/>
              <w:rPr>
                <w:sz w:val="21"/>
                <w:szCs w:val="21"/>
              </w:rPr>
            </w:pPr>
            <w:r>
              <w:rPr>
                <w:rFonts w:hint="eastAsia"/>
                <w:sz w:val="21"/>
                <w:szCs w:val="21"/>
              </w:rPr>
              <w:t>1</w:t>
            </w:r>
            <w:r>
              <w:rPr>
                <w:sz w:val="21"/>
                <w:szCs w:val="21"/>
              </w:rPr>
              <w:t>.0</w:t>
            </w:r>
          </w:p>
        </w:tc>
        <w:tc>
          <w:tcPr>
            <w:tcW w:w="2402" w:type="pct"/>
            <w:vMerge w:val="continue"/>
            <w:shd w:val="clear" w:color="auto" w:fill="auto"/>
            <w:vAlign w:val="center"/>
          </w:tcPr>
          <w:p w14:paraId="2D2312B7">
            <w:pPr>
              <w:adjustRightInd w:val="0"/>
              <w:snapToGrid w:val="0"/>
              <w:spacing w:line="240" w:lineRule="auto"/>
              <w:ind w:firstLine="0" w:firstLineChars="0"/>
              <w:jc w:val="center"/>
              <w:rPr>
                <w:sz w:val="21"/>
                <w:szCs w:val="21"/>
              </w:rPr>
            </w:pPr>
          </w:p>
        </w:tc>
      </w:tr>
      <w:tr w14:paraId="02159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70C6915E">
            <w:pPr>
              <w:numPr>
                <w:ilvl w:val="0"/>
                <w:numId w:val="10"/>
              </w:numPr>
              <w:adjustRightInd w:val="0"/>
              <w:snapToGrid w:val="0"/>
              <w:spacing w:line="240" w:lineRule="auto"/>
              <w:ind w:firstLineChars="0"/>
              <w:jc w:val="center"/>
              <w:rPr>
                <w:sz w:val="21"/>
                <w:szCs w:val="21"/>
              </w:rPr>
            </w:pPr>
          </w:p>
        </w:tc>
        <w:tc>
          <w:tcPr>
            <w:tcW w:w="633" w:type="pct"/>
            <w:vMerge w:val="continue"/>
          </w:tcPr>
          <w:p w14:paraId="33467B91">
            <w:pPr>
              <w:adjustRightInd w:val="0"/>
              <w:snapToGrid w:val="0"/>
              <w:spacing w:line="240" w:lineRule="auto"/>
              <w:ind w:firstLine="0" w:firstLineChars="0"/>
              <w:jc w:val="center"/>
              <w:rPr>
                <w:sz w:val="21"/>
                <w:szCs w:val="21"/>
              </w:rPr>
            </w:pPr>
          </w:p>
        </w:tc>
        <w:tc>
          <w:tcPr>
            <w:tcW w:w="1019" w:type="pct"/>
            <w:shd w:val="clear" w:color="auto" w:fill="auto"/>
            <w:vAlign w:val="center"/>
          </w:tcPr>
          <w:p w14:paraId="625A91BC">
            <w:pPr>
              <w:adjustRightInd w:val="0"/>
              <w:snapToGrid w:val="0"/>
              <w:spacing w:line="240" w:lineRule="auto"/>
              <w:ind w:firstLine="0" w:firstLineChars="0"/>
              <w:jc w:val="center"/>
              <w:rPr>
                <w:sz w:val="21"/>
                <w:szCs w:val="21"/>
              </w:rPr>
            </w:pPr>
            <w:r>
              <w:rPr>
                <w:rFonts w:hint="eastAsia"/>
                <w:sz w:val="21"/>
                <w:szCs w:val="21"/>
              </w:rPr>
              <w:t>苯</w:t>
            </w:r>
          </w:p>
        </w:tc>
        <w:tc>
          <w:tcPr>
            <w:tcW w:w="487" w:type="pct"/>
            <w:shd w:val="clear" w:color="auto" w:fill="auto"/>
            <w:vAlign w:val="center"/>
          </w:tcPr>
          <w:p w14:paraId="4BE8E61B">
            <w:pPr>
              <w:adjustRightInd w:val="0"/>
              <w:snapToGrid w:val="0"/>
              <w:spacing w:line="240" w:lineRule="auto"/>
              <w:ind w:firstLine="0" w:firstLineChars="0"/>
              <w:jc w:val="center"/>
              <w:rPr>
                <w:sz w:val="21"/>
                <w:szCs w:val="21"/>
              </w:rPr>
            </w:pPr>
            <w:r>
              <w:rPr>
                <w:rFonts w:hint="eastAsia"/>
                <w:sz w:val="21"/>
                <w:szCs w:val="21"/>
              </w:rPr>
              <w:t>0</w:t>
            </w:r>
            <w:r>
              <w:rPr>
                <w:sz w:val="21"/>
                <w:szCs w:val="21"/>
              </w:rPr>
              <w:t>.2</w:t>
            </w:r>
          </w:p>
        </w:tc>
        <w:tc>
          <w:tcPr>
            <w:tcW w:w="2402" w:type="pct"/>
            <w:vMerge w:val="continue"/>
            <w:shd w:val="clear" w:color="auto" w:fill="auto"/>
            <w:vAlign w:val="center"/>
          </w:tcPr>
          <w:p w14:paraId="72E7DBCB">
            <w:pPr>
              <w:adjustRightInd w:val="0"/>
              <w:snapToGrid w:val="0"/>
              <w:spacing w:line="240" w:lineRule="auto"/>
              <w:ind w:firstLine="0" w:firstLineChars="0"/>
              <w:jc w:val="center"/>
              <w:rPr>
                <w:sz w:val="21"/>
                <w:szCs w:val="21"/>
              </w:rPr>
            </w:pPr>
          </w:p>
        </w:tc>
      </w:tr>
      <w:tr w14:paraId="5E373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4995CE3D">
            <w:pPr>
              <w:numPr>
                <w:ilvl w:val="0"/>
                <w:numId w:val="10"/>
              </w:numPr>
              <w:adjustRightInd w:val="0"/>
              <w:snapToGrid w:val="0"/>
              <w:spacing w:line="240" w:lineRule="auto"/>
              <w:ind w:firstLineChars="0"/>
              <w:jc w:val="center"/>
              <w:rPr>
                <w:sz w:val="21"/>
                <w:szCs w:val="21"/>
              </w:rPr>
            </w:pPr>
          </w:p>
        </w:tc>
        <w:tc>
          <w:tcPr>
            <w:tcW w:w="633" w:type="pct"/>
            <w:vMerge w:val="continue"/>
          </w:tcPr>
          <w:p w14:paraId="64057F87">
            <w:pPr>
              <w:adjustRightInd w:val="0"/>
              <w:snapToGrid w:val="0"/>
              <w:spacing w:line="240" w:lineRule="auto"/>
              <w:ind w:firstLine="0" w:firstLineChars="0"/>
              <w:jc w:val="center"/>
              <w:rPr>
                <w:sz w:val="21"/>
                <w:szCs w:val="21"/>
              </w:rPr>
            </w:pPr>
          </w:p>
        </w:tc>
        <w:tc>
          <w:tcPr>
            <w:tcW w:w="1019" w:type="pct"/>
            <w:shd w:val="clear" w:color="auto" w:fill="auto"/>
            <w:vAlign w:val="center"/>
          </w:tcPr>
          <w:p w14:paraId="0306F9CE">
            <w:pPr>
              <w:adjustRightInd w:val="0"/>
              <w:snapToGrid w:val="0"/>
              <w:spacing w:line="240" w:lineRule="auto"/>
              <w:ind w:firstLine="0" w:firstLineChars="0"/>
              <w:jc w:val="center"/>
              <w:rPr>
                <w:sz w:val="21"/>
                <w:szCs w:val="21"/>
              </w:rPr>
            </w:pPr>
            <w:r>
              <w:rPr>
                <w:rFonts w:hint="eastAsia"/>
                <w:sz w:val="21"/>
                <w:szCs w:val="21"/>
              </w:rPr>
              <w:t>甲苯</w:t>
            </w:r>
          </w:p>
        </w:tc>
        <w:tc>
          <w:tcPr>
            <w:tcW w:w="487" w:type="pct"/>
            <w:shd w:val="clear" w:color="auto" w:fill="auto"/>
            <w:vAlign w:val="center"/>
          </w:tcPr>
          <w:p w14:paraId="6C8FCE32">
            <w:pPr>
              <w:adjustRightInd w:val="0"/>
              <w:snapToGrid w:val="0"/>
              <w:spacing w:line="240" w:lineRule="auto"/>
              <w:ind w:firstLine="0" w:firstLineChars="0"/>
              <w:jc w:val="center"/>
              <w:rPr>
                <w:sz w:val="21"/>
                <w:szCs w:val="21"/>
              </w:rPr>
            </w:pPr>
            <w:r>
              <w:rPr>
                <w:rFonts w:hint="eastAsia"/>
                <w:sz w:val="21"/>
                <w:szCs w:val="21"/>
              </w:rPr>
              <w:t>0</w:t>
            </w:r>
            <w:r>
              <w:rPr>
                <w:sz w:val="21"/>
                <w:szCs w:val="21"/>
              </w:rPr>
              <w:t>.2</w:t>
            </w:r>
          </w:p>
        </w:tc>
        <w:tc>
          <w:tcPr>
            <w:tcW w:w="2402" w:type="pct"/>
            <w:vMerge w:val="continue"/>
            <w:shd w:val="clear" w:color="auto" w:fill="auto"/>
            <w:vAlign w:val="center"/>
          </w:tcPr>
          <w:p w14:paraId="4F2A0604">
            <w:pPr>
              <w:adjustRightInd w:val="0"/>
              <w:snapToGrid w:val="0"/>
              <w:spacing w:line="240" w:lineRule="auto"/>
              <w:ind w:firstLine="0" w:firstLineChars="0"/>
              <w:jc w:val="center"/>
              <w:rPr>
                <w:sz w:val="21"/>
                <w:szCs w:val="21"/>
              </w:rPr>
            </w:pPr>
          </w:p>
        </w:tc>
      </w:tr>
      <w:tr w14:paraId="7E704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32F7C9B2">
            <w:pPr>
              <w:numPr>
                <w:ilvl w:val="0"/>
                <w:numId w:val="10"/>
              </w:numPr>
              <w:adjustRightInd w:val="0"/>
              <w:snapToGrid w:val="0"/>
              <w:spacing w:line="240" w:lineRule="auto"/>
              <w:ind w:firstLineChars="0"/>
              <w:jc w:val="center"/>
              <w:rPr>
                <w:sz w:val="21"/>
                <w:szCs w:val="21"/>
              </w:rPr>
            </w:pPr>
          </w:p>
        </w:tc>
        <w:tc>
          <w:tcPr>
            <w:tcW w:w="633" w:type="pct"/>
            <w:vMerge w:val="continue"/>
          </w:tcPr>
          <w:p w14:paraId="4B252F90">
            <w:pPr>
              <w:adjustRightInd w:val="0"/>
              <w:snapToGrid w:val="0"/>
              <w:spacing w:line="240" w:lineRule="auto"/>
              <w:ind w:firstLine="0" w:firstLineChars="0"/>
              <w:jc w:val="center"/>
              <w:rPr>
                <w:sz w:val="21"/>
                <w:szCs w:val="21"/>
              </w:rPr>
            </w:pPr>
          </w:p>
        </w:tc>
        <w:tc>
          <w:tcPr>
            <w:tcW w:w="1019" w:type="pct"/>
            <w:shd w:val="clear" w:color="auto" w:fill="auto"/>
            <w:vAlign w:val="center"/>
          </w:tcPr>
          <w:p w14:paraId="1AAFFEEB">
            <w:pPr>
              <w:adjustRightInd w:val="0"/>
              <w:snapToGrid w:val="0"/>
              <w:spacing w:line="240" w:lineRule="auto"/>
              <w:ind w:firstLine="0" w:firstLineChars="0"/>
              <w:jc w:val="center"/>
              <w:rPr>
                <w:sz w:val="21"/>
                <w:szCs w:val="21"/>
              </w:rPr>
            </w:pPr>
            <w:r>
              <w:rPr>
                <w:rFonts w:hint="eastAsia"/>
                <w:sz w:val="21"/>
                <w:szCs w:val="21"/>
              </w:rPr>
              <w:t>邻二甲苯</w:t>
            </w:r>
          </w:p>
        </w:tc>
        <w:tc>
          <w:tcPr>
            <w:tcW w:w="487" w:type="pct"/>
            <w:shd w:val="clear" w:color="auto" w:fill="auto"/>
            <w:vAlign w:val="center"/>
          </w:tcPr>
          <w:p w14:paraId="557BFAD1">
            <w:pPr>
              <w:adjustRightInd w:val="0"/>
              <w:snapToGrid w:val="0"/>
              <w:spacing w:line="240" w:lineRule="auto"/>
              <w:ind w:firstLine="0" w:firstLineChars="0"/>
              <w:jc w:val="center"/>
              <w:rPr>
                <w:sz w:val="21"/>
                <w:szCs w:val="21"/>
              </w:rPr>
            </w:pPr>
            <w:r>
              <w:rPr>
                <w:rFonts w:hint="eastAsia"/>
                <w:sz w:val="21"/>
                <w:szCs w:val="21"/>
              </w:rPr>
              <w:t>0</w:t>
            </w:r>
            <w:r>
              <w:rPr>
                <w:sz w:val="21"/>
                <w:szCs w:val="21"/>
              </w:rPr>
              <w:t>.6</w:t>
            </w:r>
          </w:p>
        </w:tc>
        <w:tc>
          <w:tcPr>
            <w:tcW w:w="2402" w:type="pct"/>
            <w:vMerge w:val="continue"/>
            <w:shd w:val="clear" w:color="auto" w:fill="auto"/>
            <w:vAlign w:val="center"/>
          </w:tcPr>
          <w:p w14:paraId="3172535E">
            <w:pPr>
              <w:adjustRightInd w:val="0"/>
              <w:snapToGrid w:val="0"/>
              <w:spacing w:line="240" w:lineRule="auto"/>
              <w:ind w:firstLine="0" w:firstLineChars="0"/>
              <w:jc w:val="center"/>
              <w:rPr>
                <w:sz w:val="21"/>
                <w:szCs w:val="21"/>
              </w:rPr>
            </w:pPr>
          </w:p>
        </w:tc>
      </w:tr>
      <w:tr w14:paraId="19B0A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55FFE512">
            <w:pPr>
              <w:numPr>
                <w:ilvl w:val="0"/>
                <w:numId w:val="10"/>
              </w:numPr>
              <w:adjustRightInd w:val="0"/>
              <w:snapToGrid w:val="0"/>
              <w:spacing w:line="240" w:lineRule="auto"/>
              <w:ind w:firstLineChars="0"/>
              <w:jc w:val="center"/>
              <w:rPr>
                <w:sz w:val="21"/>
                <w:szCs w:val="21"/>
              </w:rPr>
            </w:pPr>
          </w:p>
        </w:tc>
        <w:tc>
          <w:tcPr>
            <w:tcW w:w="633" w:type="pct"/>
            <w:vMerge w:val="continue"/>
          </w:tcPr>
          <w:p w14:paraId="7F6B0DDA">
            <w:pPr>
              <w:adjustRightInd w:val="0"/>
              <w:snapToGrid w:val="0"/>
              <w:spacing w:line="240" w:lineRule="auto"/>
              <w:ind w:firstLine="0" w:firstLineChars="0"/>
              <w:jc w:val="center"/>
              <w:rPr>
                <w:sz w:val="21"/>
                <w:szCs w:val="21"/>
              </w:rPr>
            </w:pPr>
          </w:p>
        </w:tc>
        <w:tc>
          <w:tcPr>
            <w:tcW w:w="1019" w:type="pct"/>
            <w:shd w:val="clear" w:color="auto" w:fill="auto"/>
            <w:vAlign w:val="center"/>
          </w:tcPr>
          <w:p w14:paraId="7AF1B4B6">
            <w:pPr>
              <w:adjustRightInd w:val="0"/>
              <w:snapToGrid w:val="0"/>
              <w:spacing w:line="240" w:lineRule="auto"/>
              <w:ind w:firstLine="0" w:firstLineChars="0"/>
              <w:jc w:val="center"/>
              <w:rPr>
                <w:sz w:val="21"/>
                <w:szCs w:val="21"/>
              </w:rPr>
            </w:pPr>
            <w:r>
              <w:rPr>
                <w:rFonts w:hint="eastAsia"/>
                <w:sz w:val="21"/>
                <w:szCs w:val="21"/>
              </w:rPr>
              <w:t>间二甲苯</w:t>
            </w:r>
          </w:p>
        </w:tc>
        <w:tc>
          <w:tcPr>
            <w:tcW w:w="487" w:type="pct"/>
            <w:shd w:val="clear" w:color="auto" w:fill="auto"/>
            <w:vAlign w:val="center"/>
          </w:tcPr>
          <w:p w14:paraId="3BA92B6F">
            <w:pPr>
              <w:adjustRightInd w:val="0"/>
              <w:snapToGrid w:val="0"/>
              <w:spacing w:line="240" w:lineRule="auto"/>
              <w:ind w:firstLine="0" w:firstLineChars="0"/>
              <w:jc w:val="center"/>
              <w:rPr>
                <w:sz w:val="21"/>
                <w:szCs w:val="21"/>
              </w:rPr>
            </w:pPr>
            <w:r>
              <w:rPr>
                <w:rFonts w:hint="eastAsia"/>
                <w:sz w:val="21"/>
                <w:szCs w:val="21"/>
              </w:rPr>
              <w:t>0</w:t>
            </w:r>
            <w:r>
              <w:rPr>
                <w:sz w:val="21"/>
                <w:szCs w:val="21"/>
              </w:rPr>
              <w:t>.6</w:t>
            </w:r>
          </w:p>
        </w:tc>
        <w:tc>
          <w:tcPr>
            <w:tcW w:w="2402" w:type="pct"/>
            <w:vMerge w:val="continue"/>
            <w:shd w:val="clear" w:color="auto" w:fill="auto"/>
            <w:vAlign w:val="center"/>
          </w:tcPr>
          <w:p w14:paraId="283B2DDF">
            <w:pPr>
              <w:adjustRightInd w:val="0"/>
              <w:snapToGrid w:val="0"/>
              <w:spacing w:line="240" w:lineRule="auto"/>
              <w:ind w:firstLine="0" w:firstLineChars="0"/>
              <w:jc w:val="center"/>
              <w:rPr>
                <w:sz w:val="21"/>
                <w:szCs w:val="21"/>
              </w:rPr>
            </w:pPr>
          </w:p>
        </w:tc>
      </w:tr>
      <w:tr w14:paraId="44729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0DBD5BAB">
            <w:pPr>
              <w:numPr>
                <w:ilvl w:val="0"/>
                <w:numId w:val="10"/>
              </w:numPr>
              <w:adjustRightInd w:val="0"/>
              <w:snapToGrid w:val="0"/>
              <w:spacing w:line="240" w:lineRule="auto"/>
              <w:ind w:firstLineChars="0"/>
              <w:jc w:val="center"/>
              <w:rPr>
                <w:sz w:val="21"/>
                <w:szCs w:val="21"/>
              </w:rPr>
            </w:pPr>
          </w:p>
        </w:tc>
        <w:tc>
          <w:tcPr>
            <w:tcW w:w="633" w:type="pct"/>
            <w:vMerge w:val="continue"/>
          </w:tcPr>
          <w:p w14:paraId="41BFE732">
            <w:pPr>
              <w:adjustRightInd w:val="0"/>
              <w:snapToGrid w:val="0"/>
              <w:spacing w:line="240" w:lineRule="auto"/>
              <w:ind w:firstLine="0" w:firstLineChars="0"/>
              <w:jc w:val="center"/>
              <w:rPr>
                <w:sz w:val="21"/>
                <w:szCs w:val="21"/>
              </w:rPr>
            </w:pPr>
          </w:p>
        </w:tc>
        <w:tc>
          <w:tcPr>
            <w:tcW w:w="1019" w:type="pct"/>
            <w:shd w:val="clear" w:color="auto" w:fill="auto"/>
            <w:vAlign w:val="center"/>
          </w:tcPr>
          <w:p w14:paraId="5B942CC0">
            <w:pPr>
              <w:adjustRightInd w:val="0"/>
              <w:snapToGrid w:val="0"/>
              <w:spacing w:line="240" w:lineRule="auto"/>
              <w:ind w:firstLine="0" w:firstLineChars="0"/>
              <w:jc w:val="center"/>
              <w:rPr>
                <w:sz w:val="21"/>
                <w:szCs w:val="21"/>
              </w:rPr>
            </w:pPr>
            <w:r>
              <w:rPr>
                <w:rFonts w:hint="eastAsia"/>
                <w:sz w:val="21"/>
                <w:szCs w:val="21"/>
              </w:rPr>
              <w:t>对二甲苯</w:t>
            </w:r>
          </w:p>
        </w:tc>
        <w:tc>
          <w:tcPr>
            <w:tcW w:w="487" w:type="pct"/>
            <w:shd w:val="clear" w:color="auto" w:fill="auto"/>
            <w:vAlign w:val="center"/>
          </w:tcPr>
          <w:p w14:paraId="029F9CB1">
            <w:pPr>
              <w:adjustRightInd w:val="0"/>
              <w:snapToGrid w:val="0"/>
              <w:spacing w:line="240" w:lineRule="auto"/>
              <w:ind w:firstLine="0" w:firstLineChars="0"/>
              <w:jc w:val="center"/>
              <w:rPr>
                <w:sz w:val="21"/>
                <w:szCs w:val="21"/>
              </w:rPr>
            </w:pPr>
            <w:r>
              <w:rPr>
                <w:rFonts w:hint="eastAsia"/>
                <w:sz w:val="21"/>
                <w:szCs w:val="21"/>
              </w:rPr>
              <w:t>0</w:t>
            </w:r>
            <w:r>
              <w:rPr>
                <w:sz w:val="21"/>
                <w:szCs w:val="21"/>
              </w:rPr>
              <w:t>.6</w:t>
            </w:r>
          </w:p>
        </w:tc>
        <w:tc>
          <w:tcPr>
            <w:tcW w:w="2402" w:type="pct"/>
            <w:vMerge w:val="continue"/>
            <w:shd w:val="clear" w:color="auto" w:fill="auto"/>
            <w:vAlign w:val="center"/>
          </w:tcPr>
          <w:p w14:paraId="369250DE">
            <w:pPr>
              <w:adjustRightInd w:val="0"/>
              <w:snapToGrid w:val="0"/>
              <w:spacing w:line="240" w:lineRule="auto"/>
              <w:ind w:firstLine="0" w:firstLineChars="0"/>
              <w:jc w:val="center"/>
              <w:rPr>
                <w:sz w:val="21"/>
                <w:szCs w:val="21"/>
              </w:rPr>
            </w:pPr>
          </w:p>
        </w:tc>
      </w:tr>
      <w:tr w14:paraId="4987F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7A9DEFA3">
            <w:pPr>
              <w:numPr>
                <w:ilvl w:val="0"/>
                <w:numId w:val="10"/>
              </w:numPr>
              <w:adjustRightInd w:val="0"/>
              <w:snapToGrid w:val="0"/>
              <w:spacing w:line="240" w:lineRule="auto"/>
              <w:ind w:firstLineChars="0"/>
              <w:jc w:val="center"/>
              <w:rPr>
                <w:sz w:val="21"/>
                <w:szCs w:val="21"/>
              </w:rPr>
            </w:pPr>
          </w:p>
        </w:tc>
        <w:tc>
          <w:tcPr>
            <w:tcW w:w="633" w:type="pct"/>
            <w:vMerge w:val="continue"/>
          </w:tcPr>
          <w:p w14:paraId="000D89CE">
            <w:pPr>
              <w:adjustRightInd w:val="0"/>
              <w:snapToGrid w:val="0"/>
              <w:spacing w:line="240" w:lineRule="auto"/>
              <w:ind w:firstLine="0" w:firstLineChars="0"/>
              <w:jc w:val="center"/>
              <w:rPr>
                <w:sz w:val="21"/>
                <w:szCs w:val="21"/>
              </w:rPr>
            </w:pPr>
          </w:p>
        </w:tc>
        <w:tc>
          <w:tcPr>
            <w:tcW w:w="1019" w:type="pct"/>
            <w:shd w:val="clear" w:color="auto" w:fill="auto"/>
            <w:vAlign w:val="center"/>
          </w:tcPr>
          <w:p w14:paraId="14BAB516">
            <w:pPr>
              <w:adjustRightInd w:val="0"/>
              <w:snapToGrid w:val="0"/>
              <w:spacing w:line="240" w:lineRule="auto"/>
              <w:ind w:firstLine="0" w:firstLineChars="0"/>
              <w:jc w:val="center"/>
              <w:rPr>
                <w:sz w:val="21"/>
                <w:szCs w:val="21"/>
              </w:rPr>
            </w:pPr>
            <w:r>
              <w:rPr>
                <w:rFonts w:hint="eastAsia"/>
                <w:sz w:val="21"/>
                <w:szCs w:val="21"/>
              </w:rPr>
              <w:t>乙苯</w:t>
            </w:r>
          </w:p>
        </w:tc>
        <w:tc>
          <w:tcPr>
            <w:tcW w:w="487" w:type="pct"/>
            <w:shd w:val="clear" w:color="auto" w:fill="auto"/>
            <w:vAlign w:val="center"/>
          </w:tcPr>
          <w:p w14:paraId="4CA3B1D8">
            <w:pPr>
              <w:adjustRightInd w:val="0"/>
              <w:snapToGrid w:val="0"/>
              <w:spacing w:line="240" w:lineRule="auto"/>
              <w:ind w:firstLine="0" w:firstLineChars="0"/>
              <w:jc w:val="center"/>
              <w:rPr>
                <w:sz w:val="21"/>
                <w:szCs w:val="21"/>
              </w:rPr>
            </w:pPr>
            <w:r>
              <w:rPr>
                <w:rFonts w:hint="eastAsia"/>
                <w:sz w:val="21"/>
                <w:szCs w:val="21"/>
              </w:rPr>
              <w:t>0</w:t>
            </w:r>
            <w:r>
              <w:rPr>
                <w:sz w:val="21"/>
                <w:szCs w:val="21"/>
              </w:rPr>
              <w:t>.6</w:t>
            </w:r>
          </w:p>
        </w:tc>
        <w:tc>
          <w:tcPr>
            <w:tcW w:w="2402" w:type="pct"/>
            <w:vMerge w:val="continue"/>
            <w:shd w:val="clear" w:color="auto" w:fill="auto"/>
            <w:vAlign w:val="center"/>
          </w:tcPr>
          <w:p w14:paraId="5D8671A9">
            <w:pPr>
              <w:adjustRightInd w:val="0"/>
              <w:snapToGrid w:val="0"/>
              <w:spacing w:line="240" w:lineRule="auto"/>
              <w:ind w:firstLine="0" w:firstLineChars="0"/>
              <w:jc w:val="center"/>
              <w:rPr>
                <w:sz w:val="21"/>
                <w:szCs w:val="21"/>
              </w:rPr>
            </w:pPr>
          </w:p>
        </w:tc>
      </w:tr>
      <w:tr w14:paraId="0DF6A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771BFC52">
            <w:pPr>
              <w:numPr>
                <w:ilvl w:val="0"/>
                <w:numId w:val="10"/>
              </w:numPr>
              <w:adjustRightInd w:val="0"/>
              <w:snapToGrid w:val="0"/>
              <w:spacing w:line="240" w:lineRule="auto"/>
              <w:ind w:firstLineChars="0"/>
              <w:jc w:val="center"/>
              <w:rPr>
                <w:sz w:val="21"/>
                <w:szCs w:val="21"/>
              </w:rPr>
            </w:pPr>
          </w:p>
        </w:tc>
        <w:tc>
          <w:tcPr>
            <w:tcW w:w="633" w:type="pct"/>
            <w:vMerge w:val="continue"/>
          </w:tcPr>
          <w:p w14:paraId="7EF7B40F">
            <w:pPr>
              <w:adjustRightInd w:val="0"/>
              <w:snapToGrid w:val="0"/>
              <w:spacing w:line="240" w:lineRule="auto"/>
              <w:ind w:firstLine="0" w:firstLineChars="0"/>
              <w:jc w:val="center"/>
              <w:rPr>
                <w:sz w:val="21"/>
                <w:szCs w:val="21"/>
              </w:rPr>
            </w:pPr>
          </w:p>
        </w:tc>
        <w:tc>
          <w:tcPr>
            <w:tcW w:w="1019" w:type="pct"/>
            <w:shd w:val="clear" w:color="auto" w:fill="auto"/>
            <w:vAlign w:val="center"/>
          </w:tcPr>
          <w:p w14:paraId="661A702B">
            <w:pPr>
              <w:adjustRightInd w:val="0"/>
              <w:snapToGrid w:val="0"/>
              <w:spacing w:line="240" w:lineRule="auto"/>
              <w:ind w:firstLine="0" w:firstLineChars="0"/>
              <w:jc w:val="center"/>
              <w:rPr>
                <w:sz w:val="21"/>
                <w:szCs w:val="21"/>
              </w:rPr>
            </w:pPr>
            <w:r>
              <w:rPr>
                <w:rFonts w:hint="eastAsia"/>
                <w:sz w:val="21"/>
                <w:szCs w:val="21"/>
              </w:rPr>
              <w:t>总氰化物</w:t>
            </w:r>
          </w:p>
        </w:tc>
        <w:tc>
          <w:tcPr>
            <w:tcW w:w="487" w:type="pct"/>
            <w:shd w:val="clear" w:color="auto" w:fill="auto"/>
            <w:vAlign w:val="center"/>
          </w:tcPr>
          <w:p w14:paraId="47DF4E0B">
            <w:pPr>
              <w:adjustRightInd w:val="0"/>
              <w:snapToGrid w:val="0"/>
              <w:spacing w:line="240" w:lineRule="auto"/>
              <w:ind w:firstLine="0" w:firstLineChars="0"/>
              <w:jc w:val="center"/>
              <w:rPr>
                <w:sz w:val="21"/>
                <w:szCs w:val="21"/>
              </w:rPr>
            </w:pPr>
            <w:r>
              <w:rPr>
                <w:rFonts w:hint="eastAsia"/>
                <w:sz w:val="21"/>
                <w:szCs w:val="21"/>
              </w:rPr>
              <w:t>0</w:t>
            </w:r>
            <w:r>
              <w:rPr>
                <w:sz w:val="21"/>
                <w:szCs w:val="21"/>
              </w:rPr>
              <w:t>.5</w:t>
            </w:r>
          </w:p>
        </w:tc>
        <w:tc>
          <w:tcPr>
            <w:tcW w:w="2402" w:type="pct"/>
            <w:vMerge w:val="continue"/>
            <w:shd w:val="clear" w:color="auto" w:fill="auto"/>
            <w:vAlign w:val="center"/>
          </w:tcPr>
          <w:p w14:paraId="37498D88">
            <w:pPr>
              <w:adjustRightInd w:val="0"/>
              <w:snapToGrid w:val="0"/>
              <w:spacing w:line="240" w:lineRule="auto"/>
              <w:ind w:firstLine="0" w:firstLineChars="0"/>
              <w:jc w:val="center"/>
              <w:rPr>
                <w:sz w:val="21"/>
                <w:szCs w:val="21"/>
              </w:rPr>
            </w:pPr>
          </w:p>
        </w:tc>
      </w:tr>
      <w:tr w14:paraId="582D4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3A46283F">
            <w:pPr>
              <w:numPr>
                <w:ilvl w:val="0"/>
                <w:numId w:val="10"/>
              </w:numPr>
              <w:adjustRightInd w:val="0"/>
              <w:snapToGrid w:val="0"/>
              <w:spacing w:line="240" w:lineRule="auto"/>
              <w:ind w:firstLineChars="0"/>
              <w:jc w:val="center"/>
              <w:rPr>
                <w:sz w:val="21"/>
                <w:szCs w:val="21"/>
              </w:rPr>
            </w:pPr>
          </w:p>
        </w:tc>
        <w:tc>
          <w:tcPr>
            <w:tcW w:w="633" w:type="pct"/>
            <w:vMerge w:val="restart"/>
            <w:vAlign w:val="center"/>
          </w:tcPr>
          <w:p w14:paraId="5DADAACA">
            <w:pPr>
              <w:adjustRightInd w:val="0"/>
              <w:snapToGrid w:val="0"/>
              <w:spacing w:line="240" w:lineRule="auto"/>
              <w:ind w:firstLine="0" w:firstLineChars="0"/>
              <w:jc w:val="center"/>
              <w:rPr>
                <w:sz w:val="21"/>
                <w:szCs w:val="21"/>
              </w:rPr>
            </w:pPr>
            <w:r>
              <w:rPr>
                <w:rFonts w:hint="eastAsia"/>
                <w:sz w:val="21"/>
                <w:szCs w:val="21"/>
              </w:rPr>
              <w:t>车间或生产设施废水排放口</w:t>
            </w:r>
          </w:p>
        </w:tc>
        <w:tc>
          <w:tcPr>
            <w:tcW w:w="1019" w:type="pct"/>
            <w:shd w:val="clear" w:color="auto" w:fill="auto"/>
            <w:vAlign w:val="center"/>
          </w:tcPr>
          <w:p w14:paraId="74E17648">
            <w:pPr>
              <w:adjustRightInd w:val="0"/>
              <w:snapToGrid w:val="0"/>
              <w:spacing w:line="240" w:lineRule="auto"/>
              <w:ind w:firstLine="0" w:firstLineChars="0"/>
              <w:jc w:val="center"/>
              <w:rPr>
                <w:sz w:val="21"/>
                <w:szCs w:val="21"/>
              </w:rPr>
            </w:pPr>
            <w:r>
              <w:rPr>
                <w:rFonts w:hint="eastAsia"/>
                <w:sz w:val="21"/>
                <w:szCs w:val="21"/>
              </w:rPr>
              <w:t>苯并（a）芘</w:t>
            </w:r>
          </w:p>
        </w:tc>
        <w:tc>
          <w:tcPr>
            <w:tcW w:w="487" w:type="pct"/>
            <w:shd w:val="clear" w:color="auto" w:fill="auto"/>
            <w:vAlign w:val="center"/>
          </w:tcPr>
          <w:p w14:paraId="7E895F0B">
            <w:pPr>
              <w:adjustRightInd w:val="0"/>
              <w:snapToGrid w:val="0"/>
              <w:spacing w:line="240" w:lineRule="auto"/>
              <w:ind w:firstLine="0" w:firstLineChars="0"/>
              <w:jc w:val="center"/>
              <w:rPr>
                <w:sz w:val="21"/>
                <w:szCs w:val="21"/>
              </w:rPr>
            </w:pPr>
            <w:r>
              <w:rPr>
                <w:rFonts w:hint="eastAsia"/>
                <w:sz w:val="21"/>
                <w:szCs w:val="21"/>
              </w:rPr>
              <w:t>0</w:t>
            </w:r>
            <w:r>
              <w:rPr>
                <w:sz w:val="21"/>
                <w:szCs w:val="21"/>
              </w:rPr>
              <w:t>.00003</w:t>
            </w:r>
          </w:p>
        </w:tc>
        <w:tc>
          <w:tcPr>
            <w:tcW w:w="2402" w:type="pct"/>
            <w:vMerge w:val="continue"/>
            <w:shd w:val="clear" w:color="auto" w:fill="auto"/>
            <w:vAlign w:val="center"/>
          </w:tcPr>
          <w:p w14:paraId="61DCC696">
            <w:pPr>
              <w:adjustRightInd w:val="0"/>
              <w:snapToGrid w:val="0"/>
              <w:spacing w:line="240" w:lineRule="auto"/>
              <w:ind w:firstLine="0" w:firstLineChars="0"/>
              <w:jc w:val="center"/>
              <w:rPr>
                <w:sz w:val="21"/>
                <w:szCs w:val="21"/>
              </w:rPr>
            </w:pPr>
          </w:p>
        </w:tc>
      </w:tr>
      <w:tr w14:paraId="6F282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47168982">
            <w:pPr>
              <w:numPr>
                <w:ilvl w:val="0"/>
                <w:numId w:val="10"/>
              </w:numPr>
              <w:adjustRightInd w:val="0"/>
              <w:snapToGrid w:val="0"/>
              <w:spacing w:line="240" w:lineRule="auto"/>
              <w:ind w:firstLineChars="0"/>
              <w:jc w:val="center"/>
              <w:rPr>
                <w:sz w:val="21"/>
                <w:szCs w:val="21"/>
              </w:rPr>
            </w:pPr>
          </w:p>
        </w:tc>
        <w:tc>
          <w:tcPr>
            <w:tcW w:w="633" w:type="pct"/>
            <w:vMerge w:val="continue"/>
          </w:tcPr>
          <w:p w14:paraId="35392D05">
            <w:pPr>
              <w:adjustRightInd w:val="0"/>
              <w:snapToGrid w:val="0"/>
              <w:spacing w:line="240" w:lineRule="auto"/>
              <w:ind w:firstLine="0" w:firstLineChars="0"/>
              <w:jc w:val="center"/>
              <w:rPr>
                <w:sz w:val="21"/>
                <w:szCs w:val="21"/>
              </w:rPr>
            </w:pPr>
          </w:p>
        </w:tc>
        <w:tc>
          <w:tcPr>
            <w:tcW w:w="1019" w:type="pct"/>
            <w:shd w:val="clear" w:color="auto" w:fill="auto"/>
            <w:vAlign w:val="center"/>
          </w:tcPr>
          <w:p w14:paraId="26DCC91F">
            <w:pPr>
              <w:adjustRightInd w:val="0"/>
              <w:snapToGrid w:val="0"/>
              <w:spacing w:line="240" w:lineRule="auto"/>
              <w:ind w:firstLine="0" w:firstLineChars="0"/>
              <w:jc w:val="center"/>
              <w:rPr>
                <w:sz w:val="21"/>
                <w:szCs w:val="21"/>
              </w:rPr>
            </w:pPr>
            <w:r>
              <w:rPr>
                <w:rFonts w:hint="eastAsia"/>
                <w:sz w:val="21"/>
                <w:szCs w:val="21"/>
              </w:rPr>
              <w:t>总铅</w:t>
            </w:r>
          </w:p>
        </w:tc>
        <w:tc>
          <w:tcPr>
            <w:tcW w:w="487" w:type="pct"/>
            <w:shd w:val="clear" w:color="auto" w:fill="auto"/>
            <w:vAlign w:val="center"/>
          </w:tcPr>
          <w:p w14:paraId="0915EC75">
            <w:pPr>
              <w:adjustRightInd w:val="0"/>
              <w:snapToGrid w:val="0"/>
              <w:spacing w:line="240" w:lineRule="auto"/>
              <w:ind w:firstLine="0" w:firstLineChars="0"/>
              <w:jc w:val="center"/>
              <w:rPr>
                <w:sz w:val="21"/>
                <w:szCs w:val="21"/>
              </w:rPr>
            </w:pPr>
            <w:r>
              <w:rPr>
                <w:rFonts w:hint="eastAsia"/>
                <w:sz w:val="21"/>
                <w:szCs w:val="21"/>
              </w:rPr>
              <w:t>1</w:t>
            </w:r>
            <w:r>
              <w:rPr>
                <w:sz w:val="21"/>
                <w:szCs w:val="21"/>
              </w:rPr>
              <w:t>.0</w:t>
            </w:r>
          </w:p>
        </w:tc>
        <w:tc>
          <w:tcPr>
            <w:tcW w:w="2402" w:type="pct"/>
            <w:vMerge w:val="continue"/>
            <w:shd w:val="clear" w:color="auto" w:fill="auto"/>
            <w:vAlign w:val="center"/>
          </w:tcPr>
          <w:p w14:paraId="1E1EFA80">
            <w:pPr>
              <w:adjustRightInd w:val="0"/>
              <w:snapToGrid w:val="0"/>
              <w:spacing w:line="240" w:lineRule="auto"/>
              <w:ind w:firstLine="0" w:firstLineChars="0"/>
              <w:jc w:val="center"/>
              <w:rPr>
                <w:sz w:val="21"/>
                <w:szCs w:val="21"/>
              </w:rPr>
            </w:pPr>
          </w:p>
        </w:tc>
      </w:tr>
      <w:tr w14:paraId="760DB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348EA5BC">
            <w:pPr>
              <w:numPr>
                <w:ilvl w:val="0"/>
                <w:numId w:val="10"/>
              </w:numPr>
              <w:adjustRightInd w:val="0"/>
              <w:snapToGrid w:val="0"/>
              <w:spacing w:line="240" w:lineRule="auto"/>
              <w:ind w:firstLineChars="0"/>
              <w:jc w:val="center"/>
              <w:rPr>
                <w:sz w:val="21"/>
                <w:szCs w:val="21"/>
              </w:rPr>
            </w:pPr>
          </w:p>
        </w:tc>
        <w:tc>
          <w:tcPr>
            <w:tcW w:w="633" w:type="pct"/>
            <w:vMerge w:val="continue"/>
          </w:tcPr>
          <w:p w14:paraId="1093ED80">
            <w:pPr>
              <w:adjustRightInd w:val="0"/>
              <w:snapToGrid w:val="0"/>
              <w:spacing w:line="240" w:lineRule="auto"/>
              <w:ind w:firstLine="0" w:firstLineChars="0"/>
              <w:jc w:val="center"/>
              <w:rPr>
                <w:sz w:val="21"/>
                <w:szCs w:val="21"/>
              </w:rPr>
            </w:pPr>
          </w:p>
        </w:tc>
        <w:tc>
          <w:tcPr>
            <w:tcW w:w="1019" w:type="pct"/>
            <w:shd w:val="clear" w:color="auto" w:fill="auto"/>
            <w:vAlign w:val="center"/>
          </w:tcPr>
          <w:p w14:paraId="0E2EAFEC">
            <w:pPr>
              <w:adjustRightInd w:val="0"/>
              <w:snapToGrid w:val="0"/>
              <w:spacing w:line="240" w:lineRule="auto"/>
              <w:ind w:firstLine="0" w:firstLineChars="0"/>
              <w:jc w:val="center"/>
              <w:rPr>
                <w:sz w:val="21"/>
                <w:szCs w:val="21"/>
              </w:rPr>
            </w:pPr>
            <w:r>
              <w:rPr>
                <w:rFonts w:hint="eastAsia"/>
                <w:sz w:val="21"/>
                <w:szCs w:val="21"/>
              </w:rPr>
              <w:t>总砷</w:t>
            </w:r>
          </w:p>
        </w:tc>
        <w:tc>
          <w:tcPr>
            <w:tcW w:w="487" w:type="pct"/>
            <w:shd w:val="clear" w:color="auto" w:fill="auto"/>
            <w:vAlign w:val="center"/>
          </w:tcPr>
          <w:p w14:paraId="699CD901">
            <w:pPr>
              <w:adjustRightInd w:val="0"/>
              <w:snapToGrid w:val="0"/>
              <w:spacing w:line="240" w:lineRule="auto"/>
              <w:ind w:firstLine="0" w:firstLineChars="0"/>
              <w:jc w:val="center"/>
              <w:rPr>
                <w:sz w:val="21"/>
                <w:szCs w:val="21"/>
              </w:rPr>
            </w:pPr>
            <w:r>
              <w:rPr>
                <w:rFonts w:hint="eastAsia"/>
                <w:sz w:val="21"/>
                <w:szCs w:val="21"/>
              </w:rPr>
              <w:t>0</w:t>
            </w:r>
            <w:r>
              <w:rPr>
                <w:sz w:val="21"/>
                <w:szCs w:val="21"/>
              </w:rPr>
              <w:t>.5</w:t>
            </w:r>
          </w:p>
        </w:tc>
        <w:tc>
          <w:tcPr>
            <w:tcW w:w="2402" w:type="pct"/>
            <w:vMerge w:val="continue"/>
            <w:shd w:val="clear" w:color="auto" w:fill="auto"/>
            <w:vAlign w:val="center"/>
          </w:tcPr>
          <w:p w14:paraId="66EF677B">
            <w:pPr>
              <w:adjustRightInd w:val="0"/>
              <w:snapToGrid w:val="0"/>
              <w:spacing w:line="240" w:lineRule="auto"/>
              <w:ind w:firstLine="0" w:firstLineChars="0"/>
              <w:jc w:val="center"/>
              <w:rPr>
                <w:sz w:val="21"/>
                <w:szCs w:val="21"/>
              </w:rPr>
            </w:pPr>
          </w:p>
        </w:tc>
      </w:tr>
      <w:tr w14:paraId="6871C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38831A3C">
            <w:pPr>
              <w:numPr>
                <w:ilvl w:val="0"/>
                <w:numId w:val="10"/>
              </w:numPr>
              <w:adjustRightInd w:val="0"/>
              <w:snapToGrid w:val="0"/>
              <w:spacing w:line="240" w:lineRule="auto"/>
              <w:ind w:firstLineChars="0"/>
              <w:jc w:val="center"/>
              <w:rPr>
                <w:sz w:val="21"/>
                <w:szCs w:val="21"/>
              </w:rPr>
            </w:pPr>
          </w:p>
        </w:tc>
        <w:tc>
          <w:tcPr>
            <w:tcW w:w="633" w:type="pct"/>
            <w:vMerge w:val="continue"/>
          </w:tcPr>
          <w:p w14:paraId="6966D942">
            <w:pPr>
              <w:adjustRightInd w:val="0"/>
              <w:snapToGrid w:val="0"/>
              <w:spacing w:line="240" w:lineRule="auto"/>
              <w:ind w:firstLine="0" w:firstLineChars="0"/>
              <w:jc w:val="center"/>
              <w:rPr>
                <w:sz w:val="21"/>
                <w:szCs w:val="21"/>
              </w:rPr>
            </w:pPr>
          </w:p>
        </w:tc>
        <w:tc>
          <w:tcPr>
            <w:tcW w:w="1019" w:type="pct"/>
            <w:shd w:val="clear" w:color="auto" w:fill="auto"/>
            <w:vAlign w:val="center"/>
          </w:tcPr>
          <w:p w14:paraId="5919E5DA">
            <w:pPr>
              <w:adjustRightInd w:val="0"/>
              <w:snapToGrid w:val="0"/>
              <w:spacing w:line="240" w:lineRule="auto"/>
              <w:ind w:firstLine="0" w:firstLineChars="0"/>
              <w:jc w:val="center"/>
              <w:rPr>
                <w:sz w:val="21"/>
                <w:szCs w:val="21"/>
              </w:rPr>
            </w:pPr>
            <w:r>
              <w:rPr>
                <w:rFonts w:hint="eastAsia"/>
                <w:sz w:val="21"/>
                <w:szCs w:val="21"/>
              </w:rPr>
              <w:t>总镍</w:t>
            </w:r>
          </w:p>
        </w:tc>
        <w:tc>
          <w:tcPr>
            <w:tcW w:w="487" w:type="pct"/>
            <w:shd w:val="clear" w:color="auto" w:fill="auto"/>
            <w:vAlign w:val="center"/>
          </w:tcPr>
          <w:p w14:paraId="50C4F301">
            <w:pPr>
              <w:adjustRightInd w:val="0"/>
              <w:snapToGrid w:val="0"/>
              <w:spacing w:line="240" w:lineRule="auto"/>
              <w:ind w:firstLine="0" w:firstLineChars="0"/>
              <w:jc w:val="center"/>
              <w:rPr>
                <w:sz w:val="21"/>
                <w:szCs w:val="21"/>
              </w:rPr>
            </w:pPr>
            <w:r>
              <w:rPr>
                <w:rFonts w:hint="eastAsia"/>
                <w:sz w:val="21"/>
                <w:szCs w:val="21"/>
              </w:rPr>
              <w:t>1</w:t>
            </w:r>
            <w:r>
              <w:rPr>
                <w:sz w:val="21"/>
                <w:szCs w:val="21"/>
              </w:rPr>
              <w:t>.0</w:t>
            </w:r>
          </w:p>
        </w:tc>
        <w:tc>
          <w:tcPr>
            <w:tcW w:w="2402" w:type="pct"/>
            <w:vMerge w:val="continue"/>
            <w:shd w:val="clear" w:color="auto" w:fill="auto"/>
            <w:vAlign w:val="center"/>
          </w:tcPr>
          <w:p w14:paraId="16FAF2B1">
            <w:pPr>
              <w:adjustRightInd w:val="0"/>
              <w:snapToGrid w:val="0"/>
              <w:spacing w:line="240" w:lineRule="auto"/>
              <w:ind w:firstLine="0" w:firstLineChars="0"/>
              <w:jc w:val="center"/>
              <w:rPr>
                <w:sz w:val="21"/>
                <w:szCs w:val="21"/>
              </w:rPr>
            </w:pPr>
          </w:p>
        </w:tc>
      </w:tr>
      <w:tr w14:paraId="4C3D8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4E7CEC1C">
            <w:pPr>
              <w:numPr>
                <w:ilvl w:val="0"/>
                <w:numId w:val="10"/>
              </w:numPr>
              <w:adjustRightInd w:val="0"/>
              <w:snapToGrid w:val="0"/>
              <w:spacing w:line="240" w:lineRule="auto"/>
              <w:ind w:firstLineChars="0"/>
              <w:jc w:val="center"/>
              <w:rPr>
                <w:sz w:val="21"/>
                <w:szCs w:val="21"/>
              </w:rPr>
            </w:pPr>
          </w:p>
        </w:tc>
        <w:tc>
          <w:tcPr>
            <w:tcW w:w="633" w:type="pct"/>
            <w:vMerge w:val="continue"/>
          </w:tcPr>
          <w:p w14:paraId="584CD403">
            <w:pPr>
              <w:adjustRightInd w:val="0"/>
              <w:snapToGrid w:val="0"/>
              <w:spacing w:line="240" w:lineRule="auto"/>
              <w:ind w:firstLine="0" w:firstLineChars="0"/>
              <w:jc w:val="center"/>
              <w:rPr>
                <w:sz w:val="21"/>
                <w:szCs w:val="21"/>
              </w:rPr>
            </w:pPr>
          </w:p>
        </w:tc>
        <w:tc>
          <w:tcPr>
            <w:tcW w:w="1019" w:type="pct"/>
            <w:shd w:val="clear" w:color="auto" w:fill="auto"/>
            <w:vAlign w:val="center"/>
          </w:tcPr>
          <w:p w14:paraId="2FF77625">
            <w:pPr>
              <w:adjustRightInd w:val="0"/>
              <w:snapToGrid w:val="0"/>
              <w:spacing w:line="240" w:lineRule="auto"/>
              <w:ind w:firstLine="0" w:firstLineChars="0"/>
              <w:jc w:val="center"/>
              <w:rPr>
                <w:sz w:val="21"/>
                <w:szCs w:val="21"/>
              </w:rPr>
            </w:pPr>
            <w:r>
              <w:rPr>
                <w:rFonts w:hint="eastAsia"/>
                <w:sz w:val="21"/>
                <w:szCs w:val="21"/>
              </w:rPr>
              <w:t>总汞</w:t>
            </w:r>
          </w:p>
        </w:tc>
        <w:tc>
          <w:tcPr>
            <w:tcW w:w="487" w:type="pct"/>
            <w:shd w:val="clear" w:color="auto" w:fill="auto"/>
            <w:vAlign w:val="center"/>
          </w:tcPr>
          <w:p w14:paraId="0B0B116F">
            <w:pPr>
              <w:adjustRightInd w:val="0"/>
              <w:snapToGrid w:val="0"/>
              <w:spacing w:line="240" w:lineRule="auto"/>
              <w:ind w:firstLine="0" w:firstLineChars="0"/>
              <w:jc w:val="center"/>
              <w:rPr>
                <w:sz w:val="21"/>
                <w:szCs w:val="21"/>
              </w:rPr>
            </w:pPr>
            <w:r>
              <w:rPr>
                <w:rFonts w:hint="eastAsia"/>
                <w:sz w:val="21"/>
                <w:szCs w:val="21"/>
              </w:rPr>
              <w:t>0</w:t>
            </w:r>
            <w:r>
              <w:rPr>
                <w:sz w:val="21"/>
                <w:szCs w:val="21"/>
              </w:rPr>
              <w:t>.05</w:t>
            </w:r>
          </w:p>
        </w:tc>
        <w:tc>
          <w:tcPr>
            <w:tcW w:w="2402" w:type="pct"/>
            <w:vMerge w:val="continue"/>
            <w:shd w:val="clear" w:color="auto" w:fill="auto"/>
            <w:vAlign w:val="center"/>
          </w:tcPr>
          <w:p w14:paraId="0241941C">
            <w:pPr>
              <w:adjustRightInd w:val="0"/>
              <w:snapToGrid w:val="0"/>
              <w:spacing w:line="240" w:lineRule="auto"/>
              <w:ind w:firstLine="0" w:firstLineChars="0"/>
              <w:jc w:val="center"/>
              <w:rPr>
                <w:sz w:val="21"/>
                <w:szCs w:val="21"/>
              </w:rPr>
            </w:pPr>
          </w:p>
        </w:tc>
      </w:tr>
      <w:tr w14:paraId="17B30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9" w:type="pct"/>
            <w:shd w:val="clear" w:color="auto" w:fill="auto"/>
            <w:vAlign w:val="center"/>
          </w:tcPr>
          <w:p w14:paraId="221E23AB">
            <w:pPr>
              <w:numPr>
                <w:ilvl w:val="0"/>
                <w:numId w:val="10"/>
              </w:numPr>
              <w:adjustRightInd w:val="0"/>
              <w:snapToGrid w:val="0"/>
              <w:spacing w:line="240" w:lineRule="auto"/>
              <w:ind w:firstLineChars="0"/>
              <w:jc w:val="center"/>
              <w:rPr>
                <w:sz w:val="21"/>
                <w:szCs w:val="21"/>
              </w:rPr>
            </w:pPr>
          </w:p>
        </w:tc>
        <w:tc>
          <w:tcPr>
            <w:tcW w:w="633" w:type="pct"/>
            <w:vMerge w:val="continue"/>
          </w:tcPr>
          <w:p w14:paraId="02EA7E89">
            <w:pPr>
              <w:adjustRightInd w:val="0"/>
              <w:snapToGrid w:val="0"/>
              <w:spacing w:line="240" w:lineRule="auto"/>
              <w:ind w:firstLine="0" w:firstLineChars="0"/>
              <w:jc w:val="center"/>
              <w:rPr>
                <w:sz w:val="21"/>
                <w:szCs w:val="21"/>
              </w:rPr>
            </w:pPr>
          </w:p>
        </w:tc>
        <w:tc>
          <w:tcPr>
            <w:tcW w:w="1019" w:type="pct"/>
            <w:shd w:val="clear" w:color="auto" w:fill="auto"/>
            <w:vAlign w:val="center"/>
          </w:tcPr>
          <w:p w14:paraId="495699B1">
            <w:pPr>
              <w:adjustRightInd w:val="0"/>
              <w:snapToGrid w:val="0"/>
              <w:spacing w:line="240" w:lineRule="auto"/>
              <w:ind w:firstLine="0" w:firstLineChars="0"/>
              <w:jc w:val="center"/>
              <w:rPr>
                <w:sz w:val="21"/>
                <w:szCs w:val="21"/>
              </w:rPr>
            </w:pPr>
            <w:r>
              <w:rPr>
                <w:rFonts w:hint="eastAsia"/>
                <w:sz w:val="21"/>
                <w:szCs w:val="21"/>
              </w:rPr>
              <w:t>烷基汞</w:t>
            </w:r>
          </w:p>
        </w:tc>
        <w:tc>
          <w:tcPr>
            <w:tcW w:w="487" w:type="pct"/>
            <w:shd w:val="clear" w:color="auto" w:fill="auto"/>
            <w:vAlign w:val="center"/>
          </w:tcPr>
          <w:p w14:paraId="3489D928">
            <w:pPr>
              <w:adjustRightInd w:val="0"/>
              <w:snapToGrid w:val="0"/>
              <w:spacing w:line="240" w:lineRule="auto"/>
              <w:ind w:firstLine="0" w:firstLineChars="0"/>
              <w:jc w:val="center"/>
              <w:rPr>
                <w:sz w:val="21"/>
                <w:szCs w:val="21"/>
              </w:rPr>
            </w:pPr>
            <w:r>
              <w:rPr>
                <w:rFonts w:hint="eastAsia"/>
                <w:sz w:val="21"/>
                <w:szCs w:val="21"/>
              </w:rPr>
              <w:t>不得检出</w:t>
            </w:r>
          </w:p>
        </w:tc>
        <w:tc>
          <w:tcPr>
            <w:tcW w:w="2402" w:type="pct"/>
            <w:vMerge w:val="continue"/>
            <w:shd w:val="clear" w:color="auto" w:fill="auto"/>
            <w:vAlign w:val="center"/>
          </w:tcPr>
          <w:p w14:paraId="1F9F24EC">
            <w:pPr>
              <w:adjustRightInd w:val="0"/>
              <w:snapToGrid w:val="0"/>
              <w:spacing w:line="240" w:lineRule="auto"/>
              <w:ind w:firstLine="0" w:firstLineChars="0"/>
              <w:jc w:val="center"/>
              <w:rPr>
                <w:sz w:val="21"/>
                <w:szCs w:val="21"/>
              </w:rPr>
            </w:pPr>
          </w:p>
        </w:tc>
      </w:tr>
    </w:tbl>
    <w:p w14:paraId="5C07103C">
      <w:pPr>
        <w:pStyle w:val="45"/>
        <w:spacing w:before="65" w:after="65"/>
      </w:pPr>
      <w:r>
        <w:rPr>
          <w:rFonts w:hint="eastAsia"/>
        </w:rPr>
        <w:t>噪声</w:t>
      </w:r>
    </w:p>
    <w:p w14:paraId="4A5E1C05">
      <w:pPr>
        <w:ind w:firstLine="480"/>
      </w:pPr>
      <w:r>
        <w:t>施工期和运营期噪声</w:t>
      </w:r>
      <w:r>
        <w:rPr>
          <w:rFonts w:hint="eastAsia"/>
        </w:rPr>
        <w:t>排放</w:t>
      </w:r>
      <w:r>
        <w:t>执行标准见</w:t>
      </w:r>
      <w:r>
        <w:rPr>
          <w:rFonts w:hint="eastAsia"/>
        </w:rPr>
        <w:t>下</w:t>
      </w:r>
      <w:r>
        <w:t>表。</w:t>
      </w:r>
    </w:p>
    <w:p w14:paraId="45104DA6">
      <w:pPr>
        <w:pStyle w:val="47"/>
        <w:spacing w:before="65"/>
      </w:pPr>
      <w:r>
        <w:rPr>
          <w:rFonts w:hint="eastAsia"/>
        </w:rPr>
        <w:t>表2.</w:t>
      </w:r>
      <w:r>
        <w:t xml:space="preserve">5-7   </w:t>
      </w:r>
      <w:r>
        <w:rPr>
          <w:rFonts w:hint="eastAsia"/>
        </w:rPr>
        <w:t>建筑施工场界环境噪声排放限值</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985"/>
        <w:gridCol w:w="1983"/>
        <w:gridCol w:w="4762"/>
      </w:tblGrid>
      <w:tr w14:paraId="680869E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2273" w:type="pct"/>
            <w:gridSpan w:val="2"/>
            <w:vAlign w:val="center"/>
          </w:tcPr>
          <w:p w14:paraId="07FE7EA9">
            <w:pPr>
              <w:adjustRightInd w:val="0"/>
              <w:snapToGrid w:val="0"/>
              <w:spacing w:line="240" w:lineRule="auto"/>
              <w:ind w:firstLine="0" w:firstLineChars="0"/>
              <w:jc w:val="center"/>
              <w:rPr>
                <w:sz w:val="21"/>
                <w:szCs w:val="20"/>
              </w:rPr>
            </w:pPr>
            <w:r>
              <w:rPr>
                <w:sz w:val="21"/>
                <w:szCs w:val="20"/>
              </w:rPr>
              <w:t>噪声排放限值dB（A）</w:t>
            </w:r>
          </w:p>
        </w:tc>
        <w:tc>
          <w:tcPr>
            <w:tcW w:w="2727" w:type="pct"/>
            <w:vMerge w:val="restart"/>
            <w:vAlign w:val="center"/>
          </w:tcPr>
          <w:p w14:paraId="207FFE68">
            <w:pPr>
              <w:adjustRightInd w:val="0"/>
              <w:snapToGrid w:val="0"/>
              <w:spacing w:line="240" w:lineRule="auto"/>
              <w:ind w:firstLine="0" w:firstLineChars="0"/>
              <w:jc w:val="center"/>
              <w:rPr>
                <w:sz w:val="21"/>
                <w:szCs w:val="20"/>
              </w:rPr>
            </w:pPr>
            <w:r>
              <w:rPr>
                <w:sz w:val="21"/>
                <w:szCs w:val="20"/>
              </w:rPr>
              <w:t>标准来源</w:t>
            </w:r>
          </w:p>
        </w:tc>
      </w:tr>
      <w:tr w14:paraId="2A97E66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137" w:type="pct"/>
            <w:vAlign w:val="center"/>
          </w:tcPr>
          <w:p w14:paraId="7A008432">
            <w:pPr>
              <w:adjustRightInd w:val="0"/>
              <w:snapToGrid w:val="0"/>
              <w:spacing w:line="240" w:lineRule="auto"/>
              <w:ind w:firstLine="0" w:firstLineChars="0"/>
              <w:jc w:val="center"/>
              <w:rPr>
                <w:sz w:val="21"/>
                <w:szCs w:val="20"/>
              </w:rPr>
            </w:pPr>
            <w:r>
              <w:rPr>
                <w:sz w:val="21"/>
                <w:szCs w:val="20"/>
              </w:rPr>
              <w:t>昼间</w:t>
            </w:r>
          </w:p>
        </w:tc>
        <w:tc>
          <w:tcPr>
            <w:tcW w:w="1136" w:type="pct"/>
            <w:vAlign w:val="center"/>
          </w:tcPr>
          <w:p w14:paraId="3012C3A0">
            <w:pPr>
              <w:adjustRightInd w:val="0"/>
              <w:snapToGrid w:val="0"/>
              <w:spacing w:line="240" w:lineRule="auto"/>
              <w:ind w:firstLine="0" w:firstLineChars="0"/>
              <w:jc w:val="center"/>
              <w:rPr>
                <w:sz w:val="21"/>
                <w:szCs w:val="20"/>
              </w:rPr>
            </w:pPr>
            <w:r>
              <w:rPr>
                <w:sz w:val="21"/>
                <w:szCs w:val="20"/>
              </w:rPr>
              <w:t>夜间</w:t>
            </w:r>
          </w:p>
        </w:tc>
        <w:tc>
          <w:tcPr>
            <w:tcW w:w="2727" w:type="pct"/>
            <w:vMerge w:val="continue"/>
            <w:vAlign w:val="center"/>
          </w:tcPr>
          <w:p w14:paraId="42AD4892">
            <w:pPr>
              <w:adjustRightInd w:val="0"/>
              <w:snapToGrid w:val="0"/>
              <w:spacing w:line="240" w:lineRule="auto"/>
              <w:ind w:firstLine="0" w:firstLineChars="0"/>
              <w:jc w:val="center"/>
              <w:rPr>
                <w:sz w:val="21"/>
                <w:szCs w:val="20"/>
              </w:rPr>
            </w:pPr>
          </w:p>
        </w:tc>
      </w:tr>
      <w:tr w14:paraId="47CAF0E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137" w:type="pct"/>
            <w:vAlign w:val="center"/>
          </w:tcPr>
          <w:p w14:paraId="0F67CC91">
            <w:pPr>
              <w:adjustRightInd w:val="0"/>
              <w:snapToGrid w:val="0"/>
              <w:spacing w:line="240" w:lineRule="auto"/>
              <w:ind w:firstLine="0" w:firstLineChars="0"/>
              <w:jc w:val="center"/>
              <w:rPr>
                <w:sz w:val="21"/>
                <w:szCs w:val="20"/>
              </w:rPr>
            </w:pPr>
            <w:r>
              <w:rPr>
                <w:sz w:val="21"/>
                <w:szCs w:val="20"/>
              </w:rPr>
              <w:t>70</w:t>
            </w:r>
          </w:p>
        </w:tc>
        <w:tc>
          <w:tcPr>
            <w:tcW w:w="1136" w:type="pct"/>
            <w:vAlign w:val="center"/>
          </w:tcPr>
          <w:p w14:paraId="5B45A0DD">
            <w:pPr>
              <w:adjustRightInd w:val="0"/>
              <w:snapToGrid w:val="0"/>
              <w:spacing w:line="240" w:lineRule="auto"/>
              <w:ind w:firstLine="0" w:firstLineChars="0"/>
              <w:jc w:val="center"/>
              <w:rPr>
                <w:sz w:val="21"/>
                <w:szCs w:val="20"/>
              </w:rPr>
            </w:pPr>
            <w:r>
              <w:rPr>
                <w:sz w:val="21"/>
                <w:szCs w:val="20"/>
              </w:rPr>
              <w:t>55</w:t>
            </w:r>
          </w:p>
        </w:tc>
        <w:tc>
          <w:tcPr>
            <w:tcW w:w="2727" w:type="pct"/>
            <w:vAlign w:val="center"/>
          </w:tcPr>
          <w:p w14:paraId="5EA83DFD">
            <w:pPr>
              <w:adjustRightInd w:val="0"/>
              <w:snapToGrid w:val="0"/>
              <w:spacing w:line="240" w:lineRule="auto"/>
              <w:ind w:firstLine="0" w:firstLineChars="0"/>
              <w:jc w:val="center"/>
              <w:rPr>
                <w:sz w:val="21"/>
                <w:szCs w:val="20"/>
              </w:rPr>
            </w:pPr>
            <w:r>
              <w:rPr>
                <w:sz w:val="21"/>
                <w:szCs w:val="20"/>
              </w:rPr>
              <w:t>《建筑施工场界环境噪声排放标准》</w:t>
            </w:r>
            <w:r>
              <w:rPr>
                <w:rFonts w:hint="eastAsia"/>
                <w:sz w:val="21"/>
                <w:szCs w:val="20"/>
              </w:rPr>
              <w:t>（</w:t>
            </w:r>
            <w:r>
              <w:rPr>
                <w:sz w:val="21"/>
                <w:szCs w:val="20"/>
              </w:rPr>
              <w:t>GB12523-2011</w:t>
            </w:r>
            <w:r>
              <w:rPr>
                <w:rFonts w:hint="eastAsia"/>
                <w:sz w:val="21"/>
                <w:szCs w:val="20"/>
              </w:rPr>
              <w:t>）</w:t>
            </w:r>
          </w:p>
        </w:tc>
      </w:tr>
    </w:tbl>
    <w:p w14:paraId="79119539">
      <w:pPr>
        <w:pStyle w:val="47"/>
        <w:spacing w:before="65"/>
      </w:pPr>
      <w:r>
        <w:rPr>
          <w:rFonts w:hint="eastAsia"/>
        </w:rPr>
        <w:t>表2.</w:t>
      </w:r>
      <w:r>
        <w:t xml:space="preserve">5-8   </w:t>
      </w:r>
      <w:r>
        <w:rPr>
          <w:rFonts w:hint="eastAsia"/>
        </w:rPr>
        <w:t>工业企业厂界环境噪声排放标准</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985"/>
        <w:gridCol w:w="850"/>
        <w:gridCol w:w="852"/>
        <w:gridCol w:w="5043"/>
      </w:tblGrid>
      <w:tr w14:paraId="6FF306F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137" w:type="pct"/>
            <w:vMerge w:val="restart"/>
            <w:vAlign w:val="center"/>
          </w:tcPr>
          <w:p w14:paraId="0F8E7BB6">
            <w:pPr>
              <w:adjustRightInd w:val="0"/>
              <w:snapToGrid w:val="0"/>
              <w:spacing w:line="240" w:lineRule="auto"/>
              <w:ind w:firstLine="0" w:firstLineChars="0"/>
              <w:jc w:val="center"/>
              <w:rPr>
                <w:sz w:val="21"/>
                <w:szCs w:val="20"/>
              </w:rPr>
            </w:pPr>
            <w:r>
              <w:rPr>
                <w:sz w:val="21"/>
                <w:szCs w:val="20"/>
              </w:rPr>
              <w:t>厂界外声环境功能区类别</w:t>
            </w:r>
          </w:p>
        </w:tc>
        <w:tc>
          <w:tcPr>
            <w:tcW w:w="975" w:type="pct"/>
            <w:gridSpan w:val="2"/>
            <w:vAlign w:val="center"/>
          </w:tcPr>
          <w:p w14:paraId="74E0576A">
            <w:pPr>
              <w:adjustRightInd w:val="0"/>
              <w:snapToGrid w:val="0"/>
              <w:spacing w:line="240" w:lineRule="auto"/>
              <w:ind w:firstLine="0" w:firstLineChars="0"/>
              <w:jc w:val="center"/>
              <w:rPr>
                <w:sz w:val="21"/>
                <w:szCs w:val="20"/>
              </w:rPr>
            </w:pPr>
            <w:r>
              <w:rPr>
                <w:sz w:val="21"/>
                <w:szCs w:val="20"/>
              </w:rPr>
              <w:t>标准值dB（A）</w:t>
            </w:r>
          </w:p>
        </w:tc>
        <w:tc>
          <w:tcPr>
            <w:tcW w:w="2888" w:type="pct"/>
            <w:vMerge w:val="restart"/>
            <w:vAlign w:val="center"/>
          </w:tcPr>
          <w:p w14:paraId="5500921C">
            <w:pPr>
              <w:adjustRightInd w:val="0"/>
              <w:snapToGrid w:val="0"/>
              <w:spacing w:line="240" w:lineRule="auto"/>
              <w:ind w:firstLine="0" w:firstLineChars="0"/>
              <w:jc w:val="center"/>
              <w:rPr>
                <w:sz w:val="21"/>
                <w:szCs w:val="20"/>
              </w:rPr>
            </w:pPr>
            <w:r>
              <w:rPr>
                <w:sz w:val="21"/>
                <w:szCs w:val="20"/>
              </w:rPr>
              <w:t>标准来源</w:t>
            </w:r>
          </w:p>
        </w:tc>
      </w:tr>
      <w:tr w14:paraId="1BBCD6E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137" w:type="pct"/>
            <w:vMerge w:val="continue"/>
            <w:vAlign w:val="center"/>
          </w:tcPr>
          <w:p w14:paraId="54937C8D">
            <w:pPr>
              <w:adjustRightInd w:val="0"/>
              <w:snapToGrid w:val="0"/>
              <w:spacing w:line="240" w:lineRule="auto"/>
              <w:ind w:firstLine="0" w:firstLineChars="0"/>
              <w:jc w:val="center"/>
              <w:rPr>
                <w:sz w:val="21"/>
                <w:szCs w:val="20"/>
              </w:rPr>
            </w:pPr>
          </w:p>
        </w:tc>
        <w:tc>
          <w:tcPr>
            <w:tcW w:w="487" w:type="pct"/>
            <w:vAlign w:val="center"/>
          </w:tcPr>
          <w:p w14:paraId="14B89D0F">
            <w:pPr>
              <w:adjustRightInd w:val="0"/>
              <w:snapToGrid w:val="0"/>
              <w:spacing w:line="240" w:lineRule="auto"/>
              <w:ind w:firstLine="0" w:firstLineChars="0"/>
              <w:jc w:val="center"/>
              <w:rPr>
                <w:sz w:val="21"/>
                <w:szCs w:val="20"/>
              </w:rPr>
            </w:pPr>
            <w:r>
              <w:rPr>
                <w:sz w:val="21"/>
                <w:szCs w:val="20"/>
              </w:rPr>
              <w:t>昼间</w:t>
            </w:r>
          </w:p>
        </w:tc>
        <w:tc>
          <w:tcPr>
            <w:tcW w:w="488" w:type="pct"/>
            <w:vAlign w:val="center"/>
          </w:tcPr>
          <w:p w14:paraId="3C08FB64">
            <w:pPr>
              <w:adjustRightInd w:val="0"/>
              <w:snapToGrid w:val="0"/>
              <w:spacing w:line="240" w:lineRule="auto"/>
              <w:ind w:firstLine="0" w:firstLineChars="0"/>
              <w:jc w:val="center"/>
              <w:rPr>
                <w:sz w:val="21"/>
                <w:szCs w:val="20"/>
              </w:rPr>
            </w:pPr>
            <w:r>
              <w:rPr>
                <w:sz w:val="21"/>
                <w:szCs w:val="20"/>
              </w:rPr>
              <w:t>夜间</w:t>
            </w:r>
          </w:p>
        </w:tc>
        <w:tc>
          <w:tcPr>
            <w:tcW w:w="2888" w:type="pct"/>
            <w:vMerge w:val="continue"/>
            <w:vAlign w:val="center"/>
          </w:tcPr>
          <w:p w14:paraId="0FE61FCA">
            <w:pPr>
              <w:adjustRightInd w:val="0"/>
              <w:snapToGrid w:val="0"/>
              <w:spacing w:line="240" w:lineRule="auto"/>
              <w:ind w:firstLine="0" w:firstLineChars="0"/>
              <w:jc w:val="center"/>
              <w:rPr>
                <w:sz w:val="21"/>
                <w:szCs w:val="20"/>
              </w:rPr>
            </w:pPr>
          </w:p>
        </w:tc>
      </w:tr>
      <w:tr w14:paraId="3A4AD9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137" w:type="pct"/>
            <w:vAlign w:val="center"/>
          </w:tcPr>
          <w:p w14:paraId="3F99FB34">
            <w:pPr>
              <w:adjustRightInd w:val="0"/>
              <w:snapToGrid w:val="0"/>
              <w:spacing w:line="240" w:lineRule="auto"/>
              <w:ind w:firstLine="0" w:firstLineChars="0"/>
              <w:jc w:val="center"/>
              <w:rPr>
                <w:sz w:val="21"/>
                <w:szCs w:val="20"/>
              </w:rPr>
            </w:pPr>
            <w:r>
              <w:rPr>
                <w:sz w:val="21"/>
                <w:szCs w:val="20"/>
              </w:rPr>
              <w:t>3类</w:t>
            </w:r>
          </w:p>
        </w:tc>
        <w:tc>
          <w:tcPr>
            <w:tcW w:w="487" w:type="pct"/>
            <w:vAlign w:val="center"/>
          </w:tcPr>
          <w:p w14:paraId="309A5CC6">
            <w:pPr>
              <w:adjustRightInd w:val="0"/>
              <w:snapToGrid w:val="0"/>
              <w:spacing w:line="240" w:lineRule="auto"/>
              <w:ind w:firstLine="0" w:firstLineChars="0"/>
              <w:jc w:val="center"/>
              <w:rPr>
                <w:sz w:val="21"/>
                <w:szCs w:val="20"/>
              </w:rPr>
            </w:pPr>
            <w:r>
              <w:rPr>
                <w:sz w:val="21"/>
                <w:szCs w:val="20"/>
              </w:rPr>
              <w:t>65</w:t>
            </w:r>
          </w:p>
        </w:tc>
        <w:tc>
          <w:tcPr>
            <w:tcW w:w="488" w:type="pct"/>
            <w:vAlign w:val="center"/>
          </w:tcPr>
          <w:p w14:paraId="42CFB2D7">
            <w:pPr>
              <w:adjustRightInd w:val="0"/>
              <w:snapToGrid w:val="0"/>
              <w:spacing w:line="240" w:lineRule="auto"/>
              <w:ind w:firstLine="0" w:firstLineChars="0"/>
              <w:jc w:val="center"/>
              <w:rPr>
                <w:sz w:val="21"/>
                <w:szCs w:val="20"/>
              </w:rPr>
            </w:pPr>
            <w:r>
              <w:rPr>
                <w:sz w:val="21"/>
                <w:szCs w:val="20"/>
              </w:rPr>
              <w:t>55</w:t>
            </w:r>
          </w:p>
        </w:tc>
        <w:tc>
          <w:tcPr>
            <w:tcW w:w="2888" w:type="pct"/>
            <w:vAlign w:val="center"/>
          </w:tcPr>
          <w:p w14:paraId="24D3474F">
            <w:pPr>
              <w:adjustRightInd w:val="0"/>
              <w:snapToGrid w:val="0"/>
              <w:spacing w:line="240" w:lineRule="auto"/>
              <w:ind w:firstLine="0" w:firstLineChars="0"/>
              <w:jc w:val="center"/>
              <w:rPr>
                <w:sz w:val="21"/>
                <w:szCs w:val="20"/>
              </w:rPr>
            </w:pPr>
            <w:r>
              <w:rPr>
                <w:sz w:val="21"/>
                <w:szCs w:val="20"/>
              </w:rPr>
              <w:t>《工业企业厂界环境噪声排放标准》</w:t>
            </w:r>
            <w:r>
              <w:rPr>
                <w:rFonts w:hint="eastAsia"/>
                <w:sz w:val="21"/>
                <w:szCs w:val="20"/>
              </w:rPr>
              <w:t>（</w:t>
            </w:r>
            <w:r>
              <w:rPr>
                <w:sz w:val="21"/>
                <w:szCs w:val="20"/>
              </w:rPr>
              <w:t>GB12348-2008</w:t>
            </w:r>
            <w:r>
              <w:rPr>
                <w:rFonts w:hint="eastAsia"/>
                <w:sz w:val="21"/>
                <w:szCs w:val="20"/>
              </w:rPr>
              <w:t>）3类区标准值</w:t>
            </w:r>
          </w:p>
        </w:tc>
      </w:tr>
    </w:tbl>
    <w:p w14:paraId="7DEA4748">
      <w:pPr>
        <w:pStyle w:val="45"/>
        <w:spacing w:before="65" w:after="65"/>
      </w:pPr>
      <w:r>
        <w:rPr>
          <w:rFonts w:hint="eastAsia"/>
        </w:rPr>
        <w:t>固体废物</w:t>
      </w:r>
    </w:p>
    <w:p w14:paraId="5CB2A613">
      <w:pPr>
        <w:numPr>
          <w:ilvl w:val="0"/>
          <w:numId w:val="11"/>
        </w:numPr>
        <w:spacing w:line="300" w:lineRule="auto"/>
        <w:ind w:firstLineChars="0"/>
      </w:pPr>
      <w:r>
        <w:rPr>
          <w:rFonts w:hint="eastAsia"/>
        </w:rPr>
        <w:t>一般工业固体废物执行《一般工业固体废物贮存和填埋污染控制标准》（GB18599-2020）；</w:t>
      </w:r>
    </w:p>
    <w:p w14:paraId="4F1C93BA">
      <w:pPr>
        <w:numPr>
          <w:ilvl w:val="0"/>
          <w:numId w:val="11"/>
        </w:numPr>
        <w:spacing w:line="300" w:lineRule="auto"/>
        <w:ind w:firstLineChars="0"/>
      </w:pPr>
      <w:r>
        <w:rPr>
          <w:rFonts w:hint="eastAsia"/>
        </w:rPr>
        <w:t>危险废物暂存库的设置须符合《危险废物贮存污染控制标准》（GB18597-2023）、《危险废物识别标志设置技术规范》（HJ1276-2022）中的相关要求；</w:t>
      </w:r>
    </w:p>
    <w:p w14:paraId="713A294F">
      <w:pPr>
        <w:numPr>
          <w:ilvl w:val="0"/>
          <w:numId w:val="11"/>
        </w:numPr>
        <w:spacing w:line="300" w:lineRule="auto"/>
        <w:ind w:firstLineChars="0"/>
      </w:pPr>
      <w:r>
        <w:rPr>
          <w:rFonts w:hint="eastAsia"/>
        </w:rPr>
        <w:t>危险废物的收集、贮存、运输须符合《危险废物收集 贮存 运输技术规范》（HJ2025-2012）及《危险废物转移管理办法》（生态环境部令第23号）中相关要求。</w:t>
      </w:r>
    </w:p>
    <w:p w14:paraId="47A8A6D9">
      <w:pPr>
        <w:pStyle w:val="41"/>
      </w:pPr>
      <w:bookmarkStart w:id="69" w:name="_Toc152864148"/>
      <w:r>
        <w:rPr>
          <w:rFonts w:hint="eastAsia"/>
        </w:rPr>
        <w:t>评价工作等级</w:t>
      </w:r>
      <w:bookmarkEnd w:id="69"/>
    </w:p>
    <w:p w14:paraId="61EE1D3E">
      <w:pPr>
        <w:pStyle w:val="43"/>
      </w:pPr>
      <w:bookmarkStart w:id="70" w:name="_Toc79515400"/>
      <w:bookmarkStart w:id="71" w:name="_Toc82518705"/>
      <w:bookmarkStart w:id="72" w:name="_Toc81214024"/>
      <w:bookmarkStart w:id="73" w:name="_Toc77007742"/>
      <w:bookmarkStart w:id="74" w:name="_Toc80973456"/>
      <w:bookmarkStart w:id="75" w:name="_Toc152864149"/>
      <w:bookmarkStart w:id="76" w:name="_Toc80193029"/>
      <w:r>
        <w:rPr>
          <w:rFonts w:hint="eastAsia"/>
        </w:rPr>
        <w:t>大气环境</w:t>
      </w:r>
      <w:bookmarkEnd w:id="70"/>
      <w:bookmarkEnd w:id="71"/>
      <w:bookmarkEnd w:id="72"/>
      <w:bookmarkEnd w:id="73"/>
      <w:bookmarkEnd w:id="74"/>
      <w:bookmarkEnd w:id="75"/>
      <w:bookmarkEnd w:id="76"/>
    </w:p>
    <w:p w14:paraId="01F3A71A">
      <w:pPr>
        <w:pStyle w:val="45"/>
        <w:spacing w:before="65" w:after="65"/>
      </w:pPr>
      <w:r>
        <w:rPr>
          <w:rFonts w:hint="eastAsia"/>
        </w:rPr>
        <w:t>判定依据</w:t>
      </w:r>
    </w:p>
    <w:p w14:paraId="259778D9">
      <w:pPr>
        <w:ind w:firstLine="480"/>
      </w:pPr>
      <w:r>
        <w:rPr>
          <w:rFonts w:hint="eastAsia"/>
        </w:rPr>
        <w:t>根据《环境影响评价技术导则 大气环境》（HJ2.2-2018）中的规定，选择二氧化硫、氮氧化物、PM</w:t>
      </w:r>
      <w:r>
        <w:rPr>
          <w:vertAlign w:val="subscript"/>
        </w:rPr>
        <w:t>10</w:t>
      </w:r>
      <w:r>
        <w:rPr>
          <w:rFonts w:hint="eastAsia"/>
        </w:rPr>
        <w:t>、氨、硫化氢和非甲烷总烃共</w:t>
      </w:r>
      <w:r>
        <w:t>6</w:t>
      </w:r>
      <w:r>
        <w:rPr>
          <w:rFonts w:hint="eastAsia"/>
        </w:rPr>
        <w:t>项主要污染物，分别计算每一种污染物的最大地面浓度占标率Pi，及地面浓度达标准限值10%时所对应的最远距离D10%。其中Pi定义为：</w:t>
      </w:r>
    </w:p>
    <w:p w14:paraId="60D9D6EE">
      <w:pPr>
        <w:ind w:firstLine="480"/>
      </w:pPr>
      <w:r>
        <w:drawing>
          <wp:anchor distT="0" distB="0" distL="114300" distR="114300" simplePos="0" relativeHeight="251661312" behindDoc="0" locked="0" layoutInCell="1" allowOverlap="1">
            <wp:simplePos x="0" y="0"/>
            <wp:positionH relativeFrom="margin">
              <wp:align>center</wp:align>
            </wp:positionH>
            <wp:positionV relativeFrom="paragraph">
              <wp:posOffset>78105</wp:posOffset>
            </wp:positionV>
            <wp:extent cx="990600" cy="438150"/>
            <wp:effectExtent l="0" t="0" r="0" b="0"/>
            <wp:wrapTopAndBottom/>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41"/>
                    <a:stretch>
                      <a:fillRect/>
                    </a:stretch>
                  </pic:blipFill>
                  <pic:spPr>
                    <a:xfrm>
                      <a:off x="0" y="0"/>
                      <a:ext cx="990600" cy="438150"/>
                    </a:xfrm>
                    <a:prstGeom prst="rect">
                      <a:avLst/>
                    </a:prstGeom>
                    <a:noFill/>
                    <a:ln>
                      <a:noFill/>
                    </a:ln>
                  </pic:spPr>
                </pic:pic>
              </a:graphicData>
            </a:graphic>
          </wp:anchor>
        </w:drawing>
      </w:r>
      <w:r>
        <w:rPr>
          <w:rFonts w:hint="eastAsia"/>
        </w:rPr>
        <w:t>P</w:t>
      </w:r>
      <w:r>
        <w:rPr>
          <w:rFonts w:hint="eastAsia"/>
          <w:vertAlign w:val="subscript"/>
        </w:rPr>
        <w:t>i</w:t>
      </w:r>
      <w:r>
        <w:rPr>
          <w:rFonts w:hint="eastAsia"/>
        </w:rPr>
        <w:t>—第i个污染物的最大地面浓度占标率，%；</w:t>
      </w:r>
    </w:p>
    <w:p w14:paraId="2B0F133D">
      <w:pPr>
        <w:ind w:firstLine="480"/>
      </w:pPr>
      <w:r>
        <w:rPr>
          <w:rFonts w:hint="eastAsia"/>
        </w:rPr>
        <w:t>C</w:t>
      </w:r>
      <w:r>
        <w:rPr>
          <w:rFonts w:hint="eastAsia"/>
          <w:vertAlign w:val="subscript"/>
        </w:rPr>
        <w:t>i</w:t>
      </w:r>
      <w:r>
        <w:rPr>
          <w:rFonts w:hint="eastAsia"/>
        </w:rPr>
        <w:t>—估算模式计算出的第i个污染物的最大地面浓度，mg/m³；</w:t>
      </w:r>
    </w:p>
    <w:p w14:paraId="0376FE1B">
      <w:pPr>
        <w:ind w:firstLine="480"/>
      </w:pPr>
      <w:r>
        <w:rPr>
          <w:rFonts w:hint="eastAsia"/>
        </w:rPr>
        <w:t>C</w:t>
      </w:r>
      <w:r>
        <w:rPr>
          <w:rFonts w:hint="eastAsia"/>
          <w:vertAlign w:val="subscript"/>
        </w:rPr>
        <w:t>0i</w:t>
      </w:r>
      <w:r>
        <w:rPr>
          <w:rFonts w:hint="eastAsia"/>
        </w:rPr>
        <w:t>—第i个污染物的环境空气质量标准，mg/m³。</w:t>
      </w:r>
    </w:p>
    <w:p w14:paraId="4E71BED8">
      <w:pPr>
        <w:ind w:firstLine="480"/>
      </w:pPr>
      <w:r>
        <w:rPr>
          <w:rFonts w:hint="eastAsia"/>
        </w:rPr>
        <w:t>C</w:t>
      </w:r>
      <w:r>
        <w:rPr>
          <w:rFonts w:hint="eastAsia"/>
          <w:vertAlign w:val="subscript"/>
        </w:rPr>
        <w:t>0i</w:t>
      </w:r>
      <w:r>
        <w:rPr>
          <w:rFonts w:hint="eastAsia"/>
        </w:rPr>
        <w:t>选用GB3095中1小时平均质量浓度的二级标准的浓度限值，如项目位于一类环境空气功能区，应选择相应的一级浓度限值；对于无小时平均质量浓度的污染因子，可取8h平均浓度、24h平均浓度、年平均浓度限值的2、3、6倍值；对该标准中未包含的污染物，参照《环境影响评价技术导则 大气环境》（HJ2.2-2018）附录中的浓度限值。</w:t>
      </w:r>
    </w:p>
    <w:p w14:paraId="47869239">
      <w:pPr>
        <w:ind w:firstLine="480"/>
      </w:pPr>
      <w:r>
        <w:rPr>
          <w:rFonts w:hint="eastAsia"/>
        </w:rPr>
        <w:t>评价等级判定依据《环境影响评价导则 大气环境》（HJ2.2-2018）中规定，见下表，如污染物数i大于1，取P值中最大者（Pmax）。</w:t>
      </w:r>
    </w:p>
    <w:p w14:paraId="2A9CB591">
      <w:pPr>
        <w:pStyle w:val="47"/>
        <w:spacing w:before="65"/>
      </w:pPr>
      <w:r>
        <w:rPr>
          <w:rFonts w:hint="eastAsia"/>
        </w:rPr>
        <w:t>表2.</w:t>
      </w:r>
      <w:r>
        <w:t xml:space="preserve">6-1   </w:t>
      </w:r>
      <w:r>
        <w:rPr>
          <w:rFonts w:hint="eastAsia"/>
        </w:rPr>
        <w:t>评价工作等级判定</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3822"/>
        <w:gridCol w:w="4908"/>
      </w:tblGrid>
      <w:tr w14:paraId="5BB2E9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2189" w:type="pct"/>
            <w:vAlign w:val="center"/>
          </w:tcPr>
          <w:p w14:paraId="53A4A70B">
            <w:pPr>
              <w:adjustRightInd w:val="0"/>
              <w:snapToGrid w:val="0"/>
              <w:spacing w:line="240" w:lineRule="auto"/>
              <w:ind w:firstLine="0" w:firstLineChars="0"/>
              <w:jc w:val="center"/>
              <w:rPr>
                <w:sz w:val="21"/>
                <w:szCs w:val="20"/>
              </w:rPr>
            </w:pPr>
            <w:r>
              <w:rPr>
                <w:sz w:val="21"/>
                <w:szCs w:val="20"/>
              </w:rPr>
              <w:t>评价工作等级</w:t>
            </w:r>
          </w:p>
        </w:tc>
        <w:tc>
          <w:tcPr>
            <w:tcW w:w="2811" w:type="pct"/>
            <w:vAlign w:val="center"/>
          </w:tcPr>
          <w:p w14:paraId="713903CC">
            <w:pPr>
              <w:adjustRightInd w:val="0"/>
              <w:snapToGrid w:val="0"/>
              <w:spacing w:line="240" w:lineRule="auto"/>
              <w:ind w:firstLine="0" w:firstLineChars="0"/>
              <w:jc w:val="center"/>
              <w:rPr>
                <w:sz w:val="21"/>
                <w:szCs w:val="20"/>
              </w:rPr>
            </w:pPr>
            <w:r>
              <w:rPr>
                <w:sz w:val="21"/>
                <w:szCs w:val="20"/>
              </w:rPr>
              <w:t>评价工作分级判据</w:t>
            </w:r>
          </w:p>
        </w:tc>
      </w:tr>
      <w:tr w14:paraId="5943DF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2189" w:type="pct"/>
            <w:vAlign w:val="center"/>
          </w:tcPr>
          <w:p w14:paraId="0A2AB207">
            <w:pPr>
              <w:adjustRightInd w:val="0"/>
              <w:snapToGrid w:val="0"/>
              <w:spacing w:line="240" w:lineRule="auto"/>
              <w:ind w:firstLine="0" w:firstLineChars="0"/>
              <w:jc w:val="center"/>
              <w:rPr>
                <w:sz w:val="21"/>
                <w:szCs w:val="20"/>
              </w:rPr>
            </w:pPr>
            <w:r>
              <w:rPr>
                <w:sz w:val="21"/>
                <w:szCs w:val="20"/>
              </w:rPr>
              <w:t>一级</w:t>
            </w:r>
          </w:p>
        </w:tc>
        <w:tc>
          <w:tcPr>
            <w:tcW w:w="2811" w:type="pct"/>
            <w:vAlign w:val="center"/>
          </w:tcPr>
          <w:p w14:paraId="01930327">
            <w:pPr>
              <w:adjustRightInd w:val="0"/>
              <w:snapToGrid w:val="0"/>
              <w:spacing w:line="240" w:lineRule="auto"/>
              <w:ind w:firstLine="0" w:firstLineChars="0"/>
              <w:jc w:val="center"/>
              <w:rPr>
                <w:sz w:val="21"/>
                <w:szCs w:val="20"/>
              </w:rPr>
            </w:pPr>
            <w:r>
              <w:rPr>
                <w:sz w:val="21"/>
                <w:szCs w:val="20"/>
              </w:rPr>
              <w:t>Pmax≥10%</w:t>
            </w:r>
          </w:p>
        </w:tc>
      </w:tr>
      <w:tr w14:paraId="144A27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2189" w:type="pct"/>
            <w:vAlign w:val="center"/>
          </w:tcPr>
          <w:p w14:paraId="4EA892FD">
            <w:pPr>
              <w:adjustRightInd w:val="0"/>
              <w:snapToGrid w:val="0"/>
              <w:spacing w:line="240" w:lineRule="auto"/>
              <w:ind w:firstLine="0" w:firstLineChars="0"/>
              <w:jc w:val="center"/>
              <w:rPr>
                <w:sz w:val="21"/>
                <w:szCs w:val="20"/>
              </w:rPr>
            </w:pPr>
            <w:r>
              <w:rPr>
                <w:sz w:val="21"/>
                <w:szCs w:val="20"/>
              </w:rPr>
              <w:t>二级</w:t>
            </w:r>
          </w:p>
        </w:tc>
        <w:tc>
          <w:tcPr>
            <w:tcW w:w="2811" w:type="pct"/>
            <w:vAlign w:val="center"/>
          </w:tcPr>
          <w:p w14:paraId="3F78E7F2">
            <w:pPr>
              <w:adjustRightInd w:val="0"/>
              <w:snapToGrid w:val="0"/>
              <w:spacing w:line="240" w:lineRule="auto"/>
              <w:ind w:firstLine="0" w:firstLineChars="0"/>
              <w:jc w:val="center"/>
              <w:rPr>
                <w:sz w:val="21"/>
                <w:szCs w:val="20"/>
              </w:rPr>
            </w:pPr>
            <w:r>
              <w:rPr>
                <w:sz w:val="21"/>
                <w:szCs w:val="20"/>
              </w:rPr>
              <w:t>1%≤Pmax＜10%</w:t>
            </w:r>
          </w:p>
        </w:tc>
      </w:tr>
      <w:tr w14:paraId="2ABA6A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2189" w:type="pct"/>
            <w:vAlign w:val="center"/>
          </w:tcPr>
          <w:p w14:paraId="18B76CBA">
            <w:pPr>
              <w:adjustRightInd w:val="0"/>
              <w:snapToGrid w:val="0"/>
              <w:spacing w:line="240" w:lineRule="auto"/>
              <w:ind w:firstLine="0" w:firstLineChars="0"/>
              <w:jc w:val="center"/>
              <w:rPr>
                <w:sz w:val="21"/>
                <w:szCs w:val="20"/>
              </w:rPr>
            </w:pPr>
            <w:r>
              <w:rPr>
                <w:sz w:val="21"/>
                <w:szCs w:val="20"/>
              </w:rPr>
              <w:t>三级</w:t>
            </w:r>
          </w:p>
        </w:tc>
        <w:tc>
          <w:tcPr>
            <w:tcW w:w="2811" w:type="pct"/>
            <w:vAlign w:val="center"/>
          </w:tcPr>
          <w:p w14:paraId="2E5035D0">
            <w:pPr>
              <w:adjustRightInd w:val="0"/>
              <w:snapToGrid w:val="0"/>
              <w:spacing w:line="240" w:lineRule="auto"/>
              <w:ind w:firstLine="0" w:firstLineChars="0"/>
              <w:jc w:val="center"/>
              <w:rPr>
                <w:sz w:val="21"/>
                <w:szCs w:val="20"/>
              </w:rPr>
            </w:pPr>
            <w:r>
              <w:rPr>
                <w:sz w:val="21"/>
                <w:szCs w:val="20"/>
              </w:rPr>
              <w:t>Pmax＜1%</w:t>
            </w:r>
          </w:p>
        </w:tc>
      </w:tr>
    </w:tbl>
    <w:p w14:paraId="25CC7AE8">
      <w:pPr>
        <w:pStyle w:val="45"/>
        <w:spacing w:before="65" w:after="65"/>
      </w:pPr>
      <w:r>
        <w:rPr>
          <w:rFonts w:hint="eastAsia"/>
        </w:rPr>
        <w:t>判定过程</w:t>
      </w:r>
    </w:p>
    <w:p w14:paraId="189BE056">
      <w:pPr>
        <w:ind w:firstLine="480"/>
      </w:pPr>
      <w:r>
        <w:rPr>
          <w:rFonts w:hint="eastAsia"/>
        </w:rPr>
        <w:t>根据</w:t>
      </w:r>
      <w:r>
        <w:rPr>
          <w:rFonts w:hint="eastAsia"/>
          <w:lang w:val="en-US" w:eastAsia="zh-CN"/>
        </w:rPr>
        <w:t>大气导则</w:t>
      </w:r>
      <w:r>
        <w:rPr>
          <w:rFonts w:hint="eastAsia"/>
        </w:rPr>
        <w:t>中附录C评价等级判定过程如下：</w:t>
      </w:r>
    </w:p>
    <w:p w14:paraId="77430539">
      <w:pPr>
        <w:ind w:firstLine="480"/>
      </w:pPr>
      <w:r>
        <w:rPr>
          <w:rFonts w:hint="eastAsia" w:ascii="宋体" w:hAnsi="宋体" w:cs="宋体"/>
        </w:rPr>
        <w:t>①</w:t>
      </w:r>
      <w:r>
        <w:rPr>
          <w:rFonts w:hint="eastAsia"/>
        </w:rPr>
        <w:t>评价因子和评价标准见下表</w:t>
      </w:r>
    </w:p>
    <w:p w14:paraId="6DD9E2CF">
      <w:pPr>
        <w:pStyle w:val="47"/>
        <w:spacing w:before="65"/>
        <w:rPr>
          <w:lang w:val="en-US"/>
        </w:rPr>
      </w:pPr>
      <w:r>
        <w:rPr>
          <w:rFonts w:hint="eastAsia"/>
        </w:rPr>
        <w:t>表2.</w:t>
      </w:r>
      <w:r>
        <w:t xml:space="preserve">6-2   </w:t>
      </w:r>
      <w:r>
        <w:rPr>
          <w:rFonts w:hint="eastAsia"/>
        </w:rPr>
        <w:t xml:space="preserve">评价因子和评价标准表 </w:t>
      </w:r>
      <w:r>
        <w:t xml:space="preserve">  </w:t>
      </w:r>
      <w:r>
        <w:rPr>
          <w:rFonts w:hint="eastAsia"/>
        </w:rPr>
        <w:t>单位</w:t>
      </w:r>
      <w:r>
        <w:rPr>
          <w:rFonts w:hint="eastAsia"/>
          <w:lang w:val="en-US"/>
        </w:rPr>
        <w:t>：</w:t>
      </w:r>
      <w:r>
        <w:rPr>
          <w:lang w:val="en-US"/>
        </w:rPr>
        <w:t>μ</w:t>
      </w:r>
      <w:r>
        <w:rPr>
          <w:rFonts w:hint="eastAsia"/>
          <w:lang w:val="en-US"/>
        </w:rPr>
        <w:t>g</w:t>
      </w:r>
      <w:r>
        <w:rPr>
          <w:lang w:val="en-US"/>
        </w:rPr>
        <w:t>/</w:t>
      </w:r>
      <w:r>
        <w:rPr>
          <w:rFonts w:hint="eastAsia"/>
          <w:lang w:val="en-US"/>
        </w:rPr>
        <w:t>m</w:t>
      </w:r>
      <w:r>
        <w:rPr>
          <w:vertAlign w:val="superscript"/>
          <w:lang w:val="en-US"/>
        </w:rPr>
        <w:t>3</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74"/>
        <w:gridCol w:w="1245"/>
        <w:gridCol w:w="969"/>
        <w:gridCol w:w="5442"/>
      </w:tblGrid>
      <w:tr w14:paraId="7964B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3A80B0E5">
            <w:pPr>
              <w:adjustRightInd w:val="0"/>
              <w:snapToGrid w:val="0"/>
              <w:spacing w:line="240" w:lineRule="auto"/>
              <w:ind w:firstLine="0" w:firstLineChars="0"/>
              <w:jc w:val="center"/>
              <w:rPr>
                <w:sz w:val="21"/>
                <w:szCs w:val="21"/>
              </w:rPr>
            </w:pPr>
            <w:r>
              <w:rPr>
                <w:rFonts w:hint="eastAsia"/>
                <w:sz w:val="21"/>
                <w:szCs w:val="21"/>
              </w:rPr>
              <w:t>评价因子</w:t>
            </w:r>
          </w:p>
        </w:tc>
        <w:tc>
          <w:tcPr>
            <w:tcW w:w="713" w:type="pct"/>
            <w:shd w:val="clear" w:color="auto" w:fill="auto"/>
            <w:vAlign w:val="center"/>
          </w:tcPr>
          <w:p w14:paraId="7AFE2596">
            <w:pPr>
              <w:adjustRightInd w:val="0"/>
              <w:snapToGrid w:val="0"/>
              <w:spacing w:line="240" w:lineRule="auto"/>
              <w:ind w:firstLine="0" w:firstLineChars="0"/>
              <w:jc w:val="center"/>
              <w:rPr>
                <w:sz w:val="21"/>
                <w:szCs w:val="21"/>
              </w:rPr>
            </w:pPr>
            <w:r>
              <w:rPr>
                <w:rFonts w:hint="eastAsia"/>
                <w:sz w:val="21"/>
                <w:szCs w:val="21"/>
              </w:rPr>
              <w:t>评价时段</w:t>
            </w:r>
          </w:p>
        </w:tc>
        <w:tc>
          <w:tcPr>
            <w:tcW w:w="555" w:type="pct"/>
            <w:shd w:val="clear" w:color="auto" w:fill="auto"/>
            <w:vAlign w:val="center"/>
          </w:tcPr>
          <w:p w14:paraId="1F4B63B7">
            <w:pPr>
              <w:adjustRightInd w:val="0"/>
              <w:snapToGrid w:val="0"/>
              <w:spacing w:line="240" w:lineRule="auto"/>
              <w:ind w:firstLine="0" w:firstLineChars="0"/>
              <w:jc w:val="center"/>
              <w:rPr>
                <w:sz w:val="21"/>
                <w:szCs w:val="21"/>
              </w:rPr>
            </w:pPr>
            <w:r>
              <w:rPr>
                <w:rFonts w:hint="eastAsia"/>
                <w:sz w:val="21"/>
                <w:szCs w:val="21"/>
              </w:rPr>
              <w:t>标准值</w:t>
            </w:r>
          </w:p>
        </w:tc>
        <w:tc>
          <w:tcPr>
            <w:tcW w:w="3117" w:type="pct"/>
            <w:shd w:val="clear" w:color="auto" w:fill="auto"/>
            <w:vAlign w:val="center"/>
          </w:tcPr>
          <w:p w14:paraId="7EFDC6D0">
            <w:pPr>
              <w:adjustRightInd w:val="0"/>
              <w:snapToGrid w:val="0"/>
              <w:spacing w:line="240" w:lineRule="auto"/>
              <w:ind w:firstLine="0" w:firstLineChars="0"/>
              <w:jc w:val="center"/>
              <w:rPr>
                <w:sz w:val="21"/>
                <w:szCs w:val="21"/>
              </w:rPr>
            </w:pPr>
            <w:r>
              <w:rPr>
                <w:rFonts w:hint="eastAsia"/>
                <w:sz w:val="21"/>
                <w:szCs w:val="21"/>
              </w:rPr>
              <w:t>标准来源</w:t>
            </w:r>
          </w:p>
        </w:tc>
      </w:tr>
      <w:tr w14:paraId="46422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41F23434">
            <w:pPr>
              <w:adjustRightInd w:val="0"/>
              <w:snapToGrid w:val="0"/>
              <w:spacing w:line="240" w:lineRule="auto"/>
              <w:ind w:firstLine="0" w:firstLineChars="0"/>
              <w:jc w:val="center"/>
              <w:rPr>
                <w:sz w:val="21"/>
                <w:szCs w:val="21"/>
              </w:rPr>
            </w:pPr>
            <w:r>
              <w:rPr>
                <w:rFonts w:hint="eastAsia"/>
                <w:sz w:val="21"/>
                <w:szCs w:val="21"/>
              </w:rPr>
              <w:t>非甲烷总烃</w:t>
            </w:r>
          </w:p>
        </w:tc>
        <w:tc>
          <w:tcPr>
            <w:tcW w:w="713" w:type="pct"/>
            <w:vMerge w:val="restart"/>
            <w:shd w:val="clear" w:color="auto" w:fill="auto"/>
            <w:vAlign w:val="center"/>
          </w:tcPr>
          <w:p w14:paraId="1DD1735C">
            <w:pPr>
              <w:adjustRightInd w:val="0"/>
              <w:snapToGrid w:val="0"/>
              <w:spacing w:line="240" w:lineRule="auto"/>
              <w:ind w:firstLine="0" w:firstLineChars="0"/>
              <w:jc w:val="center"/>
              <w:rPr>
                <w:sz w:val="21"/>
                <w:szCs w:val="21"/>
              </w:rPr>
            </w:pPr>
            <w:r>
              <w:rPr>
                <w:sz w:val="21"/>
                <w:szCs w:val="21"/>
              </w:rPr>
              <w:t>1</w:t>
            </w:r>
            <w:r>
              <w:rPr>
                <w:rFonts w:hint="eastAsia"/>
                <w:sz w:val="21"/>
                <w:szCs w:val="21"/>
              </w:rPr>
              <w:t>h小时平均</w:t>
            </w:r>
          </w:p>
        </w:tc>
        <w:tc>
          <w:tcPr>
            <w:tcW w:w="555" w:type="pct"/>
            <w:shd w:val="clear" w:color="auto" w:fill="auto"/>
            <w:vAlign w:val="center"/>
          </w:tcPr>
          <w:p w14:paraId="247F980B">
            <w:pPr>
              <w:adjustRightInd w:val="0"/>
              <w:snapToGrid w:val="0"/>
              <w:spacing w:line="240" w:lineRule="auto"/>
              <w:ind w:firstLine="0" w:firstLineChars="0"/>
              <w:jc w:val="center"/>
              <w:rPr>
                <w:sz w:val="21"/>
                <w:szCs w:val="21"/>
                <w:vertAlign w:val="superscript"/>
              </w:rPr>
            </w:pPr>
            <w:r>
              <w:rPr>
                <w:sz w:val="21"/>
                <w:szCs w:val="21"/>
              </w:rPr>
              <w:t>2000</w:t>
            </w:r>
          </w:p>
        </w:tc>
        <w:tc>
          <w:tcPr>
            <w:tcW w:w="3117" w:type="pct"/>
            <w:shd w:val="clear" w:color="auto" w:fill="auto"/>
            <w:vAlign w:val="center"/>
          </w:tcPr>
          <w:p w14:paraId="18B0D314">
            <w:pPr>
              <w:adjustRightInd w:val="0"/>
              <w:snapToGrid w:val="0"/>
              <w:spacing w:line="240" w:lineRule="auto"/>
              <w:ind w:firstLine="0" w:firstLineChars="0"/>
              <w:jc w:val="center"/>
              <w:rPr>
                <w:sz w:val="21"/>
                <w:szCs w:val="21"/>
              </w:rPr>
            </w:pPr>
            <w:r>
              <w:rPr>
                <w:rFonts w:hint="eastAsia"/>
                <w:sz w:val="21"/>
                <w:szCs w:val="21"/>
                <w:lang w:val="zh-CN"/>
              </w:rPr>
              <w:t>《大气污染物综合排放标准详解》</w:t>
            </w:r>
          </w:p>
        </w:tc>
      </w:tr>
      <w:tr w14:paraId="16615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67E0E699">
            <w:pPr>
              <w:adjustRightInd w:val="0"/>
              <w:snapToGrid w:val="0"/>
              <w:spacing w:line="240" w:lineRule="auto"/>
              <w:ind w:firstLine="0" w:firstLineChars="0"/>
              <w:jc w:val="center"/>
              <w:rPr>
                <w:sz w:val="21"/>
                <w:szCs w:val="21"/>
              </w:rPr>
            </w:pPr>
            <w:r>
              <w:rPr>
                <w:rFonts w:hint="eastAsia"/>
                <w:sz w:val="21"/>
                <w:szCs w:val="21"/>
              </w:rPr>
              <w:t>二氧化硫</w:t>
            </w:r>
          </w:p>
        </w:tc>
        <w:tc>
          <w:tcPr>
            <w:tcW w:w="713" w:type="pct"/>
            <w:vMerge w:val="continue"/>
            <w:shd w:val="clear" w:color="auto" w:fill="auto"/>
            <w:vAlign w:val="center"/>
          </w:tcPr>
          <w:p w14:paraId="4A55E540">
            <w:pPr>
              <w:adjustRightInd w:val="0"/>
              <w:snapToGrid w:val="0"/>
              <w:spacing w:line="240" w:lineRule="auto"/>
              <w:ind w:firstLine="0" w:firstLineChars="0"/>
              <w:jc w:val="center"/>
              <w:rPr>
                <w:sz w:val="21"/>
                <w:szCs w:val="21"/>
              </w:rPr>
            </w:pPr>
          </w:p>
        </w:tc>
        <w:tc>
          <w:tcPr>
            <w:tcW w:w="555" w:type="pct"/>
            <w:shd w:val="clear" w:color="auto" w:fill="auto"/>
            <w:vAlign w:val="center"/>
          </w:tcPr>
          <w:p w14:paraId="1BCD11DB">
            <w:pPr>
              <w:adjustRightInd w:val="0"/>
              <w:snapToGrid w:val="0"/>
              <w:spacing w:line="240" w:lineRule="auto"/>
              <w:ind w:firstLine="0" w:firstLineChars="0"/>
              <w:jc w:val="center"/>
              <w:rPr>
                <w:sz w:val="21"/>
                <w:szCs w:val="21"/>
              </w:rPr>
            </w:pPr>
            <w:r>
              <w:rPr>
                <w:rFonts w:hint="eastAsia"/>
                <w:sz w:val="21"/>
                <w:szCs w:val="21"/>
              </w:rPr>
              <w:t>5</w:t>
            </w:r>
            <w:r>
              <w:rPr>
                <w:sz w:val="21"/>
                <w:szCs w:val="21"/>
              </w:rPr>
              <w:t>00</w:t>
            </w:r>
          </w:p>
        </w:tc>
        <w:tc>
          <w:tcPr>
            <w:tcW w:w="3117" w:type="pct"/>
            <w:vMerge w:val="restart"/>
            <w:shd w:val="clear" w:color="auto" w:fill="auto"/>
            <w:vAlign w:val="center"/>
          </w:tcPr>
          <w:p w14:paraId="26440055">
            <w:pPr>
              <w:adjustRightInd w:val="0"/>
              <w:snapToGrid w:val="0"/>
              <w:spacing w:line="240" w:lineRule="auto"/>
              <w:ind w:firstLine="0" w:firstLineChars="0"/>
              <w:jc w:val="center"/>
              <w:rPr>
                <w:sz w:val="21"/>
                <w:szCs w:val="21"/>
                <w:lang w:val="zh-CN"/>
              </w:rPr>
            </w:pPr>
            <w:r>
              <w:rPr>
                <w:sz w:val="21"/>
                <w:szCs w:val="21"/>
                <w:lang w:val="zh-CN"/>
              </w:rPr>
              <w:t>《环境空气质量标准》（GB3095-2012）</w:t>
            </w:r>
          </w:p>
        </w:tc>
      </w:tr>
      <w:tr w14:paraId="0A009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6C36615E">
            <w:pPr>
              <w:adjustRightInd w:val="0"/>
              <w:snapToGrid w:val="0"/>
              <w:spacing w:line="240" w:lineRule="auto"/>
              <w:ind w:firstLine="0" w:firstLineChars="0"/>
              <w:jc w:val="center"/>
              <w:rPr>
                <w:sz w:val="21"/>
                <w:szCs w:val="21"/>
              </w:rPr>
            </w:pPr>
            <w:r>
              <w:rPr>
                <w:rFonts w:hint="eastAsia"/>
                <w:sz w:val="21"/>
                <w:szCs w:val="21"/>
              </w:rPr>
              <w:t>氮氧化物</w:t>
            </w:r>
          </w:p>
        </w:tc>
        <w:tc>
          <w:tcPr>
            <w:tcW w:w="713" w:type="pct"/>
            <w:vMerge w:val="continue"/>
            <w:shd w:val="clear" w:color="auto" w:fill="auto"/>
            <w:vAlign w:val="center"/>
          </w:tcPr>
          <w:p w14:paraId="48678FDF">
            <w:pPr>
              <w:adjustRightInd w:val="0"/>
              <w:snapToGrid w:val="0"/>
              <w:spacing w:line="240" w:lineRule="auto"/>
              <w:ind w:firstLine="0" w:firstLineChars="0"/>
              <w:jc w:val="center"/>
              <w:rPr>
                <w:sz w:val="21"/>
                <w:szCs w:val="21"/>
              </w:rPr>
            </w:pPr>
          </w:p>
        </w:tc>
        <w:tc>
          <w:tcPr>
            <w:tcW w:w="555" w:type="pct"/>
            <w:shd w:val="clear" w:color="auto" w:fill="auto"/>
            <w:vAlign w:val="center"/>
          </w:tcPr>
          <w:p w14:paraId="20961DDD">
            <w:pPr>
              <w:adjustRightInd w:val="0"/>
              <w:snapToGrid w:val="0"/>
              <w:spacing w:line="240" w:lineRule="auto"/>
              <w:ind w:firstLine="0" w:firstLineChars="0"/>
              <w:jc w:val="center"/>
              <w:rPr>
                <w:sz w:val="21"/>
                <w:szCs w:val="21"/>
              </w:rPr>
            </w:pPr>
            <w:r>
              <w:rPr>
                <w:sz w:val="21"/>
                <w:szCs w:val="21"/>
              </w:rPr>
              <w:t>200</w:t>
            </w:r>
          </w:p>
        </w:tc>
        <w:tc>
          <w:tcPr>
            <w:tcW w:w="3117" w:type="pct"/>
            <w:vMerge w:val="continue"/>
            <w:shd w:val="clear" w:color="auto" w:fill="auto"/>
            <w:vAlign w:val="center"/>
          </w:tcPr>
          <w:p w14:paraId="5C77D865">
            <w:pPr>
              <w:adjustRightInd w:val="0"/>
              <w:snapToGrid w:val="0"/>
              <w:spacing w:line="240" w:lineRule="auto"/>
              <w:ind w:firstLine="0" w:firstLineChars="0"/>
              <w:jc w:val="center"/>
              <w:rPr>
                <w:sz w:val="21"/>
                <w:szCs w:val="21"/>
                <w:lang w:val="zh-CN"/>
              </w:rPr>
            </w:pPr>
          </w:p>
        </w:tc>
      </w:tr>
      <w:tr w14:paraId="27632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22048158">
            <w:pPr>
              <w:adjustRightInd w:val="0"/>
              <w:snapToGrid w:val="0"/>
              <w:spacing w:line="240" w:lineRule="auto"/>
              <w:ind w:firstLine="0" w:firstLineChars="0"/>
              <w:jc w:val="center"/>
              <w:rPr>
                <w:sz w:val="21"/>
                <w:szCs w:val="21"/>
              </w:rPr>
            </w:pPr>
            <w:r>
              <w:rPr>
                <w:rFonts w:hint="eastAsia"/>
                <w:sz w:val="21"/>
                <w:szCs w:val="21"/>
              </w:rPr>
              <w:t>颗粒物</w:t>
            </w:r>
          </w:p>
        </w:tc>
        <w:tc>
          <w:tcPr>
            <w:tcW w:w="713" w:type="pct"/>
            <w:vMerge w:val="continue"/>
            <w:shd w:val="clear" w:color="auto" w:fill="auto"/>
            <w:vAlign w:val="center"/>
          </w:tcPr>
          <w:p w14:paraId="044A7D69">
            <w:pPr>
              <w:adjustRightInd w:val="0"/>
              <w:snapToGrid w:val="0"/>
              <w:spacing w:line="240" w:lineRule="auto"/>
              <w:ind w:firstLine="0" w:firstLineChars="0"/>
              <w:jc w:val="center"/>
              <w:rPr>
                <w:sz w:val="21"/>
                <w:szCs w:val="21"/>
              </w:rPr>
            </w:pPr>
          </w:p>
        </w:tc>
        <w:tc>
          <w:tcPr>
            <w:tcW w:w="555" w:type="pct"/>
            <w:shd w:val="clear" w:color="auto" w:fill="auto"/>
            <w:vAlign w:val="center"/>
          </w:tcPr>
          <w:p w14:paraId="43B56EC4">
            <w:pPr>
              <w:adjustRightInd w:val="0"/>
              <w:snapToGrid w:val="0"/>
              <w:spacing w:line="240" w:lineRule="auto"/>
              <w:ind w:firstLine="0" w:firstLineChars="0"/>
              <w:jc w:val="center"/>
              <w:rPr>
                <w:sz w:val="21"/>
                <w:szCs w:val="21"/>
              </w:rPr>
            </w:pPr>
            <w:r>
              <w:rPr>
                <w:sz w:val="21"/>
                <w:szCs w:val="21"/>
              </w:rPr>
              <w:t>450</w:t>
            </w:r>
          </w:p>
        </w:tc>
        <w:tc>
          <w:tcPr>
            <w:tcW w:w="3117" w:type="pct"/>
            <w:vMerge w:val="continue"/>
            <w:shd w:val="clear" w:color="auto" w:fill="auto"/>
            <w:vAlign w:val="center"/>
          </w:tcPr>
          <w:p w14:paraId="75FFB322">
            <w:pPr>
              <w:adjustRightInd w:val="0"/>
              <w:snapToGrid w:val="0"/>
              <w:spacing w:line="240" w:lineRule="auto"/>
              <w:ind w:firstLine="0" w:firstLineChars="0"/>
              <w:jc w:val="center"/>
              <w:rPr>
                <w:sz w:val="21"/>
                <w:szCs w:val="21"/>
                <w:lang w:val="zh-CN"/>
              </w:rPr>
            </w:pPr>
          </w:p>
        </w:tc>
      </w:tr>
      <w:tr w14:paraId="77806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56A180B8">
            <w:pPr>
              <w:adjustRightInd w:val="0"/>
              <w:snapToGrid w:val="0"/>
              <w:spacing w:line="240" w:lineRule="auto"/>
              <w:ind w:firstLine="0" w:firstLineChars="0"/>
              <w:jc w:val="center"/>
              <w:rPr>
                <w:sz w:val="21"/>
                <w:szCs w:val="21"/>
              </w:rPr>
            </w:pPr>
            <w:r>
              <w:rPr>
                <w:rFonts w:hint="eastAsia"/>
                <w:sz w:val="21"/>
                <w:szCs w:val="21"/>
              </w:rPr>
              <w:t>氨</w:t>
            </w:r>
          </w:p>
        </w:tc>
        <w:tc>
          <w:tcPr>
            <w:tcW w:w="713" w:type="pct"/>
            <w:vMerge w:val="continue"/>
            <w:shd w:val="clear" w:color="auto" w:fill="auto"/>
            <w:vAlign w:val="center"/>
          </w:tcPr>
          <w:p w14:paraId="112695E6">
            <w:pPr>
              <w:adjustRightInd w:val="0"/>
              <w:snapToGrid w:val="0"/>
              <w:spacing w:line="240" w:lineRule="auto"/>
              <w:ind w:firstLine="0" w:firstLineChars="0"/>
              <w:jc w:val="center"/>
              <w:rPr>
                <w:sz w:val="21"/>
                <w:szCs w:val="21"/>
              </w:rPr>
            </w:pPr>
          </w:p>
        </w:tc>
        <w:tc>
          <w:tcPr>
            <w:tcW w:w="555" w:type="pct"/>
            <w:shd w:val="clear" w:color="auto" w:fill="auto"/>
            <w:vAlign w:val="center"/>
          </w:tcPr>
          <w:p w14:paraId="334B3A5E">
            <w:pPr>
              <w:adjustRightInd w:val="0"/>
              <w:snapToGrid w:val="0"/>
              <w:spacing w:line="240" w:lineRule="auto"/>
              <w:ind w:firstLine="0" w:firstLineChars="0"/>
              <w:jc w:val="center"/>
              <w:rPr>
                <w:sz w:val="21"/>
                <w:szCs w:val="21"/>
              </w:rPr>
            </w:pPr>
            <w:r>
              <w:rPr>
                <w:rFonts w:hint="eastAsia"/>
                <w:sz w:val="21"/>
                <w:szCs w:val="21"/>
              </w:rPr>
              <w:t>2</w:t>
            </w:r>
            <w:r>
              <w:rPr>
                <w:sz w:val="21"/>
                <w:szCs w:val="21"/>
              </w:rPr>
              <w:t>00</w:t>
            </w:r>
          </w:p>
        </w:tc>
        <w:tc>
          <w:tcPr>
            <w:tcW w:w="3117" w:type="pct"/>
            <w:vMerge w:val="restart"/>
            <w:shd w:val="clear" w:color="auto" w:fill="auto"/>
            <w:vAlign w:val="center"/>
          </w:tcPr>
          <w:p w14:paraId="358C0792">
            <w:pPr>
              <w:adjustRightInd w:val="0"/>
              <w:snapToGrid w:val="0"/>
              <w:spacing w:line="240" w:lineRule="auto"/>
              <w:ind w:firstLine="0" w:firstLineChars="0"/>
              <w:jc w:val="center"/>
              <w:rPr>
                <w:sz w:val="21"/>
                <w:szCs w:val="21"/>
                <w:lang w:val="zh-CN"/>
              </w:rPr>
            </w:pPr>
            <w:r>
              <w:rPr>
                <w:rFonts w:hint="eastAsia"/>
                <w:sz w:val="21"/>
                <w:szCs w:val="21"/>
                <w:lang w:val="zh-CN"/>
              </w:rPr>
              <w:t>《环境影响评价技术导则 大气环境》（HJ</w:t>
            </w:r>
            <w:r>
              <w:rPr>
                <w:sz w:val="21"/>
                <w:szCs w:val="21"/>
                <w:lang w:val="zh-CN"/>
              </w:rPr>
              <w:t>2.2-2018</w:t>
            </w:r>
            <w:r>
              <w:rPr>
                <w:rFonts w:hint="eastAsia"/>
                <w:sz w:val="21"/>
                <w:szCs w:val="21"/>
                <w:lang w:val="zh-CN"/>
              </w:rPr>
              <w:t>）附录D</w:t>
            </w:r>
          </w:p>
        </w:tc>
      </w:tr>
      <w:tr w14:paraId="6C455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615" w:type="pct"/>
            <w:shd w:val="clear" w:color="auto" w:fill="auto"/>
            <w:vAlign w:val="center"/>
          </w:tcPr>
          <w:p w14:paraId="5E4705C9">
            <w:pPr>
              <w:adjustRightInd w:val="0"/>
              <w:snapToGrid w:val="0"/>
              <w:spacing w:line="240" w:lineRule="auto"/>
              <w:ind w:firstLine="0" w:firstLineChars="0"/>
              <w:jc w:val="center"/>
              <w:rPr>
                <w:sz w:val="21"/>
                <w:szCs w:val="21"/>
              </w:rPr>
            </w:pPr>
            <w:r>
              <w:rPr>
                <w:rFonts w:hint="eastAsia"/>
                <w:sz w:val="21"/>
                <w:szCs w:val="21"/>
              </w:rPr>
              <w:t>硫化氢</w:t>
            </w:r>
          </w:p>
        </w:tc>
        <w:tc>
          <w:tcPr>
            <w:tcW w:w="713" w:type="pct"/>
            <w:vMerge w:val="continue"/>
            <w:shd w:val="clear" w:color="auto" w:fill="auto"/>
            <w:vAlign w:val="center"/>
          </w:tcPr>
          <w:p w14:paraId="0F47DC82">
            <w:pPr>
              <w:adjustRightInd w:val="0"/>
              <w:snapToGrid w:val="0"/>
              <w:spacing w:line="240" w:lineRule="auto"/>
              <w:ind w:firstLine="0" w:firstLineChars="0"/>
              <w:jc w:val="center"/>
              <w:rPr>
                <w:sz w:val="21"/>
                <w:szCs w:val="21"/>
              </w:rPr>
            </w:pPr>
          </w:p>
        </w:tc>
        <w:tc>
          <w:tcPr>
            <w:tcW w:w="555" w:type="pct"/>
            <w:shd w:val="clear" w:color="auto" w:fill="auto"/>
            <w:vAlign w:val="center"/>
          </w:tcPr>
          <w:p w14:paraId="24A5BCB9">
            <w:pPr>
              <w:adjustRightInd w:val="0"/>
              <w:snapToGrid w:val="0"/>
              <w:spacing w:line="240" w:lineRule="auto"/>
              <w:ind w:firstLine="0" w:firstLineChars="0"/>
              <w:jc w:val="center"/>
              <w:rPr>
                <w:sz w:val="21"/>
                <w:szCs w:val="21"/>
              </w:rPr>
            </w:pPr>
            <w:r>
              <w:rPr>
                <w:rFonts w:hint="eastAsia"/>
                <w:sz w:val="21"/>
                <w:szCs w:val="21"/>
              </w:rPr>
              <w:t>1</w:t>
            </w:r>
            <w:r>
              <w:rPr>
                <w:sz w:val="21"/>
                <w:szCs w:val="21"/>
              </w:rPr>
              <w:t>0</w:t>
            </w:r>
          </w:p>
        </w:tc>
        <w:tc>
          <w:tcPr>
            <w:tcW w:w="3117" w:type="pct"/>
            <w:vMerge w:val="continue"/>
            <w:shd w:val="clear" w:color="auto" w:fill="auto"/>
            <w:vAlign w:val="center"/>
          </w:tcPr>
          <w:p w14:paraId="2C32E4E8">
            <w:pPr>
              <w:adjustRightInd w:val="0"/>
              <w:snapToGrid w:val="0"/>
              <w:spacing w:line="240" w:lineRule="auto"/>
              <w:ind w:firstLine="0" w:firstLineChars="0"/>
              <w:jc w:val="center"/>
              <w:rPr>
                <w:sz w:val="21"/>
                <w:szCs w:val="21"/>
                <w:lang w:val="zh-CN"/>
              </w:rPr>
            </w:pPr>
          </w:p>
        </w:tc>
      </w:tr>
    </w:tbl>
    <w:p w14:paraId="60B787E8">
      <w:pPr>
        <w:ind w:firstLine="480"/>
      </w:pPr>
      <w:r>
        <w:rPr>
          <w:rFonts w:hint="eastAsia" w:ascii="宋体" w:hAnsi="宋体" w:cs="宋体"/>
        </w:rPr>
        <w:t>②</w:t>
      </w:r>
      <w:r>
        <w:rPr>
          <w:rFonts w:hint="eastAsia"/>
        </w:rPr>
        <w:t>估算模型参数见下表。</w:t>
      </w:r>
    </w:p>
    <w:p w14:paraId="35D27C3C">
      <w:pPr>
        <w:pStyle w:val="47"/>
        <w:spacing w:before="65"/>
      </w:pPr>
      <w:r>
        <w:rPr>
          <w:rFonts w:hint="eastAsia"/>
        </w:rPr>
        <w:t>表2.</w:t>
      </w:r>
      <w:r>
        <w:t xml:space="preserve">6-3   </w:t>
      </w:r>
      <w:r>
        <w:rPr>
          <w:rFonts w:hint="eastAsia"/>
        </w:rPr>
        <w:t>估算模型参数表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750"/>
        <w:gridCol w:w="3653"/>
        <w:gridCol w:w="2327"/>
      </w:tblGrid>
      <w:tr w14:paraId="093714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3667" w:type="pct"/>
            <w:gridSpan w:val="2"/>
            <w:shd w:val="clear" w:color="auto" w:fill="auto"/>
            <w:tcMar>
              <w:left w:w="0" w:type="dxa"/>
              <w:right w:w="0" w:type="dxa"/>
            </w:tcMar>
            <w:vAlign w:val="center"/>
          </w:tcPr>
          <w:p w14:paraId="12021A53">
            <w:pPr>
              <w:adjustRightInd w:val="0"/>
              <w:snapToGrid w:val="0"/>
              <w:spacing w:line="240" w:lineRule="auto"/>
              <w:ind w:firstLine="0" w:firstLineChars="0"/>
              <w:jc w:val="center"/>
              <w:rPr>
                <w:sz w:val="21"/>
              </w:rPr>
            </w:pPr>
            <w:r>
              <w:rPr>
                <w:sz w:val="21"/>
              </w:rPr>
              <w:t>参数</w:t>
            </w:r>
          </w:p>
        </w:tc>
        <w:tc>
          <w:tcPr>
            <w:tcW w:w="1333" w:type="pct"/>
            <w:shd w:val="clear" w:color="auto" w:fill="auto"/>
            <w:tcMar>
              <w:left w:w="0" w:type="dxa"/>
              <w:right w:w="0" w:type="dxa"/>
            </w:tcMar>
            <w:vAlign w:val="center"/>
          </w:tcPr>
          <w:p w14:paraId="14461868">
            <w:pPr>
              <w:adjustRightInd w:val="0"/>
              <w:snapToGrid w:val="0"/>
              <w:spacing w:line="240" w:lineRule="auto"/>
              <w:ind w:firstLine="0" w:firstLineChars="0"/>
              <w:jc w:val="center"/>
              <w:rPr>
                <w:sz w:val="21"/>
              </w:rPr>
            </w:pPr>
            <w:r>
              <w:rPr>
                <w:sz w:val="21"/>
              </w:rPr>
              <w:t>取值</w:t>
            </w:r>
          </w:p>
        </w:tc>
      </w:tr>
      <w:tr w14:paraId="19C4A7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restart"/>
            <w:shd w:val="clear" w:color="auto" w:fill="auto"/>
            <w:tcMar>
              <w:left w:w="0" w:type="dxa"/>
              <w:right w:w="0" w:type="dxa"/>
            </w:tcMar>
            <w:vAlign w:val="center"/>
          </w:tcPr>
          <w:p w14:paraId="777A3EC1">
            <w:pPr>
              <w:adjustRightInd w:val="0"/>
              <w:snapToGrid w:val="0"/>
              <w:spacing w:line="240" w:lineRule="auto"/>
              <w:ind w:firstLine="0" w:firstLineChars="0"/>
              <w:jc w:val="center"/>
              <w:rPr>
                <w:sz w:val="21"/>
              </w:rPr>
            </w:pPr>
            <w:r>
              <w:rPr>
                <w:sz w:val="21"/>
              </w:rPr>
              <w:t>城市/农村选项</w:t>
            </w:r>
          </w:p>
        </w:tc>
        <w:tc>
          <w:tcPr>
            <w:tcW w:w="2092" w:type="pct"/>
            <w:shd w:val="clear" w:color="auto" w:fill="auto"/>
            <w:tcMar>
              <w:left w:w="0" w:type="dxa"/>
              <w:right w:w="0" w:type="dxa"/>
            </w:tcMar>
            <w:vAlign w:val="center"/>
          </w:tcPr>
          <w:p w14:paraId="55E5BB83">
            <w:pPr>
              <w:adjustRightInd w:val="0"/>
              <w:snapToGrid w:val="0"/>
              <w:spacing w:line="240" w:lineRule="auto"/>
              <w:ind w:firstLine="0" w:firstLineChars="0"/>
              <w:jc w:val="center"/>
              <w:rPr>
                <w:sz w:val="21"/>
              </w:rPr>
            </w:pPr>
            <w:r>
              <w:rPr>
                <w:sz w:val="21"/>
              </w:rPr>
              <w:t>城市/农村</w:t>
            </w:r>
          </w:p>
        </w:tc>
        <w:tc>
          <w:tcPr>
            <w:tcW w:w="1333" w:type="pct"/>
            <w:shd w:val="clear" w:color="auto" w:fill="auto"/>
            <w:tcMar>
              <w:left w:w="0" w:type="dxa"/>
              <w:right w:w="0" w:type="dxa"/>
            </w:tcMar>
            <w:vAlign w:val="center"/>
          </w:tcPr>
          <w:p w14:paraId="5DFB48A6">
            <w:pPr>
              <w:adjustRightInd w:val="0"/>
              <w:snapToGrid w:val="0"/>
              <w:spacing w:line="240" w:lineRule="auto"/>
              <w:ind w:firstLine="0" w:firstLineChars="0"/>
              <w:jc w:val="center"/>
              <w:rPr>
                <w:sz w:val="21"/>
              </w:rPr>
            </w:pPr>
            <w:r>
              <w:rPr>
                <w:sz w:val="21"/>
              </w:rPr>
              <w:t>农村</w:t>
            </w:r>
          </w:p>
        </w:tc>
      </w:tr>
      <w:tr w14:paraId="68F17F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continue"/>
            <w:shd w:val="clear" w:color="auto" w:fill="auto"/>
            <w:tcMar>
              <w:left w:w="0" w:type="dxa"/>
              <w:right w:w="0" w:type="dxa"/>
            </w:tcMar>
            <w:vAlign w:val="center"/>
          </w:tcPr>
          <w:p w14:paraId="5D6812D6">
            <w:pPr>
              <w:adjustRightInd w:val="0"/>
              <w:snapToGrid w:val="0"/>
              <w:spacing w:line="240" w:lineRule="auto"/>
              <w:ind w:firstLine="0" w:firstLineChars="0"/>
              <w:jc w:val="center"/>
              <w:rPr>
                <w:sz w:val="21"/>
              </w:rPr>
            </w:pPr>
          </w:p>
        </w:tc>
        <w:tc>
          <w:tcPr>
            <w:tcW w:w="2092" w:type="pct"/>
            <w:shd w:val="clear" w:color="auto" w:fill="auto"/>
            <w:tcMar>
              <w:left w:w="0" w:type="dxa"/>
              <w:right w:w="0" w:type="dxa"/>
            </w:tcMar>
            <w:vAlign w:val="center"/>
          </w:tcPr>
          <w:p w14:paraId="2AB4C368">
            <w:pPr>
              <w:adjustRightInd w:val="0"/>
              <w:snapToGrid w:val="0"/>
              <w:spacing w:line="240" w:lineRule="auto"/>
              <w:ind w:firstLine="0" w:firstLineChars="0"/>
              <w:jc w:val="center"/>
              <w:rPr>
                <w:sz w:val="21"/>
              </w:rPr>
            </w:pPr>
            <w:r>
              <w:rPr>
                <w:sz w:val="21"/>
              </w:rPr>
              <w:t>人口数（城市选项时）</w:t>
            </w:r>
          </w:p>
        </w:tc>
        <w:tc>
          <w:tcPr>
            <w:tcW w:w="1333" w:type="pct"/>
            <w:shd w:val="clear" w:color="auto" w:fill="auto"/>
            <w:tcMar>
              <w:left w:w="0" w:type="dxa"/>
              <w:right w:w="0" w:type="dxa"/>
            </w:tcMar>
            <w:vAlign w:val="center"/>
          </w:tcPr>
          <w:p w14:paraId="73A33B62">
            <w:pPr>
              <w:adjustRightInd w:val="0"/>
              <w:snapToGrid w:val="0"/>
              <w:spacing w:line="240" w:lineRule="auto"/>
              <w:ind w:firstLine="0" w:firstLineChars="0"/>
              <w:jc w:val="center"/>
              <w:rPr>
                <w:sz w:val="21"/>
              </w:rPr>
            </w:pPr>
            <w:r>
              <w:rPr>
                <w:sz w:val="21"/>
              </w:rPr>
              <w:t>/</w:t>
            </w:r>
          </w:p>
        </w:tc>
      </w:tr>
      <w:tr w14:paraId="651B51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3667" w:type="pct"/>
            <w:gridSpan w:val="2"/>
            <w:shd w:val="clear" w:color="auto" w:fill="auto"/>
            <w:tcMar>
              <w:left w:w="0" w:type="dxa"/>
              <w:right w:w="0" w:type="dxa"/>
            </w:tcMar>
            <w:vAlign w:val="center"/>
          </w:tcPr>
          <w:p w14:paraId="1155F69E">
            <w:pPr>
              <w:adjustRightInd w:val="0"/>
              <w:snapToGrid w:val="0"/>
              <w:spacing w:line="240" w:lineRule="auto"/>
              <w:ind w:firstLine="0" w:firstLineChars="0"/>
              <w:jc w:val="center"/>
              <w:rPr>
                <w:sz w:val="21"/>
              </w:rPr>
            </w:pPr>
            <w:r>
              <w:rPr>
                <w:sz w:val="21"/>
              </w:rPr>
              <w:t>最高环境温度/℃</w:t>
            </w:r>
          </w:p>
        </w:tc>
        <w:tc>
          <w:tcPr>
            <w:tcW w:w="1333" w:type="pct"/>
            <w:shd w:val="clear" w:color="auto" w:fill="auto"/>
            <w:tcMar>
              <w:left w:w="0" w:type="dxa"/>
              <w:right w:w="0" w:type="dxa"/>
            </w:tcMar>
            <w:vAlign w:val="center"/>
          </w:tcPr>
          <w:p w14:paraId="520024DD">
            <w:pPr>
              <w:adjustRightInd w:val="0"/>
              <w:snapToGrid w:val="0"/>
              <w:spacing w:line="240" w:lineRule="auto"/>
              <w:ind w:firstLine="0" w:firstLineChars="0"/>
              <w:jc w:val="center"/>
              <w:rPr>
                <w:sz w:val="21"/>
              </w:rPr>
            </w:pPr>
            <w:r>
              <w:rPr>
                <w:sz w:val="21"/>
              </w:rPr>
              <w:t>44℃</w:t>
            </w:r>
          </w:p>
        </w:tc>
      </w:tr>
      <w:tr w14:paraId="09FDE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3667" w:type="pct"/>
            <w:gridSpan w:val="2"/>
            <w:shd w:val="clear" w:color="auto" w:fill="auto"/>
            <w:tcMar>
              <w:left w:w="0" w:type="dxa"/>
              <w:right w:w="0" w:type="dxa"/>
            </w:tcMar>
            <w:vAlign w:val="center"/>
          </w:tcPr>
          <w:p w14:paraId="540FF67F">
            <w:pPr>
              <w:adjustRightInd w:val="0"/>
              <w:snapToGrid w:val="0"/>
              <w:spacing w:line="240" w:lineRule="auto"/>
              <w:ind w:firstLine="0" w:firstLineChars="0"/>
              <w:jc w:val="center"/>
              <w:rPr>
                <w:sz w:val="21"/>
              </w:rPr>
            </w:pPr>
            <w:r>
              <w:rPr>
                <w:sz w:val="21"/>
              </w:rPr>
              <w:t>最低环境温度/℃</w:t>
            </w:r>
          </w:p>
        </w:tc>
        <w:tc>
          <w:tcPr>
            <w:tcW w:w="1333" w:type="pct"/>
            <w:shd w:val="clear" w:color="auto" w:fill="auto"/>
            <w:tcMar>
              <w:left w:w="0" w:type="dxa"/>
              <w:right w:w="0" w:type="dxa"/>
            </w:tcMar>
            <w:vAlign w:val="center"/>
          </w:tcPr>
          <w:p w14:paraId="15328337">
            <w:pPr>
              <w:adjustRightInd w:val="0"/>
              <w:snapToGrid w:val="0"/>
              <w:spacing w:line="240" w:lineRule="auto"/>
              <w:ind w:firstLine="0" w:firstLineChars="0"/>
              <w:jc w:val="center"/>
              <w:rPr>
                <w:sz w:val="21"/>
              </w:rPr>
            </w:pPr>
            <w:r>
              <w:rPr>
                <w:sz w:val="21"/>
              </w:rPr>
              <w:t>-31.7℃</w:t>
            </w:r>
          </w:p>
        </w:tc>
      </w:tr>
      <w:tr w14:paraId="0C45E3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3667" w:type="pct"/>
            <w:gridSpan w:val="2"/>
            <w:shd w:val="clear" w:color="auto" w:fill="auto"/>
            <w:tcMar>
              <w:left w:w="0" w:type="dxa"/>
              <w:right w:w="0" w:type="dxa"/>
            </w:tcMar>
            <w:vAlign w:val="center"/>
          </w:tcPr>
          <w:p w14:paraId="66249979">
            <w:pPr>
              <w:adjustRightInd w:val="0"/>
              <w:snapToGrid w:val="0"/>
              <w:spacing w:line="240" w:lineRule="auto"/>
              <w:ind w:firstLine="0" w:firstLineChars="0"/>
              <w:jc w:val="center"/>
              <w:rPr>
                <w:sz w:val="21"/>
              </w:rPr>
            </w:pPr>
            <w:r>
              <w:rPr>
                <w:sz w:val="21"/>
              </w:rPr>
              <w:t>土地利用类型</w:t>
            </w:r>
          </w:p>
        </w:tc>
        <w:tc>
          <w:tcPr>
            <w:tcW w:w="1333" w:type="pct"/>
            <w:shd w:val="clear" w:color="auto" w:fill="auto"/>
            <w:tcMar>
              <w:left w:w="0" w:type="dxa"/>
              <w:right w:w="0" w:type="dxa"/>
            </w:tcMar>
            <w:vAlign w:val="center"/>
          </w:tcPr>
          <w:p w14:paraId="7E5501A7">
            <w:pPr>
              <w:adjustRightInd w:val="0"/>
              <w:snapToGrid w:val="0"/>
              <w:spacing w:line="240" w:lineRule="auto"/>
              <w:ind w:firstLine="0" w:firstLineChars="0"/>
              <w:jc w:val="center"/>
              <w:rPr>
                <w:sz w:val="21"/>
              </w:rPr>
            </w:pPr>
            <w:r>
              <w:rPr>
                <w:sz w:val="21"/>
              </w:rPr>
              <w:t>沙漠化荒地</w:t>
            </w:r>
          </w:p>
        </w:tc>
      </w:tr>
      <w:tr w14:paraId="4CA6F8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3667" w:type="pct"/>
            <w:gridSpan w:val="2"/>
            <w:shd w:val="clear" w:color="auto" w:fill="auto"/>
            <w:tcMar>
              <w:left w:w="0" w:type="dxa"/>
              <w:right w:w="0" w:type="dxa"/>
            </w:tcMar>
            <w:vAlign w:val="center"/>
          </w:tcPr>
          <w:p w14:paraId="60C9BE7C">
            <w:pPr>
              <w:adjustRightInd w:val="0"/>
              <w:snapToGrid w:val="0"/>
              <w:spacing w:line="240" w:lineRule="auto"/>
              <w:ind w:firstLine="0" w:firstLineChars="0"/>
              <w:jc w:val="center"/>
              <w:rPr>
                <w:sz w:val="21"/>
              </w:rPr>
            </w:pPr>
            <w:r>
              <w:rPr>
                <w:sz w:val="21"/>
              </w:rPr>
              <w:t>区域湿度条件</w:t>
            </w:r>
          </w:p>
        </w:tc>
        <w:tc>
          <w:tcPr>
            <w:tcW w:w="1333" w:type="pct"/>
            <w:shd w:val="clear" w:color="auto" w:fill="auto"/>
            <w:tcMar>
              <w:left w:w="0" w:type="dxa"/>
              <w:right w:w="0" w:type="dxa"/>
            </w:tcMar>
            <w:vAlign w:val="center"/>
          </w:tcPr>
          <w:p w14:paraId="5E75F082">
            <w:pPr>
              <w:adjustRightInd w:val="0"/>
              <w:snapToGrid w:val="0"/>
              <w:spacing w:line="240" w:lineRule="auto"/>
              <w:ind w:firstLine="0" w:firstLineChars="0"/>
              <w:jc w:val="center"/>
              <w:rPr>
                <w:sz w:val="21"/>
              </w:rPr>
            </w:pPr>
            <w:r>
              <w:rPr>
                <w:sz w:val="21"/>
              </w:rPr>
              <w:t>干燥气候</w:t>
            </w:r>
          </w:p>
        </w:tc>
      </w:tr>
      <w:tr w14:paraId="538755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restart"/>
            <w:shd w:val="clear" w:color="auto" w:fill="auto"/>
            <w:tcMar>
              <w:left w:w="0" w:type="dxa"/>
              <w:right w:w="0" w:type="dxa"/>
            </w:tcMar>
            <w:vAlign w:val="center"/>
          </w:tcPr>
          <w:p w14:paraId="2FC6825C">
            <w:pPr>
              <w:adjustRightInd w:val="0"/>
              <w:snapToGrid w:val="0"/>
              <w:spacing w:line="240" w:lineRule="auto"/>
              <w:ind w:firstLine="0" w:firstLineChars="0"/>
              <w:jc w:val="center"/>
              <w:rPr>
                <w:sz w:val="21"/>
              </w:rPr>
            </w:pPr>
            <w:r>
              <w:rPr>
                <w:sz w:val="21"/>
              </w:rPr>
              <w:t>是否考虑地形</w:t>
            </w:r>
          </w:p>
        </w:tc>
        <w:tc>
          <w:tcPr>
            <w:tcW w:w="2092" w:type="pct"/>
            <w:shd w:val="clear" w:color="auto" w:fill="auto"/>
            <w:tcMar>
              <w:left w:w="0" w:type="dxa"/>
              <w:right w:w="0" w:type="dxa"/>
            </w:tcMar>
            <w:vAlign w:val="center"/>
          </w:tcPr>
          <w:p w14:paraId="58E93D3E">
            <w:pPr>
              <w:adjustRightInd w:val="0"/>
              <w:snapToGrid w:val="0"/>
              <w:spacing w:line="240" w:lineRule="auto"/>
              <w:ind w:firstLine="0" w:firstLineChars="0"/>
              <w:jc w:val="center"/>
              <w:rPr>
                <w:sz w:val="21"/>
              </w:rPr>
            </w:pPr>
            <w:r>
              <w:rPr>
                <w:sz w:val="21"/>
              </w:rPr>
              <w:t>考虑地形</w:t>
            </w:r>
          </w:p>
        </w:tc>
        <w:tc>
          <w:tcPr>
            <w:tcW w:w="1333" w:type="pct"/>
            <w:shd w:val="clear" w:color="auto" w:fill="auto"/>
            <w:tcMar>
              <w:left w:w="0" w:type="dxa"/>
              <w:right w:w="0" w:type="dxa"/>
            </w:tcMar>
            <w:vAlign w:val="center"/>
          </w:tcPr>
          <w:p w14:paraId="4FFACFEC">
            <w:pPr>
              <w:adjustRightInd w:val="0"/>
              <w:snapToGrid w:val="0"/>
              <w:spacing w:line="240" w:lineRule="auto"/>
              <w:ind w:firstLine="0" w:firstLineChars="0"/>
              <w:jc w:val="center"/>
              <w:rPr>
                <w:sz w:val="21"/>
              </w:rPr>
            </w:pPr>
            <w:r>
              <w:rPr>
                <w:rFonts w:ascii="Segoe UI Symbol" w:hAnsi="Segoe UI Symbol" w:cs="Segoe UI Symbol"/>
                <w:sz w:val="21"/>
              </w:rPr>
              <w:t>☑</w:t>
            </w:r>
            <w:r>
              <w:rPr>
                <w:sz w:val="21"/>
              </w:rPr>
              <w:t xml:space="preserve">是    </w:t>
            </w:r>
            <w:r>
              <w:rPr>
                <w:rFonts w:ascii="宋体" w:hAnsi="宋体"/>
                <w:sz w:val="21"/>
              </w:rPr>
              <w:t>□</w:t>
            </w:r>
            <w:r>
              <w:rPr>
                <w:sz w:val="21"/>
              </w:rPr>
              <w:t>否</w:t>
            </w:r>
          </w:p>
        </w:tc>
      </w:tr>
      <w:tr w14:paraId="53BB74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continue"/>
            <w:shd w:val="clear" w:color="auto" w:fill="auto"/>
            <w:tcMar>
              <w:left w:w="0" w:type="dxa"/>
              <w:right w:w="0" w:type="dxa"/>
            </w:tcMar>
            <w:vAlign w:val="center"/>
          </w:tcPr>
          <w:p w14:paraId="0C0B7E85">
            <w:pPr>
              <w:adjustRightInd w:val="0"/>
              <w:snapToGrid w:val="0"/>
              <w:spacing w:line="240" w:lineRule="auto"/>
              <w:ind w:firstLine="0" w:firstLineChars="0"/>
              <w:jc w:val="center"/>
              <w:rPr>
                <w:sz w:val="21"/>
              </w:rPr>
            </w:pPr>
          </w:p>
        </w:tc>
        <w:tc>
          <w:tcPr>
            <w:tcW w:w="2092" w:type="pct"/>
            <w:shd w:val="clear" w:color="auto" w:fill="auto"/>
            <w:tcMar>
              <w:left w:w="0" w:type="dxa"/>
              <w:right w:w="0" w:type="dxa"/>
            </w:tcMar>
            <w:vAlign w:val="center"/>
          </w:tcPr>
          <w:p w14:paraId="682BA9FA">
            <w:pPr>
              <w:adjustRightInd w:val="0"/>
              <w:snapToGrid w:val="0"/>
              <w:spacing w:line="240" w:lineRule="auto"/>
              <w:ind w:firstLine="0" w:firstLineChars="0"/>
              <w:jc w:val="center"/>
              <w:rPr>
                <w:sz w:val="21"/>
              </w:rPr>
            </w:pPr>
            <w:r>
              <w:rPr>
                <w:sz w:val="21"/>
              </w:rPr>
              <w:t>地形数据分辨率/m</w:t>
            </w:r>
          </w:p>
        </w:tc>
        <w:tc>
          <w:tcPr>
            <w:tcW w:w="1333" w:type="pct"/>
            <w:shd w:val="clear" w:color="auto" w:fill="auto"/>
            <w:tcMar>
              <w:left w:w="0" w:type="dxa"/>
              <w:right w:w="0" w:type="dxa"/>
            </w:tcMar>
            <w:vAlign w:val="center"/>
          </w:tcPr>
          <w:p w14:paraId="330ACF75">
            <w:pPr>
              <w:adjustRightInd w:val="0"/>
              <w:snapToGrid w:val="0"/>
              <w:spacing w:line="240" w:lineRule="auto"/>
              <w:ind w:firstLine="0" w:firstLineChars="0"/>
              <w:jc w:val="center"/>
              <w:rPr>
                <w:sz w:val="21"/>
              </w:rPr>
            </w:pPr>
            <w:r>
              <w:rPr>
                <w:sz w:val="21"/>
              </w:rPr>
              <w:t>90</w:t>
            </w:r>
          </w:p>
        </w:tc>
      </w:tr>
      <w:tr w14:paraId="24C76C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restart"/>
            <w:shd w:val="clear" w:color="auto" w:fill="auto"/>
            <w:tcMar>
              <w:left w:w="0" w:type="dxa"/>
              <w:right w:w="0" w:type="dxa"/>
            </w:tcMar>
            <w:vAlign w:val="center"/>
          </w:tcPr>
          <w:p w14:paraId="08F3CE1A">
            <w:pPr>
              <w:adjustRightInd w:val="0"/>
              <w:snapToGrid w:val="0"/>
              <w:spacing w:line="240" w:lineRule="auto"/>
              <w:ind w:firstLine="0" w:firstLineChars="0"/>
              <w:jc w:val="center"/>
              <w:rPr>
                <w:sz w:val="21"/>
              </w:rPr>
            </w:pPr>
            <w:r>
              <w:rPr>
                <w:sz w:val="21"/>
              </w:rPr>
              <w:t>是否考虑岸线熏烟</w:t>
            </w:r>
          </w:p>
        </w:tc>
        <w:tc>
          <w:tcPr>
            <w:tcW w:w="2092" w:type="pct"/>
            <w:shd w:val="clear" w:color="auto" w:fill="auto"/>
            <w:tcMar>
              <w:left w:w="0" w:type="dxa"/>
              <w:right w:w="0" w:type="dxa"/>
            </w:tcMar>
            <w:vAlign w:val="center"/>
          </w:tcPr>
          <w:p w14:paraId="0A57C1CE">
            <w:pPr>
              <w:adjustRightInd w:val="0"/>
              <w:snapToGrid w:val="0"/>
              <w:spacing w:line="240" w:lineRule="auto"/>
              <w:ind w:firstLine="0" w:firstLineChars="0"/>
              <w:jc w:val="center"/>
              <w:rPr>
                <w:sz w:val="21"/>
              </w:rPr>
            </w:pPr>
            <w:r>
              <w:rPr>
                <w:sz w:val="21"/>
              </w:rPr>
              <w:t>考虑岸线熏烟</w:t>
            </w:r>
          </w:p>
        </w:tc>
        <w:tc>
          <w:tcPr>
            <w:tcW w:w="1333" w:type="pct"/>
            <w:shd w:val="clear" w:color="auto" w:fill="auto"/>
            <w:tcMar>
              <w:left w:w="0" w:type="dxa"/>
              <w:right w:w="0" w:type="dxa"/>
            </w:tcMar>
            <w:vAlign w:val="center"/>
          </w:tcPr>
          <w:p w14:paraId="61A5EC49">
            <w:pPr>
              <w:adjustRightInd w:val="0"/>
              <w:snapToGrid w:val="0"/>
              <w:spacing w:line="240" w:lineRule="auto"/>
              <w:ind w:firstLine="0" w:firstLineChars="0"/>
              <w:jc w:val="center"/>
              <w:rPr>
                <w:sz w:val="21"/>
              </w:rPr>
            </w:pPr>
            <w:r>
              <w:rPr>
                <w:rFonts w:ascii="宋体" w:hAnsi="宋体"/>
                <w:sz w:val="21"/>
              </w:rPr>
              <w:t>□</w:t>
            </w:r>
            <w:r>
              <w:rPr>
                <w:sz w:val="21"/>
              </w:rPr>
              <w:t xml:space="preserve">是    </w:t>
            </w:r>
            <w:r>
              <w:rPr>
                <w:rFonts w:ascii="Segoe UI Symbol" w:hAnsi="Segoe UI Symbol" w:cs="Segoe UI Symbol"/>
                <w:sz w:val="21"/>
              </w:rPr>
              <w:t>☑</w:t>
            </w:r>
            <w:r>
              <w:rPr>
                <w:sz w:val="21"/>
              </w:rPr>
              <w:t>否</w:t>
            </w:r>
          </w:p>
        </w:tc>
      </w:tr>
      <w:tr w14:paraId="0F346F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continue"/>
            <w:shd w:val="clear" w:color="auto" w:fill="auto"/>
            <w:tcMar>
              <w:left w:w="0" w:type="dxa"/>
              <w:right w:w="0" w:type="dxa"/>
            </w:tcMar>
            <w:vAlign w:val="center"/>
          </w:tcPr>
          <w:p w14:paraId="3F3E3313">
            <w:pPr>
              <w:adjustRightInd w:val="0"/>
              <w:snapToGrid w:val="0"/>
              <w:spacing w:line="240" w:lineRule="auto"/>
              <w:ind w:firstLine="0" w:firstLineChars="0"/>
              <w:jc w:val="center"/>
              <w:rPr>
                <w:sz w:val="21"/>
              </w:rPr>
            </w:pPr>
          </w:p>
        </w:tc>
        <w:tc>
          <w:tcPr>
            <w:tcW w:w="2092" w:type="pct"/>
            <w:shd w:val="clear" w:color="auto" w:fill="auto"/>
            <w:tcMar>
              <w:left w:w="0" w:type="dxa"/>
              <w:right w:w="0" w:type="dxa"/>
            </w:tcMar>
            <w:vAlign w:val="center"/>
          </w:tcPr>
          <w:p w14:paraId="0AF5B78C">
            <w:pPr>
              <w:adjustRightInd w:val="0"/>
              <w:snapToGrid w:val="0"/>
              <w:spacing w:line="240" w:lineRule="auto"/>
              <w:ind w:firstLine="0" w:firstLineChars="0"/>
              <w:jc w:val="center"/>
              <w:rPr>
                <w:sz w:val="21"/>
              </w:rPr>
            </w:pPr>
            <w:r>
              <w:rPr>
                <w:sz w:val="21"/>
              </w:rPr>
              <w:t>岸线距离/km</w:t>
            </w:r>
          </w:p>
        </w:tc>
        <w:tc>
          <w:tcPr>
            <w:tcW w:w="1333" w:type="pct"/>
            <w:shd w:val="clear" w:color="auto" w:fill="auto"/>
            <w:tcMar>
              <w:left w:w="0" w:type="dxa"/>
              <w:right w:w="0" w:type="dxa"/>
            </w:tcMar>
            <w:vAlign w:val="center"/>
          </w:tcPr>
          <w:p w14:paraId="4750730A">
            <w:pPr>
              <w:adjustRightInd w:val="0"/>
              <w:snapToGrid w:val="0"/>
              <w:spacing w:line="240" w:lineRule="auto"/>
              <w:ind w:firstLine="0" w:firstLineChars="0"/>
              <w:jc w:val="center"/>
              <w:rPr>
                <w:sz w:val="21"/>
              </w:rPr>
            </w:pPr>
            <w:r>
              <w:rPr>
                <w:sz w:val="21"/>
              </w:rPr>
              <w:t>/</w:t>
            </w:r>
          </w:p>
        </w:tc>
      </w:tr>
      <w:tr w14:paraId="60F68B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575" w:type="pct"/>
            <w:vMerge w:val="continue"/>
            <w:shd w:val="clear" w:color="auto" w:fill="auto"/>
            <w:tcMar>
              <w:left w:w="0" w:type="dxa"/>
              <w:right w:w="0" w:type="dxa"/>
            </w:tcMar>
            <w:vAlign w:val="center"/>
          </w:tcPr>
          <w:p w14:paraId="7932341E">
            <w:pPr>
              <w:adjustRightInd w:val="0"/>
              <w:snapToGrid w:val="0"/>
              <w:spacing w:line="240" w:lineRule="auto"/>
              <w:ind w:firstLine="0" w:firstLineChars="0"/>
              <w:jc w:val="center"/>
              <w:rPr>
                <w:sz w:val="21"/>
              </w:rPr>
            </w:pPr>
          </w:p>
        </w:tc>
        <w:tc>
          <w:tcPr>
            <w:tcW w:w="2092" w:type="pct"/>
            <w:shd w:val="clear" w:color="auto" w:fill="auto"/>
            <w:tcMar>
              <w:left w:w="0" w:type="dxa"/>
              <w:right w:w="0" w:type="dxa"/>
            </w:tcMar>
            <w:vAlign w:val="center"/>
          </w:tcPr>
          <w:p w14:paraId="708F2A9F">
            <w:pPr>
              <w:adjustRightInd w:val="0"/>
              <w:snapToGrid w:val="0"/>
              <w:spacing w:line="240" w:lineRule="auto"/>
              <w:ind w:firstLine="0" w:firstLineChars="0"/>
              <w:jc w:val="center"/>
              <w:rPr>
                <w:sz w:val="21"/>
              </w:rPr>
            </w:pPr>
            <w:r>
              <w:rPr>
                <w:sz w:val="21"/>
              </w:rPr>
              <w:t>岸线方向/°</w:t>
            </w:r>
          </w:p>
        </w:tc>
        <w:tc>
          <w:tcPr>
            <w:tcW w:w="1333" w:type="pct"/>
            <w:shd w:val="clear" w:color="auto" w:fill="auto"/>
            <w:tcMar>
              <w:left w:w="0" w:type="dxa"/>
              <w:right w:w="0" w:type="dxa"/>
            </w:tcMar>
            <w:vAlign w:val="center"/>
          </w:tcPr>
          <w:p w14:paraId="4DB1080B">
            <w:pPr>
              <w:adjustRightInd w:val="0"/>
              <w:snapToGrid w:val="0"/>
              <w:spacing w:line="240" w:lineRule="auto"/>
              <w:ind w:firstLine="0" w:firstLineChars="0"/>
              <w:jc w:val="center"/>
              <w:rPr>
                <w:sz w:val="21"/>
              </w:rPr>
            </w:pPr>
            <w:r>
              <w:rPr>
                <w:sz w:val="21"/>
              </w:rPr>
              <w:t>/</w:t>
            </w:r>
          </w:p>
        </w:tc>
      </w:tr>
    </w:tbl>
    <w:p w14:paraId="2D3BA4CA">
      <w:pPr>
        <w:ind w:firstLine="480"/>
      </w:pPr>
      <w:r>
        <w:rPr>
          <w:rFonts w:hint="eastAsia" w:ascii="宋体" w:hAnsi="宋体" w:cs="宋体"/>
        </w:rPr>
        <w:t>③</w:t>
      </w:r>
      <w:r>
        <w:rPr>
          <w:rFonts w:hint="eastAsia"/>
        </w:rPr>
        <w:t>本项目污染源源强</w:t>
      </w:r>
    </w:p>
    <w:p w14:paraId="38B7999D">
      <w:pPr>
        <w:pStyle w:val="47"/>
        <w:spacing w:before="65"/>
      </w:pPr>
      <w:r>
        <w:rPr>
          <w:rFonts w:hint="eastAsia"/>
        </w:rPr>
        <w:t>表2</w:t>
      </w:r>
      <w:r>
        <w:t xml:space="preserve">.6-4   </w:t>
      </w:r>
      <w:r>
        <w:rPr>
          <w:rFonts w:hint="eastAsia"/>
        </w:rPr>
        <w:t>本项目污染源源强一览表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76"/>
        <w:gridCol w:w="1220"/>
        <w:gridCol w:w="1166"/>
        <w:gridCol w:w="766"/>
        <w:gridCol w:w="1133"/>
        <w:gridCol w:w="1110"/>
        <w:gridCol w:w="648"/>
        <w:gridCol w:w="68"/>
        <w:gridCol w:w="573"/>
        <w:gridCol w:w="145"/>
        <w:gridCol w:w="720"/>
        <w:gridCol w:w="505"/>
      </w:tblGrid>
      <w:tr w14:paraId="500018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restart"/>
            <w:vAlign w:val="center"/>
          </w:tcPr>
          <w:p w14:paraId="093695B1">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排放方式</w:t>
            </w:r>
          </w:p>
        </w:tc>
        <w:tc>
          <w:tcPr>
            <w:tcW w:w="698" w:type="pct"/>
            <w:vMerge w:val="restart"/>
            <w:vAlign w:val="center"/>
          </w:tcPr>
          <w:p w14:paraId="5AA5D9E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排放源</w:t>
            </w:r>
          </w:p>
        </w:tc>
        <w:tc>
          <w:tcPr>
            <w:tcW w:w="667" w:type="pct"/>
            <w:vMerge w:val="restart"/>
            <w:vAlign w:val="center"/>
          </w:tcPr>
          <w:p w14:paraId="3D6F9BC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废气量（Nm</w:t>
            </w:r>
            <w:r>
              <w:rPr>
                <w:kern w:val="0"/>
                <w:sz w:val="21"/>
                <w:szCs w:val="21"/>
                <w:vertAlign w:val="superscript"/>
                <w:lang w:eastAsia="en-US"/>
              </w:rPr>
              <w:t>3</w:t>
            </w:r>
            <w:r>
              <w:rPr>
                <w:kern w:val="0"/>
                <w:sz w:val="21"/>
                <w:szCs w:val="21"/>
                <w:lang w:eastAsia="en-US"/>
              </w:rPr>
              <w:t>/h）</w:t>
            </w:r>
          </w:p>
        </w:tc>
        <w:tc>
          <w:tcPr>
            <w:tcW w:w="438" w:type="pct"/>
            <w:vMerge w:val="restart"/>
            <w:vAlign w:val="center"/>
          </w:tcPr>
          <w:p w14:paraId="195C2248">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污染物</w:t>
            </w:r>
          </w:p>
        </w:tc>
        <w:tc>
          <w:tcPr>
            <w:tcW w:w="648" w:type="pct"/>
            <w:vMerge w:val="restart"/>
            <w:vAlign w:val="center"/>
          </w:tcPr>
          <w:p w14:paraId="400025F0">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排放浓度</w:t>
            </w:r>
          </w:p>
          <w:p w14:paraId="079C4F31">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（mg/m³）</w:t>
            </w:r>
          </w:p>
        </w:tc>
        <w:tc>
          <w:tcPr>
            <w:tcW w:w="635" w:type="pct"/>
            <w:vMerge w:val="restart"/>
            <w:vAlign w:val="center"/>
          </w:tcPr>
          <w:p w14:paraId="0FC9433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排放速率（kg/h）</w:t>
            </w:r>
          </w:p>
        </w:tc>
        <w:tc>
          <w:tcPr>
            <w:tcW w:w="1233" w:type="pct"/>
            <w:gridSpan w:val="5"/>
            <w:vAlign w:val="center"/>
          </w:tcPr>
          <w:p w14:paraId="148F4221">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排气筒参数</w:t>
            </w:r>
          </w:p>
        </w:tc>
        <w:tc>
          <w:tcPr>
            <w:tcW w:w="289" w:type="pct"/>
            <w:vMerge w:val="restart"/>
            <w:vAlign w:val="center"/>
          </w:tcPr>
          <w:p w14:paraId="7958D2E5">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工况</w:t>
            </w:r>
          </w:p>
        </w:tc>
      </w:tr>
      <w:tr w14:paraId="38890D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5EBACEDD">
            <w:pPr>
              <w:widowControl/>
              <w:adjustRightInd w:val="0"/>
              <w:snapToGrid w:val="0"/>
              <w:spacing w:line="240" w:lineRule="auto"/>
              <w:ind w:firstLine="0" w:firstLineChars="0"/>
              <w:jc w:val="center"/>
              <w:rPr>
                <w:kern w:val="0"/>
                <w:sz w:val="21"/>
                <w:szCs w:val="21"/>
                <w:lang w:eastAsia="en-US"/>
              </w:rPr>
            </w:pPr>
          </w:p>
        </w:tc>
        <w:tc>
          <w:tcPr>
            <w:tcW w:w="698" w:type="pct"/>
            <w:vMerge w:val="continue"/>
            <w:vAlign w:val="center"/>
          </w:tcPr>
          <w:p w14:paraId="523738B7">
            <w:pPr>
              <w:widowControl/>
              <w:adjustRightInd w:val="0"/>
              <w:snapToGrid w:val="0"/>
              <w:spacing w:line="240" w:lineRule="auto"/>
              <w:ind w:firstLine="0" w:firstLineChars="0"/>
              <w:jc w:val="center"/>
              <w:rPr>
                <w:kern w:val="0"/>
                <w:sz w:val="21"/>
                <w:szCs w:val="21"/>
                <w:lang w:eastAsia="en-US"/>
              </w:rPr>
            </w:pPr>
          </w:p>
        </w:tc>
        <w:tc>
          <w:tcPr>
            <w:tcW w:w="667" w:type="pct"/>
            <w:vMerge w:val="continue"/>
            <w:vAlign w:val="center"/>
          </w:tcPr>
          <w:p w14:paraId="43066045">
            <w:pPr>
              <w:widowControl/>
              <w:adjustRightInd w:val="0"/>
              <w:snapToGrid w:val="0"/>
              <w:spacing w:line="240" w:lineRule="auto"/>
              <w:ind w:firstLine="0" w:firstLineChars="0"/>
              <w:jc w:val="center"/>
              <w:rPr>
                <w:kern w:val="0"/>
                <w:sz w:val="21"/>
                <w:szCs w:val="21"/>
                <w:lang w:eastAsia="en-US"/>
              </w:rPr>
            </w:pPr>
          </w:p>
        </w:tc>
        <w:tc>
          <w:tcPr>
            <w:tcW w:w="438" w:type="pct"/>
            <w:vMerge w:val="continue"/>
            <w:vAlign w:val="center"/>
          </w:tcPr>
          <w:p w14:paraId="23A15D48">
            <w:pPr>
              <w:widowControl/>
              <w:adjustRightInd w:val="0"/>
              <w:snapToGrid w:val="0"/>
              <w:spacing w:line="240" w:lineRule="auto"/>
              <w:ind w:firstLine="0" w:firstLineChars="0"/>
              <w:jc w:val="center"/>
              <w:rPr>
                <w:kern w:val="0"/>
                <w:sz w:val="21"/>
                <w:szCs w:val="21"/>
                <w:lang w:eastAsia="en-US"/>
              </w:rPr>
            </w:pPr>
          </w:p>
        </w:tc>
        <w:tc>
          <w:tcPr>
            <w:tcW w:w="648" w:type="pct"/>
            <w:vMerge w:val="continue"/>
            <w:vAlign w:val="center"/>
          </w:tcPr>
          <w:p w14:paraId="0CDA7532">
            <w:pPr>
              <w:widowControl/>
              <w:adjustRightInd w:val="0"/>
              <w:snapToGrid w:val="0"/>
              <w:spacing w:line="240" w:lineRule="auto"/>
              <w:ind w:firstLine="0" w:firstLineChars="0"/>
              <w:jc w:val="center"/>
              <w:rPr>
                <w:kern w:val="0"/>
                <w:sz w:val="21"/>
                <w:szCs w:val="21"/>
                <w:lang w:eastAsia="en-US"/>
              </w:rPr>
            </w:pPr>
          </w:p>
        </w:tc>
        <w:tc>
          <w:tcPr>
            <w:tcW w:w="635" w:type="pct"/>
            <w:vMerge w:val="continue"/>
            <w:vAlign w:val="center"/>
          </w:tcPr>
          <w:p w14:paraId="0F3F213F">
            <w:pPr>
              <w:widowControl/>
              <w:adjustRightInd w:val="0"/>
              <w:snapToGrid w:val="0"/>
              <w:spacing w:line="240" w:lineRule="auto"/>
              <w:ind w:firstLine="0" w:firstLineChars="0"/>
              <w:jc w:val="center"/>
              <w:rPr>
                <w:kern w:val="0"/>
                <w:sz w:val="21"/>
                <w:szCs w:val="21"/>
                <w:lang w:eastAsia="en-US"/>
              </w:rPr>
            </w:pPr>
          </w:p>
        </w:tc>
        <w:tc>
          <w:tcPr>
            <w:tcW w:w="371" w:type="pct"/>
            <w:vAlign w:val="center"/>
          </w:tcPr>
          <w:p w14:paraId="57DA69E8">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高度（m）</w:t>
            </w:r>
          </w:p>
        </w:tc>
        <w:tc>
          <w:tcPr>
            <w:tcW w:w="367" w:type="pct"/>
            <w:gridSpan w:val="2"/>
            <w:vAlign w:val="center"/>
          </w:tcPr>
          <w:p w14:paraId="760E55A8">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内径（m）</w:t>
            </w:r>
          </w:p>
        </w:tc>
        <w:tc>
          <w:tcPr>
            <w:tcW w:w="495" w:type="pct"/>
            <w:gridSpan w:val="2"/>
            <w:vAlign w:val="center"/>
          </w:tcPr>
          <w:p w14:paraId="312C13D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出口温度（℃）</w:t>
            </w:r>
          </w:p>
        </w:tc>
        <w:tc>
          <w:tcPr>
            <w:tcW w:w="289" w:type="pct"/>
            <w:vMerge w:val="continue"/>
            <w:vAlign w:val="center"/>
          </w:tcPr>
          <w:p w14:paraId="73A668D1">
            <w:pPr>
              <w:widowControl/>
              <w:adjustRightInd w:val="0"/>
              <w:snapToGrid w:val="0"/>
              <w:spacing w:line="240" w:lineRule="auto"/>
              <w:ind w:firstLine="0" w:firstLineChars="0"/>
              <w:jc w:val="center"/>
              <w:rPr>
                <w:kern w:val="0"/>
                <w:sz w:val="21"/>
                <w:szCs w:val="21"/>
                <w:lang w:eastAsia="en-US"/>
              </w:rPr>
            </w:pPr>
          </w:p>
        </w:tc>
      </w:tr>
      <w:tr w14:paraId="63C0E0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restart"/>
            <w:vAlign w:val="center"/>
          </w:tcPr>
          <w:p w14:paraId="33C6EC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rFonts w:hint="eastAsia"/>
                <w:kern w:val="0"/>
                <w:sz w:val="21"/>
                <w:szCs w:val="21"/>
              </w:rPr>
              <w:t>有组织</w:t>
            </w:r>
          </w:p>
        </w:tc>
        <w:tc>
          <w:tcPr>
            <w:tcW w:w="698" w:type="pct"/>
            <w:shd w:val="clear" w:color="auto" w:fill="auto"/>
            <w:vAlign w:val="center"/>
          </w:tcPr>
          <w:p w14:paraId="505E4790">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油气回收装置尾气</w:t>
            </w:r>
            <w:r>
              <w:rPr>
                <w:rFonts w:hint="eastAsia"/>
                <w:kern w:val="0"/>
                <w:sz w:val="21"/>
                <w:szCs w:val="21"/>
                <w:lang w:eastAsia="zh-CN"/>
              </w:rPr>
              <w:t>（</w:t>
            </w:r>
            <w:r>
              <w:rPr>
                <w:rFonts w:hint="eastAsia"/>
                <w:kern w:val="0"/>
                <w:sz w:val="21"/>
                <w:szCs w:val="21"/>
                <w:lang w:val="en-US" w:eastAsia="zh-CN"/>
              </w:rPr>
              <w:t>DA001</w:t>
            </w:r>
            <w:r>
              <w:rPr>
                <w:rFonts w:hint="eastAsia"/>
                <w:kern w:val="0"/>
                <w:sz w:val="21"/>
                <w:szCs w:val="21"/>
                <w:lang w:eastAsia="zh-CN"/>
              </w:rPr>
              <w:t>）</w:t>
            </w:r>
          </w:p>
        </w:tc>
        <w:tc>
          <w:tcPr>
            <w:tcW w:w="667" w:type="pct"/>
            <w:shd w:val="clear" w:color="auto" w:fill="auto"/>
            <w:vAlign w:val="center"/>
          </w:tcPr>
          <w:p w14:paraId="6CE23319">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10000</w:t>
            </w:r>
          </w:p>
        </w:tc>
        <w:tc>
          <w:tcPr>
            <w:tcW w:w="438" w:type="pct"/>
            <w:shd w:val="clear" w:color="auto" w:fill="auto"/>
            <w:vAlign w:val="center"/>
          </w:tcPr>
          <w:p w14:paraId="18F1A543">
            <w:pPr>
              <w:widowControl/>
              <w:adjustRightInd w:val="0"/>
              <w:snapToGrid w:val="0"/>
              <w:spacing w:line="240" w:lineRule="auto"/>
              <w:ind w:firstLine="0" w:firstLineChars="0"/>
              <w:jc w:val="center"/>
              <w:rPr>
                <w:rFonts w:ascii="Times New Roman" w:hAnsi="Times New Roman" w:eastAsia="宋体" w:cs="Times New Roman"/>
                <w:kern w:val="0"/>
                <w:sz w:val="21"/>
                <w:szCs w:val="21"/>
                <w:lang w:val="en-US" w:eastAsia="en-US" w:bidi="ar-SA"/>
              </w:rPr>
            </w:pPr>
            <w:r>
              <w:rPr>
                <w:rFonts w:hint="eastAsia"/>
                <w:kern w:val="0"/>
                <w:sz w:val="21"/>
                <w:szCs w:val="21"/>
              </w:rPr>
              <w:t>非甲烷总烃</w:t>
            </w:r>
          </w:p>
        </w:tc>
        <w:tc>
          <w:tcPr>
            <w:tcW w:w="648" w:type="pct"/>
            <w:shd w:val="clear" w:color="auto" w:fill="auto"/>
            <w:vAlign w:val="center"/>
          </w:tcPr>
          <w:p w14:paraId="37E56832">
            <w:pPr>
              <w:widowControl/>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kern w:val="0"/>
                <w:sz w:val="21"/>
                <w:szCs w:val="21"/>
              </w:rPr>
              <w:t>8.43</w:t>
            </w:r>
          </w:p>
        </w:tc>
        <w:tc>
          <w:tcPr>
            <w:tcW w:w="635" w:type="pct"/>
            <w:shd w:val="clear" w:color="auto" w:fill="auto"/>
            <w:vAlign w:val="center"/>
          </w:tcPr>
          <w:p w14:paraId="78F165D2">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kern w:val="0"/>
                <w:sz w:val="21"/>
                <w:szCs w:val="21"/>
              </w:rPr>
              <w:t>0.169</w:t>
            </w:r>
          </w:p>
        </w:tc>
        <w:tc>
          <w:tcPr>
            <w:tcW w:w="371" w:type="pct"/>
            <w:shd w:val="clear" w:color="auto" w:fill="auto"/>
            <w:vAlign w:val="center"/>
          </w:tcPr>
          <w:p w14:paraId="601B88D4">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15</w:t>
            </w:r>
          </w:p>
        </w:tc>
        <w:tc>
          <w:tcPr>
            <w:tcW w:w="367" w:type="pct"/>
            <w:gridSpan w:val="2"/>
            <w:shd w:val="clear" w:color="auto" w:fill="auto"/>
            <w:vAlign w:val="center"/>
          </w:tcPr>
          <w:p w14:paraId="3ECF6C9F">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0.5</w:t>
            </w:r>
          </w:p>
        </w:tc>
        <w:tc>
          <w:tcPr>
            <w:tcW w:w="495" w:type="pct"/>
            <w:gridSpan w:val="2"/>
            <w:shd w:val="clear" w:color="auto" w:fill="auto"/>
            <w:vAlign w:val="center"/>
          </w:tcPr>
          <w:p w14:paraId="4B42D2EF">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25</w:t>
            </w:r>
          </w:p>
        </w:tc>
        <w:tc>
          <w:tcPr>
            <w:tcW w:w="289" w:type="pct"/>
            <w:shd w:val="clear" w:color="auto" w:fill="auto"/>
            <w:vAlign w:val="center"/>
          </w:tcPr>
          <w:p w14:paraId="60A8F94B">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rFonts w:hint="eastAsia"/>
                <w:kern w:val="0"/>
                <w:sz w:val="21"/>
                <w:szCs w:val="21"/>
              </w:rPr>
              <w:t>正常</w:t>
            </w:r>
          </w:p>
        </w:tc>
      </w:tr>
      <w:tr w14:paraId="206CE4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1A08F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p>
        </w:tc>
        <w:tc>
          <w:tcPr>
            <w:tcW w:w="698" w:type="pct"/>
            <w:vMerge w:val="restart"/>
            <w:vAlign w:val="center"/>
          </w:tcPr>
          <w:p w14:paraId="683D2C76">
            <w:pPr>
              <w:widowControl/>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rPr>
              <w:t>导热油炉</w:t>
            </w:r>
            <w:r>
              <w:rPr>
                <w:rFonts w:hint="eastAsia"/>
                <w:kern w:val="0"/>
                <w:sz w:val="21"/>
                <w:szCs w:val="21"/>
                <w:lang w:eastAsia="zh-CN"/>
              </w:rPr>
              <w:t>（</w:t>
            </w:r>
            <w:r>
              <w:rPr>
                <w:rFonts w:hint="eastAsia"/>
                <w:kern w:val="0"/>
                <w:sz w:val="21"/>
                <w:szCs w:val="21"/>
                <w:lang w:val="en-US" w:eastAsia="zh-CN"/>
              </w:rPr>
              <w:t>DA002</w:t>
            </w:r>
            <w:r>
              <w:rPr>
                <w:rFonts w:hint="eastAsia"/>
                <w:kern w:val="0"/>
                <w:sz w:val="21"/>
                <w:szCs w:val="21"/>
                <w:lang w:eastAsia="zh-CN"/>
              </w:rPr>
              <w:t>）</w:t>
            </w:r>
          </w:p>
        </w:tc>
        <w:tc>
          <w:tcPr>
            <w:tcW w:w="667" w:type="pct"/>
            <w:vMerge w:val="restart"/>
            <w:vAlign w:val="center"/>
          </w:tcPr>
          <w:p w14:paraId="0A552318">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367.3</w:t>
            </w:r>
          </w:p>
        </w:tc>
        <w:tc>
          <w:tcPr>
            <w:tcW w:w="438" w:type="pct"/>
            <w:vAlign w:val="center"/>
          </w:tcPr>
          <w:p w14:paraId="4FC6FEC8">
            <w:pPr>
              <w:pStyle w:val="90"/>
            </w:pPr>
            <w:r>
              <w:t>SO</w:t>
            </w:r>
            <w:r>
              <w:rPr>
                <w:vertAlign w:val="subscript"/>
              </w:rPr>
              <w:t>2</w:t>
            </w:r>
          </w:p>
        </w:tc>
        <w:tc>
          <w:tcPr>
            <w:tcW w:w="648" w:type="pct"/>
            <w:vAlign w:val="center"/>
          </w:tcPr>
          <w:p w14:paraId="44192F19">
            <w:pPr>
              <w:pStyle w:val="90"/>
            </w:pPr>
            <w:r>
              <w:t>0.742</w:t>
            </w:r>
          </w:p>
        </w:tc>
        <w:tc>
          <w:tcPr>
            <w:tcW w:w="635" w:type="pct"/>
            <w:vAlign w:val="center"/>
          </w:tcPr>
          <w:p w14:paraId="36275E4C">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.0025</w:t>
            </w:r>
          </w:p>
        </w:tc>
        <w:tc>
          <w:tcPr>
            <w:tcW w:w="371" w:type="pct"/>
            <w:vMerge w:val="restart"/>
            <w:vAlign w:val="center"/>
          </w:tcPr>
          <w:p w14:paraId="74C37AF6">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5</w:t>
            </w:r>
          </w:p>
        </w:tc>
        <w:tc>
          <w:tcPr>
            <w:tcW w:w="367" w:type="pct"/>
            <w:gridSpan w:val="2"/>
            <w:vMerge w:val="restart"/>
            <w:vAlign w:val="center"/>
          </w:tcPr>
          <w:p w14:paraId="2F38AA72">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.5</w:t>
            </w:r>
          </w:p>
        </w:tc>
        <w:tc>
          <w:tcPr>
            <w:tcW w:w="495" w:type="pct"/>
            <w:gridSpan w:val="2"/>
            <w:vMerge w:val="restart"/>
            <w:vAlign w:val="center"/>
          </w:tcPr>
          <w:p w14:paraId="63A99539">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00</w:t>
            </w:r>
          </w:p>
        </w:tc>
        <w:tc>
          <w:tcPr>
            <w:tcW w:w="289" w:type="pct"/>
            <w:vMerge w:val="restart"/>
            <w:vAlign w:val="center"/>
          </w:tcPr>
          <w:p w14:paraId="3B0196AB">
            <w:pPr>
              <w:widowControl/>
              <w:adjustRightInd w:val="0"/>
              <w:snapToGrid w:val="0"/>
              <w:spacing w:line="240" w:lineRule="auto"/>
              <w:ind w:firstLine="0" w:firstLineChars="0"/>
              <w:jc w:val="center"/>
              <w:rPr>
                <w:kern w:val="0"/>
                <w:sz w:val="21"/>
                <w:szCs w:val="21"/>
              </w:rPr>
            </w:pPr>
            <w:r>
              <w:rPr>
                <w:rFonts w:hint="eastAsia"/>
                <w:kern w:val="0"/>
                <w:sz w:val="21"/>
                <w:szCs w:val="21"/>
              </w:rPr>
              <w:t>正常</w:t>
            </w:r>
          </w:p>
        </w:tc>
      </w:tr>
      <w:tr w14:paraId="6E6371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75E09782">
            <w:pPr>
              <w:adjustRightInd w:val="0"/>
              <w:snapToGrid w:val="0"/>
              <w:spacing w:line="240" w:lineRule="auto"/>
              <w:ind w:firstLine="420"/>
              <w:jc w:val="center"/>
              <w:rPr>
                <w:kern w:val="0"/>
                <w:sz w:val="21"/>
                <w:szCs w:val="21"/>
              </w:rPr>
            </w:pPr>
          </w:p>
        </w:tc>
        <w:tc>
          <w:tcPr>
            <w:tcW w:w="698" w:type="pct"/>
            <w:vMerge w:val="continue"/>
            <w:vAlign w:val="center"/>
          </w:tcPr>
          <w:p w14:paraId="61D76053">
            <w:pPr>
              <w:widowControl/>
              <w:adjustRightInd w:val="0"/>
              <w:snapToGrid w:val="0"/>
              <w:spacing w:line="240" w:lineRule="auto"/>
              <w:ind w:firstLine="0" w:firstLineChars="0"/>
              <w:jc w:val="center"/>
              <w:rPr>
                <w:kern w:val="0"/>
                <w:sz w:val="21"/>
                <w:szCs w:val="21"/>
              </w:rPr>
            </w:pPr>
          </w:p>
        </w:tc>
        <w:tc>
          <w:tcPr>
            <w:tcW w:w="667" w:type="pct"/>
            <w:vMerge w:val="continue"/>
            <w:vAlign w:val="center"/>
          </w:tcPr>
          <w:p w14:paraId="458118F0">
            <w:pPr>
              <w:widowControl/>
              <w:adjustRightInd w:val="0"/>
              <w:snapToGrid w:val="0"/>
              <w:spacing w:line="240" w:lineRule="auto"/>
              <w:ind w:firstLine="0" w:firstLineChars="0"/>
              <w:jc w:val="center"/>
              <w:rPr>
                <w:kern w:val="0"/>
                <w:sz w:val="21"/>
                <w:szCs w:val="21"/>
                <w:lang w:eastAsia="en-US"/>
              </w:rPr>
            </w:pPr>
          </w:p>
        </w:tc>
        <w:tc>
          <w:tcPr>
            <w:tcW w:w="438" w:type="pct"/>
            <w:vAlign w:val="center"/>
          </w:tcPr>
          <w:p w14:paraId="000EA367">
            <w:pPr>
              <w:pStyle w:val="90"/>
            </w:pPr>
            <w:r>
              <w:t>NO</w:t>
            </w:r>
            <w:r>
              <w:rPr>
                <w:vertAlign w:val="subscript"/>
              </w:rPr>
              <w:t>x</w:t>
            </w:r>
          </w:p>
        </w:tc>
        <w:tc>
          <w:tcPr>
            <w:tcW w:w="648" w:type="pct"/>
            <w:vAlign w:val="center"/>
          </w:tcPr>
          <w:p w14:paraId="4B09A8AC">
            <w:pPr>
              <w:pStyle w:val="90"/>
            </w:pPr>
            <w:r>
              <w:rPr>
                <w:rFonts w:hint="eastAsia"/>
              </w:rPr>
              <w:t>5</w:t>
            </w:r>
            <w:r>
              <w:t>.643</w:t>
            </w:r>
          </w:p>
        </w:tc>
        <w:tc>
          <w:tcPr>
            <w:tcW w:w="635" w:type="pct"/>
            <w:vAlign w:val="center"/>
          </w:tcPr>
          <w:p w14:paraId="37A63D1A">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.019</w:t>
            </w:r>
          </w:p>
        </w:tc>
        <w:tc>
          <w:tcPr>
            <w:tcW w:w="371" w:type="pct"/>
            <w:vMerge w:val="continue"/>
            <w:vAlign w:val="center"/>
          </w:tcPr>
          <w:p w14:paraId="727FF6D9">
            <w:pPr>
              <w:widowControl/>
              <w:adjustRightInd w:val="0"/>
              <w:snapToGrid w:val="0"/>
              <w:spacing w:line="240" w:lineRule="auto"/>
              <w:ind w:firstLine="0" w:firstLineChars="0"/>
              <w:jc w:val="center"/>
              <w:rPr>
                <w:kern w:val="0"/>
                <w:sz w:val="21"/>
                <w:szCs w:val="21"/>
                <w:lang w:eastAsia="en-US"/>
              </w:rPr>
            </w:pPr>
          </w:p>
        </w:tc>
        <w:tc>
          <w:tcPr>
            <w:tcW w:w="367" w:type="pct"/>
            <w:gridSpan w:val="2"/>
            <w:vMerge w:val="continue"/>
            <w:vAlign w:val="center"/>
          </w:tcPr>
          <w:p w14:paraId="4747A123">
            <w:pPr>
              <w:widowControl/>
              <w:adjustRightInd w:val="0"/>
              <w:snapToGrid w:val="0"/>
              <w:spacing w:line="240" w:lineRule="auto"/>
              <w:ind w:firstLine="0" w:firstLineChars="0"/>
              <w:jc w:val="center"/>
              <w:rPr>
                <w:kern w:val="0"/>
                <w:sz w:val="21"/>
                <w:szCs w:val="21"/>
                <w:lang w:eastAsia="en-US"/>
              </w:rPr>
            </w:pPr>
          </w:p>
        </w:tc>
        <w:tc>
          <w:tcPr>
            <w:tcW w:w="495" w:type="pct"/>
            <w:gridSpan w:val="2"/>
            <w:vMerge w:val="continue"/>
            <w:vAlign w:val="center"/>
          </w:tcPr>
          <w:p w14:paraId="79D092A5">
            <w:pPr>
              <w:widowControl/>
              <w:adjustRightInd w:val="0"/>
              <w:snapToGrid w:val="0"/>
              <w:spacing w:line="240" w:lineRule="auto"/>
              <w:ind w:firstLine="0" w:firstLineChars="0"/>
              <w:jc w:val="center"/>
              <w:rPr>
                <w:kern w:val="0"/>
                <w:sz w:val="21"/>
                <w:szCs w:val="21"/>
                <w:lang w:eastAsia="en-US"/>
              </w:rPr>
            </w:pPr>
          </w:p>
        </w:tc>
        <w:tc>
          <w:tcPr>
            <w:tcW w:w="289" w:type="pct"/>
            <w:vMerge w:val="continue"/>
            <w:vAlign w:val="center"/>
          </w:tcPr>
          <w:p w14:paraId="12E47ADD">
            <w:pPr>
              <w:widowControl/>
              <w:adjustRightInd w:val="0"/>
              <w:snapToGrid w:val="0"/>
              <w:spacing w:line="240" w:lineRule="auto"/>
              <w:ind w:firstLine="0" w:firstLineChars="0"/>
              <w:jc w:val="center"/>
              <w:rPr>
                <w:kern w:val="0"/>
                <w:sz w:val="21"/>
                <w:szCs w:val="21"/>
              </w:rPr>
            </w:pPr>
          </w:p>
        </w:tc>
      </w:tr>
      <w:tr w14:paraId="75DCB4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2E4104D4">
            <w:pPr>
              <w:adjustRightInd w:val="0"/>
              <w:snapToGrid w:val="0"/>
              <w:spacing w:line="240" w:lineRule="auto"/>
              <w:ind w:firstLine="420"/>
              <w:jc w:val="center"/>
              <w:rPr>
                <w:kern w:val="0"/>
                <w:sz w:val="21"/>
                <w:szCs w:val="21"/>
              </w:rPr>
            </w:pPr>
          </w:p>
        </w:tc>
        <w:tc>
          <w:tcPr>
            <w:tcW w:w="698" w:type="pct"/>
            <w:vMerge w:val="continue"/>
            <w:vAlign w:val="center"/>
          </w:tcPr>
          <w:p w14:paraId="2FBD7613">
            <w:pPr>
              <w:widowControl/>
              <w:adjustRightInd w:val="0"/>
              <w:snapToGrid w:val="0"/>
              <w:spacing w:line="240" w:lineRule="auto"/>
              <w:ind w:firstLine="0" w:firstLineChars="0"/>
              <w:jc w:val="center"/>
              <w:rPr>
                <w:kern w:val="0"/>
                <w:sz w:val="21"/>
                <w:szCs w:val="21"/>
              </w:rPr>
            </w:pPr>
          </w:p>
        </w:tc>
        <w:tc>
          <w:tcPr>
            <w:tcW w:w="667" w:type="pct"/>
            <w:vMerge w:val="continue"/>
            <w:vAlign w:val="center"/>
          </w:tcPr>
          <w:p w14:paraId="5BAFEBD2">
            <w:pPr>
              <w:widowControl/>
              <w:adjustRightInd w:val="0"/>
              <w:snapToGrid w:val="0"/>
              <w:spacing w:line="240" w:lineRule="auto"/>
              <w:ind w:firstLine="0" w:firstLineChars="0"/>
              <w:jc w:val="center"/>
              <w:rPr>
                <w:kern w:val="0"/>
                <w:sz w:val="21"/>
                <w:szCs w:val="21"/>
                <w:lang w:eastAsia="en-US"/>
              </w:rPr>
            </w:pPr>
          </w:p>
        </w:tc>
        <w:tc>
          <w:tcPr>
            <w:tcW w:w="438" w:type="pct"/>
            <w:vAlign w:val="center"/>
          </w:tcPr>
          <w:p w14:paraId="06551149">
            <w:pPr>
              <w:pStyle w:val="90"/>
            </w:pPr>
            <w:r>
              <w:rPr>
                <w:rFonts w:hint="eastAsia"/>
              </w:rPr>
              <w:t>颗粒物</w:t>
            </w:r>
          </w:p>
        </w:tc>
        <w:tc>
          <w:tcPr>
            <w:tcW w:w="648" w:type="pct"/>
            <w:vAlign w:val="center"/>
          </w:tcPr>
          <w:p w14:paraId="32C6E656">
            <w:pPr>
              <w:pStyle w:val="90"/>
            </w:pPr>
            <w:r>
              <w:rPr>
                <w:rFonts w:hint="eastAsia"/>
              </w:rPr>
              <w:t>4</w:t>
            </w:r>
            <w:r>
              <w:t>.455</w:t>
            </w:r>
          </w:p>
        </w:tc>
        <w:tc>
          <w:tcPr>
            <w:tcW w:w="635" w:type="pct"/>
            <w:vAlign w:val="center"/>
          </w:tcPr>
          <w:p w14:paraId="4F0B7BB4">
            <w:pPr>
              <w:widowControl/>
              <w:adjustRightInd w:val="0"/>
              <w:snapToGrid w:val="0"/>
              <w:spacing w:line="240" w:lineRule="auto"/>
              <w:ind w:firstLine="0" w:firstLineChars="0"/>
              <w:jc w:val="center"/>
              <w:rPr>
                <w:kern w:val="0"/>
                <w:sz w:val="21"/>
                <w:szCs w:val="21"/>
              </w:rPr>
            </w:pPr>
            <w:r>
              <w:rPr>
                <w:kern w:val="0"/>
                <w:sz w:val="21"/>
                <w:szCs w:val="21"/>
              </w:rPr>
              <w:t>0.1</w:t>
            </w:r>
          </w:p>
        </w:tc>
        <w:tc>
          <w:tcPr>
            <w:tcW w:w="371" w:type="pct"/>
            <w:vMerge w:val="continue"/>
            <w:vAlign w:val="center"/>
          </w:tcPr>
          <w:p w14:paraId="5B8013E6">
            <w:pPr>
              <w:widowControl/>
              <w:adjustRightInd w:val="0"/>
              <w:snapToGrid w:val="0"/>
              <w:spacing w:line="240" w:lineRule="auto"/>
              <w:ind w:firstLine="0" w:firstLineChars="0"/>
              <w:jc w:val="center"/>
              <w:rPr>
                <w:kern w:val="0"/>
                <w:sz w:val="21"/>
                <w:szCs w:val="21"/>
                <w:lang w:eastAsia="en-US"/>
              </w:rPr>
            </w:pPr>
          </w:p>
        </w:tc>
        <w:tc>
          <w:tcPr>
            <w:tcW w:w="367" w:type="pct"/>
            <w:gridSpan w:val="2"/>
            <w:vMerge w:val="continue"/>
            <w:vAlign w:val="center"/>
          </w:tcPr>
          <w:p w14:paraId="13B01348">
            <w:pPr>
              <w:widowControl/>
              <w:adjustRightInd w:val="0"/>
              <w:snapToGrid w:val="0"/>
              <w:spacing w:line="240" w:lineRule="auto"/>
              <w:ind w:firstLine="0" w:firstLineChars="0"/>
              <w:jc w:val="center"/>
              <w:rPr>
                <w:kern w:val="0"/>
                <w:sz w:val="21"/>
                <w:szCs w:val="21"/>
                <w:lang w:eastAsia="en-US"/>
              </w:rPr>
            </w:pPr>
          </w:p>
        </w:tc>
        <w:tc>
          <w:tcPr>
            <w:tcW w:w="495" w:type="pct"/>
            <w:gridSpan w:val="2"/>
            <w:vMerge w:val="continue"/>
            <w:vAlign w:val="center"/>
          </w:tcPr>
          <w:p w14:paraId="7CCE1833">
            <w:pPr>
              <w:widowControl/>
              <w:adjustRightInd w:val="0"/>
              <w:snapToGrid w:val="0"/>
              <w:spacing w:line="240" w:lineRule="auto"/>
              <w:ind w:firstLine="0" w:firstLineChars="0"/>
              <w:jc w:val="center"/>
              <w:rPr>
                <w:kern w:val="0"/>
                <w:sz w:val="21"/>
                <w:szCs w:val="21"/>
                <w:lang w:eastAsia="en-US"/>
              </w:rPr>
            </w:pPr>
          </w:p>
        </w:tc>
        <w:tc>
          <w:tcPr>
            <w:tcW w:w="289" w:type="pct"/>
            <w:vMerge w:val="continue"/>
            <w:vAlign w:val="center"/>
          </w:tcPr>
          <w:p w14:paraId="308CA966">
            <w:pPr>
              <w:widowControl/>
              <w:adjustRightInd w:val="0"/>
              <w:snapToGrid w:val="0"/>
              <w:spacing w:line="240" w:lineRule="auto"/>
              <w:ind w:firstLine="0" w:firstLineChars="0"/>
              <w:jc w:val="center"/>
              <w:rPr>
                <w:kern w:val="0"/>
                <w:sz w:val="21"/>
                <w:szCs w:val="21"/>
              </w:rPr>
            </w:pPr>
          </w:p>
        </w:tc>
      </w:tr>
      <w:tr w14:paraId="3D6983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09DDDF8C">
            <w:pPr>
              <w:widowControl/>
              <w:adjustRightInd w:val="0"/>
              <w:snapToGrid w:val="0"/>
              <w:spacing w:line="240" w:lineRule="auto"/>
              <w:ind w:firstLine="0" w:firstLineChars="0"/>
              <w:jc w:val="center"/>
              <w:rPr>
                <w:kern w:val="0"/>
                <w:sz w:val="21"/>
                <w:szCs w:val="21"/>
                <w:lang w:eastAsia="en-US"/>
              </w:rPr>
            </w:pPr>
          </w:p>
        </w:tc>
        <w:tc>
          <w:tcPr>
            <w:tcW w:w="698" w:type="pct"/>
            <w:vAlign w:val="center"/>
          </w:tcPr>
          <w:p w14:paraId="003801BF">
            <w:pPr>
              <w:widowControl/>
              <w:adjustRightInd w:val="0"/>
              <w:snapToGrid w:val="0"/>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生产车间（DA003）</w:t>
            </w:r>
          </w:p>
        </w:tc>
        <w:tc>
          <w:tcPr>
            <w:tcW w:w="667" w:type="pct"/>
            <w:vAlign w:val="center"/>
          </w:tcPr>
          <w:p w14:paraId="7E6F4944">
            <w:pPr>
              <w:widowControl/>
              <w:adjustRightInd w:val="0"/>
              <w:snapToGrid w:val="0"/>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70000</w:t>
            </w:r>
          </w:p>
        </w:tc>
        <w:tc>
          <w:tcPr>
            <w:tcW w:w="438" w:type="pct"/>
            <w:vAlign w:val="center"/>
          </w:tcPr>
          <w:p w14:paraId="24FCDBD6">
            <w:pPr>
              <w:widowControl/>
              <w:adjustRightInd w:val="0"/>
              <w:snapToGrid w:val="0"/>
              <w:spacing w:line="240" w:lineRule="auto"/>
              <w:ind w:firstLine="0" w:firstLineChars="0"/>
              <w:jc w:val="center"/>
              <w:rPr>
                <w:rFonts w:hint="eastAsia"/>
                <w:kern w:val="0"/>
                <w:sz w:val="21"/>
                <w:szCs w:val="21"/>
              </w:rPr>
            </w:pPr>
            <w:r>
              <w:rPr>
                <w:rFonts w:hint="eastAsia"/>
                <w:kern w:val="0"/>
                <w:sz w:val="21"/>
                <w:szCs w:val="21"/>
              </w:rPr>
              <w:t>非甲烷总烃</w:t>
            </w:r>
          </w:p>
        </w:tc>
        <w:tc>
          <w:tcPr>
            <w:tcW w:w="648" w:type="pct"/>
            <w:vAlign w:val="center"/>
          </w:tcPr>
          <w:p w14:paraId="6D2725F8">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10.2</w:t>
            </w:r>
          </w:p>
        </w:tc>
        <w:tc>
          <w:tcPr>
            <w:tcW w:w="635" w:type="pct"/>
            <w:vAlign w:val="center"/>
          </w:tcPr>
          <w:p w14:paraId="392FBCD0">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0.714</w:t>
            </w:r>
          </w:p>
        </w:tc>
        <w:tc>
          <w:tcPr>
            <w:tcW w:w="371" w:type="pct"/>
            <w:vAlign w:val="center"/>
          </w:tcPr>
          <w:p w14:paraId="26A5568C">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15</w:t>
            </w:r>
          </w:p>
        </w:tc>
        <w:tc>
          <w:tcPr>
            <w:tcW w:w="367" w:type="pct"/>
            <w:gridSpan w:val="2"/>
            <w:vAlign w:val="center"/>
          </w:tcPr>
          <w:p w14:paraId="265EE4EF">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w:t>
            </w:r>
          </w:p>
        </w:tc>
        <w:tc>
          <w:tcPr>
            <w:tcW w:w="495" w:type="pct"/>
            <w:gridSpan w:val="2"/>
            <w:vAlign w:val="center"/>
          </w:tcPr>
          <w:p w14:paraId="48F23FE4">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25</w:t>
            </w:r>
          </w:p>
        </w:tc>
        <w:tc>
          <w:tcPr>
            <w:tcW w:w="289" w:type="pct"/>
            <w:vAlign w:val="center"/>
          </w:tcPr>
          <w:p w14:paraId="365F8FC9">
            <w:pPr>
              <w:widowControl/>
              <w:adjustRightInd w:val="0"/>
              <w:snapToGrid w:val="0"/>
              <w:spacing w:line="240" w:lineRule="auto"/>
              <w:ind w:firstLine="0" w:firstLineChars="0"/>
              <w:jc w:val="center"/>
              <w:rPr>
                <w:rFonts w:hint="eastAsia"/>
                <w:kern w:val="0"/>
                <w:sz w:val="21"/>
                <w:szCs w:val="21"/>
              </w:rPr>
            </w:pPr>
            <w:r>
              <w:rPr>
                <w:rFonts w:hint="eastAsia"/>
                <w:kern w:val="0"/>
                <w:sz w:val="21"/>
                <w:szCs w:val="21"/>
              </w:rPr>
              <w:t>正常</w:t>
            </w:r>
          </w:p>
        </w:tc>
      </w:tr>
      <w:tr w14:paraId="4810DC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restart"/>
            <w:vAlign w:val="center"/>
          </w:tcPr>
          <w:p w14:paraId="214F2DF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无组织</w:t>
            </w:r>
          </w:p>
        </w:tc>
        <w:tc>
          <w:tcPr>
            <w:tcW w:w="698" w:type="pct"/>
            <w:vMerge w:val="restart"/>
            <w:vAlign w:val="center"/>
          </w:tcPr>
          <w:p w14:paraId="6C2F2FD9">
            <w:pPr>
              <w:widowControl/>
              <w:adjustRightInd w:val="0"/>
              <w:snapToGrid w:val="0"/>
              <w:spacing w:line="240" w:lineRule="auto"/>
              <w:ind w:firstLine="0" w:firstLineChars="0"/>
              <w:jc w:val="center"/>
              <w:rPr>
                <w:kern w:val="0"/>
                <w:sz w:val="21"/>
                <w:szCs w:val="21"/>
              </w:rPr>
            </w:pPr>
            <w:r>
              <w:rPr>
                <w:rFonts w:hint="eastAsia"/>
                <w:kern w:val="0"/>
                <w:sz w:val="21"/>
                <w:szCs w:val="21"/>
              </w:rPr>
              <w:t>面源海拔</w:t>
            </w:r>
          </w:p>
        </w:tc>
        <w:tc>
          <w:tcPr>
            <w:tcW w:w="667" w:type="pct"/>
            <w:vMerge w:val="restart"/>
            <w:vAlign w:val="center"/>
          </w:tcPr>
          <w:p w14:paraId="268598C7">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面源长</w:t>
            </w:r>
          </w:p>
        </w:tc>
        <w:tc>
          <w:tcPr>
            <w:tcW w:w="438" w:type="pct"/>
            <w:vMerge w:val="restart"/>
            <w:vAlign w:val="center"/>
          </w:tcPr>
          <w:p w14:paraId="0AF18F15">
            <w:pPr>
              <w:widowControl/>
              <w:adjustRightInd w:val="0"/>
              <w:snapToGrid w:val="0"/>
              <w:spacing w:line="240" w:lineRule="auto"/>
              <w:ind w:firstLine="0" w:firstLineChars="0"/>
              <w:jc w:val="center"/>
              <w:rPr>
                <w:kern w:val="0"/>
                <w:sz w:val="21"/>
                <w:szCs w:val="21"/>
              </w:rPr>
            </w:pPr>
            <w:r>
              <w:rPr>
                <w:rFonts w:hint="eastAsia"/>
                <w:kern w:val="0"/>
                <w:sz w:val="21"/>
                <w:szCs w:val="21"/>
              </w:rPr>
              <w:t>面源宽</w:t>
            </w:r>
          </w:p>
        </w:tc>
        <w:tc>
          <w:tcPr>
            <w:tcW w:w="648" w:type="pct"/>
            <w:vMerge w:val="restart"/>
            <w:vAlign w:val="center"/>
          </w:tcPr>
          <w:p w14:paraId="1C3843D6">
            <w:pPr>
              <w:widowControl/>
              <w:adjustRightInd w:val="0"/>
              <w:snapToGrid w:val="0"/>
              <w:spacing w:line="240" w:lineRule="auto"/>
              <w:ind w:firstLine="0" w:firstLineChars="0"/>
              <w:jc w:val="center"/>
              <w:rPr>
                <w:kern w:val="0"/>
                <w:sz w:val="21"/>
                <w:szCs w:val="21"/>
              </w:rPr>
            </w:pPr>
            <w:r>
              <w:rPr>
                <w:rFonts w:hint="eastAsia"/>
                <w:kern w:val="0"/>
                <w:sz w:val="21"/>
                <w:szCs w:val="21"/>
              </w:rPr>
              <w:t>与正北夹角</w:t>
            </w:r>
          </w:p>
        </w:tc>
        <w:tc>
          <w:tcPr>
            <w:tcW w:w="635" w:type="pct"/>
            <w:vMerge w:val="restart"/>
            <w:vAlign w:val="center"/>
          </w:tcPr>
          <w:p w14:paraId="3287F840">
            <w:pPr>
              <w:widowControl/>
              <w:adjustRightInd w:val="0"/>
              <w:snapToGrid w:val="0"/>
              <w:spacing w:line="240" w:lineRule="auto"/>
              <w:ind w:firstLine="0" w:firstLineChars="0"/>
              <w:jc w:val="center"/>
              <w:rPr>
                <w:kern w:val="0"/>
                <w:sz w:val="21"/>
                <w:szCs w:val="21"/>
              </w:rPr>
            </w:pPr>
            <w:r>
              <w:rPr>
                <w:rFonts w:hint="eastAsia"/>
                <w:kern w:val="0"/>
                <w:sz w:val="21"/>
                <w:szCs w:val="21"/>
              </w:rPr>
              <w:t>面源高度</w:t>
            </w:r>
          </w:p>
        </w:tc>
        <w:tc>
          <w:tcPr>
            <w:tcW w:w="1233" w:type="pct"/>
            <w:gridSpan w:val="5"/>
            <w:vAlign w:val="center"/>
          </w:tcPr>
          <w:p w14:paraId="1F6BFDC4">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排放速率</w:t>
            </w:r>
            <w:r>
              <w:rPr>
                <w:rFonts w:hint="eastAsia"/>
                <w:kern w:val="0"/>
                <w:sz w:val="21"/>
                <w:szCs w:val="21"/>
              </w:rPr>
              <w:t>（kg/h）</w:t>
            </w:r>
          </w:p>
        </w:tc>
        <w:tc>
          <w:tcPr>
            <w:tcW w:w="289" w:type="pct"/>
            <w:vMerge w:val="restart"/>
            <w:vAlign w:val="center"/>
          </w:tcPr>
          <w:p w14:paraId="31869C3F">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工况</w:t>
            </w:r>
          </w:p>
        </w:tc>
      </w:tr>
      <w:tr w14:paraId="1DEB26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3B8E9B7F">
            <w:pPr>
              <w:widowControl/>
              <w:adjustRightInd w:val="0"/>
              <w:snapToGrid w:val="0"/>
              <w:spacing w:line="240" w:lineRule="auto"/>
              <w:ind w:firstLine="0" w:firstLineChars="0"/>
              <w:jc w:val="center"/>
              <w:rPr>
                <w:kern w:val="0"/>
                <w:sz w:val="21"/>
                <w:szCs w:val="21"/>
                <w:lang w:eastAsia="en-US"/>
              </w:rPr>
            </w:pPr>
          </w:p>
        </w:tc>
        <w:tc>
          <w:tcPr>
            <w:tcW w:w="698" w:type="pct"/>
            <w:vMerge w:val="continue"/>
            <w:vAlign w:val="center"/>
          </w:tcPr>
          <w:p w14:paraId="3BE70E4F">
            <w:pPr>
              <w:widowControl/>
              <w:adjustRightInd w:val="0"/>
              <w:snapToGrid w:val="0"/>
              <w:spacing w:line="240" w:lineRule="auto"/>
              <w:ind w:firstLine="0" w:firstLineChars="0"/>
              <w:jc w:val="center"/>
              <w:rPr>
                <w:kern w:val="0"/>
                <w:sz w:val="21"/>
                <w:szCs w:val="21"/>
              </w:rPr>
            </w:pPr>
          </w:p>
        </w:tc>
        <w:tc>
          <w:tcPr>
            <w:tcW w:w="667" w:type="pct"/>
            <w:vMerge w:val="continue"/>
            <w:vAlign w:val="center"/>
          </w:tcPr>
          <w:p w14:paraId="7607A800">
            <w:pPr>
              <w:widowControl/>
              <w:adjustRightInd w:val="0"/>
              <w:snapToGrid w:val="0"/>
              <w:spacing w:line="240" w:lineRule="auto"/>
              <w:ind w:firstLine="0" w:firstLineChars="0"/>
              <w:jc w:val="center"/>
              <w:rPr>
                <w:kern w:val="0"/>
                <w:sz w:val="21"/>
                <w:szCs w:val="21"/>
                <w:lang w:eastAsia="en-US"/>
              </w:rPr>
            </w:pPr>
          </w:p>
        </w:tc>
        <w:tc>
          <w:tcPr>
            <w:tcW w:w="438" w:type="pct"/>
            <w:vMerge w:val="continue"/>
            <w:vAlign w:val="center"/>
          </w:tcPr>
          <w:p w14:paraId="526465A3">
            <w:pPr>
              <w:widowControl/>
              <w:adjustRightInd w:val="0"/>
              <w:snapToGrid w:val="0"/>
              <w:spacing w:line="240" w:lineRule="auto"/>
              <w:ind w:firstLine="0" w:firstLineChars="0"/>
              <w:jc w:val="center"/>
              <w:rPr>
                <w:kern w:val="0"/>
                <w:sz w:val="21"/>
                <w:szCs w:val="21"/>
              </w:rPr>
            </w:pPr>
          </w:p>
        </w:tc>
        <w:tc>
          <w:tcPr>
            <w:tcW w:w="648" w:type="pct"/>
            <w:vMerge w:val="continue"/>
            <w:vAlign w:val="center"/>
          </w:tcPr>
          <w:p w14:paraId="57134C80">
            <w:pPr>
              <w:widowControl/>
              <w:adjustRightInd w:val="0"/>
              <w:snapToGrid w:val="0"/>
              <w:spacing w:line="240" w:lineRule="auto"/>
              <w:ind w:firstLine="0" w:firstLineChars="0"/>
              <w:jc w:val="center"/>
              <w:rPr>
                <w:kern w:val="0"/>
                <w:sz w:val="21"/>
                <w:szCs w:val="21"/>
              </w:rPr>
            </w:pPr>
          </w:p>
        </w:tc>
        <w:tc>
          <w:tcPr>
            <w:tcW w:w="635" w:type="pct"/>
            <w:vMerge w:val="continue"/>
            <w:vAlign w:val="center"/>
          </w:tcPr>
          <w:p w14:paraId="50716D73">
            <w:pPr>
              <w:widowControl/>
              <w:adjustRightInd w:val="0"/>
              <w:snapToGrid w:val="0"/>
              <w:spacing w:line="240" w:lineRule="auto"/>
              <w:ind w:firstLine="0" w:firstLineChars="0"/>
              <w:jc w:val="center"/>
              <w:rPr>
                <w:kern w:val="0"/>
                <w:sz w:val="21"/>
                <w:szCs w:val="21"/>
              </w:rPr>
            </w:pPr>
          </w:p>
        </w:tc>
        <w:tc>
          <w:tcPr>
            <w:tcW w:w="410" w:type="pct"/>
            <w:gridSpan w:val="2"/>
            <w:vAlign w:val="center"/>
          </w:tcPr>
          <w:p w14:paraId="617B45D2">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NMHC</w:t>
            </w:r>
          </w:p>
        </w:tc>
        <w:tc>
          <w:tcPr>
            <w:tcW w:w="411" w:type="pct"/>
            <w:gridSpan w:val="2"/>
            <w:vAlign w:val="center"/>
          </w:tcPr>
          <w:p w14:paraId="091005C5">
            <w:pPr>
              <w:pStyle w:val="90"/>
              <w:rPr>
                <w:lang w:eastAsia="en-US"/>
              </w:rPr>
            </w:pPr>
            <w:r>
              <w:rPr>
                <w:rFonts w:hint="eastAsia"/>
              </w:rPr>
              <w:t>氨</w:t>
            </w:r>
          </w:p>
        </w:tc>
        <w:tc>
          <w:tcPr>
            <w:tcW w:w="412" w:type="pct"/>
            <w:vAlign w:val="center"/>
          </w:tcPr>
          <w:p w14:paraId="118EDFCE">
            <w:pPr>
              <w:pStyle w:val="90"/>
              <w:rPr>
                <w:lang w:eastAsia="en-US"/>
              </w:rPr>
            </w:pPr>
            <w:r>
              <w:rPr>
                <w:rFonts w:hint="eastAsia"/>
              </w:rPr>
              <w:t>硫化氢</w:t>
            </w:r>
          </w:p>
        </w:tc>
        <w:tc>
          <w:tcPr>
            <w:tcW w:w="289" w:type="pct"/>
            <w:vMerge w:val="continue"/>
            <w:vAlign w:val="center"/>
          </w:tcPr>
          <w:p w14:paraId="2E9517C1">
            <w:pPr>
              <w:widowControl/>
              <w:adjustRightInd w:val="0"/>
              <w:snapToGrid w:val="0"/>
              <w:spacing w:line="240" w:lineRule="auto"/>
              <w:ind w:firstLine="0" w:firstLineChars="0"/>
              <w:jc w:val="center"/>
              <w:rPr>
                <w:kern w:val="0"/>
                <w:sz w:val="21"/>
                <w:szCs w:val="21"/>
                <w:lang w:eastAsia="en-US"/>
              </w:rPr>
            </w:pPr>
          </w:p>
        </w:tc>
      </w:tr>
      <w:tr w14:paraId="33D776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60CFDD7A">
            <w:pPr>
              <w:widowControl/>
              <w:adjustRightInd w:val="0"/>
              <w:snapToGrid w:val="0"/>
              <w:spacing w:line="240" w:lineRule="auto"/>
              <w:ind w:firstLine="0" w:firstLineChars="0"/>
              <w:jc w:val="center"/>
              <w:rPr>
                <w:kern w:val="0"/>
                <w:sz w:val="21"/>
                <w:szCs w:val="21"/>
                <w:lang w:eastAsia="en-US"/>
              </w:rPr>
            </w:pPr>
          </w:p>
        </w:tc>
        <w:tc>
          <w:tcPr>
            <w:tcW w:w="698" w:type="pct"/>
            <w:vAlign w:val="center"/>
          </w:tcPr>
          <w:p w14:paraId="3EC8A445">
            <w:pPr>
              <w:widowControl/>
              <w:adjustRightInd w:val="0"/>
              <w:snapToGrid w:val="0"/>
              <w:spacing w:line="240" w:lineRule="auto"/>
              <w:ind w:firstLine="0" w:firstLineChars="0"/>
              <w:jc w:val="center"/>
              <w:rPr>
                <w:kern w:val="0"/>
                <w:sz w:val="21"/>
                <w:szCs w:val="21"/>
              </w:rPr>
            </w:pPr>
            <w:r>
              <w:rPr>
                <w:kern w:val="0"/>
                <w:sz w:val="21"/>
                <w:szCs w:val="21"/>
              </w:rPr>
              <w:t>314</w:t>
            </w:r>
          </w:p>
        </w:tc>
        <w:tc>
          <w:tcPr>
            <w:tcW w:w="667" w:type="pct"/>
            <w:vAlign w:val="center"/>
          </w:tcPr>
          <w:p w14:paraId="1AD345CA">
            <w:pPr>
              <w:widowControl/>
              <w:adjustRightInd w:val="0"/>
              <w:snapToGrid w:val="0"/>
              <w:spacing w:line="240" w:lineRule="auto"/>
              <w:ind w:firstLine="0" w:firstLineChars="0"/>
              <w:jc w:val="center"/>
              <w:rPr>
                <w:kern w:val="0"/>
                <w:sz w:val="21"/>
                <w:szCs w:val="21"/>
              </w:rPr>
            </w:pPr>
            <w:r>
              <w:rPr>
                <w:kern w:val="0"/>
                <w:sz w:val="21"/>
                <w:szCs w:val="21"/>
              </w:rPr>
              <w:t>105</w:t>
            </w:r>
            <w:r>
              <w:rPr>
                <w:rFonts w:hint="eastAsia"/>
                <w:kern w:val="0"/>
                <w:sz w:val="21"/>
                <w:szCs w:val="21"/>
              </w:rPr>
              <w:t>m</w:t>
            </w:r>
          </w:p>
        </w:tc>
        <w:tc>
          <w:tcPr>
            <w:tcW w:w="438" w:type="pct"/>
            <w:vAlign w:val="center"/>
          </w:tcPr>
          <w:p w14:paraId="200253A2">
            <w:pPr>
              <w:widowControl/>
              <w:adjustRightInd w:val="0"/>
              <w:snapToGrid w:val="0"/>
              <w:spacing w:line="240" w:lineRule="auto"/>
              <w:ind w:firstLine="0" w:firstLineChars="0"/>
              <w:jc w:val="center"/>
              <w:rPr>
                <w:kern w:val="0"/>
                <w:sz w:val="21"/>
                <w:szCs w:val="21"/>
              </w:rPr>
            </w:pPr>
            <w:r>
              <w:rPr>
                <w:kern w:val="0"/>
                <w:sz w:val="21"/>
                <w:szCs w:val="21"/>
              </w:rPr>
              <w:t>50</w:t>
            </w:r>
            <w:r>
              <w:rPr>
                <w:rFonts w:hint="eastAsia"/>
                <w:kern w:val="0"/>
                <w:sz w:val="21"/>
                <w:szCs w:val="21"/>
              </w:rPr>
              <w:t>m</w:t>
            </w:r>
          </w:p>
        </w:tc>
        <w:tc>
          <w:tcPr>
            <w:tcW w:w="648" w:type="pct"/>
            <w:vAlign w:val="center"/>
          </w:tcPr>
          <w:p w14:paraId="12633F8C">
            <w:pPr>
              <w:widowControl/>
              <w:adjustRightInd w:val="0"/>
              <w:snapToGrid w:val="0"/>
              <w:spacing w:line="240" w:lineRule="auto"/>
              <w:ind w:firstLine="0" w:firstLineChars="0"/>
              <w:jc w:val="center"/>
              <w:rPr>
                <w:kern w:val="0"/>
                <w:sz w:val="21"/>
                <w:szCs w:val="21"/>
              </w:rPr>
            </w:pPr>
            <w:r>
              <w:rPr>
                <w:rFonts w:hint="eastAsia"/>
                <w:kern w:val="0"/>
                <w:sz w:val="21"/>
                <w:szCs w:val="21"/>
              </w:rPr>
              <w:t>1°</w:t>
            </w:r>
          </w:p>
        </w:tc>
        <w:tc>
          <w:tcPr>
            <w:tcW w:w="635" w:type="pct"/>
            <w:vAlign w:val="center"/>
          </w:tcPr>
          <w:p w14:paraId="2306DB2F">
            <w:pPr>
              <w:widowControl/>
              <w:adjustRightInd w:val="0"/>
              <w:snapToGrid w:val="0"/>
              <w:spacing w:line="240" w:lineRule="auto"/>
              <w:ind w:firstLine="0" w:firstLineChars="0"/>
              <w:jc w:val="center"/>
              <w:rPr>
                <w:kern w:val="0"/>
                <w:sz w:val="21"/>
                <w:szCs w:val="21"/>
              </w:rPr>
            </w:pPr>
            <w:r>
              <w:rPr>
                <w:rFonts w:hint="eastAsia"/>
                <w:kern w:val="0"/>
                <w:sz w:val="21"/>
                <w:szCs w:val="21"/>
              </w:rPr>
              <w:t>3</w:t>
            </w:r>
          </w:p>
        </w:tc>
        <w:tc>
          <w:tcPr>
            <w:tcW w:w="410" w:type="pct"/>
            <w:gridSpan w:val="2"/>
            <w:vAlign w:val="center"/>
          </w:tcPr>
          <w:p w14:paraId="38CDD82D">
            <w:pPr>
              <w:widowControl/>
              <w:adjustRightInd w:val="0"/>
              <w:snapToGrid w:val="0"/>
              <w:spacing w:line="240" w:lineRule="auto"/>
              <w:ind w:firstLine="0" w:firstLineChars="0"/>
              <w:jc w:val="center"/>
              <w:rPr>
                <w:kern w:val="0"/>
                <w:sz w:val="21"/>
                <w:szCs w:val="21"/>
              </w:rPr>
            </w:pPr>
            <w:r>
              <w:rPr>
                <w:kern w:val="0"/>
                <w:sz w:val="21"/>
                <w:szCs w:val="21"/>
              </w:rPr>
              <w:t>0.06603</w:t>
            </w:r>
          </w:p>
        </w:tc>
        <w:tc>
          <w:tcPr>
            <w:tcW w:w="411" w:type="pct"/>
            <w:gridSpan w:val="2"/>
            <w:vAlign w:val="center"/>
          </w:tcPr>
          <w:p w14:paraId="13182A70">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.081</w:t>
            </w:r>
          </w:p>
        </w:tc>
        <w:tc>
          <w:tcPr>
            <w:tcW w:w="412" w:type="pct"/>
            <w:vAlign w:val="center"/>
          </w:tcPr>
          <w:p w14:paraId="5CFB797C">
            <w:pPr>
              <w:pStyle w:val="90"/>
            </w:pPr>
            <w:r>
              <w:rPr>
                <w:rFonts w:hint="eastAsia"/>
              </w:rPr>
              <w:t>0</w:t>
            </w:r>
            <w:r>
              <w:t>.0004</w:t>
            </w:r>
          </w:p>
        </w:tc>
        <w:tc>
          <w:tcPr>
            <w:tcW w:w="289" w:type="pct"/>
            <w:vAlign w:val="center"/>
          </w:tcPr>
          <w:p w14:paraId="587FFC75">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正常</w:t>
            </w:r>
          </w:p>
        </w:tc>
      </w:tr>
    </w:tbl>
    <w:p w14:paraId="3F8E5972">
      <w:pPr>
        <w:ind w:firstLine="480"/>
      </w:pPr>
      <w:r>
        <w:rPr>
          <w:rFonts w:hint="eastAsia" w:ascii="宋体" w:hAnsi="宋体" w:cs="宋体"/>
        </w:rPr>
        <w:t>④</w:t>
      </w:r>
      <w:r>
        <w:rPr>
          <w:rFonts w:hint="eastAsia"/>
        </w:rPr>
        <w:t>主要污染源估算模型计算结果见下表。</w:t>
      </w:r>
    </w:p>
    <w:p w14:paraId="1CE35E24">
      <w:pPr>
        <w:pStyle w:val="47"/>
        <w:spacing w:before="65"/>
      </w:pPr>
      <w:r>
        <w:rPr>
          <w:rFonts w:hint="eastAsia"/>
        </w:rPr>
        <w:t>表2.</w:t>
      </w:r>
      <w:r>
        <w:t xml:space="preserve">6-5   </w:t>
      </w:r>
      <w:r>
        <w:rPr>
          <w:rFonts w:hint="eastAsia"/>
        </w:rPr>
        <w:t>主要污染源估算模型计算结果表（</w:t>
      </w:r>
      <w:r>
        <w:rPr>
          <w:rFonts w:hint="eastAsia"/>
          <w:lang w:val="en-US" w:eastAsia="zh-CN"/>
        </w:rPr>
        <w:t>DA001-DA002</w:t>
      </w:r>
      <w:r>
        <w:rPr>
          <w:rFonts w:hint="eastAsia"/>
        </w:rPr>
        <w:t>）</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990"/>
        <w:gridCol w:w="580"/>
        <w:gridCol w:w="1197"/>
        <w:gridCol w:w="972"/>
        <w:gridCol w:w="1237"/>
        <w:gridCol w:w="972"/>
        <w:gridCol w:w="1237"/>
        <w:gridCol w:w="1085"/>
      </w:tblGrid>
      <w:tr w14:paraId="72C55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vMerge w:val="restart"/>
            <w:shd w:val="clear" w:color="auto" w:fill="auto"/>
            <w:tcMar>
              <w:left w:w="0" w:type="dxa"/>
              <w:right w:w="0" w:type="dxa"/>
            </w:tcMar>
            <w:vAlign w:val="center"/>
          </w:tcPr>
          <w:p w14:paraId="3B4D2826">
            <w:pPr>
              <w:pStyle w:val="90"/>
              <w:rPr>
                <w:sz w:val="21"/>
                <w:szCs w:val="21"/>
              </w:rPr>
            </w:pPr>
            <w:r>
              <w:rPr>
                <w:sz w:val="21"/>
                <w:szCs w:val="21"/>
              </w:rPr>
              <w:t>下风向距离/m</w:t>
            </w:r>
          </w:p>
        </w:tc>
        <w:tc>
          <w:tcPr>
            <w:tcW w:w="888" w:type="pct"/>
            <w:gridSpan w:val="2"/>
            <w:shd w:val="clear" w:color="auto" w:fill="auto"/>
            <w:tcMar>
              <w:left w:w="0" w:type="dxa"/>
              <w:right w:w="0" w:type="dxa"/>
            </w:tcMar>
            <w:vAlign w:val="center"/>
          </w:tcPr>
          <w:p w14:paraId="0FE4DF2C">
            <w:pPr>
              <w:pStyle w:val="90"/>
              <w:rPr>
                <w:sz w:val="21"/>
                <w:szCs w:val="21"/>
              </w:rPr>
            </w:pPr>
            <w:r>
              <w:rPr>
                <w:rFonts w:hint="eastAsia"/>
                <w:sz w:val="21"/>
                <w:szCs w:val="21"/>
              </w:rPr>
              <w:t>非甲烷总烃（有组织）</w:t>
            </w:r>
          </w:p>
        </w:tc>
        <w:tc>
          <w:tcPr>
            <w:tcW w:w="1227" w:type="pct"/>
            <w:gridSpan w:val="2"/>
            <w:vAlign w:val="center"/>
          </w:tcPr>
          <w:p w14:paraId="5B9857E5">
            <w:pPr>
              <w:pStyle w:val="90"/>
              <w:rPr>
                <w:sz w:val="21"/>
                <w:szCs w:val="21"/>
              </w:rPr>
            </w:pPr>
            <w:r>
              <w:rPr>
                <w:rFonts w:hint="eastAsia"/>
                <w:sz w:val="21"/>
                <w:szCs w:val="21"/>
              </w:rPr>
              <w:t>二氧化硫</w:t>
            </w:r>
          </w:p>
        </w:tc>
        <w:tc>
          <w:tcPr>
            <w:tcW w:w="1250" w:type="pct"/>
            <w:gridSpan w:val="2"/>
            <w:vAlign w:val="center"/>
          </w:tcPr>
          <w:p w14:paraId="3AFBF93F">
            <w:pPr>
              <w:pStyle w:val="90"/>
              <w:rPr>
                <w:sz w:val="21"/>
                <w:szCs w:val="21"/>
              </w:rPr>
            </w:pPr>
            <w:r>
              <w:rPr>
                <w:rFonts w:hint="eastAsia"/>
                <w:sz w:val="21"/>
                <w:szCs w:val="21"/>
              </w:rPr>
              <w:t>氮氧化物</w:t>
            </w:r>
          </w:p>
        </w:tc>
        <w:tc>
          <w:tcPr>
            <w:tcW w:w="1314" w:type="pct"/>
            <w:gridSpan w:val="2"/>
            <w:vAlign w:val="center"/>
          </w:tcPr>
          <w:p w14:paraId="2DC7C200">
            <w:pPr>
              <w:pStyle w:val="90"/>
              <w:rPr>
                <w:sz w:val="21"/>
                <w:szCs w:val="21"/>
              </w:rPr>
            </w:pPr>
            <w:r>
              <w:rPr>
                <w:rFonts w:hint="eastAsia"/>
                <w:sz w:val="21"/>
                <w:szCs w:val="21"/>
              </w:rPr>
              <w:t>颗粒物</w:t>
            </w:r>
          </w:p>
        </w:tc>
      </w:tr>
      <w:tr w14:paraId="4CDF8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vMerge w:val="continue"/>
            <w:shd w:val="clear" w:color="auto" w:fill="auto"/>
            <w:tcMar>
              <w:left w:w="0" w:type="dxa"/>
              <w:right w:w="0" w:type="dxa"/>
            </w:tcMar>
            <w:vAlign w:val="center"/>
          </w:tcPr>
          <w:p w14:paraId="0267ED25">
            <w:pPr>
              <w:pStyle w:val="90"/>
              <w:rPr>
                <w:sz w:val="21"/>
                <w:szCs w:val="21"/>
              </w:rPr>
            </w:pPr>
          </w:p>
        </w:tc>
        <w:tc>
          <w:tcPr>
            <w:tcW w:w="560" w:type="pct"/>
            <w:shd w:val="clear" w:color="auto" w:fill="auto"/>
            <w:tcMar>
              <w:left w:w="0" w:type="dxa"/>
              <w:right w:w="0" w:type="dxa"/>
            </w:tcMar>
            <w:vAlign w:val="center"/>
          </w:tcPr>
          <w:p w14:paraId="3D6C594C">
            <w:pPr>
              <w:pStyle w:val="90"/>
              <w:rPr>
                <w:sz w:val="21"/>
                <w:szCs w:val="21"/>
              </w:rPr>
            </w:pPr>
            <w:r>
              <w:rPr>
                <w:sz w:val="21"/>
                <w:szCs w:val="21"/>
              </w:rPr>
              <w:t>预测质量浓度/（μg/m</w:t>
            </w:r>
            <w:r>
              <w:rPr>
                <w:sz w:val="21"/>
                <w:szCs w:val="21"/>
                <w:vertAlign w:val="superscript"/>
              </w:rPr>
              <w:t>3</w:t>
            </w:r>
            <w:r>
              <w:rPr>
                <w:sz w:val="21"/>
                <w:szCs w:val="21"/>
              </w:rPr>
              <w:t>）</w:t>
            </w:r>
          </w:p>
        </w:tc>
        <w:tc>
          <w:tcPr>
            <w:tcW w:w="327" w:type="pct"/>
            <w:shd w:val="clear" w:color="auto" w:fill="auto"/>
            <w:tcMar>
              <w:left w:w="0" w:type="dxa"/>
              <w:right w:w="0" w:type="dxa"/>
            </w:tcMar>
            <w:vAlign w:val="center"/>
          </w:tcPr>
          <w:p w14:paraId="5C3C035C">
            <w:pPr>
              <w:pStyle w:val="90"/>
              <w:rPr>
                <w:sz w:val="21"/>
                <w:szCs w:val="21"/>
              </w:rPr>
            </w:pPr>
            <w:r>
              <w:rPr>
                <w:sz w:val="21"/>
                <w:szCs w:val="21"/>
              </w:rPr>
              <w:t>占标率/%</w:t>
            </w:r>
          </w:p>
        </w:tc>
        <w:tc>
          <w:tcPr>
            <w:tcW w:w="677" w:type="pct"/>
            <w:vAlign w:val="center"/>
          </w:tcPr>
          <w:p w14:paraId="061028A0">
            <w:pPr>
              <w:pStyle w:val="90"/>
              <w:rPr>
                <w:sz w:val="21"/>
                <w:szCs w:val="21"/>
              </w:rPr>
            </w:pPr>
            <w:r>
              <w:rPr>
                <w:sz w:val="21"/>
                <w:szCs w:val="21"/>
              </w:rPr>
              <w:t>预测质量浓度/（μg/m</w:t>
            </w:r>
            <w:r>
              <w:rPr>
                <w:sz w:val="21"/>
                <w:szCs w:val="21"/>
                <w:vertAlign w:val="superscript"/>
              </w:rPr>
              <w:t>3</w:t>
            </w:r>
            <w:r>
              <w:rPr>
                <w:sz w:val="21"/>
                <w:szCs w:val="21"/>
              </w:rPr>
              <w:t>）</w:t>
            </w:r>
          </w:p>
        </w:tc>
        <w:tc>
          <w:tcPr>
            <w:tcW w:w="550" w:type="pct"/>
            <w:vAlign w:val="center"/>
          </w:tcPr>
          <w:p w14:paraId="6862D960">
            <w:pPr>
              <w:pStyle w:val="90"/>
              <w:rPr>
                <w:sz w:val="21"/>
                <w:szCs w:val="21"/>
              </w:rPr>
            </w:pPr>
            <w:r>
              <w:rPr>
                <w:sz w:val="21"/>
                <w:szCs w:val="21"/>
              </w:rPr>
              <w:t>占标率/%</w:t>
            </w:r>
          </w:p>
        </w:tc>
        <w:tc>
          <w:tcPr>
            <w:tcW w:w="700" w:type="pct"/>
            <w:vAlign w:val="center"/>
          </w:tcPr>
          <w:p w14:paraId="45B536B6">
            <w:pPr>
              <w:pStyle w:val="90"/>
              <w:rPr>
                <w:sz w:val="21"/>
                <w:szCs w:val="21"/>
              </w:rPr>
            </w:pPr>
            <w:r>
              <w:rPr>
                <w:sz w:val="21"/>
                <w:szCs w:val="21"/>
              </w:rPr>
              <w:t>预测质量浓度/（μg/m</w:t>
            </w:r>
            <w:r>
              <w:rPr>
                <w:sz w:val="21"/>
                <w:szCs w:val="21"/>
                <w:vertAlign w:val="superscript"/>
              </w:rPr>
              <w:t>3</w:t>
            </w:r>
            <w:r>
              <w:rPr>
                <w:sz w:val="21"/>
                <w:szCs w:val="21"/>
              </w:rPr>
              <w:t>）</w:t>
            </w:r>
          </w:p>
        </w:tc>
        <w:tc>
          <w:tcPr>
            <w:tcW w:w="549" w:type="pct"/>
            <w:vAlign w:val="center"/>
          </w:tcPr>
          <w:p w14:paraId="7D328406">
            <w:pPr>
              <w:pStyle w:val="90"/>
              <w:rPr>
                <w:sz w:val="21"/>
                <w:szCs w:val="21"/>
              </w:rPr>
            </w:pPr>
            <w:r>
              <w:rPr>
                <w:sz w:val="21"/>
                <w:szCs w:val="21"/>
              </w:rPr>
              <w:t>占标率/%</w:t>
            </w:r>
          </w:p>
        </w:tc>
        <w:tc>
          <w:tcPr>
            <w:tcW w:w="700" w:type="pct"/>
            <w:vAlign w:val="center"/>
          </w:tcPr>
          <w:p w14:paraId="6666747B">
            <w:pPr>
              <w:pStyle w:val="90"/>
              <w:rPr>
                <w:sz w:val="21"/>
                <w:szCs w:val="21"/>
              </w:rPr>
            </w:pPr>
            <w:r>
              <w:rPr>
                <w:sz w:val="21"/>
                <w:szCs w:val="21"/>
              </w:rPr>
              <w:t>预测质量浓度/（μg/m</w:t>
            </w:r>
            <w:r>
              <w:rPr>
                <w:sz w:val="21"/>
                <w:szCs w:val="21"/>
                <w:vertAlign w:val="superscript"/>
              </w:rPr>
              <w:t>3</w:t>
            </w:r>
            <w:r>
              <w:rPr>
                <w:sz w:val="21"/>
                <w:szCs w:val="21"/>
              </w:rPr>
              <w:t>）</w:t>
            </w:r>
          </w:p>
        </w:tc>
        <w:tc>
          <w:tcPr>
            <w:tcW w:w="614" w:type="pct"/>
            <w:vAlign w:val="center"/>
          </w:tcPr>
          <w:p w14:paraId="5C55F0F2">
            <w:pPr>
              <w:pStyle w:val="90"/>
              <w:rPr>
                <w:sz w:val="21"/>
                <w:szCs w:val="21"/>
              </w:rPr>
            </w:pPr>
            <w:r>
              <w:rPr>
                <w:sz w:val="21"/>
                <w:szCs w:val="21"/>
              </w:rPr>
              <w:t>占标率/%</w:t>
            </w:r>
          </w:p>
        </w:tc>
      </w:tr>
      <w:tr w14:paraId="42489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49D25B19">
            <w:pPr>
              <w:pStyle w:val="90"/>
              <w:rPr>
                <w:sz w:val="21"/>
                <w:szCs w:val="21"/>
              </w:rPr>
            </w:pPr>
            <w:r>
              <w:rPr>
                <w:rFonts w:hint="eastAsia"/>
                <w:sz w:val="21"/>
                <w:szCs w:val="21"/>
              </w:rPr>
              <w:t>130</w:t>
            </w:r>
          </w:p>
        </w:tc>
        <w:tc>
          <w:tcPr>
            <w:tcW w:w="560" w:type="pct"/>
            <w:shd w:val="clear" w:color="auto" w:fill="auto"/>
            <w:tcMar>
              <w:left w:w="0" w:type="dxa"/>
              <w:right w:w="0" w:type="dxa"/>
            </w:tcMar>
            <w:vAlign w:val="center"/>
          </w:tcPr>
          <w:p w14:paraId="4C3C4001">
            <w:pPr>
              <w:pStyle w:val="90"/>
              <w:rPr>
                <w:sz w:val="21"/>
                <w:szCs w:val="21"/>
              </w:rPr>
            </w:pPr>
            <w:r>
              <w:rPr>
                <w:rFonts w:hint="eastAsia"/>
                <w:sz w:val="21"/>
                <w:szCs w:val="21"/>
              </w:rPr>
              <w:t>0.4831</w:t>
            </w:r>
          </w:p>
        </w:tc>
        <w:tc>
          <w:tcPr>
            <w:tcW w:w="327" w:type="pct"/>
            <w:shd w:val="clear" w:color="auto" w:fill="auto"/>
            <w:tcMar>
              <w:left w:w="0" w:type="dxa"/>
              <w:right w:w="0" w:type="dxa"/>
            </w:tcMar>
            <w:vAlign w:val="center"/>
          </w:tcPr>
          <w:p w14:paraId="6BDD4874">
            <w:pPr>
              <w:pStyle w:val="90"/>
              <w:rPr>
                <w:sz w:val="21"/>
                <w:szCs w:val="21"/>
              </w:rPr>
            </w:pPr>
            <w:r>
              <w:rPr>
                <w:rFonts w:hint="eastAsia"/>
                <w:sz w:val="21"/>
                <w:szCs w:val="21"/>
              </w:rPr>
              <w:t>0.02</w:t>
            </w:r>
          </w:p>
        </w:tc>
        <w:tc>
          <w:tcPr>
            <w:tcW w:w="677" w:type="pct"/>
            <w:vAlign w:val="center"/>
          </w:tcPr>
          <w:p w14:paraId="3ACA6D3D">
            <w:pPr>
              <w:pStyle w:val="90"/>
              <w:rPr>
                <w:sz w:val="21"/>
                <w:szCs w:val="21"/>
              </w:rPr>
            </w:pPr>
            <w:r>
              <w:rPr>
                <w:rFonts w:hint="eastAsia"/>
                <w:sz w:val="21"/>
                <w:szCs w:val="21"/>
              </w:rPr>
              <w:t>0</w:t>
            </w:r>
            <w:r>
              <w:rPr>
                <w:sz w:val="21"/>
                <w:szCs w:val="21"/>
              </w:rPr>
              <w:t>.0647</w:t>
            </w:r>
          </w:p>
        </w:tc>
        <w:tc>
          <w:tcPr>
            <w:tcW w:w="550" w:type="pct"/>
            <w:vAlign w:val="center"/>
          </w:tcPr>
          <w:p w14:paraId="538445F7">
            <w:pPr>
              <w:pStyle w:val="90"/>
              <w:rPr>
                <w:sz w:val="21"/>
                <w:szCs w:val="21"/>
              </w:rPr>
            </w:pPr>
            <w:r>
              <w:rPr>
                <w:sz w:val="21"/>
                <w:szCs w:val="21"/>
              </w:rPr>
              <w:t>0.01294</w:t>
            </w:r>
          </w:p>
        </w:tc>
        <w:tc>
          <w:tcPr>
            <w:tcW w:w="700" w:type="pct"/>
            <w:vAlign w:val="center"/>
          </w:tcPr>
          <w:p w14:paraId="3CFD3687">
            <w:pPr>
              <w:pStyle w:val="90"/>
              <w:rPr>
                <w:sz w:val="21"/>
                <w:szCs w:val="21"/>
              </w:rPr>
            </w:pPr>
            <w:r>
              <w:rPr>
                <w:sz w:val="21"/>
                <w:szCs w:val="21"/>
              </w:rPr>
              <w:t>0.4916</w:t>
            </w:r>
          </w:p>
        </w:tc>
        <w:tc>
          <w:tcPr>
            <w:tcW w:w="549" w:type="pct"/>
            <w:vAlign w:val="center"/>
          </w:tcPr>
          <w:p w14:paraId="15FF031E">
            <w:pPr>
              <w:pStyle w:val="90"/>
              <w:rPr>
                <w:sz w:val="21"/>
                <w:szCs w:val="21"/>
              </w:rPr>
            </w:pPr>
            <w:r>
              <w:rPr>
                <w:sz w:val="21"/>
                <w:szCs w:val="21"/>
              </w:rPr>
              <w:t>0.2458</w:t>
            </w:r>
          </w:p>
        </w:tc>
        <w:tc>
          <w:tcPr>
            <w:tcW w:w="700" w:type="pct"/>
            <w:vAlign w:val="center"/>
          </w:tcPr>
          <w:p w14:paraId="4C936618">
            <w:pPr>
              <w:pStyle w:val="90"/>
              <w:rPr>
                <w:sz w:val="21"/>
                <w:szCs w:val="21"/>
              </w:rPr>
            </w:pPr>
            <w:r>
              <w:rPr>
                <w:sz w:val="21"/>
                <w:szCs w:val="21"/>
              </w:rPr>
              <w:t>0.3881</w:t>
            </w:r>
          </w:p>
        </w:tc>
        <w:tc>
          <w:tcPr>
            <w:tcW w:w="614" w:type="pct"/>
            <w:vAlign w:val="center"/>
          </w:tcPr>
          <w:p w14:paraId="1A962A62">
            <w:pPr>
              <w:pStyle w:val="90"/>
              <w:rPr>
                <w:sz w:val="21"/>
                <w:szCs w:val="21"/>
              </w:rPr>
            </w:pPr>
            <w:r>
              <w:rPr>
                <w:rFonts w:hint="eastAsia"/>
                <w:sz w:val="21"/>
                <w:szCs w:val="21"/>
              </w:rPr>
              <w:t>0.086244</w:t>
            </w:r>
          </w:p>
        </w:tc>
      </w:tr>
      <w:tr w14:paraId="6AD14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49048982">
            <w:pPr>
              <w:pStyle w:val="90"/>
              <w:rPr>
                <w:sz w:val="21"/>
                <w:szCs w:val="21"/>
              </w:rPr>
            </w:pPr>
            <w:r>
              <w:rPr>
                <w:rFonts w:hint="eastAsia"/>
                <w:sz w:val="21"/>
                <w:szCs w:val="21"/>
              </w:rPr>
              <w:t>150</w:t>
            </w:r>
          </w:p>
        </w:tc>
        <w:tc>
          <w:tcPr>
            <w:tcW w:w="560" w:type="pct"/>
            <w:shd w:val="clear" w:color="auto" w:fill="auto"/>
            <w:tcMar>
              <w:left w:w="0" w:type="dxa"/>
              <w:right w:w="0" w:type="dxa"/>
            </w:tcMar>
            <w:vAlign w:val="center"/>
          </w:tcPr>
          <w:p w14:paraId="4B848F0A">
            <w:pPr>
              <w:pStyle w:val="90"/>
              <w:rPr>
                <w:sz w:val="21"/>
                <w:szCs w:val="21"/>
              </w:rPr>
            </w:pPr>
            <w:r>
              <w:rPr>
                <w:rFonts w:hint="eastAsia"/>
                <w:sz w:val="21"/>
                <w:szCs w:val="21"/>
              </w:rPr>
              <w:t>0.5259</w:t>
            </w:r>
          </w:p>
        </w:tc>
        <w:tc>
          <w:tcPr>
            <w:tcW w:w="327" w:type="pct"/>
            <w:shd w:val="clear" w:color="auto" w:fill="auto"/>
            <w:tcMar>
              <w:left w:w="0" w:type="dxa"/>
              <w:right w:w="0" w:type="dxa"/>
            </w:tcMar>
            <w:vAlign w:val="center"/>
          </w:tcPr>
          <w:p w14:paraId="02063B95">
            <w:pPr>
              <w:pStyle w:val="90"/>
              <w:rPr>
                <w:sz w:val="21"/>
                <w:szCs w:val="21"/>
              </w:rPr>
            </w:pPr>
            <w:r>
              <w:rPr>
                <w:rFonts w:hint="eastAsia"/>
                <w:sz w:val="21"/>
                <w:szCs w:val="21"/>
              </w:rPr>
              <w:t>0.03</w:t>
            </w:r>
          </w:p>
        </w:tc>
        <w:tc>
          <w:tcPr>
            <w:tcW w:w="677" w:type="pct"/>
            <w:vAlign w:val="center"/>
          </w:tcPr>
          <w:p w14:paraId="48E4A9A0">
            <w:pPr>
              <w:pStyle w:val="90"/>
              <w:rPr>
                <w:sz w:val="21"/>
                <w:szCs w:val="21"/>
              </w:rPr>
            </w:pPr>
            <w:r>
              <w:rPr>
                <w:rFonts w:hint="eastAsia"/>
                <w:sz w:val="21"/>
                <w:szCs w:val="21"/>
              </w:rPr>
              <w:t>0</w:t>
            </w:r>
            <w:r>
              <w:rPr>
                <w:sz w:val="21"/>
                <w:szCs w:val="21"/>
              </w:rPr>
              <w:t>.0726</w:t>
            </w:r>
          </w:p>
        </w:tc>
        <w:tc>
          <w:tcPr>
            <w:tcW w:w="550" w:type="pct"/>
            <w:vAlign w:val="center"/>
          </w:tcPr>
          <w:p w14:paraId="0FECEBCC">
            <w:pPr>
              <w:pStyle w:val="90"/>
              <w:rPr>
                <w:sz w:val="21"/>
                <w:szCs w:val="21"/>
              </w:rPr>
            </w:pPr>
            <w:r>
              <w:rPr>
                <w:sz w:val="21"/>
                <w:szCs w:val="21"/>
              </w:rPr>
              <w:t>0.01452</w:t>
            </w:r>
          </w:p>
        </w:tc>
        <w:tc>
          <w:tcPr>
            <w:tcW w:w="700" w:type="pct"/>
            <w:vAlign w:val="center"/>
          </w:tcPr>
          <w:p w14:paraId="09F45797">
            <w:pPr>
              <w:pStyle w:val="90"/>
              <w:rPr>
                <w:sz w:val="21"/>
                <w:szCs w:val="21"/>
              </w:rPr>
            </w:pPr>
            <w:r>
              <w:rPr>
                <w:sz w:val="21"/>
                <w:szCs w:val="21"/>
              </w:rPr>
              <w:t>0.5512</w:t>
            </w:r>
          </w:p>
        </w:tc>
        <w:tc>
          <w:tcPr>
            <w:tcW w:w="549" w:type="pct"/>
            <w:vAlign w:val="center"/>
          </w:tcPr>
          <w:p w14:paraId="1A19C270">
            <w:pPr>
              <w:pStyle w:val="90"/>
              <w:rPr>
                <w:sz w:val="21"/>
                <w:szCs w:val="21"/>
              </w:rPr>
            </w:pPr>
            <w:r>
              <w:rPr>
                <w:sz w:val="21"/>
                <w:szCs w:val="21"/>
              </w:rPr>
              <w:t>0.2756</w:t>
            </w:r>
          </w:p>
        </w:tc>
        <w:tc>
          <w:tcPr>
            <w:tcW w:w="700" w:type="pct"/>
            <w:vAlign w:val="center"/>
          </w:tcPr>
          <w:p w14:paraId="77814E5C">
            <w:pPr>
              <w:pStyle w:val="90"/>
              <w:rPr>
                <w:sz w:val="21"/>
                <w:szCs w:val="21"/>
              </w:rPr>
            </w:pPr>
            <w:r>
              <w:rPr>
                <w:sz w:val="21"/>
                <w:szCs w:val="21"/>
              </w:rPr>
              <w:t>0.4359</w:t>
            </w:r>
          </w:p>
        </w:tc>
        <w:tc>
          <w:tcPr>
            <w:tcW w:w="614" w:type="pct"/>
            <w:vAlign w:val="center"/>
          </w:tcPr>
          <w:p w14:paraId="30C1C6E8">
            <w:pPr>
              <w:pStyle w:val="90"/>
              <w:rPr>
                <w:sz w:val="21"/>
                <w:szCs w:val="21"/>
              </w:rPr>
            </w:pPr>
            <w:r>
              <w:rPr>
                <w:rFonts w:hint="eastAsia"/>
                <w:sz w:val="21"/>
                <w:szCs w:val="21"/>
              </w:rPr>
              <w:t>0.096867</w:t>
            </w:r>
          </w:p>
        </w:tc>
      </w:tr>
      <w:tr w14:paraId="51B79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026F2BFE">
            <w:pPr>
              <w:pStyle w:val="90"/>
              <w:rPr>
                <w:sz w:val="21"/>
                <w:szCs w:val="21"/>
              </w:rPr>
            </w:pPr>
            <w:r>
              <w:rPr>
                <w:rFonts w:hint="eastAsia"/>
                <w:sz w:val="21"/>
                <w:szCs w:val="21"/>
              </w:rPr>
              <w:t>158</w:t>
            </w:r>
          </w:p>
        </w:tc>
        <w:tc>
          <w:tcPr>
            <w:tcW w:w="560" w:type="pct"/>
            <w:shd w:val="clear" w:color="auto" w:fill="auto"/>
            <w:tcMar>
              <w:left w:w="0" w:type="dxa"/>
              <w:right w:w="0" w:type="dxa"/>
            </w:tcMar>
            <w:vAlign w:val="center"/>
          </w:tcPr>
          <w:p w14:paraId="58FA7261">
            <w:pPr>
              <w:pStyle w:val="90"/>
              <w:rPr>
                <w:sz w:val="21"/>
                <w:szCs w:val="21"/>
              </w:rPr>
            </w:pPr>
            <w:r>
              <w:rPr>
                <w:rFonts w:hint="eastAsia"/>
                <w:sz w:val="21"/>
                <w:szCs w:val="21"/>
              </w:rPr>
              <w:t>0.5284</w:t>
            </w:r>
          </w:p>
        </w:tc>
        <w:tc>
          <w:tcPr>
            <w:tcW w:w="327" w:type="pct"/>
            <w:shd w:val="clear" w:color="auto" w:fill="auto"/>
            <w:tcMar>
              <w:left w:w="0" w:type="dxa"/>
              <w:right w:w="0" w:type="dxa"/>
            </w:tcMar>
            <w:vAlign w:val="center"/>
          </w:tcPr>
          <w:p w14:paraId="004CD76E">
            <w:pPr>
              <w:pStyle w:val="90"/>
              <w:rPr>
                <w:sz w:val="21"/>
                <w:szCs w:val="21"/>
              </w:rPr>
            </w:pPr>
            <w:r>
              <w:rPr>
                <w:rFonts w:hint="eastAsia"/>
                <w:sz w:val="21"/>
                <w:szCs w:val="21"/>
              </w:rPr>
              <w:t>0.03</w:t>
            </w:r>
          </w:p>
        </w:tc>
        <w:tc>
          <w:tcPr>
            <w:tcW w:w="677" w:type="pct"/>
            <w:vAlign w:val="center"/>
          </w:tcPr>
          <w:p w14:paraId="7D2BFC87">
            <w:pPr>
              <w:pStyle w:val="90"/>
              <w:rPr>
                <w:sz w:val="21"/>
                <w:szCs w:val="21"/>
              </w:rPr>
            </w:pPr>
            <w:r>
              <w:rPr>
                <w:rFonts w:hint="eastAsia"/>
                <w:sz w:val="21"/>
                <w:szCs w:val="21"/>
              </w:rPr>
              <w:t>0</w:t>
            </w:r>
            <w:r>
              <w:rPr>
                <w:sz w:val="21"/>
                <w:szCs w:val="21"/>
              </w:rPr>
              <w:t>.0761</w:t>
            </w:r>
          </w:p>
        </w:tc>
        <w:tc>
          <w:tcPr>
            <w:tcW w:w="550" w:type="pct"/>
            <w:vAlign w:val="center"/>
          </w:tcPr>
          <w:p w14:paraId="0A4B8069">
            <w:pPr>
              <w:pStyle w:val="90"/>
              <w:rPr>
                <w:sz w:val="21"/>
                <w:szCs w:val="21"/>
              </w:rPr>
            </w:pPr>
            <w:r>
              <w:rPr>
                <w:sz w:val="21"/>
                <w:szCs w:val="21"/>
              </w:rPr>
              <w:t>0.01522</w:t>
            </w:r>
          </w:p>
        </w:tc>
        <w:tc>
          <w:tcPr>
            <w:tcW w:w="700" w:type="pct"/>
            <w:vAlign w:val="center"/>
          </w:tcPr>
          <w:p w14:paraId="32ECE3B5">
            <w:pPr>
              <w:pStyle w:val="90"/>
              <w:rPr>
                <w:sz w:val="21"/>
                <w:szCs w:val="21"/>
              </w:rPr>
            </w:pPr>
            <w:r>
              <w:rPr>
                <w:sz w:val="21"/>
                <w:szCs w:val="21"/>
              </w:rPr>
              <w:t>0.5789</w:t>
            </w:r>
          </w:p>
        </w:tc>
        <w:tc>
          <w:tcPr>
            <w:tcW w:w="549" w:type="pct"/>
            <w:vAlign w:val="center"/>
          </w:tcPr>
          <w:p w14:paraId="557EA484">
            <w:pPr>
              <w:pStyle w:val="90"/>
              <w:rPr>
                <w:sz w:val="21"/>
                <w:szCs w:val="21"/>
              </w:rPr>
            </w:pPr>
            <w:r>
              <w:rPr>
                <w:sz w:val="21"/>
                <w:szCs w:val="21"/>
              </w:rPr>
              <w:t>0.28945</w:t>
            </w:r>
          </w:p>
        </w:tc>
        <w:tc>
          <w:tcPr>
            <w:tcW w:w="700" w:type="pct"/>
            <w:vAlign w:val="center"/>
          </w:tcPr>
          <w:p w14:paraId="2112413D">
            <w:pPr>
              <w:pStyle w:val="90"/>
              <w:rPr>
                <w:sz w:val="21"/>
                <w:szCs w:val="21"/>
              </w:rPr>
            </w:pPr>
            <w:r>
              <w:rPr>
                <w:sz w:val="21"/>
                <w:szCs w:val="21"/>
              </w:rPr>
              <w:t>0.4568</w:t>
            </w:r>
          </w:p>
        </w:tc>
        <w:tc>
          <w:tcPr>
            <w:tcW w:w="614" w:type="pct"/>
            <w:vAlign w:val="center"/>
          </w:tcPr>
          <w:p w14:paraId="680C269F">
            <w:pPr>
              <w:pStyle w:val="90"/>
              <w:rPr>
                <w:sz w:val="21"/>
                <w:szCs w:val="21"/>
              </w:rPr>
            </w:pPr>
            <w:r>
              <w:rPr>
                <w:rFonts w:hint="eastAsia"/>
                <w:sz w:val="21"/>
                <w:szCs w:val="21"/>
              </w:rPr>
              <w:t>0.101511</w:t>
            </w:r>
          </w:p>
        </w:tc>
      </w:tr>
      <w:tr w14:paraId="5DEBF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69A6DE1C">
            <w:pPr>
              <w:pStyle w:val="90"/>
              <w:rPr>
                <w:sz w:val="21"/>
                <w:szCs w:val="21"/>
              </w:rPr>
            </w:pPr>
            <w:r>
              <w:rPr>
                <w:rFonts w:hint="eastAsia"/>
                <w:sz w:val="21"/>
                <w:szCs w:val="21"/>
              </w:rPr>
              <w:t>175</w:t>
            </w:r>
          </w:p>
        </w:tc>
        <w:tc>
          <w:tcPr>
            <w:tcW w:w="560" w:type="pct"/>
            <w:shd w:val="clear" w:color="auto" w:fill="auto"/>
            <w:tcMar>
              <w:left w:w="0" w:type="dxa"/>
              <w:right w:w="0" w:type="dxa"/>
            </w:tcMar>
            <w:vAlign w:val="center"/>
          </w:tcPr>
          <w:p w14:paraId="2CB96E65">
            <w:pPr>
              <w:pStyle w:val="90"/>
              <w:rPr>
                <w:sz w:val="21"/>
                <w:szCs w:val="21"/>
              </w:rPr>
            </w:pPr>
            <w:r>
              <w:rPr>
                <w:rFonts w:hint="eastAsia"/>
                <w:sz w:val="21"/>
                <w:szCs w:val="21"/>
              </w:rPr>
              <w:t>0.5254</w:t>
            </w:r>
          </w:p>
        </w:tc>
        <w:tc>
          <w:tcPr>
            <w:tcW w:w="327" w:type="pct"/>
            <w:shd w:val="clear" w:color="auto" w:fill="auto"/>
            <w:tcMar>
              <w:left w:w="0" w:type="dxa"/>
              <w:right w:w="0" w:type="dxa"/>
            </w:tcMar>
            <w:vAlign w:val="center"/>
          </w:tcPr>
          <w:p w14:paraId="3FBFF70B">
            <w:pPr>
              <w:pStyle w:val="90"/>
              <w:rPr>
                <w:sz w:val="21"/>
                <w:szCs w:val="21"/>
              </w:rPr>
            </w:pPr>
            <w:r>
              <w:rPr>
                <w:rFonts w:hint="eastAsia"/>
                <w:sz w:val="21"/>
                <w:szCs w:val="21"/>
              </w:rPr>
              <w:t>0.03</w:t>
            </w:r>
          </w:p>
        </w:tc>
        <w:tc>
          <w:tcPr>
            <w:tcW w:w="677" w:type="pct"/>
            <w:vAlign w:val="center"/>
          </w:tcPr>
          <w:p w14:paraId="33FFC3F4">
            <w:pPr>
              <w:pStyle w:val="90"/>
              <w:rPr>
                <w:sz w:val="21"/>
                <w:szCs w:val="21"/>
              </w:rPr>
            </w:pPr>
            <w:r>
              <w:rPr>
                <w:rFonts w:hint="eastAsia"/>
                <w:sz w:val="21"/>
                <w:szCs w:val="21"/>
              </w:rPr>
              <w:t>0</w:t>
            </w:r>
            <w:r>
              <w:rPr>
                <w:sz w:val="21"/>
                <w:szCs w:val="21"/>
              </w:rPr>
              <w:t>.0801</w:t>
            </w:r>
          </w:p>
        </w:tc>
        <w:tc>
          <w:tcPr>
            <w:tcW w:w="550" w:type="pct"/>
            <w:vAlign w:val="center"/>
          </w:tcPr>
          <w:p w14:paraId="3230CAA8">
            <w:pPr>
              <w:pStyle w:val="90"/>
              <w:rPr>
                <w:sz w:val="21"/>
                <w:szCs w:val="21"/>
              </w:rPr>
            </w:pPr>
            <w:r>
              <w:rPr>
                <w:sz w:val="21"/>
                <w:szCs w:val="21"/>
              </w:rPr>
              <w:t>0.01602</w:t>
            </w:r>
          </w:p>
        </w:tc>
        <w:tc>
          <w:tcPr>
            <w:tcW w:w="700" w:type="pct"/>
            <w:vAlign w:val="center"/>
          </w:tcPr>
          <w:p w14:paraId="2A23F154">
            <w:pPr>
              <w:pStyle w:val="90"/>
              <w:rPr>
                <w:sz w:val="21"/>
                <w:szCs w:val="21"/>
              </w:rPr>
            </w:pPr>
            <w:r>
              <w:rPr>
                <w:sz w:val="21"/>
                <w:szCs w:val="21"/>
              </w:rPr>
              <w:t>0.6085</w:t>
            </w:r>
          </w:p>
        </w:tc>
        <w:tc>
          <w:tcPr>
            <w:tcW w:w="549" w:type="pct"/>
            <w:vAlign w:val="center"/>
          </w:tcPr>
          <w:p w14:paraId="01975746">
            <w:pPr>
              <w:pStyle w:val="90"/>
              <w:rPr>
                <w:sz w:val="21"/>
                <w:szCs w:val="21"/>
              </w:rPr>
            </w:pPr>
            <w:r>
              <w:rPr>
                <w:sz w:val="21"/>
                <w:szCs w:val="21"/>
              </w:rPr>
              <w:t>0.30425</w:t>
            </w:r>
          </w:p>
        </w:tc>
        <w:tc>
          <w:tcPr>
            <w:tcW w:w="700" w:type="pct"/>
            <w:vAlign w:val="center"/>
          </w:tcPr>
          <w:p w14:paraId="1533F948">
            <w:pPr>
              <w:pStyle w:val="90"/>
              <w:rPr>
                <w:sz w:val="21"/>
                <w:szCs w:val="21"/>
              </w:rPr>
            </w:pPr>
            <w:r>
              <w:rPr>
                <w:sz w:val="21"/>
                <w:szCs w:val="21"/>
              </w:rPr>
              <w:t>0.4804</w:t>
            </w:r>
          </w:p>
        </w:tc>
        <w:tc>
          <w:tcPr>
            <w:tcW w:w="614" w:type="pct"/>
            <w:vAlign w:val="center"/>
          </w:tcPr>
          <w:p w14:paraId="32C32E13">
            <w:pPr>
              <w:pStyle w:val="90"/>
              <w:rPr>
                <w:sz w:val="21"/>
                <w:szCs w:val="21"/>
              </w:rPr>
            </w:pPr>
            <w:r>
              <w:rPr>
                <w:rFonts w:hint="eastAsia"/>
                <w:sz w:val="21"/>
                <w:szCs w:val="21"/>
              </w:rPr>
              <w:t>0.106756</w:t>
            </w:r>
          </w:p>
        </w:tc>
      </w:tr>
      <w:tr w14:paraId="06359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2E94B612">
            <w:pPr>
              <w:pStyle w:val="90"/>
              <w:rPr>
                <w:sz w:val="21"/>
                <w:szCs w:val="21"/>
              </w:rPr>
            </w:pPr>
            <w:r>
              <w:rPr>
                <w:rFonts w:hint="eastAsia"/>
                <w:sz w:val="21"/>
                <w:szCs w:val="21"/>
              </w:rPr>
              <w:t>200</w:t>
            </w:r>
          </w:p>
        </w:tc>
        <w:tc>
          <w:tcPr>
            <w:tcW w:w="560" w:type="pct"/>
            <w:shd w:val="clear" w:color="auto" w:fill="auto"/>
            <w:tcMar>
              <w:left w:w="0" w:type="dxa"/>
              <w:right w:w="0" w:type="dxa"/>
            </w:tcMar>
            <w:vAlign w:val="center"/>
          </w:tcPr>
          <w:p w14:paraId="1B24B43D">
            <w:pPr>
              <w:pStyle w:val="90"/>
              <w:rPr>
                <w:sz w:val="21"/>
                <w:szCs w:val="21"/>
              </w:rPr>
            </w:pPr>
            <w:r>
              <w:rPr>
                <w:rFonts w:hint="eastAsia"/>
                <w:sz w:val="21"/>
                <w:szCs w:val="21"/>
              </w:rPr>
              <w:t>0.504</w:t>
            </w:r>
          </w:p>
        </w:tc>
        <w:tc>
          <w:tcPr>
            <w:tcW w:w="327" w:type="pct"/>
            <w:shd w:val="clear" w:color="auto" w:fill="auto"/>
            <w:tcMar>
              <w:left w:w="0" w:type="dxa"/>
              <w:right w:w="0" w:type="dxa"/>
            </w:tcMar>
            <w:vAlign w:val="center"/>
          </w:tcPr>
          <w:p w14:paraId="43AFF950">
            <w:pPr>
              <w:pStyle w:val="90"/>
              <w:rPr>
                <w:sz w:val="21"/>
                <w:szCs w:val="21"/>
              </w:rPr>
            </w:pPr>
            <w:r>
              <w:rPr>
                <w:rFonts w:hint="eastAsia"/>
                <w:sz w:val="21"/>
                <w:szCs w:val="21"/>
              </w:rPr>
              <w:t>0.03</w:t>
            </w:r>
          </w:p>
        </w:tc>
        <w:tc>
          <w:tcPr>
            <w:tcW w:w="677" w:type="pct"/>
            <w:vAlign w:val="center"/>
          </w:tcPr>
          <w:p w14:paraId="15392481">
            <w:pPr>
              <w:pStyle w:val="90"/>
              <w:rPr>
                <w:sz w:val="21"/>
                <w:szCs w:val="21"/>
              </w:rPr>
            </w:pPr>
            <w:r>
              <w:rPr>
                <w:rFonts w:hint="eastAsia"/>
                <w:sz w:val="21"/>
                <w:szCs w:val="21"/>
              </w:rPr>
              <w:t>0</w:t>
            </w:r>
            <w:r>
              <w:rPr>
                <w:sz w:val="21"/>
                <w:szCs w:val="21"/>
              </w:rPr>
              <w:t>.0821</w:t>
            </w:r>
          </w:p>
        </w:tc>
        <w:tc>
          <w:tcPr>
            <w:tcW w:w="550" w:type="pct"/>
            <w:vAlign w:val="center"/>
          </w:tcPr>
          <w:p w14:paraId="63877C65">
            <w:pPr>
              <w:pStyle w:val="90"/>
              <w:rPr>
                <w:sz w:val="21"/>
                <w:szCs w:val="21"/>
              </w:rPr>
            </w:pPr>
            <w:r>
              <w:rPr>
                <w:sz w:val="21"/>
                <w:szCs w:val="21"/>
              </w:rPr>
              <w:t>0.01642</w:t>
            </w:r>
          </w:p>
        </w:tc>
        <w:tc>
          <w:tcPr>
            <w:tcW w:w="700" w:type="pct"/>
            <w:vAlign w:val="center"/>
          </w:tcPr>
          <w:p w14:paraId="52B9C043">
            <w:pPr>
              <w:pStyle w:val="90"/>
              <w:rPr>
                <w:sz w:val="21"/>
                <w:szCs w:val="21"/>
              </w:rPr>
            </w:pPr>
            <w:r>
              <w:rPr>
                <w:sz w:val="21"/>
                <w:szCs w:val="21"/>
              </w:rPr>
              <w:t>0.6168</w:t>
            </w:r>
          </w:p>
        </w:tc>
        <w:tc>
          <w:tcPr>
            <w:tcW w:w="549" w:type="pct"/>
            <w:vAlign w:val="center"/>
          </w:tcPr>
          <w:p w14:paraId="2C592DAB">
            <w:pPr>
              <w:pStyle w:val="90"/>
              <w:rPr>
                <w:sz w:val="21"/>
                <w:szCs w:val="21"/>
              </w:rPr>
            </w:pPr>
            <w:r>
              <w:rPr>
                <w:sz w:val="21"/>
                <w:szCs w:val="21"/>
              </w:rPr>
              <w:t>0.3084</w:t>
            </w:r>
          </w:p>
        </w:tc>
        <w:tc>
          <w:tcPr>
            <w:tcW w:w="700" w:type="pct"/>
            <w:vAlign w:val="center"/>
          </w:tcPr>
          <w:p w14:paraId="51BF16EF">
            <w:pPr>
              <w:pStyle w:val="90"/>
              <w:rPr>
                <w:sz w:val="21"/>
                <w:szCs w:val="21"/>
              </w:rPr>
            </w:pPr>
            <w:r>
              <w:rPr>
                <w:sz w:val="21"/>
                <w:szCs w:val="21"/>
              </w:rPr>
              <w:t>0.487</w:t>
            </w:r>
          </w:p>
        </w:tc>
        <w:tc>
          <w:tcPr>
            <w:tcW w:w="614" w:type="pct"/>
            <w:vAlign w:val="center"/>
          </w:tcPr>
          <w:p w14:paraId="22B97C70">
            <w:pPr>
              <w:pStyle w:val="90"/>
              <w:rPr>
                <w:sz w:val="21"/>
                <w:szCs w:val="21"/>
              </w:rPr>
            </w:pPr>
            <w:r>
              <w:rPr>
                <w:rFonts w:hint="eastAsia"/>
                <w:sz w:val="21"/>
                <w:szCs w:val="21"/>
              </w:rPr>
              <w:t>0.108222</w:t>
            </w:r>
          </w:p>
        </w:tc>
      </w:tr>
      <w:tr w14:paraId="194B5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5093E085">
            <w:pPr>
              <w:pStyle w:val="90"/>
              <w:rPr>
                <w:sz w:val="21"/>
                <w:szCs w:val="21"/>
              </w:rPr>
            </w:pPr>
            <w:r>
              <w:rPr>
                <w:rFonts w:hint="eastAsia"/>
                <w:sz w:val="21"/>
                <w:szCs w:val="21"/>
              </w:rPr>
              <w:t>250</w:t>
            </w:r>
          </w:p>
        </w:tc>
        <w:tc>
          <w:tcPr>
            <w:tcW w:w="560" w:type="pct"/>
            <w:shd w:val="clear" w:color="auto" w:fill="auto"/>
            <w:tcMar>
              <w:left w:w="0" w:type="dxa"/>
              <w:right w:w="0" w:type="dxa"/>
            </w:tcMar>
            <w:vAlign w:val="center"/>
          </w:tcPr>
          <w:p w14:paraId="77062A90">
            <w:pPr>
              <w:pStyle w:val="90"/>
              <w:rPr>
                <w:sz w:val="21"/>
                <w:szCs w:val="21"/>
              </w:rPr>
            </w:pPr>
            <w:r>
              <w:rPr>
                <w:rFonts w:hint="eastAsia"/>
                <w:sz w:val="21"/>
                <w:szCs w:val="21"/>
              </w:rPr>
              <w:t>0.4411</w:t>
            </w:r>
          </w:p>
        </w:tc>
        <w:tc>
          <w:tcPr>
            <w:tcW w:w="327" w:type="pct"/>
            <w:shd w:val="clear" w:color="auto" w:fill="auto"/>
            <w:tcMar>
              <w:left w:w="0" w:type="dxa"/>
              <w:right w:w="0" w:type="dxa"/>
            </w:tcMar>
            <w:vAlign w:val="center"/>
          </w:tcPr>
          <w:p w14:paraId="3082359E">
            <w:pPr>
              <w:pStyle w:val="90"/>
              <w:rPr>
                <w:sz w:val="21"/>
                <w:szCs w:val="21"/>
              </w:rPr>
            </w:pPr>
            <w:r>
              <w:rPr>
                <w:rFonts w:hint="eastAsia"/>
                <w:sz w:val="21"/>
                <w:szCs w:val="21"/>
              </w:rPr>
              <w:t>0.02</w:t>
            </w:r>
          </w:p>
        </w:tc>
        <w:tc>
          <w:tcPr>
            <w:tcW w:w="677" w:type="pct"/>
            <w:vAlign w:val="center"/>
          </w:tcPr>
          <w:p w14:paraId="5D8B6357">
            <w:pPr>
              <w:pStyle w:val="90"/>
              <w:rPr>
                <w:sz w:val="21"/>
                <w:szCs w:val="21"/>
              </w:rPr>
            </w:pPr>
            <w:r>
              <w:rPr>
                <w:rFonts w:hint="eastAsia"/>
                <w:sz w:val="21"/>
                <w:szCs w:val="21"/>
              </w:rPr>
              <w:t>0</w:t>
            </w:r>
            <w:r>
              <w:rPr>
                <w:sz w:val="21"/>
                <w:szCs w:val="21"/>
              </w:rPr>
              <w:t>.0795</w:t>
            </w:r>
          </w:p>
        </w:tc>
        <w:tc>
          <w:tcPr>
            <w:tcW w:w="550" w:type="pct"/>
            <w:vAlign w:val="center"/>
          </w:tcPr>
          <w:p w14:paraId="4EB15CCD">
            <w:pPr>
              <w:pStyle w:val="90"/>
              <w:rPr>
                <w:sz w:val="21"/>
                <w:szCs w:val="21"/>
              </w:rPr>
            </w:pPr>
            <w:r>
              <w:rPr>
                <w:sz w:val="21"/>
                <w:szCs w:val="21"/>
              </w:rPr>
              <w:t>0.0159</w:t>
            </w:r>
          </w:p>
        </w:tc>
        <w:tc>
          <w:tcPr>
            <w:tcW w:w="700" w:type="pct"/>
            <w:vAlign w:val="center"/>
          </w:tcPr>
          <w:p w14:paraId="2993974D">
            <w:pPr>
              <w:pStyle w:val="90"/>
              <w:rPr>
                <w:sz w:val="21"/>
                <w:szCs w:val="21"/>
              </w:rPr>
            </w:pPr>
            <w:r>
              <w:rPr>
                <w:sz w:val="21"/>
                <w:szCs w:val="21"/>
              </w:rPr>
              <w:t>0.6043</w:t>
            </w:r>
          </w:p>
        </w:tc>
        <w:tc>
          <w:tcPr>
            <w:tcW w:w="549" w:type="pct"/>
            <w:vAlign w:val="center"/>
          </w:tcPr>
          <w:p w14:paraId="5234F65D">
            <w:pPr>
              <w:pStyle w:val="90"/>
              <w:rPr>
                <w:sz w:val="21"/>
                <w:szCs w:val="21"/>
              </w:rPr>
            </w:pPr>
            <w:r>
              <w:rPr>
                <w:sz w:val="21"/>
                <w:szCs w:val="21"/>
              </w:rPr>
              <w:t>0.30215</w:t>
            </w:r>
          </w:p>
        </w:tc>
        <w:tc>
          <w:tcPr>
            <w:tcW w:w="700" w:type="pct"/>
            <w:vAlign w:val="center"/>
          </w:tcPr>
          <w:p w14:paraId="4945CB6D">
            <w:pPr>
              <w:pStyle w:val="90"/>
              <w:rPr>
                <w:sz w:val="21"/>
                <w:szCs w:val="21"/>
              </w:rPr>
            </w:pPr>
            <w:r>
              <w:rPr>
                <w:sz w:val="21"/>
                <w:szCs w:val="21"/>
              </w:rPr>
              <w:t>0.477</w:t>
            </w:r>
          </w:p>
        </w:tc>
        <w:tc>
          <w:tcPr>
            <w:tcW w:w="614" w:type="pct"/>
            <w:vAlign w:val="center"/>
          </w:tcPr>
          <w:p w14:paraId="47E545C0">
            <w:pPr>
              <w:pStyle w:val="90"/>
              <w:rPr>
                <w:sz w:val="21"/>
                <w:szCs w:val="21"/>
              </w:rPr>
            </w:pPr>
            <w:r>
              <w:rPr>
                <w:rFonts w:hint="eastAsia"/>
                <w:sz w:val="21"/>
                <w:szCs w:val="21"/>
              </w:rPr>
              <w:t>0.106</w:t>
            </w:r>
          </w:p>
        </w:tc>
      </w:tr>
      <w:tr w14:paraId="76016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5989C849">
            <w:pPr>
              <w:pStyle w:val="90"/>
              <w:rPr>
                <w:sz w:val="21"/>
                <w:szCs w:val="21"/>
              </w:rPr>
            </w:pPr>
            <w:r>
              <w:rPr>
                <w:rFonts w:hint="eastAsia"/>
                <w:sz w:val="21"/>
                <w:szCs w:val="21"/>
              </w:rPr>
              <w:t>300</w:t>
            </w:r>
          </w:p>
        </w:tc>
        <w:tc>
          <w:tcPr>
            <w:tcW w:w="560" w:type="pct"/>
            <w:shd w:val="clear" w:color="auto" w:fill="auto"/>
            <w:tcMar>
              <w:left w:w="0" w:type="dxa"/>
              <w:right w:w="0" w:type="dxa"/>
            </w:tcMar>
            <w:vAlign w:val="center"/>
          </w:tcPr>
          <w:p w14:paraId="60828A5E">
            <w:pPr>
              <w:pStyle w:val="90"/>
              <w:rPr>
                <w:sz w:val="21"/>
                <w:szCs w:val="21"/>
              </w:rPr>
            </w:pPr>
            <w:r>
              <w:rPr>
                <w:rFonts w:hint="eastAsia"/>
                <w:sz w:val="21"/>
                <w:szCs w:val="21"/>
              </w:rPr>
              <w:t>0.3791</w:t>
            </w:r>
          </w:p>
        </w:tc>
        <w:tc>
          <w:tcPr>
            <w:tcW w:w="327" w:type="pct"/>
            <w:shd w:val="clear" w:color="auto" w:fill="auto"/>
            <w:tcMar>
              <w:left w:w="0" w:type="dxa"/>
              <w:right w:w="0" w:type="dxa"/>
            </w:tcMar>
            <w:vAlign w:val="center"/>
          </w:tcPr>
          <w:p w14:paraId="4A7FFBF9">
            <w:pPr>
              <w:pStyle w:val="90"/>
              <w:rPr>
                <w:sz w:val="21"/>
                <w:szCs w:val="21"/>
              </w:rPr>
            </w:pPr>
            <w:r>
              <w:rPr>
                <w:rFonts w:hint="eastAsia"/>
                <w:sz w:val="21"/>
                <w:szCs w:val="21"/>
              </w:rPr>
              <w:t>0.02</w:t>
            </w:r>
          </w:p>
        </w:tc>
        <w:tc>
          <w:tcPr>
            <w:tcW w:w="677" w:type="pct"/>
            <w:vAlign w:val="center"/>
          </w:tcPr>
          <w:p w14:paraId="20217A2A">
            <w:pPr>
              <w:pStyle w:val="90"/>
              <w:rPr>
                <w:sz w:val="21"/>
                <w:szCs w:val="21"/>
              </w:rPr>
            </w:pPr>
            <w:r>
              <w:rPr>
                <w:rFonts w:hint="eastAsia"/>
                <w:sz w:val="21"/>
                <w:szCs w:val="21"/>
              </w:rPr>
              <w:t>0</w:t>
            </w:r>
            <w:r>
              <w:rPr>
                <w:sz w:val="21"/>
                <w:szCs w:val="21"/>
              </w:rPr>
              <w:t>.0726</w:t>
            </w:r>
          </w:p>
        </w:tc>
        <w:tc>
          <w:tcPr>
            <w:tcW w:w="550" w:type="pct"/>
            <w:vAlign w:val="center"/>
          </w:tcPr>
          <w:p w14:paraId="4022BD7C">
            <w:pPr>
              <w:pStyle w:val="90"/>
              <w:rPr>
                <w:sz w:val="21"/>
                <w:szCs w:val="21"/>
              </w:rPr>
            </w:pPr>
            <w:r>
              <w:rPr>
                <w:sz w:val="21"/>
                <w:szCs w:val="21"/>
              </w:rPr>
              <w:t>0.01452</w:t>
            </w:r>
          </w:p>
        </w:tc>
        <w:tc>
          <w:tcPr>
            <w:tcW w:w="700" w:type="pct"/>
            <w:vAlign w:val="center"/>
          </w:tcPr>
          <w:p w14:paraId="62E95058">
            <w:pPr>
              <w:pStyle w:val="90"/>
              <w:rPr>
                <w:sz w:val="21"/>
                <w:szCs w:val="21"/>
              </w:rPr>
            </w:pPr>
            <w:r>
              <w:rPr>
                <w:sz w:val="21"/>
                <w:szCs w:val="21"/>
              </w:rPr>
              <w:t>0.5521</w:t>
            </w:r>
          </w:p>
        </w:tc>
        <w:tc>
          <w:tcPr>
            <w:tcW w:w="549" w:type="pct"/>
            <w:vAlign w:val="center"/>
          </w:tcPr>
          <w:p w14:paraId="7A7FA531">
            <w:pPr>
              <w:pStyle w:val="90"/>
              <w:rPr>
                <w:sz w:val="21"/>
                <w:szCs w:val="21"/>
              </w:rPr>
            </w:pPr>
            <w:r>
              <w:rPr>
                <w:sz w:val="21"/>
                <w:szCs w:val="21"/>
              </w:rPr>
              <w:t>0.27605</w:t>
            </w:r>
          </w:p>
        </w:tc>
        <w:tc>
          <w:tcPr>
            <w:tcW w:w="700" w:type="pct"/>
            <w:vAlign w:val="center"/>
          </w:tcPr>
          <w:p w14:paraId="56657F9B">
            <w:pPr>
              <w:pStyle w:val="90"/>
              <w:rPr>
                <w:sz w:val="21"/>
                <w:szCs w:val="21"/>
              </w:rPr>
            </w:pPr>
            <w:r>
              <w:rPr>
                <w:sz w:val="21"/>
                <w:szCs w:val="21"/>
              </w:rPr>
              <w:t>0.4359</w:t>
            </w:r>
          </w:p>
        </w:tc>
        <w:tc>
          <w:tcPr>
            <w:tcW w:w="614" w:type="pct"/>
            <w:vAlign w:val="center"/>
          </w:tcPr>
          <w:p w14:paraId="1D800EB0">
            <w:pPr>
              <w:pStyle w:val="90"/>
              <w:rPr>
                <w:sz w:val="21"/>
                <w:szCs w:val="21"/>
              </w:rPr>
            </w:pPr>
            <w:r>
              <w:rPr>
                <w:rFonts w:hint="eastAsia"/>
                <w:sz w:val="21"/>
                <w:szCs w:val="21"/>
              </w:rPr>
              <w:t>0.096867</w:t>
            </w:r>
          </w:p>
        </w:tc>
      </w:tr>
      <w:tr w14:paraId="10C05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242C3D96">
            <w:pPr>
              <w:pStyle w:val="90"/>
              <w:rPr>
                <w:sz w:val="21"/>
                <w:szCs w:val="21"/>
              </w:rPr>
            </w:pPr>
            <w:r>
              <w:rPr>
                <w:rFonts w:hint="eastAsia"/>
                <w:sz w:val="21"/>
                <w:szCs w:val="21"/>
              </w:rPr>
              <w:t>400</w:t>
            </w:r>
          </w:p>
        </w:tc>
        <w:tc>
          <w:tcPr>
            <w:tcW w:w="560" w:type="pct"/>
            <w:shd w:val="clear" w:color="auto" w:fill="auto"/>
            <w:tcMar>
              <w:left w:w="0" w:type="dxa"/>
              <w:right w:w="0" w:type="dxa"/>
            </w:tcMar>
            <w:vAlign w:val="center"/>
          </w:tcPr>
          <w:p w14:paraId="4A7B4545">
            <w:pPr>
              <w:pStyle w:val="90"/>
              <w:rPr>
                <w:sz w:val="21"/>
                <w:szCs w:val="21"/>
              </w:rPr>
            </w:pPr>
            <w:r>
              <w:rPr>
                <w:rFonts w:hint="eastAsia"/>
                <w:sz w:val="21"/>
                <w:szCs w:val="21"/>
              </w:rPr>
              <w:t>0.2827</w:t>
            </w:r>
          </w:p>
        </w:tc>
        <w:tc>
          <w:tcPr>
            <w:tcW w:w="327" w:type="pct"/>
            <w:shd w:val="clear" w:color="auto" w:fill="auto"/>
            <w:tcMar>
              <w:left w:w="0" w:type="dxa"/>
              <w:right w:w="0" w:type="dxa"/>
            </w:tcMar>
            <w:vAlign w:val="center"/>
          </w:tcPr>
          <w:p w14:paraId="74FBE200">
            <w:pPr>
              <w:pStyle w:val="90"/>
              <w:rPr>
                <w:sz w:val="21"/>
                <w:szCs w:val="21"/>
              </w:rPr>
            </w:pPr>
            <w:r>
              <w:rPr>
                <w:rFonts w:hint="eastAsia"/>
                <w:sz w:val="21"/>
                <w:szCs w:val="21"/>
              </w:rPr>
              <w:t>0.01</w:t>
            </w:r>
          </w:p>
        </w:tc>
        <w:tc>
          <w:tcPr>
            <w:tcW w:w="677" w:type="pct"/>
            <w:vAlign w:val="center"/>
          </w:tcPr>
          <w:p w14:paraId="71EE086F">
            <w:pPr>
              <w:pStyle w:val="90"/>
              <w:rPr>
                <w:sz w:val="21"/>
                <w:szCs w:val="21"/>
              </w:rPr>
            </w:pPr>
            <w:r>
              <w:rPr>
                <w:rFonts w:hint="eastAsia"/>
                <w:sz w:val="21"/>
                <w:szCs w:val="21"/>
              </w:rPr>
              <w:t>0</w:t>
            </w:r>
            <w:r>
              <w:rPr>
                <w:sz w:val="21"/>
                <w:szCs w:val="21"/>
              </w:rPr>
              <w:t>.0637</w:t>
            </w:r>
          </w:p>
        </w:tc>
        <w:tc>
          <w:tcPr>
            <w:tcW w:w="550" w:type="pct"/>
            <w:vAlign w:val="center"/>
          </w:tcPr>
          <w:p w14:paraId="3C9DC13C">
            <w:pPr>
              <w:pStyle w:val="90"/>
              <w:rPr>
                <w:sz w:val="21"/>
                <w:szCs w:val="21"/>
              </w:rPr>
            </w:pPr>
            <w:r>
              <w:rPr>
                <w:sz w:val="21"/>
                <w:szCs w:val="21"/>
              </w:rPr>
              <w:t>0.01274</w:t>
            </w:r>
          </w:p>
        </w:tc>
        <w:tc>
          <w:tcPr>
            <w:tcW w:w="700" w:type="pct"/>
            <w:vAlign w:val="center"/>
          </w:tcPr>
          <w:p w14:paraId="18B7246D">
            <w:pPr>
              <w:pStyle w:val="90"/>
              <w:rPr>
                <w:sz w:val="21"/>
                <w:szCs w:val="21"/>
              </w:rPr>
            </w:pPr>
            <w:r>
              <w:rPr>
                <w:sz w:val="21"/>
                <w:szCs w:val="21"/>
              </w:rPr>
              <w:t>0.4843</w:t>
            </w:r>
          </w:p>
        </w:tc>
        <w:tc>
          <w:tcPr>
            <w:tcW w:w="549" w:type="pct"/>
            <w:vAlign w:val="center"/>
          </w:tcPr>
          <w:p w14:paraId="639DB4F7">
            <w:pPr>
              <w:pStyle w:val="90"/>
              <w:rPr>
                <w:sz w:val="21"/>
                <w:szCs w:val="21"/>
              </w:rPr>
            </w:pPr>
            <w:r>
              <w:rPr>
                <w:sz w:val="21"/>
                <w:szCs w:val="21"/>
              </w:rPr>
              <w:t>0.24215</w:t>
            </w:r>
          </w:p>
        </w:tc>
        <w:tc>
          <w:tcPr>
            <w:tcW w:w="700" w:type="pct"/>
            <w:vAlign w:val="center"/>
          </w:tcPr>
          <w:p w14:paraId="0D7F1E34">
            <w:pPr>
              <w:pStyle w:val="90"/>
              <w:rPr>
                <w:sz w:val="21"/>
                <w:szCs w:val="21"/>
              </w:rPr>
            </w:pPr>
            <w:r>
              <w:rPr>
                <w:sz w:val="21"/>
                <w:szCs w:val="21"/>
              </w:rPr>
              <w:t>0.3824</w:t>
            </w:r>
          </w:p>
        </w:tc>
        <w:tc>
          <w:tcPr>
            <w:tcW w:w="614" w:type="pct"/>
            <w:vAlign w:val="center"/>
          </w:tcPr>
          <w:p w14:paraId="722DDDE4">
            <w:pPr>
              <w:pStyle w:val="90"/>
              <w:rPr>
                <w:sz w:val="21"/>
                <w:szCs w:val="21"/>
              </w:rPr>
            </w:pPr>
            <w:r>
              <w:rPr>
                <w:rFonts w:hint="eastAsia"/>
                <w:sz w:val="21"/>
                <w:szCs w:val="21"/>
              </w:rPr>
              <w:t>0.084978</w:t>
            </w:r>
          </w:p>
        </w:tc>
      </w:tr>
      <w:tr w14:paraId="17348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37085FFA">
            <w:pPr>
              <w:pStyle w:val="90"/>
              <w:rPr>
                <w:sz w:val="21"/>
                <w:szCs w:val="21"/>
              </w:rPr>
            </w:pPr>
            <w:r>
              <w:rPr>
                <w:rFonts w:hint="eastAsia"/>
                <w:sz w:val="21"/>
                <w:szCs w:val="21"/>
              </w:rPr>
              <w:t>500</w:t>
            </w:r>
          </w:p>
        </w:tc>
        <w:tc>
          <w:tcPr>
            <w:tcW w:w="560" w:type="pct"/>
            <w:shd w:val="clear" w:color="auto" w:fill="auto"/>
            <w:tcMar>
              <w:left w:w="0" w:type="dxa"/>
              <w:right w:w="0" w:type="dxa"/>
            </w:tcMar>
            <w:vAlign w:val="center"/>
          </w:tcPr>
          <w:p w14:paraId="4D33182A">
            <w:pPr>
              <w:pStyle w:val="90"/>
              <w:rPr>
                <w:sz w:val="21"/>
                <w:szCs w:val="21"/>
              </w:rPr>
            </w:pPr>
            <w:r>
              <w:rPr>
                <w:rFonts w:hint="eastAsia"/>
                <w:sz w:val="21"/>
                <w:szCs w:val="21"/>
              </w:rPr>
              <w:t>0.2226</w:t>
            </w:r>
          </w:p>
        </w:tc>
        <w:tc>
          <w:tcPr>
            <w:tcW w:w="327" w:type="pct"/>
            <w:shd w:val="clear" w:color="auto" w:fill="auto"/>
            <w:tcMar>
              <w:left w:w="0" w:type="dxa"/>
              <w:right w:w="0" w:type="dxa"/>
            </w:tcMar>
            <w:vAlign w:val="center"/>
          </w:tcPr>
          <w:p w14:paraId="44DDEF06">
            <w:pPr>
              <w:pStyle w:val="90"/>
              <w:rPr>
                <w:sz w:val="21"/>
                <w:szCs w:val="21"/>
              </w:rPr>
            </w:pPr>
            <w:r>
              <w:rPr>
                <w:rFonts w:hint="eastAsia"/>
                <w:sz w:val="21"/>
                <w:szCs w:val="21"/>
              </w:rPr>
              <w:t>0.01</w:t>
            </w:r>
          </w:p>
        </w:tc>
        <w:tc>
          <w:tcPr>
            <w:tcW w:w="677" w:type="pct"/>
            <w:vAlign w:val="center"/>
          </w:tcPr>
          <w:p w14:paraId="7ED9C9F2">
            <w:pPr>
              <w:pStyle w:val="90"/>
              <w:rPr>
                <w:sz w:val="21"/>
                <w:szCs w:val="21"/>
              </w:rPr>
            </w:pPr>
            <w:r>
              <w:rPr>
                <w:rFonts w:hint="eastAsia"/>
                <w:sz w:val="21"/>
                <w:szCs w:val="21"/>
              </w:rPr>
              <w:t>0</w:t>
            </w:r>
            <w:r>
              <w:rPr>
                <w:sz w:val="21"/>
                <w:szCs w:val="21"/>
              </w:rPr>
              <w:t>.0625</w:t>
            </w:r>
          </w:p>
        </w:tc>
        <w:tc>
          <w:tcPr>
            <w:tcW w:w="550" w:type="pct"/>
            <w:vAlign w:val="center"/>
          </w:tcPr>
          <w:p w14:paraId="1AB13418">
            <w:pPr>
              <w:pStyle w:val="90"/>
              <w:rPr>
                <w:sz w:val="21"/>
                <w:szCs w:val="21"/>
              </w:rPr>
            </w:pPr>
            <w:r>
              <w:rPr>
                <w:sz w:val="21"/>
                <w:szCs w:val="21"/>
              </w:rPr>
              <w:t>0.0125</w:t>
            </w:r>
          </w:p>
        </w:tc>
        <w:tc>
          <w:tcPr>
            <w:tcW w:w="700" w:type="pct"/>
            <w:vAlign w:val="center"/>
          </w:tcPr>
          <w:p w14:paraId="73AF2088">
            <w:pPr>
              <w:pStyle w:val="90"/>
              <w:rPr>
                <w:sz w:val="21"/>
                <w:szCs w:val="21"/>
              </w:rPr>
            </w:pPr>
            <w:r>
              <w:rPr>
                <w:sz w:val="21"/>
                <w:szCs w:val="21"/>
              </w:rPr>
              <w:t>0.4754</w:t>
            </w:r>
          </w:p>
        </w:tc>
        <w:tc>
          <w:tcPr>
            <w:tcW w:w="549" w:type="pct"/>
            <w:vAlign w:val="center"/>
          </w:tcPr>
          <w:p w14:paraId="318A0A1A">
            <w:pPr>
              <w:pStyle w:val="90"/>
              <w:rPr>
                <w:sz w:val="21"/>
                <w:szCs w:val="21"/>
              </w:rPr>
            </w:pPr>
            <w:r>
              <w:rPr>
                <w:sz w:val="21"/>
                <w:szCs w:val="21"/>
              </w:rPr>
              <w:t>0.2377</w:t>
            </w:r>
          </w:p>
        </w:tc>
        <w:tc>
          <w:tcPr>
            <w:tcW w:w="700" w:type="pct"/>
            <w:vAlign w:val="center"/>
          </w:tcPr>
          <w:p w14:paraId="180C608D">
            <w:pPr>
              <w:pStyle w:val="90"/>
              <w:rPr>
                <w:sz w:val="21"/>
                <w:szCs w:val="21"/>
              </w:rPr>
            </w:pPr>
            <w:r>
              <w:rPr>
                <w:sz w:val="21"/>
                <w:szCs w:val="21"/>
              </w:rPr>
              <w:t>0.3753</w:t>
            </w:r>
          </w:p>
        </w:tc>
        <w:tc>
          <w:tcPr>
            <w:tcW w:w="614" w:type="pct"/>
            <w:vAlign w:val="center"/>
          </w:tcPr>
          <w:p w14:paraId="278888C1">
            <w:pPr>
              <w:pStyle w:val="90"/>
              <w:rPr>
                <w:sz w:val="21"/>
                <w:szCs w:val="21"/>
              </w:rPr>
            </w:pPr>
            <w:r>
              <w:rPr>
                <w:rFonts w:hint="eastAsia"/>
                <w:sz w:val="21"/>
                <w:szCs w:val="21"/>
              </w:rPr>
              <w:t>0.0834</w:t>
            </w:r>
          </w:p>
        </w:tc>
      </w:tr>
      <w:tr w14:paraId="711A3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736BA4BF">
            <w:pPr>
              <w:pStyle w:val="90"/>
              <w:rPr>
                <w:sz w:val="21"/>
                <w:szCs w:val="21"/>
              </w:rPr>
            </w:pPr>
            <w:r>
              <w:rPr>
                <w:rFonts w:hint="eastAsia"/>
                <w:sz w:val="21"/>
                <w:szCs w:val="21"/>
              </w:rPr>
              <w:t>600</w:t>
            </w:r>
          </w:p>
        </w:tc>
        <w:tc>
          <w:tcPr>
            <w:tcW w:w="560" w:type="pct"/>
            <w:shd w:val="clear" w:color="auto" w:fill="auto"/>
            <w:tcMar>
              <w:left w:w="0" w:type="dxa"/>
              <w:right w:w="0" w:type="dxa"/>
            </w:tcMar>
            <w:vAlign w:val="center"/>
          </w:tcPr>
          <w:p w14:paraId="78AA6311">
            <w:pPr>
              <w:pStyle w:val="90"/>
              <w:rPr>
                <w:sz w:val="21"/>
                <w:szCs w:val="21"/>
              </w:rPr>
            </w:pPr>
            <w:r>
              <w:rPr>
                <w:rFonts w:hint="eastAsia"/>
                <w:sz w:val="21"/>
                <w:szCs w:val="21"/>
              </w:rPr>
              <w:t>0.1927</w:t>
            </w:r>
          </w:p>
        </w:tc>
        <w:tc>
          <w:tcPr>
            <w:tcW w:w="327" w:type="pct"/>
            <w:shd w:val="clear" w:color="auto" w:fill="auto"/>
            <w:tcMar>
              <w:left w:w="0" w:type="dxa"/>
              <w:right w:w="0" w:type="dxa"/>
            </w:tcMar>
            <w:vAlign w:val="center"/>
          </w:tcPr>
          <w:p w14:paraId="759C22A9">
            <w:pPr>
              <w:pStyle w:val="90"/>
              <w:rPr>
                <w:sz w:val="21"/>
                <w:szCs w:val="21"/>
              </w:rPr>
            </w:pPr>
            <w:r>
              <w:rPr>
                <w:rFonts w:hint="eastAsia"/>
                <w:sz w:val="21"/>
                <w:szCs w:val="21"/>
              </w:rPr>
              <w:t>0.01</w:t>
            </w:r>
          </w:p>
        </w:tc>
        <w:tc>
          <w:tcPr>
            <w:tcW w:w="677" w:type="pct"/>
            <w:vAlign w:val="center"/>
          </w:tcPr>
          <w:p w14:paraId="0943DE96">
            <w:pPr>
              <w:pStyle w:val="90"/>
              <w:rPr>
                <w:sz w:val="21"/>
                <w:szCs w:val="21"/>
              </w:rPr>
            </w:pPr>
            <w:r>
              <w:rPr>
                <w:rFonts w:hint="eastAsia"/>
                <w:sz w:val="21"/>
                <w:szCs w:val="21"/>
              </w:rPr>
              <w:t>0</w:t>
            </w:r>
            <w:r>
              <w:rPr>
                <w:sz w:val="21"/>
                <w:szCs w:val="21"/>
              </w:rPr>
              <w:t>.0581</w:t>
            </w:r>
          </w:p>
        </w:tc>
        <w:tc>
          <w:tcPr>
            <w:tcW w:w="550" w:type="pct"/>
            <w:vAlign w:val="center"/>
          </w:tcPr>
          <w:p w14:paraId="34739CDB">
            <w:pPr>
              <w:pStyle w:val="90"/>
              <w:rPr>
                <w:sz w:val="21"/>
                <w:szCs w:val="21"/>
              </w:rPr>
            </w:pPr>
            <w:r>
              <w:rPr>
                <w:sz w:val="21"/>
                <w:szCs w:val="21"/>
              </w:rPr>
              <w:t>0.01162</w:t>
            </w:r>
          </w:p>
        </w:tc>
        <w:tc>
          <w:tcPr>
            <w:tcW w:w="700" w:type="pct"/>
            <w:vAlign w:val="center"/>
          </w:tcPr>
          <w:p w14:paraId="413917EF">
            <w:pPr>
              <w:pStyle w:val="90"/>
              <w:rPr>
                <w:sz w:val="21"/>
                <w:szCs w:val="21"/>
              </w:rPr>
            </w:pPr>
            <w:r>
              <w:rPr>
                <w:sz w:val="21"/>
                <w:szCs w:val="21"/>
              </w:rPr>
              <w:t>0.4419</w:t>
            </w:r>
          </w:p>
        </w:tc>
        <w:tc>
          <w:tcPr>
            <w:tcW w:w="549" w:type="pct"/>
            <w:vAlign w:val="center"/>
          </w:tcPr>
          <w:p w14:paraId="39032693">
            <w:pPr>
              <w:pStyle w:val="90"/>
              <w:rPr>
                <w:sz w:val="21"/>
                <w:szCs w:val="21"/>
              </w:rPr>
            </w:pPr>
            <w:r>
              <w:rPr>
                <w:sz w:val="21"/>
                <w:szCs w:val="21"/>
              </w:rPr>
              <w:t>0.22095</w:t>
            </w:r>
          </w:p>
        </w:tc>
        <w:tc>
          <w:tcPr>
            <w:tcW w:w="700" w:type="pct"/>
            <w:vAlign w:val="center"/>
          </w:tcPr>
          <w:p w14:paraId="18D0E4F8">
            <w:pPr>
              <w:pStyle w:val="90"/>
              <w:rPr>
                <w:sz w:val="21"/>
                <w:szCs w:val="21"/>
              </w:rPr>
            </w:pPr>
            <w:r>
              <w:rPr>
                <w:sz w:val="21"/>
                <w:szCs w:val="21"/>
              </w:rPr>
              <w:t>0.3489</w:t>
            </w:r>
          </w:p>
        </w:tc>
        <w:tc>
          <w:tcPr>
            <w:tcW w:w="614" w:type="pct"/>
            <w:vAlign w:val="center"/>
          </w:tcPr>
          <w:p w14:paraId="6E017E6F">
            <w:pPr>
              <w:pStyle w:val="90"/>
              <w:rPr>
                <w:sz w:val="21"/>
                <w:szCs w:val="21"/>
              </w:rPr>
            </w:pPr>
            <w:r>
              <w:rPr>
                <w:rFonts w:hint="eastAsia"/>
                <w:sz w:val="21"/>
                <w:szCs w:val="21"/>
              </w:rPr>
              <w:t>0.077533</w:t>
            </w:r>
          </w:p>
        </w:tc>
      </w:tr>
      <w:tr w14:paraId="77BAF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6C264180">
            <w:pPr>
              <w:pStyle w:val="90"/>
              <w:rPr>
                <w:sz w:val="21"/>
                <w:szCs w:val="21"/>
              </w:rPr>
            </w:pPr>
            <w:r>
              <w:rPr>
                <w:rFonts w:hint="eastAsia"/>
                <w:sz w:val="21"/>
                <w:szCs w:val="21"/>
              </w:rPr>
              <w:t>700</w:t>
            </w:r>
          </w:p>
        </w:tc>
        <w:tc>
          <w:tcPr>
            <w:tcW w:w="560" w:type="pct"/>
            <w:shd w:val="clear" w:color="auto" w:fill="auto"/>
            <w:tcMar>
              <w:left w:w="0" w:type="dxa"/>
              <w:right w:w="0" w:type="dxa"/>
            </w:tcMar>
            <w:vAlign w:val="center"/>
          </w:tcPr>
          <w:p w14:paraId="796E1CF6">
            <w:pPr>
              <w:pStyle w:val="90"/>
              <w:rPr>
                <w:sz w:val="21"/>
                <w:szCs w:val="21"/>
              </w:rPr>
            </w:pPr>
            <w:r>
              <w:rPr>
                <w:rFonts w:hint="eastAsia"/>
                <w:sz w:val="21"/>
                <w:szCs w:val="21"/>
              </w:rPr>
              <w:t>0.1899</w:t>
            </w:r>
          </w:p>
        </w:tc>
        <w:tc>
          <w:tcPr>
            <w:tcW w:w="327" w:type="pct"/>
            <w:shd w:val="clear" w:color="auto" w:fill="auto"/>
            <w:tcMar>
              <w:left w:w="0" w:type="dxa"/>
              <w:right w:w="0" w:type="dxa"/>
            </w:tcMar>
            <w:vAlign w:val="center"/>
          </w:tcPr>
          <w:p w14:paraId="79512171">
            <w:pPr>
              <w:pStyle w:val="90"/>
              <w:rPr>
                <w:sz w:val="21"/>
                <w:szCs w:val="21"/>
              </w:rPr>
            </w:pPr>
            <w:r>
              <w:rPr>
                <w:rFonts w:hint="eastAsia"/>
                <w:sz w:val="21"/>
                <w:szCs w:val="21"/>
              </w:rPr>
              <w:t>0.01</w:t>
            </w:r>
          </w:p>
        </w:tc>
        <w:tc>
          <w:tcPr>
            <w:tcW w:w="677" w:type="pct"/>
            <w:vAlign w:val="center"/>
          </w:tcPr>
          <w:p w14:paraId="7D46FC43">
            <w:pPr>
              <w:pStyle w:val="90"/>
              <w:rPr>
                <w:sz w:val="21"/>
                <w:szCs w:val="21"/>
              </w:rPr>
            </w:pPr>
            <w:r>
              <w:rPr>
                <w:rFonts w:hint="eastAsia"/>
                <w:sz w:val="21"/>
                <w:szCs w:val="21"/>
              </w:rPr>
              <w:t>0</w:t>
            </w:r>
            <w:r>
              <w:rPr>
                <w:sz w:val="21"/>
                <w:szCs w:val="21"/>
              </w:rPr>
              <w:t>.0530</w:t>
            </w:r>
          </w:p>
        </w:tc>
        <w:tc>
          <w:tcPr>
            <w:tcW w:w="550" w:type="pct"/>
            <w:vAlign w:val="center"/>
          </w:tcPr>
          <w:p w14:paraId="6F17A94C">
            <w:pPr>
              <w:pStyle w:val="90"/>
              <w:rPr>
                <w:sz w:val="21"/>
                <w:szCs w:val="21"/>
              </w:rPr>
            </w:pPr>
            <w:r>
              <w:rPr>
                <w:sz w:val="21"/>
                <w:szCs w:val="21"/>
              </w:rPr>
              <w:t>0.0106</w:t>
            </w:r>
          </w:p>
        </w:tc>
        <w:tc>
          <w:tcPr>
            <w:tcW w:w="700" w:type="pct"/>
            <w:vAlign w:val="center"/>
          </w:tcPr>
          <w:p w14:paraId="26496C2F">
            <w:pPr>
              <w:pStyle w:val="90"/>
              <w:rPr>
                <w:sz w:val="21"/>
                <w:szCs w:val="21"/>
              </w:rPr>
            </w:pPr>
            <w:r>
              <w:rPr>
                <w:sz w:val="21"/>
                <w:szCs w:val="21"/>
              </w:rPr>
              <w:t>0.4029</w:t>
            </w:r>
          </w:p>
        </w:tc>
        <w:tc>
          <w:tcPr>
            <w:tcW w:w="549" w:type="pct"/>
            <w:vAlign w:val="center"/>
          </w:tcPr>
          <w:p w14:paraId="59982573">
            <w:pPr>
              <w:pStyle w:val="90"/>
              <w:rPr>
                <w:sz w:val="21"/>
                <w:szCs w:val="21"/>
              </w:rPr>
            </w:pPr>
            <w:r>
              <w:rPr>
                <w:sz w:val="21"/>
                <w:szCs w:val="21"/>
              </w:rPr>
              <w:t>0.20145</w:t>
            </w:r>
          </w:p>
        </w:tc>
        <w:tc>
          <w:tcPr>
            <w:tcW w:w="700" w:type="pct"/>
            <w:vAlign w:val="center"/>
          </w:tcPr>
          <w:p w14:paraId="5781B3C9">
            <w:pPr>
              <w:pStyle w:val="90"/>
              <w:rPr>
                <w:sz w:val="21"/>
                <w:szCs w:val="21"/>
              </w:rPr>
            </w:pPr>
            <w:r>
              <w:rPr>
                <w:sz w:val="21"/>
                <w:szCs w:val="21"/>
              </w:rPr>
              <w:t>0.3181</w:t>
            </w:r>
          </w:p>
        </w:tc>
        <w:tc>
          <w:tcPr>
            <w:tcW w:w="614" w:type="pct"/>
            <w:vAlign w:val="center"/>
          </w:tcPr>
          <w:p w14:paraId="72199B87">
            <w:pPr>
              <w:pStyle w:val="90"/>
              <w:rPr>
                <w:sz w:val="21"/>
                <w:szCs w:val="21"/>
              </w:rPr>
            </w:pPr>
            <w:r>
              <w:rPr>
                <w:rFonts w:hint="eastAsia"/>
                <w:sz w:val="21"/>
                <w:szCs w:val="21"/>
              </w:rPr>
              <w:t>0.070689</w:t>
            </w:r>
          </w:p>
        </w:tc>
      </w:tr>
      <w:tr w14:paraId="09F03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16DB3D02">
            <w:pPr>
              <w:pStyle w:val="90"/>
              <w:rPr>
                <w:sz w:val="21"/>
                <w:szCs w:val="21"/>
              </w:rPr>
            </w:pPr>
            <w:r>
              <w:rPr>
                <w:rFonts w:hint="eastAsia"/>
                <w:sz w:val="21"/>
                <w:szCs w:val="21"/>
              </w:rPr>
              <w:t>800</w:t>
            </w:r>
          </w:p>
        </w:tc>
        <w:tc>
          <w:tcPr>
            <w:tcW w:w="560" w:type="pct"/>
            <w:shd w:val="clear" w:color="auto" w:fill="auto"/>
            <w:tcMar>
              <w:left w:w="0" w:type="dxa"/>
              <w:right w:w="0" w:type="dxa"/>
            </w:tcMar>
            <w:vAlign w:val="center"/>
          </w:tcPr>
          <w:p w14:paraId="08DBC4CF">
            <w:pPr>
              <w:pStyle w:val="90"/>
              <w:rPr>
                <w:sz w:val="21"/>
                <w:szCs w:val="21"/>
              </w:rPr>
            </w:pPr>
            <w:r>
              <w:rPr>
                <w:rFonts w:hint="eastAsia"/>
                <w:sz w:val="21"/>
                <w:szCs w:val="21"/>
              </w:rPr>
              <w:t>0.1821</w:t>
            </w:r>
          </w:p>
        </w:tc>
        <w:tc>
          <w:tcPr>
            <w:tcW w:w="327" w:type="pct"/>
            <w:shd w:val="clear" w:color="auto" w:fill="auto"/>
            <w:tcMar>
              <w:left w:w="0" w:type="dxa"/>
              <w:right w:w="0" w:type="dxa"/>
            </w:tcMar>
            <w:vAlign w:val="center"/>
          </w:tcPr>
          <w:p w14:paraId="79E91BEB">
            <w:pPr>
              <w:pStyle w:val="90"/>
              <w:rPr>
                <w:sz w:val="21"/>
                <w:szCs w:val="21"/>
              </w:rPr>
            </w:pPr>
            <w:r>
              <w:rPr>
                <w:rFonts w:hint="eastAsia"/>
                <w:sz w:val="21"/>
                <w:szCs w:val="21"/>
              </w:rPr>
              <w:t>0.01</w:t>
            </w:r>
          </w:p>
        </w:tc>
        <w:tc>
          <w:tcPr>
            <w:tcW w:w="677" w:type="pct"/>
            <w:vAlign w:val="center"/>
          </w:tcPr>
          <w:p w14:paraId="44C60E54">
            <w:pPr>
              <w:pStyle w:val="90"/>
              <w:rPr>
                <w:sz w:val="21"/>
                <w:szCs w:val="21"/>
              </w:rPr>
            </w:pPr>
            <w:r>
              <w:rPr>
                <w:rFonts w:hint="eastAsia"/>
                <w:sz w:val="21"/>
                <w:szCs w:val="21"/>
              </w:rPr>
              <w:t>0</w:t>
            </w:r>
            <w:r>
              <w:rPr>
                <w:sz w:val="21"/>
                <w:szCs w:val="21"/>
              </w:rPr>
              <w:t>.0480</w:t>
            </w:r>
          </w:p>
        </w:tc>
        <w:tc>
          <w:tcPr>
            <w:tcW w:w="550" w:type="pct"/>
            <w:vAlign w:val="center"/>
          </w:tcPr>
          <w:p w14:paraId="56662A8F">
            <w:pPr>
              <w:pStyle w:val="90"/>
              <w:rPr>
                <w:sz w:val="21"/>
                <w:szCs w:val="21"/>
              </w:rPr>
            </w:pPr>
            <w:r>
              <w:rPr>
                <w:sz w:val="21"/>
                <w:szCs w:val="21"/>
              </w:rPr>
              <w:t>0.0096</w:t>
            </w:r>
          </w:p>
        </w:tc>
        <w:tc>
          <w:tcPr>
            <w:tcW w:w="700" w:type="pct"/>
            <w:vAlign w:val="center"/>
          </w:tcPr>
          <w:p w14:paraId="77AE95DD">
            <w:pPr>
              <w:pStyle w:val="90"/>
              <w:rPr>
                <w:sz w:val="21"/>
                <w:szCs w:val="21"/>
              </w:rPr>
            </w:pPr>
            <w:r>
              <w:rPr>
                <w:sz w:val="21"/>
                <w:szCs w:val="21"/>
              </w:rPr>
              <w:t>0.3651</w:t>
            </w:r>
          </w:p>
        </w:tc>
        <w:tc>
          <w:tcPr>
            <w:tcW w:w="549" w:type="pct"/>
            <w:vAlign w:val="center"/>
          </w:tcPr>
          <w:p w14:paraId="791724E2">
            <w:pPr>
              <w:pStyle w:val="90"/>
              <w:rPr>
                <w:sz w:val="21"/>
                <w:szCs w:val="21"/>
              </w:rPr>
            </w:pPr>
            <w:r>
              <w:rPr>
                <w:sz w:val="21"/>
                <w:szCs w:val="21"/>
              </w:rPr>
              <w:t>0.18255</w:t>
            </w:r>
          </w:p>
        </w:tc>
        <w:tc>
          <w:tcPr>
            <w:tcW w:w="700" w:type="pct"/>
            <w:vAlign w:val="center"/>
          </w:tcPr>
          <w:p w14:paraId="367AC4CB">
            <w:pPr>
              <w:pStyle w:val="90"/>
              <w:rPr>
                <w:sz w:val="21"/>
                <w:szCs w:val="21"/>
              </w:rPr>
            </w:pPr>
            <w:r>
              <w:rPr>
                <w:sz w:val="21"/>
                <w:szCs w:val="21"/>
              </w:rPr>
              <w:t>0.2955</w:t>
            </w:r>
          </w:p>
        </w:tc>
        <w:tc>
          <w:tcPr>
            <w:tcW w:w="614" w:type="pct"/>
            <w:vAlign w:val="center"/>
          </w:tcPr>
          <w:p w14:paraId="67C881F5">
            <w:pPr>
              <w:pStyle w:val="90"/>
              <w:rPr>
                <w:sz w:val="21"/>
                <w:szCs w:val="21"/>
              </w:rPr>
            </w:pPr>
            <w:r>
              <w:rPr>
                <w:rFonts w:hint="eastAsia"/>
                <w:sz w:val="21"/>
                <w:szCs w:val="21"/>
              </w:rPr>
              <w:t>0.065667</w:t>
            </w:r>
          </w:p>
        </w:tc>
      </w:tr>
      <w:tr w14:paraId="072CB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10E61199">
            <w:pPr>
              <w:pStyle w:val="90"/>
              <w:rPr>
                <w:sz w:val="21"/>
                <w:szCs w:val="21"/>
              </w:rPr>
            </w:pPr>
            <w:r>
              <w:rPr>
                <w:rFonts w:hint="eastAsia"/>
                <w:sz w:val="21"/>
                <w:szCs w:val="21"/>
              </w:rPr>
              <w:t>900</w:t>
            </w:r>
          </w:p>
        </w:tc>
        <w:tc>
          <w:tcPr>
            <w:tcW w:w="560" w:type="pct"/>
            <w:shd w:val="clear" w:color="auto" w:fill="auto"/>
            <w:tcMar>
              <w:left w:w="0" w:type="dxa"/>
              <w:right w:w="0" w:type="dxa"/>
            </w:tcMar>
            <w:vAlign w:val="center"/>
          </w:tcPr>
          <w:p w14:paraId="0A3E5DFA">
            <w:pPr>
              <w:pStyle w:val="90"/>
              <w:rPr>
                <w:sz w:val="21"/>
                <w:szCs w:val="21"/>
              </w:rPr>
            </w:pPr>
            <w:r>
              <w:rPr>
                <w:rFonts w:hint="eastAsia"/>
                <w:sz w:val="21"/>
                <w:szCs w:val="21"/>
              </w:rPr>
              <w:t>0.1722</w:t>
            </w:r>
          </w:p>
        </w:tc>
        <w:tc>
          <w:tcPr>
            <w:tcW w:w="327" w:type="pct"/>
            <w:shd w:val="clear" w:color="auto" w:fill="auto"/>
            <w:tcMar>
              <w:left w:w="0" w:type="dxa"/>
              <w:right w:w="0" w:type="dxa"/>
            </w:tcMar>
            <w:vAlign w:val="center"/>
          </w:tcPr>
          <w:p w14:paraId="6544D4EF">
            <w:pPr>
              <w:pStyle w:val="90"/>
              <w:rPr>
                <w:sz w:val="21"/>
                <w:szCs w:val="21"/>
              </w:rPr>
            </w:pPr>
            <w:r>
              <w:rPr>
                <w:rFonts w:hint="eastAsia"/>
                <w:sz w:val="21"/>
                <w:szCs w:val="21"/>
              </w:rPr>
              <w:t>0.01</w:t>
            </w:r>
          </w:p>
        </w:tc>
        <w:tc>
          <w:tcPr>
            <w:tcW w:w="677" w:type="pct"/>
            <w:vAlign w:val="center"/>
          </w:tcPr>
          <w:p w14:paraId="36F2173E">
            <w:pPr>
              <w:pStyle w:val="90"/>
              <w:rPr>
                <w:sz w:val="21"/>
                <w:szCs w:val="21"/>
              </w:rPr>
            </w:pPr>
            <w:r>
              <w:rPr>
                <w:rFonts w:hint="eastAsia"/>
                <w:sz w:val="21"/>
                <w:szCs w:val="21"/>
              </w:rPr>
              <w:t>0</w:t>
            </w:r>
            <w:r>
              <w:rPr>
                <w:sz w:val="21"/>
                <w:szCs w:val="21"/>
              </w:rPr>
              <w:t>.0436</w:t>
            </w:r>
          </w:p>
        </w:tc>
        <w:tc>
          <w:tcPr>
            <w:tcW w:w="550" w:type="pct"/>
            <w:vAlign w:val="center"/>
          </w:tcPr>
          <w:p w14:paraId="4E2B52BD">
            <w:pPr>
              <w:pStyle w:val="90"/>
              <w:rPr>
                <w:sz w:val="21"/>
                <w:szCs w:val="21"/>
              </w:rPr>
            </w:pPr>
            <w:r>
              <w:rPr>
                <w:sz w:val="21"/>
                <w:szCs w:val="21"/>
              </w:rPr>
              <w:t>0.00872</w:t>
            </w:r>
          </w:p>
        </w:tc>
        <w:tc>
          <w:tcPr>
            <w:tcW w:w="700" w:type="pct"/>
            <w:vAlign w:val="center"/>
          </w:tcPr>
          <w:p w14:paraId="32D2198D">
            <w:pPr>
              <w:pStyle w:val="90"/>
              <w:rPr>
                <w:sz w:val="21"/>
                <w:szCs w:val="21"/>
              </w:rPr>
            </w:pPr>
            <w:r>
              <w:rPr>
                <w:sz w:val="21"/>
                <w:szCs w:val="21"/>
              </w:rPr>
              <w:t>0.3311</w:t>
            </w:r>
          </w:p>
        </w:tc>
        <w:tc>
          <w:tcPr>
            <w:tcW w:w="549" w:type="pct"/>
            <w:vAlign w:val="center"/>
          </w:tcPr>
          <w:p w14:paraId="2FBBAD4B">
            <w:pPr>
              <w:pStyle w:val="90"/>
              <w:rPr>
                <w:sz w:val="21"/>
                <w:szCs w:val="21"/>
              </w:rPr>
            </w:pPr>
            <w:r>
              <w:rPr>
                <w:sz w:val="21"/>
                <w:szCs w:val="21"/>
              </w:rPr>
              <w:t>0.16555</w:t>
            </w:r>
          </w:p>
        </w:tc>
        <w:tc>
          <w:tcPr>
            <w:tcW w:w="700" w:type="pct"/>
            <w:vAlign w:val="center"/>
          </w:tcPr>
          <w:p w14:paraId="58C71717">
            <w:pPr>
              <w:pStyle w:val="90"/>
              <w:rPr>
                <w:sz w:val="21"/>
                <w:szCs w:val="21"/>
              </w:rPr>
            </w:pPr>
            <w:r>
              <w:rPr>
                <w:sz w:val="21"/>
                <w:szCs w:val="21"/>
              </w:rPr>
              <w:t>0.2614</w:t>
            </w:r>
          </w:p>
        </w:tc>
        <w:tc>
          <w:tcPr>
            <w:tcW w:w="614" w:type="pct"/>
            <w:vAlign w:val="center"/>
          </w:tcPr>
          <w:p w14:paraId="615A28F6">
            <w:pPr>
              <w:pStyle w:val="90"/>
              <w:rPr>
                <w:sz w:val="21"/>
                <w:szCs w:val="21"/>
              </w:rPr>
            </w:pPr>
            <w:r>
              <w:rPr>
                <w:rFonts w:hint="eastAsia"/>
                <w:sz w:val="21"/>
                <w:szCs w:val="21"/>
              </w:rPr>
              <w:t>0.058089</w:t>
            </w:r>
          </w:p>
        </w:tc>
      </w:tr>
      <w:tr w14:paraId="191D6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58F47FF7">
            <w:pPr>
              <w:pStyle w:val="90"/>
              <w:rPr>
                <w:sz w:val="21"/>
                <w:szCs w:val="21"/>
              </w:rPr>
            </w:pPr>
            <w:r>
              <w:rPr>
                <w:rFonts w:hint="eastAsia"/>
                <w:sz w:val="21"/>
                <w:szCs w:val="21"/>
              </w:rPr>
              <w:t>1000</w:t>
            </w:r>
          </w:p>
        </w:tc>
        <w:tc>
          <w:tcPr>
            <w:tcW w:w="560" w:type="pct"/>
            <w:shd w:val="clear" w:color="auto" w:fill="auto"/>
            <w:tcMar>
              <w:left w:w="0" w:type="dxa"/>
              <w:right w:w="0" w:type="dxa"/>
            </w:tcMar>
            <w:vAlign w:val="center"/>
          </w:tcPr>
          <w:p w14:paraId="440B251E">
            <w:pPr>
              <w:pStyle w:val="90"/>
              <w:rPr>
                <w:sz w:val="21"/>
                <w:szCs w:val="21"/>
              </w:rPr>
            </w:pPr>
            <w:r>
              <w:rPr>
                <w:rFonts w:hint="eastAsia"/>
                <w:sz w:val="21"/>
                <w:szCs w:val="21"/>
              </w:rPr>
              <w:t>0.1637</w:t>
            </w:r>
          </w:p>
        </w:tc>
        <w:tc>
          <w:tcPr>
            <w:tcW w:w="327" w:type="pct"/>
            <w:shd w:val="clear" w:color="auto" w:fill="auto"/>
            <w:tcMar>
              <w:left w:w="0" w:type="dxa"/>
              <w:right w:w="0" w:type="dxa"/>
            </w:tcMar>
            <w:vAlign w:val="center"/>
          </w:tcPr>
          <w:p w14:paraId="69860682">
            <w:pPr>
              <w:pStyle w:val="90"/>
              <w:rPr>
                <w:sz w:val="21"/>
                <w:szCs w:val="21"/>
              </w:rPr>
            </w:pPr>
            <w:r>
              <w:rPr>
                <w:rFonts w:hint="eastAsia"/>
                <w:sz w:val="21"/>
                <w:szCs w:val="21"/>
              </w:rPr>
              <w:t>0.01</w:t>
            </w:r>
          </w:p>
        </w:tc>
        <w:tc>
          <w:tcPr>
            <w:tcW w:w="677" w:type="pct"/>
            <w:vAlign w:val="center"/>
          </w:tcPr>
          <w:p w14:paraId="6DB93265">
            <w:pPr>
              <w:pStyle w:val="90"/>
              <w:rPr>
                <w:sz w:val="21"/>
                <w:szCs w:val="21"/>
              </w:rPr>
            </w:pPr>
            <w:r>
              <w:rPr>
                <w:rFonts w:hint="eastAsia"/>
                <w:sz w:val="21"/>
                <w:szCs w:val="21"/>
              </w:rPr>
              <w:t>0</w:t>
            </w:r>
            <w:r>
              <w:rPr>
                <w:sz w:val="21"/>
                <w:szCs w:val="21"/>
              </w:rPr>
              <w:t>.0398</w:t>
            </w:r>
          </w:p>
        </w:tc>
        <w:tc>
          <w:tcPr>
            <w:tcW w:w="550" w:type="pct"/>
            <w:vAlign w:val="center"/>
          </w:tcPr>
          <w:p w14:paraId="0A20716D">
            <w:pPr>
              <w:pStyle w:val="90"/>
              <w:rPr>
                <w:sz w:val="21"/>
                <w:szCs w:val="21"/>
              </w:rPr>
            </w:pPr>
            <w:r>
              <w:rPr>
                <w:sz w:val="21"/>
                <w:szCs w:val="21"/>
              </w:rPr>
              <w:t>0.00796</w:t>
            </w:r>
          </w:p>
        </w:tc>
        <w:tc>
          <w:tcPr>
            <w:tcW w:w="700" w:type="pct"/>
            <w:vAlign w:val="center"/>
          </w:tcPr>
          <w:p w14:paraId="1DBA8016">
            <w:pPr>
              <w:pStyle w:val="90"/>
              <w:rPr>
                <w:sz w:val="21"/>
                <w:szCs w:val="21"/>
              </w:rPr>
            </w:pPr>
            <w:r>
              <w:rPr>
                <w:sz w:val="21"/>
                <w:szCs w:val="21"/>
              </w:rPr>
              <w:t>0.3021</w:t>
            </w:r>
          </w:p>
        </w:tc>
        <w:tc>
          <w:tcPr>
            <w:tcW w:w="549" w:type="pct"/>
            <w:vAlign w:val="center"/>
          </w:tcPr>
          <w:p w14:paraId="2E85FA32">
            <w:pPr>
              <w:pStyle w:val="90"/>
              <w:rPr>
                <w:sz w:val="21"/>
                <w:szCs w:val="21"/>
              </w:rPr>
            </w:pPr>
            <w:r>
              <w:rPr>
                <w:sz w:val="21"/>
                <w:szCs w:val="21"/>
              </w:rPr>
              <w:t>0.15105</w:t>
            </w:r>
          </w:p>
        </w:tc>
        <w:tc>
          <w:tcPr>
            <w:tcW w:w="700" w:type="pct"/>
            <w:vAlign w:val="center"/>
          </w:tcPr>
          <w:p w14:paraId="2E8B859C">
            <w:pPr>
              <w:pStyle w:val="90"/>
              <w:rPr>
                <w:sz w:val="21"/>
                <w:szCs w:val="21"/>
              </w:rPr>
            </w:pPr>
            <w:r>
              <w:rPr>
                <w:sz w:val="21"/>
                <w:szCs w:val="21"/>
              </w:rPr>
              <w:t>0.2385</w:t>
            </w:r>
          </w:p>
        </w:tc>
        <w:tc>
          <w:tcPr>
            <w:tcW w:w="614" w:type="pct"/>
            <w:vAlign w:val="center"/>
          </w:tcPr>
          <w:p w14:paraId="60619A63">
            <w:pPr>
              <w:pStyle w:val="90"/>
              <w:rPr>
                <w:sz w:val="21"/>
                <w:szCs w:val="21"/>
              </w:rPr>
            </w:pPr>
            <w:r>
              <w:rPr>
                <w:rFonts w:hint="eastAsia"/>
                <w:sz w:val="21"/>
                <w:szCs w:val="21"/>
              </w:rPr>
              <w:t>0.053</w:t>
            </w:r>
          </w:p>
        </w:tc>
      </w:tr>
      <w:tr w14:paraId="52AD9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6F750D29">
            <w:pPr>
              <w:pStyle w:val="90"/>
              <w:rPr>
                <w:sz w:val="21"/>
                <w:szCs w:val="21"/>
              </w:rPr>
            </w:pPr>
            <w:r>
              <w:rPr>
                <w:rFonts w:hint="eastAsia"/>
                <w:sz w:val="21"/>
                <w:szCs w:val="21"/>
              </w:rPr>
              <w:t>1200</w:t>
            </w:r>
          </w:p>
        </w:tc>
        <w:tc>
          <w:tcPr>
            <w:tcW w:w="560" w:type="pct"/>
            <w:shd w:val="clear" w:color="auto" w:fill="auto"/>
            <w:tcMar>
              <w:left w:w="0" w:type="dxa"/>
              <w:right w:w="0" w:type="dxa"/>
            </w:tcMar>
            <w:vAlign w:val="center"/>
          </w:tcPr>
          <w:p w14:paraId="74846FE5">
            <w:pPr>
              <w:pStyle w:val="90"/>
              <w:rPr>
                <w:sz w:val="21"/>
                <w:szCs w:val="21"/>
              </w:rPr>
            </w:pPr>
            <w:r>
              <w:rPr>
                <w:rFonts w:hint="eastAsia"/>
                <w:sz w:val="21"/>
                <w:szCs w:val="21"/>
              </w:rPr>
              <w:t>0.1568</w:t>
            </w:r>
          </w:p>
        </w:tc>
        <w:tc>
          <w:tcPr>
            <w:tcW w:w="327" w:type="pct"/>
            <w:shd w:val="clear" w:color="auto" w:fill="auto"/>
            <w:tcMar>
              <w:left w:w="0" w:type="dxa"/>
              <w:right w:w="0" w:type="dxa"/>
            </w:tcMar>
            <w:vAlign w:val="center"/>
          </w:tcPr>
          <w:p w14:paraId="7F64FC86">
            <w:pPr>
              <w:pStyle w:val="90"/>
              <w:rPr>
                <w:sz w:val="21"/>
                <w:szCs w:val="21"/>
              </w:rPr>
            </w:pPr>
            <w:r>
              <w:rPr>
                <w:rFonts w:hint="eastAsia"/>
                <w:sz w:val="21"/>
                <w:szCs w:val="21"/>
              </w:rPr>
              <w:t>0.01</w:t>
            </w:r>
          </w:p>
        </w:tc>
        <w:tc>
          <w:tcPr>
            <w:tcW w:w="677" w:type="pct"/>
            <w:vAlign w:val="center"/>
          </w:tcPr>
          <w:p w14:paraId="763AB067">
            <w:pPr>
              <w:pStyle w:val="90"/>
              <w:rPr>
                <w:sz w:val="21"/>
                <w:szCs w:val="21"/>
              </w:rPr>
            </w:pPr>
            <w:r>
              <w:rPr>
                <w:rFonts w:hint="eastAsia"/>
                <w:sz w:val="21"/>
                <w:szCs w:val="21"/>
              </w:rPr>
              <w:t>0</w:t>
            </w:r>
            <w:r>
              <w:rPr>
                <w:sz w:val="21"/>
                <w:szCs w:val="21"/>
              </w:rPr>
              <w:t>.0335</w:t>
            </w:r>
          </w:p>
        </w:tc>
        <w:tc>
          <w:tcPr>
            <w:tcW w:w="550" w:type="pct"/>
            <w:vAlign w:val="center"/>
          </w:tcPr>
          <w:p w14:paraId="2454510B">
            <w:pPr>
              <w:pStyle w:val="90"/>
              <w:rPr>
                <w:sz w:val="21"/>
                <w:szCs w:val="21"/>
              </w:rPr>
            </w:pPr>
            <w:r>
              <w:rPr>
                <w:sz w:val="21"/>
                <w:szCs w:val="21"/>
              </w:rPr>
              <w:t>0.0067</w:t>
            </w:r>
          </w:p>
        </w:tc>
        <w:tc>
          <w:tcPr>
            <w:tcW w:w="700" w:type="pct"/>
            <w:vAlign w:val="center"/>
          </w:tcPr>
          <w:p w14:paraId="51918C49">
            <w:pPr>
              <w:pStyle w:val="90"/>
              <w:rPr>
                <w:sz w:val="21"/>
                <w:szCs w:val="21"/>
              </w:rPr>
            </w:pPr>
            <w:r>
              <w:rPr>
                <w:sz w:val="21"/>
                <w:szCs w:val="21"/>
              </w:rPr>
              <w:t>0.2545</w:t>
            </w:r>
          </w:p>
        </w:tc>
        <w:tc>
          <w:tcPr>
            <w:tcW w:w="549" w:type="pct"/>
            <w:vAlign w:val="center"/>
          </w:tcPr>
          <w:p w14:paraId="3C3EA929">
            <w:pPr>
              <w:pStyle w:val="90"/>
              <w:rPr>
                <w:sz w:val="21"/>
                <w:szCs w:val="21"/>
              </w:rPr>
            </w:pPr>
            <w:r>
              <w:rPr>
                <w:sz w:val="21"/>
                <w:szCs w:val="21"/>
              </w:rPr>
              <w:t>0.12725</w:t>
            </w:r>
          </w:p>
        </w:tc>
        <w:tc>
          <w:tcPr>
            <w:tcW w:w="700" w:type="pct"/>
            <w:vAlign w:val="center"/>
          </w:tcPr>
          <w:p w14:paraId="6F9DCDD8">
            <w:pPr>
              <w:pStyle w:val="90"/>
              <w:rPr>
                <w:sz w:val="21"/>
                <w:szCs w:val="21"/>
              </w:rPr>
            </w:pPr>
            <w:r>
              <w:rPr>
                <w:sz w:val="21"/>
                <w:szCs w:val="21"/>
              </w:rPr>
              <w:t>0.2009</w:t>
            </w:r>
          </w:p>
        </w:tc>
        <w:tc>
          <w:tcPr>
            <w:tcW w:w="614" w:type="pct"/>
            <w:vAlign w:val="center"/>
          </w:tcPr>
          <w:p w14:paraId="2750AE65">
            <w:pPr>
              <w:pStyle w:val="90"/>
              <w:rPr>
                <w:sz w:val="21"/>
                <w:szCs w:val="21"/>
              </w:rPr>
            </w:pPr>
            <w:r>
              <w:rPr>
                <w:rFonts w:hint="eastAsia"/>
                <w:sz w:val="21"/>
                <w:szCs w:val="21"/>
              </w:rPr>
              <w:t>0.044644</w:t>
            </w:r>
          </w:p>
        </w:tc>
      </w:tr>
      <w:tr w14:paraId="3C744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7C314965">
            <w:pPr>
              <w:pStyle w:val="90"/>
              <w:rPr>
                <w:sz w:val="21"/>
                <w:szCs w:val="21"/>
              </w:rPr>
            </w:pPr>
            <w:r>
              <w:rPr>
                <w:rFonts w:hint="eastAsia"/>
                <w:sz w:val="21"/>
                <w:szCs w:val="21"/>
              </w:rPr>
              <w:t>1400</w:t>
            </w:r>
          </w:p>
        </w:tc>
        <w:tc>
          <w:tcPr>
            <w:tcW w:w="560" w:type="pct"/>
            <w:shd w:val="clear" w:color="auto" w:fill="auto"/>
            <w:tcMar>
              <w:left w:w="0" w:type="dxa"/>
              <w:right w:w="0" w:type="dxa"/>
            </w:tcMar>
            <w:vAlign w:val="center"/>
          </w:tcPr>
          <w:p w14:paraId="305FA23C">
            <w:pPr>
              <w:pStyle w:val="90"/>
              <w:rPr>
                <w:sz w:val="21"/>
                <w:szCs w:val="21"/>
              </w:rPr>
            </w:pPr>
            <w:r>
              <w:rPr>
                <w:rFonts w:hint="eastAsia"/>
                <w:sz w:val="21"/>
                <w:szCs w:val="21"/>
              </w:rPr>
              <w:t>0.1466</w:t>
            </w:r>
          </w:p>
        </w:tc>
        <w:tc>
          <w:tcPr>
            <w:tcW w:w="327" w:type="pct"/>
            <w:shd w:val="clear" w:color="auto" w:fill="auto"/>
            <w:tcMar>
              <w:left w:w="0" w:type="dxa"/>
              <w:right w:w="0" w:type="dxa"/>
            </w:tcMar>
            <w:vAlign w:val="center"/>
          </w:tcPr>
          <w:p w14:paraId="67F8784C">
            <w:pPr>
              <w:pStyle w:val="90"/>
              <w:rPr>
                <w:sz w:val="21"/>
                <w:szCs w:val="21"/>
              </w:rPr>
            </w:pPr>
            <w:r>
              <w:rPr>
                <w:rFonts w:hint="eastAsia"/>
                <w:sz w:val="21"/>
                <w:szCs w:val="21"/>
              </w:rPr>
              <w:t>0.01</w:t>
            </w:r>
          </w:p>
        </w:tc>
        <w:tc>
          <w:tcPr>
            <w:tcW w:w="677" w:type="pct"/>
            <w:vAlign w:val="center"/>
          </w:tcPr>
          <w:p w14:paraId="2D887DD3">
            <w:pPr>
              <w:pStyle w:val="90"/>
              <w:rPr>
                <w:sz w:val="21"/>
                <w:szCs w:val="21"/>
              </w:rPr>
            </w:pPr>
            <w:r>
              <w:rPr>
                <w:rFonts w:hint="eastAsia"/>
                <w:sz w:val="21"/>
                <w:szCs w:val="21"/>
              </w:rPr>
              <w:t>0</w:t>
            </w:r>
            <w:r>
              <w:rPr>
                <w:sz w:val="21"/>
                <w:szCs w:val="21"/>
              </w:rPr>
              <w:t>.0300</w:t>
            </w:r>
          </w:p>
        </w:tc>
        <w:tc>
          <w:tcPr>
            <w:tcW w:w="550" w:type="pct"/>
            <w:vAlign w:val="center"/>
          </w:tcPr>
          <w:p w14:paraId="062BEFFF">
            <w:pPr>
              <w:pStyle w:val="90"/>
              <w:rPr>
                <w:sz w:val="21"/>
                <w:szCs w:val="21"/>
              </w:rPr>
            </w:pPr>
            <w:r>
              <w:rPr>
                <w:sz w:val="21"/>
                <w:szCs w:val="21"/>
              </w:rPr>
              <w:t>0.006</w:t>
            </w:r>
          </w:p>
        </w:tc>
        <w:tc>
          <w:tcPr>
            <w:tcW w:w="700" w:type="pct"/>
            <w:vAlign w:val="center"/>
          </w:tcPr>
          <w:p w14:paraId="5E0A4D58">
            <w:pPr>
              <w:pStyle w:val="90"/>
              <w:rPr>
                <w:sz w:val="21"/>
                <w:szCs w:val="21"/>
              </w:rPr>
            </w:pPr>
            <w:r>
              <w:rPr>
                <w:sz w:val="21"/>
                <w:szCs w:val="21"/>
              </w:rPr>
              <w:t>0.2283</w:t>
            </w:r>
          </w:p>
        </w:tc>
        <w:tc>
          <w:tcPr>
            <w:tcW w:w="549" w:type="pct"/>
            <w:vAlign w:val="center"/>
          </w:tcPr>
          <w:p w14:paraId="65E4319C">
            <w:pPr>
              <w:pStyle w:val="90"/>
              <w:rPr>
                <w:sz w:val="21"/>
                <w:szCs w:val="21"/>
              </w:rPr>
            </w:pPr>
            <w:r>
              <w:rPr>
                <w:sz w:val="21"/>
                <w:szCs w:val="21"/>
              </w:rPr>
              <w:t>0.11415</w:t>
            </w:r>
          </w:p>
        </w:tc>
        <w:tc>
          <w:tcPr>
            <w:tcW w:w="700" w:type="pct"/>
            <w:vAlign w:val="center"/>
          </w:tcPr>
          <w:p w14:paraId="351B2F7B">
            <w:pPr>
              <w:pStyle w:val="90"/>
              <w:rPr>
                <w:sz w:val="21"/>
                <w:szCs w:val="21"/>
              </w:rPr>
            </w:pPr>
            <w:r>
              <w:rPr>
                <w:sz w:val="21"/>
                <w:szCs w:val="21"/>
              </w:rPr>
              <w:t>0.1803</w:t>
            </w:r>
          </w:p>
        </w:tc>
        <w:tc>
          <w:tcPr>
            <w:tcW w:w="614" w:type="pct"/>
            <w:vAlign w:val="center"/>
          </w:tcPr>
          <w:p w14:paraId="4DF2E0DD">
            <w:pPr>
              <w:pStyle w:val="90"/>
              <w:rPr>
                <w:sz w:val="21"/>
                <w:szCs w:val="21"/>
              </w:rPr>
            </w:pPr>
            <w:r>
              <w:rPr>
                <w:rFonts w:hint="eastAsia"/>
                <w:sz w:val="21"/>
                <w:szCs w:val="21"/>
              </w:rPr>
              <w:t>0.040067</w:t>
            </w:r>
          </w:p>
        </w:tc>
      </w:tr>
      <w:tr w14:paraId="1AD91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7760F3CE">
            <w:pPr>
              <w:pStyle w:val="90"/>
              <w:rPr>
                <w:sz w:val="21"/>
                <w:szCs w:val="21"/>
              </w:rPr>
            </w:pPr>
            <w:r>
              <w:rPr>
                <w:rFonts w:hint="eastAsia"/>
                <w:sz w:val="21"/>
                <w:szCs w:val="21"/>
              </w:rPr>
              <w:t>1600</w:t>
            </w:r>
          </w:p>
        </w:tc>
        <w:tc>
          <w:tcPr>
            <w:tcW w:w="560" w:type="pct"/>
            <w:shd w:val="clear" w:color="auto" w:fill="auto"/>
            <w:tcMar>
              <w:left w:w="0" w:type="dxa"/>
              <w:right w:w="0" w:type="dxa"/>
            </w:tcMar>
            <w:vAlign w:val="center"/>
          </w:tcPr>
          <w:p w14:paraId="6C7B3CBA">
            <w:pPr>
              <w:pStyle w:val="90"/>
              <w:rPr>
                <w:sz w:val="21"/>
                <w:szCs w:val="21"/>
              </w:rPr>
            </w:pPr>
            <w:r>
              <w:rPr>
                <w:rFonts w:hint="eastAsia"/>
                <w:sz w:val="21"/>
                <w:szCs w:val="21"/>
              </w:rPr>
              <w:t>0.1355</w:t>
            </w:r>
          </w:p>
        </w:tc>
        <w:tc>
          <w:tcPr>
            <w:tcW w:w="327" w:type="pct"/>
            <w:shd w:val="clear" w:color="auto" w:fill="auto"/>
            <w:tcMar>
              <w:left w:w="0" w:type="dxa"/>
              <w:right w:w="0" w:type="dxa"/>
            </w:tcMar>
            <w:vAlign w:val="center"/>
          </w:tcPr>
          <w:p w14:paraId="25D4F310">
            <w:pPr>
              <w:pStyle w:val="90"/>
              <w:rPr>
                <w:sz w:val="21"/>
                <w:szCs w:val="21"/>
              </w:rPr>
            </w:pPr>
            <w:r>
              <w:rPr>
                <w:rFonts w:hint="eastAsia"/>
                <w:sz w:val="21"/>
                <w:szCs w:val="21"/>
              </w:rPr>
              <w:t>0.01</w:t>
            </w:r>
          </w:p>
        </w:tc>
        <w:tc>
          <w:tcPr>
            <w:tcW w:w="677" w:type="pct"/>
            <w:vAlign w:val="center"/>
          </w:tcPr>
          <w:p w14:paraId="01160BDD">
            <w:pPr>
              <w:pStyle w:val="90"/>
              <w:rPr>
                <w:sz w:val="21"/>
                <w:szCs w:val="21"/>
              </w:rPr>
            </w:pPr>
            <w:r>
              <w:rPr>
                <w:rFonts w:hint="eastAsia"/>
                <w:sz w:val="21"/>
                <w:szCs w:val="21"/>
              </w:rPr>
              <w:t>0</w:t>
            </w:r>
            <w:r>
              <w:rPr>
                <w:sz w:val="21"/>
                <w:szCs w:val="21"/>
              </w:rPr>
              <w:t>.0290</w:t>
            </w:r>
          </w:p>
        </w:tc>
        <w:tc>
          <w:tcPr>
            <w:tcW w:w="550" w:type="pct"/>
            <w:vAlign w:val="center"/>
          </w:tcPr>
          <w:p w14:paraId="103EC885">
            <w:pPr>
              <w:pStyle w:val="90"/>
              <w:rPr>
                <w:sz w:val="21"/>
                <w:szCs w:val="21"/>
              </w:rPr>
            </w:pPr>
            <w:r>
              <w:rPr>
                <w:sz w:val="21"/>
                <w:szCs w:val="21"/>
              </w:rPr>
              <w:t>0.0058</w:t>
            </w:r>
          </w:p>
        </w:tc>
        <w:tc>
          <w:tcPr>
            <w:tcW w:w="700" w:type="pct"/>
            <w:vAlign w:val="center"/>
          </w:tcPr>
          <w:p w14:paraId="16930604">
            <w:pPr>
              <w:pStyle w:val="90"/>
              <w:rPr>
                <w:sz w:val="21"/>
                <w:szCs w:val="21"/>
              </w:rPr>
            </w:pPr>
            <w:r>
              <w:rPr>
                <w:sz w:val="21"/>
                <w:szCs w:val="21"/>
              </w:rPr>
              <w:t>0.2201</w:t>
            </w:r>
          </w:p>
        </w:tc>
        <w:tc>
          <w:tcPr>
            <w:tcW w:w="549" w:type="pct"/>
            <w:vAlign w:val="center"/>
          </w:tcPr>
          <w:p w14:paraId="7E51A38E">
            <w:pPr>
              <w:pStyle w:val="90"/>
              <w:rPr>
                <w:sz w:val="21"/>
                <w:szCs w:val="21"/>
              </w:rPr>
            </w:pPr>
            <w:r>
              <w:rPr>
                <w:sz w:val="21"/>
                <w:szCs w:val="21"/>
              </w:rPr>
              <w:t>0.11005</w:t>
            </w:r>
          </w:p>
        </w:tc>
        <w:tc>
          <w:tcPr>
            <w:tcW w:w="700" w:type="pct"/>
            <w:vAlign w:val="center"/>
          </w:tcPr>
          <w:p w14:paraId="368DA8F2">
            <w:pPr>
              <w:pStyle w:val="90"/>
              <w:rPr>
                <w:sz w:val="21"/>
                <w:szCs w:val="21"/>
              </w:rPr>
            </w:pPr>
            <w:r>
              <w:rPr>
                <w:sz w:val="21"/>
                <w:szCs w:val="21"/>
              </w:rPr>
              <w:t>0.1738</w:t>
            </w:r>
          </w:p>
        </w:tc>
        <w:tc>
          <w:tcPr>
            <w:tcW w:w="614" w:type="pct"/>
            <w:vAlign w:val="center"/>
          </w:tcPr>
          <w:p w14:paraId="3668A6C2">
            <w:pPr>
              <w:pStyle w:val="90"/>
              <w:rPr>
                <w:sz w:val="21"/>
                <w:szCs w:val="21"/>
              </w:rPr>
            </w:pPr>
            <w:r>
              <w:rPr>
                <w:rFonts w:hint="eastAsia"/>
                <w:sz w:val="21"/>
                <w:szCs w:val="21"/>
              </w:rPr>
              <w:t>0.038622</w:t>
            </w:r>
          </w:p>
        </w:tc>
      </w:tr>
      <w:tr w14:paraId="0785E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7593E720">
            <w:pPr>
              <w:pStyle w:val="90"/>
              <w:rPr>
                <w:sz w:val="21"/>
                <w:szCs w:val="21"/>
              </w:rPr>
            </w:pPr>
            <w:r>
              <w:rPr>
                <w:rFonts w:hint="eastAsia"/>
                <w:sz w:val="21"/>
                <w:szCs w:val="21"/>
              </w:rPr>
              <w:t>1800</w:t>
            </w:r>
          </w:p>
        </w:tc>
        <w:tc>
          <w:tcPr>
            <w:tcW w:w="560" w:type="pct"/>
            <w:shd w:val="clear" w:color="auto" w:fill="auto"/>
            <w:tcMar>
              <w:left w:w="0" w:type="dxa"/>
              <w:right w:w="0" w:type="dxa"/>
            </w:tcMar>
            <w:vAlign w:val="center"/>
          </w:tcPr>
          <w:p w14:paraId="66A6028C">
            <w:pPr>
              <w:pStyle w:val="90"/>
              <w:rPr>
                <w:sz w:val="21"/>
                <w:szCs w:val="21"/>
              </w:rPr>
            </w:pPr>
            <w:r>
              <w:rPr>
                <w:rFonts w:hint="eastAsia"/>
                <w:sz w:val="21"/>
                <w:szCs w:val="21"/>
              </w:rPr>
              <w:t>0.1248</w:t>
            </w:r>
          </w:p>
        </w:tc>
        <w:tc>
          <w:tcPr>
            <w:tcW w:w="327" w:type="pct"/>
            <w:shd w:val="clear" w:color="auto" w:fill="auto"/>
            <w:tcMar>
              <w:left w:w="0" w:type="dxa"/>
              <w:right w:w="0" w:type="dxa"/>
            </w:tcMar>
            <w:vAlign w:val="center"/>
          </w:tcPr>
          <w:p w14:paraId="09895F9C">
            <w:pPr>
              <w:pStyle w:val="90"/>
              <w:rPr>
                <w:sz w:val="21"/>
                <w:szCs w:val="21"/>
              </w:rPr>
            </w:pPr>
            <w:r>
              <w:rPr>
                <w:rFonts w:hint="eastAsia"/>
                <w:sz w:val="21"/>
                <w:szCs w:val="21"/>
              </w:rPr>
              <w:t>0.01</w:t>
            </w:r>
          </w:p>
        </w:tc>
        <w:tc>
          <w:tcPr>
            <w:tcW w:w="677" w:type="pct"/>
            <w:vAlign w:val="center"/>
          </w:tcPr>
          <w:p w14:paraId="16D34D1C">
            <w:pPr>
              <w:pStyle w:val="90"/>
              <w:rPr>
                <w:sz w:val="21"/>
                <w:szCs w:val="21"/>
              </w:rPr>
            </w:pPr>
            <w:r>
              <w:rPr>
                <w:rFonts w:hint="eastAsia"/>
                <w:sz w:val="21"/>
                <w:szCs w:val="21"/>
              </w:rPr>
              <w:t>0</w:t>
            </w:r>
            <w:r>
              <w:rPr>
                <w:sz w:val="21"/>
                <w:szCs w:val="21"/>
              </w:rPr>
              <w:t>.0275</w:t>
            </w:r>
          </w:p>
        </w:tc>
        <w:tc>
          <w:tcPr>
            <w:tcW w:w="550" w:type="pct"/>
            <w:vAlign w:val="center"/>
          </w:tcPr>
          <w:p w14:paraId="20502C36">
            <w:pPr>
              <w:pStyle w:val="90"/>
              <w:rPr>
                <w:sz w:val="21"/>
                <w:szCs w:val="21"/>
              </w:rPr>
            </w:pPr>
            <w:r>
              <w:rPr>
                <w:sz w:val="21"/>
                <w:szCs w:val="21"/>
              </w:rPr>
              <w:t>0.0055</w:t>
            </w:r>
          </w:p>
        </w:tc>
        <w:tc>
          <w:tcPr>
            <w:tcW w:w="700" w:type="pct"/>
            <w:vAlign w:val="center"/>
          </w:tcPr>
          <w:p w14:paraId="3436555F">
            <w:pPr>
              <w:pStyle w:val="90"/>
              <w:rPr>
                <w:sz w:val="21"/>
                <w:szCs w:val="21"/>
              </w:rPr>
            </w:pPr>
            <w:r>
              <w:rPr>
                <w:sz w:val="21"/>
                <w:szCs w:val="21"/>
              </w:rPr>
              <w:t>0.2089</w:t>
            </w:r>
          </w:p>
        </w:tc>
        <w:tc>
          <w:tcPr>
            <w:tcW w:w="549" w:type="pct"/>
            <w:vAlign w:val="center"/>
          </w:tcPr>
          <w:p w14:paraId="790ABFEA">
            <w:pPr>
              <w:pStyle w:val="90"/>
              <w:rPr>
                <w:sz w:val="21"/>
                <w:szCs w:val="21"/>
              </w:rPr>
            </w:pPr>
            <w:r>
              <w:rPr>
                <w:sz w:val="21"/>
                <w:szCs w:val="21"/>
              </w:rPr>
              <w:t>0.10445</w:t>
            </w:r>
          </w:p>
        </w:tc>
        <w:tc>
          <w:tcPr>
            <w:tcW w:w="700" w:type="pct"/>
            <w:vAlign w:val="center"/>
          </w:tcPr>
          <w:p w14:paraId="1BDFA503">
            <w:pPr>
              <w:pStyle w:val="90"/>
              <w:rPr>
                <w:sz w:val="21"/>
                <w:szCs w:val="21"/>
              </w:rPr>
            </w:pPr>
            <w:r>
              <w:rPr>
                <w:sz w:val="21"/>
                <w:szCs w:val="21"/>
              </w:rPr>
              <w:t>0.1649</w:t>
            </w:r>
          </w:p>
        </w:tc>
        <w:tc>
          <w:tcPr>
            <w:tcW w:w="614" w:type="pct"/>
            <w:vAlign w:val="center"/>
          </w:tcPr>
          <w:p w14:paraId="718481CA">
            <w:pPr>
              <w:pStyle w:val="90"/>
              <w:rPr>
                <w:sz w:val="21"/>
                <w:szCs w:val="21"/>
              </w:rPr>
            </w:pPr>
            <w:r>
              <w:rPr>
                <w:rFonts w:hint="eastAsia"/>
                <w:sz w:val="21"/>
                <w:szCs w:val="21"/>
              </w:rPr>
              <w:t>0.036644</w:t>
            </w:r>
          </w:p>
        </w:tc>
      </w:tr>
      <w:tr w14:paraId="5D797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45E2D614">
            <w:pPr>
              <w:pStyle w:val="90"/>
              <w:rPr>
                <w:sz w:val="21"/>
                <w:szCs w:val="21"/>
              </w:rPr>
            </w:pPr>
            <w:r>
              <w:rPr>
                <w:rFonts w:hint="eastAsia"/>
                <w:sz w:val="21"/>
                <w:szCs w:val="21"/>
              </w:rPr>
              <w:t>2000</w:t>
            </w:r>
          </w:p>
        </w:tc>
        <w:tc>
          <w:tcPr>
            <w:tcW w:w="560" w:type="pct"/>
            <w:shd w:val="clear" w:color="auto" w:fill="auto"/>
            <w:tcMar>
              <w:left w:w="0" w:type="dxa"/>
              <w:right w:w="0" w:type="dxa"/>
            </w:tcMar>
            <w:vAlign w:val="center"/>
          </w:tcPr>
          <w:p w14:paraId="7DE8D5E9">
            <w:pPr>
              <w:pStyle w:val="90"/>
              <w:rPr>
                <w:sz w:val="21"/>
                <w:szCs w:val="21"/>
              </w:rPr>
            </w:pPr>
            <w:r>
              <w:rPr>
                <w:rFonts w:hint="eastAsia"/>
                <w:sz w:val="21"/>
                <w:szCs w:val="21"/>
              </w:rPr>
              <w:t>0.1154</w:t>
            </w:r>
          </w:p>
        </w:tc>
        <w:tc>
          <w:tcPr>
            <w:tcW w:w="327" w:type="pct"/>
            <w:shd w:val="clear" w:color="auto" w:fill="auto"/>
            <w:tcMar>
              <w:left w:w="0" w:type="dxa"/>
              <w:right w:w="0" w:type="dxa"/>
            </w:tcMar>
            <w:vAlign w:val="center"/>
          </w:tcPr>
          <w:p w14:paraId="6A91DA6A">
            <w:pPr>
              <w:pStyle w:val="90"/>
              <w:rPr>
                <w:sz w:val="21"/>
                <w:szCs w:val="21"/>
              </w:rPr>
            </w:pPr>
            <w:r>
              <w:rPr>
                <w:rFonts w:hint="eastAsia"/>
                <w:sz w:val="21"/>
                <w:szCs w:val="21"/>
              </w:rPr>
              <w:t>0.01</w:t>
            </w:r>
          </w:p>
        </w:tc>
        <w:tc>
          <w:tcPr>
            <w:tcW w:w="677" w:type="pct"/>
            <w:vAlign w:val="center"/>
          </w:tcPr>
          <w:p w14:paraId="683FEF1B">
            <w:pPr>
              <w:pStyle w:val="90"/>
              <w:rPr>
                <w:sz w:val="21"/>
                <w:szCs w:val="21"/>
              </w:rPr>
            </w:pPr>
            <w:r>
              <w:rPr>
                <w:rFonts w:hint="eastAsia"/>
                <w:sz w:val="21"/>
                <w:szCs w:val="21"/>
              </w:rPr>
              <w:t>0</w:t>
            </w:r>
            <w:r>
              <w:rPr>
                <w:sz w:val="21"/>
                <w:szCs w:val="21"/>
              </w:rPr>
              <w:t>.0265</w:t>
            </w:r>
          </w:p>
        </w:tc>
        <w:tc>
          <w:tcPr>
            <w:tcW w:w="550" w:type="pct"/>
            <w:vAlign w:val="center"/>
          </w:tcPr>
          <w:p w14:paraId="3D2EE6D2">
            <w:pPr>
              <w:pStyle w:val="90"/>
              <w:rPr>
                <w:sz w:val="21"/>
                <w:szCs w:val="21"/>
              </w:rPr>
            </w:pPr>
            <w:r>
              <w:rPr>
                <w:sz w:val="21"/>
                <w:szCs w:val="21"/>
              </w:rPr>
              <w:t>0.0053</w:t>
            </w:r>
          </w:p>
        </w:tc>
        <w:tc>
          <w:tcPr>
            <w:tcW w:w="700" w:type="pct"/>
            <w:vAlign w:val="center"/>
          </w:tcPr>
          <w:p w14:paraId="269B0627">
            <w:pPr>
              <w:pStyle w:val="90"/>
              <w:rPr>
                <w:sz w:val="21"/>
                <w:szCs w:val="21"/>
              </w:rPr>
            </w:pPr>
            <w:r>
              <w:rPr>
                <w:sz w:val="21"/>
                <w:szCs w:val="21"/>
              </w:rPr>
              <w:t>0.2011</w:t>
            </w:r>
          </w:p>
        </w:tc>
        <w:tc>
          <w:tcPr>
            <w:tcW w:w="549" w:type="pct"/>
            <w:vAlign w:val="center"/>
          </w:tcPr>
          <w:p w14:paraId="79BE3A55">
            <w:pPr>
              <w:pStyle w:val="90"/>
              <w:rPr>
                <w:sz w:val="21"/>
                <w:szCs w:val="21"/>
              </w:rPr>
            </w:pPr>
            <w:r>
              <w:rPr>
                <w:sz w:val="21"/>
                <w:szCs w:val="21"/>
              </w:rPr>
              <w:t>0.10055</w:t>
            </w:r>
          </w:p>
        </w:tc>
        <w:tc>
          <w:tcPr>
            <w:tcW w:w="700" w:type="pct"/>
            <w:vAlign w:val="center"/>
          </w:tcPr>
          <w:p w14:paraId="380FCD7D">
            <w:pPr>
              <w:pStyle w:val="90"/>
              <w:rPr>
                <w:sz w:val="21"/>
                <w:szCs w:val="21"/>
              </w:rPr>
            </w:pPr>
            <w:r>
              <w:rPr>
                <w:sz w:val="21"/>
                <w:szCs w:val="21"/>
              </w:rPr>
              <w:t>0.1587</w:t>
            </w:r>
          </w:p>
        </w:tc>
        <w:tc>
          <w:tcPr>
            <w:tcW w:w="614" w:type="pct"/>
            <w:vAlign w:val="center"/>
          </w:tcPr>
          <w:p w14:paraId="6B5ECE31">
            <w:pPr>
              <w:pStyle w:val="90"/>
              <w:rPr>
                <w:sz w:val="21"/>
                <w:szCs w:val="21"/>
              </w:rPr>
            </w:pPr>
            <w:r>
              <w:rPr>
                <w:rFonts w:hint="eastAsia"/>
                <w:sz w:val="21"/>
                <w:szCs w:val="21"/>
              </w:rPr>
              <w:t>0.035267</w:t>
            </w:r>
          </w:p>
        </w:tc>
      </w:tr>
      <w:tr w14:paraId="6731E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596CFE1A">
            <w:pPr>
              <w:pStyle w:val="90"/>
              <w:rPr>
                <w:sz w:val="21"/>
                <w:szCs w:val="21"/>
              </w:rPr>
            </w:pPr>
            <w:r>
              <w:rPr>
                <w:rFonts w:hint="eastAsia"/>
                <w:sz w:val="21"/>
                <w:szCs w:val="21"/>
              </w:rPr>
              <w:t>3000</w:t>
            </w:r>
          </w:p>
        </w:tc>
        <w:tc>
          <w:tcPr>
            <w:tcW w:w="560" w:type="pct"/>
            <w:shd w:val="clear" w:color="auto" w:fill="auto"/>
            <w:tcMar>
              <w:left w:w="0" w:type="dxa"/>
              <w:right w:w="0" w:type="dxa"/>
            </w:tcMar>
            <w:vAlign w:val="center"/>
          </w:tcPr>
          <w:p w14:paraId="1B2CA1FF">
            <w:pPr>
              <w:pStyle w:val="90"/>
              <w:rPr>
                <w:sz w:val="21"/>
                <w:szCs w:val="21"/>
              </w:rPr>
            </w:pPr>
            <w:r>
              <w:rPr>
                <w:rFonts w:hint="eastAsia"/>
                <w:sz w:val="21"/>
                <w:szCs w:val="21"/>
              </w:rPr>
              <w:t>0.1248</w:t>
            </w:r>
          </w:p>
        </w:tc>
        <w:tc>
          <w:tcPr>
            <w:tcW w:w="327" w:type="pct"/>
            <w:shd w:val="clear" w:color="auto" w:fill="auto"/>
            <w:tcMar>
              <w:left w:w="0" w:type="dxa"/>
              <w:right w:w="0" w:type="dxa"/>
            </w:tcMar>
            <w:vAlign w:val="center"/>
          </w:tcPr>
          <w:p w14:paraId="0215E0D8">
            <w:pPr>
              <w:pStyle w:val="90"/>
              <w:rPr>
                <w:sz w:val="21"/>
                <w:szCs w:val="21"/>
              </w:rPr>
            </w:pPr>
            <w:r>
              <w:rPr>
                <w:rFonts w:hint="eastAsia"/>
                <w:sz w:val="21"/>
                <w:szCs w:val="21"/>
              </w:rPr>
              <w:t>0.01</w:t>
            </w:r>
          </w:p>
        </w:tc>
        <w:tc>
          <w:tcPr>
            <w:tcW w:w="677" w:type="pct"/>
            <w:vAlign w:val="center"/>
          </w:tcPr>
          <w:p w14:paraId="17C0B7A9">
            <w:pPr>
              <w:pStyle w:val="90"/>
              <w:rPr>
                <w:sz w:val="21"/>
                <w:szCs w:val="21"/>
              </w:rPr>
            </w:pPr>
            <w:r>
              <w:rPr>
                <w:rFonts w:hint="eastAsia"/>
                <w:sz w:val="21"/>
                <w:szCs w:val="21"/>
              </w:rPr>
              <w:t>0</w:t>
            </w:r>
            <w:r>
              <w:rPr>
                <w:sz w:val="21"/>
                <w:szCs w:val="21"/>
              </w:rPr>
              <w:t>.0215</w:t>
            </w:r>
          </w:p>
        </w:tc>
        <w:tc>
          <w:tcPr>
            <w:tcW w:w="550" w:type="pct"/>
            <w:vAlign w:val="center"/>
          </w:tcPr>
          <w:p w14:paraId="5D35984F">
            <w:pPr>
              <w:pStyle w:val="90"/>
              <w:rPr>
                <w:sz w:val="21"/>
                <w:szCs w:val="21"/>
              </w:rPr>
            </w:pPr>
            <w:r>
              <w:rPr>
                <w:sz w:val="21"/>
                <w:szCs w:val="21"/>
              </w:rPr>
              <w:t>0.0043</w:t>
            </w:r>
          </w:p>
        </w:tc>
        <w:tc>
          <w:tcPr>
            <w:tcW w:w="700" w:type="pct"/>
            <w:vAlign w:val="center"/>
          </w:tcPr>
          <w:p w14:paraId="7F0BEC7A">
            <w:pPr>
              <w:pStyle w:val="90"/>
              <w:rPr>
                <w:sz w:val="21"/>
                <w:szCs w:val="21"/>
              </w:rPr>
            </w:pPr>
            <w:r>
              <w:rPr>
                <w:sz w:val="21"/>
                <w:szCs w:val="21"/>
              </w:rPr>
              <w:t>0.1638</w:t>
            </w:r>
          </w:p>
        </w:tc>
        <w:tc>
          <w:tcPr>
            <w:tcW w:w="549" w:type="pct"/>
            <w:vAlign w:val="center"/>
          </w:tcPr>
          <w:p w14:paraId="24C969A0">
            <w:pPr>
              <w:pStyle w:val="90"/>
              <w:rPr>
                <w:sz w:val="21"/>
                <w:szCs w:val="21"/>
              </w:rPr>
            </w:pPr>
            <w:r>
              <w:rPr>
                <w:sz w:val="21"/>
                <w:szCs w:val="21"/>
              </w:rPr>
              <w:t>0.0819</w:t>
            </w:r>
          </w:p>
        </w:tc>
        <w:tc>
          <w:tcPr>
            <w:tcW w:w="700" w:type="pct"/>
            <w:vAlign w:val="center"/>
          </w:tcPr>
          <w:p w14:paraId="63E392A9">
            <w:pPr>
              <w:pStyle w:val="90"/>
              <w:rPr>
                <w:sz w:val="21"/>
                <w:szCs w:val="21"/>
              </w:rPr>
            </w:pPr>
            <w:r>
              <w:rPr>
                <w:sz w:val="21"/>
                <w:szCs w:val="21"/>
              </w:rPr>
              <w:t>0.1293</w:t>
            </w:r>
          </w:p>
        </w:tc>
        <w:tc>
          <w:tcPr>
            <w:tcW w:w="614" w:type="pct"/>
            <w:vAlign w:val="center"/>
          </w:tcPr>
          <w:p w14:paraId="055C3FFD">
            <w:pPr>
              <w:pStyle w:val="90"/>
              <w:rPr>
                <w:sz w:val="21"/>
                <w:szCs w:val="21"/>
              </w:rPr>
            </w:pPr>
            <w:r>
              <w:rPr>
                <w:rFonts w:hint="eastAsia"/>
                <w:sz w:val="21"/>
                <w:szCs w:val="21"/>
              </w:rPr>
              <w:t>0.028733</w:t>
            </w:r>
          </w:p>
        </w:tc>
      </w:tr>
      <w:tr w14:paraId="66972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1F6E8D9F">
            <w:pPr>
              <w:pStyle w:val="90"/>
              <w:rPr>
                <w:sz w:val="21"/>
                <w:szCs w:val="21"/>
              </w:rPr>
            </w:pPr>
            <w:r>
              <w:rPr>
                <w:rFonts w:hint="eastAsia"/>
                <w:sz w:val="21"/>
                <w:szCs w:val="21"/>
              </w:rPr>
              <w:t>4000</w:t>
            </w:r>
          </w:p>
        </w:tc>
        <w:tc>
          <w:tcPr>
            <w:tcW w:w="560" w:type="pct"/>
            <w:shd w:val="clear" w:color="auto" w:fill="auto"/>
            <w:tcMar>
              <w:left w:w="0" w:type="dxa"/>
              <w:right w:w="0" w:type="dxa"/>
            </w:tcMar>
            <w:vAlign w:val="center"/>
          </w:tcPr>
          <w:p w14:paraId="205A6FA2">
            <w:pPr>
              <w:pStyle w:val="90"/>
              <w:rPr>
                <w:sz w:val="21"/>
                <w:szCs w:val="21"/>
              </w:rPr>
            </w:pPr>
            <w:r>
              <w:rPr>
                <w:rFonts w:hint="eastAsia"/>
                <w:sz w:val="21"/>
                <w:szCs w:val="21"/>
              </w:rPr>
              <w:t>0.072</w:t>
            </w:r>
          </w:p>
        </w:tc>
        <w:tc>
          <w:tcPr>
            <w:tcW w:w="327" w:type="pct"/>
            <w:shd w:val="clear" w:color="auto" w:fill="auto"/>
            <w:tcMar>
              <w:left w:w="0" w:type="dxa"/>
              <w:right w:w="0" w:type="dxa"/>
            </w:tcMar>
            <w:vAlign w:val="center"/>
          </w:tcPr>
          <w:p w14:paraId="2E4FBBEC">
            <w:pPr>
              <w:pStyle w:val="90"/>
              <w:rPr>
                <w:sz w:val="21"/>
                <w:szCs w:val="21"/>
              </w:rPr>
            </w:pPr>
            <w:r>
              <w:rPr>
                <w:rFonts w:hint="eastAsia"/>
                <w:sz w:val="21"/>
                <w:szCs w:val="21"/>
              </w:rPr>
              <w:t>0</w:t>
            </w:r>
          </w:p>
        </w:tc>
        <w:tc>
          <w:tcPr>
            <w:tcW w:w="677" w:type="pct"/>
            <w:vAlign w:val="center"/>
          </w:tcPr>
          <w:p w14:paraId="38D0869B">
            <w:pPr>
              <w:pStyle w:val="90"/>
              <w:rPr>
                <w:sz w:val="21"/>
                <w:szCs w:val="21"/>
              </w:rPr>
            </w:pPr>
            <w:r>
              <w:rPr>
                <w:rFonts w:hint="eastAsia"/>
                <w:sz w:val="21"/>
                <w:szCs w:val="21"/>
              </w:rPr>
              <w:t>0</w:t>
            </w:r>
            <w:r>
              <w:rPr>
                <w:sz w:val="21"/>
                <w:szCs w:val="21"/>
              </w:rPr>
              <w:t>.0175</w:t>
            </w:r>
          </w:p>
        </w:tc>
        <w:tc>
          <w:tcPr>
            <w:tcW w:w="550" w:type="pct"/>
            <w:vAlign w:val="center"/>
          </w:tcPr>
          <w:p w14:paraId="1ACDAAC5">
            <w:pPr>
              <w:pStyle w:val="90"/>
              <w:rPr>
                <w:sz w:val="21"/>
                <w:szCs w:val="21"/>
              </w:rPr>
            </w:pPr>
            <w:r>
              <w:rPr>
                <w:sz w:val="21"/>
                <w:szCs w:val="21"/>
              </w:rPr>
              <w:t>0.0035</w:t>
            </w:r>
          </w:p>
        </w:tc>
        <w:tc>
          <w:tcPr>
            <w:tcW w:w="700" w:type="pct"/>
            <w:vAlign w:val="center"/>
          </w:tcPr>
          <w:p w14:paraId="36C71E68">
            <w:pPr>
              <w:pStyle w:val="90"/>
              <w:rPr>
                <w:sz w:val="21"/>
                <w:szCs w:val="21"/>
              </w:rPr>
            </w:pPr>
            <w:r>
              <w:rPr>
                <w:sz w:val="21"/>
                <w:szCs w:val="21"/>
              </w:rPr>
              <w:t>0.133</w:t>
            </w:r>
          </w:p>
        </w:tc>
        <w:tc>
          <w:tcPr>
            <w:tcW w:w="549" w:type="pct"/>
            <w:vAlign w:val="center"/>
          </w:tcPr>
          <w:p w14:paraId="259B9137">
            <w:pPr>
              <w:pStyle w:val="90"/>
              <w:rPr>
                <w:sz w:val="21"/>
                <w:szCs w:val="21"/>
              </w:rPr>
            </w:pPr>
            <w:r>
              <w:rPr>
                <w:sz w:val="21"/>
                <w:szCs w:val="21"/>
              </w:rPr>
              <w:t>0.0665</w:t>
            </w:r>
          </w:p>
        </w:tc>
        <w:tc>
          <w:tcPr>
            <w:tcW w:w="700" w:type="pct"/>
            <w:vAlign w:val="center"/>
          </w:tcPr>
          <w:p w14:paraId="333438F0">
            <w:pPr>
              <w:pStyle w:val="90"/>
              <w:rPr>
                <w:sz w:val="21"/>
                <w:szCs w:val="21"/>
              </w:rPr>
            </w:pPr>
            <w:r>
              <w:rPr>
                <w:sz w:val="21"/>
                <w:szCs w:val="21"/>
              </w:rPr>
              <w:t>0.105</w:t>
            </w:r>
          </w:p>
        </w:tc>
        <w:tc>
          <w:tcPr>
            <w:tcW w:w="614" w:type="pct"/>
            <w:vAlign w:val="center"/>
          </w:tcPr>
          <w:p w14:paraId="3B9247AA">
            <w:pPr>
              <w:pStyle w:val="90"/>
              <w:rPr>
                <w:sz w:val="21"/>
                <w:szCs w:val="21"/>
              </w:rPr>
            </w:pPr>
            <w:r>
              <w:rPr>
                <w:rFonts w:hint="eastAsia"/>
                <w:sz w:val="21"/>
                <w:szCs w:val="21"/>
              </w:rPr>
              <w:t>0.023333</w:t>
            </w:r>
          </w:p>
        </w:tc>
      </w:tr>
      <w:tr w14:paraId="0E112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40A3AB18">
            <w:pPr>
              <w:pStyle w:val="90"/>
              <w:rPr>
                <w:sz w:val="21"/>
                <w:szCs w:val="21"/>
              </w:rPr>
            </w:pPr>
            <w:r>
              <w:rPr>
                <w:rFonts w:hint="eastAsia"/>
                <w:sz w:val="21"/>
                <w:szCs w:val="21"/>
              </w:rPr>
              <w:t>5000</w:t>
            </w:r>
          </w:p>
        </w:tc>
        <w:tc>
          <w:tcPr>
            <w:tcW w:w="560" w:type="pct"/>
            <w:shd w:val="clear" w:color="auto" w:fill="auto"/>
            <w:tcMar>
              <w:left w:w="0" w:type="dxa"/>
              <w:right w:w="0" w:type="dxa"/>
            </w:tcMar>
            <w:vAlign w:val="center"/>
          </w:tcPr>
          <w:p w14:paraId="7A7EBEEE">
            <w:pPr>
              <w:pStyle w:val="90"/>
              <w:rPr>
                <w:sz w:val="21"/>
                <w:szCs w:val="21"/>
              </w:rPr>
            </w:pPr>
            <w:r>
              <w:rPr>
                <w:rFonts w:hint="eastAsia"/>
                <w:sz w:val="21"/>
                <w:szCs w:val="21"/>
              </w:rPr>
              <w:t>0.0644</w:t>
            </w:r>
          </w:p>
        </w:tc>
        <w:tc>
          <w:tcPr>
            <w:tcW w:w="327" w:type="pct"/>
            <w:shd w:val="clear" w:color="auto" w:fill="auto"/>
            <w:tcMar>
              <w:left w:w="0" w:type="dxa"/>
              <w:right w:w="0" w:type="dxa"/>
            </w:tcMar>
            <w:vAlign w:val="center"/>
          </w:tcPr>
          <w:p w14:paraId="6A7EF71E">
            <w:pPr>
              <w:pStyle w:val="90"/>
              <w:rPr>
                <w:sz w:val="21"/>
                <w:szCs w:val="21"/>
              </w:rPr>
            </w:pPr>
            <w:r>
              <w:rPr>
                <w:rFonts w:hint="eastAsia"/>
                <w:sz w:val="21"/>
                <w:szCs w:val="21"/>
              </w:rPr>
              <w:t>0</w:t>
            </w:r>
          </w:p>
        </w:tc>
        <w:tc>
          <w:tcPr>
            <w:tcW w:w="677" w:type="pct"/>
            <w:vAlign w:val="center"/>
          </w:tcPr>
          <w:p w14:paraId="2B060475">
            <w:pPr>
              <w:pStyle w:val="90"/>
              <w:rPr>
                <w:sz w:val="21"/>
                <w:szCs w:val="21"/>
              </w:rPr>
            </w:pPr>
            <w:r>
              <w:rPr>
                <w:rFonts w:hint="eastAsia"/>
                <w:sz w:val="21"/>
                <w:szCs w:val="21"/>
              </w:rPr>
              <w:t>0</w:t>
            </w:r>
            <w:r>
              <w:rPr>
                <w:sz w:val="21"/>
                <w:szCs w:val="21"/>
              </w:rPr>
              <w:t>.0145</w:t>
            </w:r>
          </w:p>
        </w:tc>
        <w:tc>
          <w:tcPr>
            <w:tcW w:w="550" w:type="pct"/>
            <w:vAlign w:val="center"/>
          </w:tcPr>
          <w:p w14:paraId="72499EDE">
            <w:pPr>
              <w:pStyle w:val="90"/>
              <w:rPr>
                <w:sz w:val="21"/>
                <w:szCs w:val="21"/>
              </w:rPr>
            </w:pPr>
            <w:r>
              <w:rPr>
                <w:sz w:val="21"/>
                <w:szCs w:val="21"/>
              </w:rPr>
              <w:t>0.0029</w:t>
            </w:r>
          </w:p>
        </w:tc>
        <w:tc>
          <w:tcPr>
            <w:tcW w:w="700" w:type="pct"/>
            <w:vAlign w:val="center"/>
          </w:tcPr>
          <w:p w14:paraId="2078B72C">
            <w:pPr>
              <w:pStyle w:val="90"/>
              <w:rPr>
                <w:sz w:val="21"/>
                <w:szCs w:val="21"/>
              </w:rPr>
            </w:pPr>
            <w:r>
              <w:rPr>
                <w:sz w:val="21"/>
                <w:szCs w:val="21"/>
              </w:rPr>
              <w:t>0.11</w:t>
            </w:r>
          </w:p>
        </w:tc>
        <w:tc>
          <w:tcPr>
            <w:tcW w:w="549" w:type="pct"/>
            <w:vAlign w:val="center"/>
          </w:tcPr>
          <w:p w14:paraId="09535C79">
            <w:pPr>
              <w:pStyle w:val="90"/>
              <w:rPr>
                <w:sz w:val="21"/>
                <w:szCs w:val="21"/>
              </w:rPr>
            </w:pPr>
            <w:r>
              <w:rPr>
                <w:sz w:val="21"/>
                <w:szCs w:val="21"/>
              </w:rPr>
              <w:t>0.055</w:t>
            </w:r>
          </w:p>
        </w:tc>
        <w:tc>
          <w:tcPr>
            <w:tcW w:w="700" w:type="pct"/>
            <w:vAlign w:val="center"/>
          </w:tcPr>
          <w:p w14:paraId="3836BF14">
            <w:pPr>
              <w:pStyle w:val="90"/>
              <w:rPr>
                <w:sz w:val="21"/>
                <w:szCs w:val="21"/>
              </w:rPr>
            </w:pPr>
            <w:r>
              <w:rPr>
                <w:sz w:val="21"/>
                <w:szCs w:val="21"/>
              </w:rPr>
              <w:t>0.0868</w:t>
            </w:r>
          </w:p>
        </w:tc>
        <w:tc>
          <w:tcPr>
            <w:tcW w:w="614" w:type="pct"/>
            <w:vAlign w:val="center"/>
          </w:tcPr>
          <w:p w14:paraId="380CE3C5">
            <w:pPr>
              <w:pStyle w:val="90"/>
              <w:rPr>
                <w:sz w:val="21"/>
                <w:szCs w:val="21"/>
              </w:rPr>
            </w:pPr>
            <w:r>
              <w:rPr>
                <w:rFonts w:hint="eastAsia"/>
                <w:sz w:val="21"/>
                <w:szCs w:val="21"/>
              </w:rPr>
              <w:t>0.019289</w:t>
            </w:r>
          </w:p>
        </w:tc>
      </w:tr>
      <w:tr w14:paraId="2A251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5CEE91DE">
            <w:pPr>
              <w:pStyle w:val="90"/>
              <w:rPr>
                <w:sz w:val="21"/>
                <w:szCs w:val="21"/>
              </w:rPr>
            </w:pPr>
            <w:r>
              <w:rPr>
                <w:rFonts w:hint="eastAsia"/>
                <w:sz w:val="21"/>
                <w:szCs w:val="21"/>
              </w:rPr>
              <w:t>10000</w:t>
            </w:r>
          </w:p>
        </w:tc>
        <w:tc>
          <w:tcPr>
            <w:tcW w:w="560" w:type="pct"/>
            <w:shd w:val="clear" w:color="auto" w:fill="auto"/>
            <w:tcMar>
              <w:left w:w="0" w:type="dxa"/>
              <w:right w:w="0" w:type="dxa"/>
            </w:tcMar>
            <w:vAlign w:val="center"/>
          </w:tcPr>
          <w:p w14:paraId="1AA542B1">
            <w:pPr>
              <w:pStyle w:val="90"/>
              <w:rPr>
                <w:sz w:val="21"/>
                <w:szCs w:val="21"/>
              </w:rPr>
            </w:pPr>
            <w:r>
              <w:rPr>
                <w:rFonts w:hint="eastAsia"/>
                <w:sz w:val="21"/>
                <w:szCs w:val="21"/>
              </w:rPr>
              <w:t>0.0402</w:t>
            </w:r>
          </w:p>
        </w:tc>
        <w:tc>
          <w:tcPr>
            <w:tcW w:w="327" w:type="pct"/>
            <w:shd w:val="clear" w:color="auto" w:fill="auto"/>
            <w:tcMar>
              <w:left w:w="0" w:type="dxa"/>
              <w:right w:w="0" w:type="dxa"/>
            </w:tcMar>
            <w:vAlign w:val="center"/>
          </w:tcPr>
          <w:p w14:paraId="7356C275">
            <w:pPr>
              <w:pStyle w:val="90"/>
              <w:rPr>
                <w:sz w:val="21"/>
                <w:szCs w:val="21"/>
              </w:rPr>
            </w:pPr>
            <w:r>
              <w:rPr>
                <w:rFonts w:hint="eastAsia"/>
                <w:sz w:val="21"/>
                <w:szCs w:val="21"/>
              </w:rPr>
              <w:t>0</w:t>
            </w:r>
          </w:p>
        </w:tc>
        <w:tc>
          <w:tcPr>
            <w:tcW w:w="677" w:type="pct"/>
            <w:vAlign w:val="center"/>
          </w:tcPr>
          <w:p w14:paraId="143402CA">
            <w:pPr>
              <w:pStyle w:val="90"/>
              <w:rPr>
                <w:sz w:val="21"/>
                <w:szCs w:val="21"/>
              </w:rPr>
            </w:pPr>
            <w:r>
              <w:rPr>
                <w:rFonts w:hint="eastAsia"/>
                <w:sz w:val="21"/>
                <w:szCs w:val="21"/>
              </w:rPr>
              <w:t>0</w:t>
            </w:r>
            <w:r>
              <w:rPr>
                <w:sz w:val="21"/>
                <w:szCs w:val="21"/>
              </w:rPr>
              <w:t>.0092</w:t>
            </w:r>
          </w:p>
        </w:tc>
        <w:tc>
          <w:tcPr>
            <w:tcW w:w="550" w:type="pct"/>
            <w:vAlign w:val="center"/>
          </w:tcPr>
          <w:p w14:paraId="71F4E8D4">
            <w:pPr>
              <w:pStyle w:val="90"/>
              <w:rPr>
                <w:sz w:val="21"/>
                <w:szCs w:val="21"/>
              </w:rPr>
            </w:pPr>
            <w:r>
              <w:rPr>
                <w:sz w:val="21"/>
                <w:szCs w:val="21"/>
              </w:rPr>
              <w:t>0.00184</w:t>
            </w:r>
          </w:p>
        </w:tc>
        <w:tc>
          <w:tcPr>
            <w:tcW w:w="700" w:type="pct"/>
            <w:vAlign w:val="center"/>
          </w:tcPr>
          <w:p w14:paraId="23E1C993">
            <w:pPr>
              <w:pStyle w:val="90"/>
              <w:rPr>
                <w:sz w:val="21"/>
                <w:szCs w:val="21"/>
              </w:rPr>
            </w:pPr>
            <w:r>
              <w:rPr>
                <w:sz w:val="21"/>
                <w:szCs w:val="21"/>
              </w:rPr>
              <w:t>0.07</w:t>
            </w:r>
          </w:p>
        </w:tc>
        <w:tc>
          <w:tcPr>
            <w:tcW w:w="549" w:type="pct"/>
            <w:vAlign w:val="center"/>
          </w:tcPr>
          <w:p w14:paraId="4CBE0ADF">
            <w:pPr>
              <w:pStyle w:val="90"/>
              <w:rPr>
                <w:sz w:val="21"/>
                <w:szCs w:val="21"/>
              </w:rPr>
            </w:pPr>
            <w:r>
              <w:rPr>
                <w:sz w:val="21"/>
                <w:szCs w:val="21"/>
              </w:rPr>
              <w:t>0.035</w:t>
            </w:r>
          </w:p>
        </w:tc>
        <w:tc>
          <w:tcPr>
            <w:tcW w:w="700" w:type="pct"/>
            <w:vAlign w:val="center"/>
          </w:tcPr>
          <w:p w14:paraId="0440C729">
            <w:pPr>
              <w:pStyle w:val="90"/>
              <w:rPr>
                <w:sz w:val="21"/>
                <w:szCs w:val="21"/>
              </w:rPr>
            </w:pPr>
            <w:r>
              <w:rPr>
                <w:sz w:val="21"/>
                <w:szCs w:val="21"/>
              </w:rPr>
              <w:t>0.0553</w:t>
            </w:r>
          </w:p>
        </w:tc>
        <w:tc>
          <w:tcPr>
            <w:tcW w:w="614" w:type="pct"/>
            <w:vAlign w:val="center"/>
          </w:tcPr>
          <w:p w14:paraId="402EAB4D">
            <w:pPr>
              <w:pStyle w:val="90"/>
              <w:rPr>
                <w:sz w:val="21"/>
                <w:szCs w:val="21"/>
              </w:rPr>
            </w:pPr>
            <w:r>
              <w:rPr>
                <w:rFonts w:hint="eastAsia"/>
                <w:sz w:val="21"/>
                <w:szCs w:val="21"/>
              </w:rPr>
              <w:t>0.012289</w:t>
            </w:r>
          </w:p>
        </w:tc>
      </w:tr>
      <w:tr w14:paraId="59268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2794989E">
            <w:pPr>
              <w:pStyle w:val="90"/>
              <w:rPr>
                <w:sz w:val="21"/>
                <w:szCs w:val="21"/>
              </w:rPr>
            </w:pPr>
            <w:r>
              <w:rPr>
                <w:rFonts w:hint="eastAsia"/>
                <w:sz w:val="21"/>
                <w:szCs w:val="21"/>
              </w:rPr>
              <w:t>20000</w:t>
            </w:r>
          </w:p>
        </w:tc>
        <w:tc>
          <w:tcPr>
            <w:tcW w:w="560" w:type="pct"/>
            <w:shd w:val="clear" w:color="auto" w:fill="auto"/>
            <w:tcMar>
              <w:left w:w="0" w:type="dxa"/>
              <w:right w:w="0" w:type="dxa"/>
            </w:tcMar>
            <w:vAlign w:val="center"/>
          </w:tcPr>
          <w:p w14:paraId="6A3C0AA5">
            <w:pPr>
              <w:pStyle w:val="90"/>
              <w:rPr>
                <w:sz w:val="21"/>
                <w:szCs w:val="21"/>
              </w:rPr>
            </w:pPr>
            <w:r>
              <w:rPr>
                <w:rFonts w:hint="eastAsia"/>
                <w:sz w:val="21"/>
                <w:szCs w:val="21"/>
              </w:rPr>
              <w:t>0.0182</w:t>
            </w:r>
          </w:p>
        </w:tc>
        <w:tc>
          <w:tcPr>
            <w:tcW w:w="327" w:type="pct"/>
            <w:shd w:val="clear" w:color="auto" w:fill="auto"/>
            <w:tcMar>
              <w:left w:w="0" w:type="dxa"/>
              <w:right w:w="0" w:type="dxa"/>
            </w:tcMar>
            <w:vAlign w:val="center"/>
          </w:tcPr>
          <w:p w14:paraId="724D30DA">
            <w:pPr>
              <w:pStyle w:val="90"/>
              <w:rPr>
                <w:sz w:val="21"/>
                <w:szCs w:val="21"/>
              </w:rPr>
            </w:pPr>
            <w:r>
              <w:rPr>
                <w:rFonts w:hint="eastAsia"/>
                <w:sz w:val="21"/>
                <w:szCs w:val="21"/>
              </w:rPr>
              <w:t>0</w:t>
            </w:r>
          </w:p>
        </w:tc>
        <w:tc>
          <w:tcPr>
            <w:tcW w:w="677" w:type="pct"/>
            <w:vAlign w:val="center"/>
          </w:tcPr>
          <w:p w14:paraId="6A89DA30">
            <w:pPr>
              <w:pStyle w:val="90"/>
              <w:rPr>
                <w:sz w:val="21"/>
                <w:szCs w:val="21"/>
              </w:rPr>
            </w:pPr>
            <w:r>
              <w:rPr>
                <w:rFonts w:hint="eastAsia"/>
                <w:sz w:val="21"/>
                <w:szCs w:val="21"/>
              </w:rPr>
              <w:t>0</w:t>
            </w:r>
            <w:r>
              <w:rPr>
                <w:sz w:val="21"/>
                <w:szCs w:val="21"/>
              </w:rPr>
              <w:t>.0050</w:t>
            </w:r>
          </w:p>
        </w:tc>
        <w:tc>
          <w:tcPr>
            <w:tcW w:w="550" w:type="pct"/>
            <w:vAlign w:val="center"/>
          </w:tcPr>
          <w:p w14:paraId="373A922D">
            <w:pPr>
              <w:pStyle w:val="90"/>
              <w:rPr>
                <w:sz w:val="21"/>
                <w:szCs w:val="21"/>
              </w:rPr>
            </w:pPr>
            <w:r>
              <w:rPr>
                <w:sz w:val="21"/>
                <w:szCs w:val="21"/>
              </w:rPr>
              <w:t>0.001</w:t>
            </w:r>
          </w:p>
        </w:tc>
        <w:tc>
          <w:tcPr>
            <w:tcW w:w="700" w:type="pct"/>
            <w:vAlign w:val="center"/>
          </w:tcPr>
          <w:p w14:paraId="3108EFF2">
            <w:pPr>
              <w:pStyle w:val="90"/>
              <w:rPr>
                <w:sz w:val="21"/>
                <w:szCs w:val="21"/>
              </w:rPr>
            </w:pPr>
            <w:r>
              <w:rPr>
                <w:sz w:val="21"/>
                <w:szCs w:val="21"/>
              </w:rPr>
              <w:t>0.0382</w:t>
            </w:r>
          </w:p>
        </w:tc>
        <w:tc>
          <w:tcPr>
            <w:tcW w:w="549" w:type="pct"/>
            <w:vAlign w:val="center"/>
          </w:tcPr>
          <w:p w14:paraId="5EB37AD0">
            <w:pPr>
              <w:pStyle w:val="90"/>
              <w:rPr>
                <w:sz w:val="21"/>
                <w:szCs w:val="21"/>
              </w:rPr>
            </w:pPr>
            <w:r>
              <w:rPr>
                <w:sz w:val="21"/>
                <w:szCs w:val="21"/>
              </w:rPr>
              <w:t>0.0191</w:t>
            </w:r>
          </w:p>
        </w:tc>
        <w:tc>
          <w:tcPr>
            <w:tcW w:w="700" w:type="pct"/>
            <w:vAlign w:val="center"/>
          </w:tcPr>
          <w:p w14:paraId="7FF46CFB">
            <w:pPr>
              <w:pStyle w:val="90"/>
              <w:rPr>
                <w:sz w:val="21"/>
                <w:szCs w:val="21"/>
              </w:rPr>
            </w:pPr>
            <w:r>
              <w:rPr>
                <w:sz w:val="21"/>
                <w:szCs w:val="21"/>
              </w:rPr>
              <w:t>0.0301</w:t>
            </w:r>
          </w:p>
        </w:tc>
        <w:tc>
          <w:tcPr>
            <w:tcW w:w="614" w:type="pct"/>
            <w:vAlign w:val="center"/>
          </w:tcPr>
          <w:p w14:paraId="3A0B0EB2">
            <w:pPr>
              <w:pStyle w:val="90"/>
              <w:rPr>
                <w:sz w:val="21"/>
                <w:szCs w:val="21"/>
              </w:rPr>
            </w:pPr>
            <w:r>
              <w:rPr>
                <w:rFonts w:hint="eastAsia"/>
                <w:sz w:val="21"/>
                <w:szCs w:val="21"/>
              </w:rPr>
              <w:t>0.006689</w:t>
            </w:r>
          </w:p>
        </w:tc>
      </w:tr>
      <w:tr w14:paraId="7A6F1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1536E87A">
            <w:pPr>
              <w:pStyle w:val="90"/>
              <w:rPr>
                <w:sz w:val="21"/>
                <w:szCs w:val="21"/>
              </w:rPr>
            </w:pPr>
            <w:r>
              <w:rPr>
                <w:rFonts w:hint="eastAsia"/>
                <w:sz w:val="21"/>
                <w:szCs w:val="21"/>
              </w:rPr>
              <w:t>25000</w:t>
            </w:r>
          </w:p>
        </w:tc>
        <w:tc>
          <w:tcPr>
            <w:tcW w:w="560" w:type="pct"/>
            <w:shd w:val="clear" w:color="auto" w:fill="auto"/>
            <w:tcMar>
              <w:left w:w="0" w:type="dxa"/>
              <w:right w:w="0" w:type="dxa"/>
            </w:tcMar>
            <w:vAlign w:val="center"/>
          </w:tcPr>
          <w:p w14:paraId="615A319A">
            <w:pPr>
              <w:pStyle w:val="90"/>
              <w:rPr>
                <w:sz w:val="21"/>
                <w:szCs w:val="21"/>
              </w:rPr>
            </w:pPr>
            <w:r>
              <w:rPr>
                <w:rFonts w:hint="eastAsia"/>
                <w:sz w:val="21"/>
                <w:szCs w:val="21"/>
              </w:rPr>
              <w:t>0.0135</w:t>
            </w:r>
          </w:p>
        </w:tc>
        <w:tc>
          <w:tcPr>
            <w:tcW w:w="327" w:type="pct"/>
            <w:shd w:val="clear" w:color="auto" w:fill="auto"/>
            <w:tcMar>
              <w:left w:w="0" w:type="dxa"/>
              <w:right w:w="0" w:type="dxa"/>
            </w:tcMar>
            <w:vAlign w:val="center"/>
          </w:tcPr>
          <w:p w14:paraId="22C2606E">
            <w:pPr>
              <w:pStyle w:val="90"/>
              <w:rPr>
                <w:sz w:val="21"/>
                <w:szCs w:val="21"/>
              </w:rPr>
            </w:pPr>
            <w:r>
              <w:rPr>
                <w:rFonts w:hint="eastAsia"/>
                <w:sz w:val="21"/>
                <w:szCs w:val="21"/>
              </w:rPr>
              <w:t>0</w:t>
            </w:r>
          </w:p>
        </w:tc>
        <w:tc>
          <w:tcPr>
            <w:tcW w:w="677" w:type="pct"/>
            <w:vAlign w:val="center"/>
          </w:tcPr>
          <w:p w14:paraId="1C182766">
            <w:pPr>
              <w:pStyle w:val="90"/>
              <w:rPr>
                <w:sz w:val="21"/>
                <w:szCs w:val="21"/>
              </w:rPr>
            </w:pPr>
            <w:r>
              <w:rPr>
                <w:rFonts w:hint="eastAsia"/>
                <w:sz w:val="21"/>
                <w:szCs w:val="21"/>
              </w:rPr>
              <w:t>0</w:t>
            </w:r>
            <w:r>
              <w:rPr>
                <w:sz w:val="21"/>
                <w:szCs w:val="21"/>
              </w:rPr>
              <w:t>.0040</w:t>
            </w:r>
          </w:p>
        </w:tc>
        <w:tc>
          <w:tcPr>
            <w:tcW w:w="550" w:type="pct"/>
            <w:vAlign w:val="center"/>
          </w:tcPr>
          <w:p w14:paraId="1E25D1D6">
            <w:pPr>
              <w:pStyle w:val="90"/>
              <w:rPr>
                <w:sz w:val="21"/>
                <w:szCs w:val="21"/>
              </w:rPr>
            </w:pPr>
            <w:r>
              <w:rPr>
                <w:sz w:val="21"/>
                <w:szCs w:val="21"/>
              </w:rPr>
              <w:t>0.0008</w:t>
            </w:r>
          </w:p>
        </w:tc>
        <w:tc>
          <w:tcPr>
            <w:tcW w:w="700" w:type="pct"/>
            <w:vAlign w:val="center"/>
          </w:tcPr>
          <w:p w14:paraId="6C986374">
            <w:pPr>
              <w:pStyle w:val="90"/>
              <w:rPr>
                <w:sz w:val="21"/>
                <w:szCs w:val="21"/>
              </w:rPr>
            </w:pPr>
            <w:r>
              <w:rPr>
                <w:sz w:val="21"/>
                <w:szCs w:val="21"/>
              </w:rPr>
              <w:t>0.0305</w:t>
            </w:r>
          </w:p>
        </w:tc>
        <w:tc>
          <w:tcPr>
            <w:tcW w:w="549" w:type="pct"/>
            <w:vAlign w:val="center"/>
          </w:tcPr>
          <w:p w14:paraId="7B402E29">
            <w:pPr>
              <w:pStyle w:val="90"/>
              <w:rPr>
                <w:sz w:val="21"/>
                <w:szCs w:val="21"/>
              </w:rPr>
            </w:pPr>
            <w:r>
              <w:rPr>
                <w:sz w:val="21"/>
                <w:szCs w:val="21"/>
              </w:rPr>
              <w:t>0.01525</w:t>
            </w:r>
          </w:p>
        </w:tc>
        <w:tc>
          <w:tcPr>
            <w:tcW w:w="700" w:type="pct"/>
            <w:vAlign w:val="center"/>
          </w:tcPr>
          <w:p w14:paraId="14E7B720">
            <w:pPr>
              <w:pStyle w:val="90"/>
              <w:rPr>
                <w:sz w:val="21"/>
                <w:szCs w:val="21"/>
              </w:rPr>
            </w:pPr>
            <w:r>
              <w:rPr>
                <w:sz w:val="21"/>
                <w:szCs w:val="21"/>
              </w:rPr>
              <w:t>0.0241</w:t>
            </w:r>
          </w:p>
        </w:tc>
        <w:tc>
          <w:tcPr>
            <w:tcW w:w="614" w:type="pct"/>
            <w:vAlign w:val="center"/>
          </w:tcPr>
          <w:p w14:paraId="2DAEB131">
            <w:pPr>
              <w:pStyle w:val="90"/>
              <w:rPr>
                <w:sz w:val="21"/>
                <w:szCs w:val="21"/>
              </w:rPr>
            </w:pPr>
            <w:r>
              <w:rPr>
                <w:rFonts w:hint="eastAsia"/>
                <w:sz w:val="21"/>
                <w:szCs w:val="21"/>
              </w:rPr>
              <w:t>0.005356</w:t>
            </w:r>
          </w:p>
        </w:tc>
      </w:tr>
      <w:tr w14:paraId="68BEB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416298C7">
            <w:pPr>
              <w:pStyle w:val="90"/>
              <w:rPr>
                <w:sz w:val="21"/>
                <w:szCs w:val="21"/>
              </w:rPr>
            </w:pPr>
            <w:r>
              <w:rPr>
                <w:rFonts w:hint="eastAsia"/>
                <w:sz w:val="21"/>
                <w:szCs w:val="21"/>
              </w:rPr>
              <w:t>下风向最大质量浓度及占标率/%</w:t>
            </w:r>
          </w:p>
        </w:tc>
        <w:tc>
          <w:tcPr>
            <w:tcW w:w="560" w:type="pct"/>
            <w:shd w:val="clear" w:color="auto" w:fill="auto"/>
            <w:tcMar>
              <w:left w:w="0" w:type="dxa"/>
              <w:right w:w="0" w:type="dxa"/>
            </w:tcMar>
            <w:vAlign w:val="center"/>
          </w:tcPr>
          <w:p w14:paraId="5E46DE4B">
            <w:pPr>
              <w:pStyle w:val="90"/>
              <w:rPr>
                <w:sz w:val="21"/>
                <w:szCs w:val="21"/>
              </w:rPr>
            </w:pPr>
            <w:r>
              <w:rPr>
                <w:sz w:val="21"/>
                <w:szCs w:val="21"/>
              </w:rPr>
              <w:t>0.5259</w:t>
            </w:r>
          </w:p>
        </w:tc>
        <w:tc>
          <w:tcPr>
            <w:tcW w:w="327" w:type="pct"/>
            <w:shd w:val="clear" w:color="auto" w:fill="auto"/>
            <w:tcMar>
              <w:left w:w="0" w:type="dxa"/>
              <w:right w:w="0" w:type="dxa"/>
            </w:tcMar>
            <w:vAlign w:val="center"/>
          </w:tcPr>
          <w:p w14:paraId="66D505F0">
            <w:pPr>
              <w:pStyle w:val="90"/>
              <w:rPr>
                <w:sz w:val="21"/>
                <w:szCs w:val="21"/>
              </w:rPr>
            </w:pPr>
            <w:r>
              <w:rPr>
                <w:rFonts w:hint="eastAsia"/>
                <w:sz w:val="21"/>
                <w:szCs w:val="21"/>
              </w:rPr>
              <w:t>0</w:t>
            </w:r>
            <w:r>
              <w:rPr>
                <w:sz w:val="21"/>
                <w:szCs w:val="21"/>
              </w:rPr>
              <w:t>.03</w:t>
            </w:r>
          </w:p>
        </w:tc>
        <w:tc>
          <w:tcPr>
            <w:tcW w:w="677" w:type="pct"/>
            <w:vAlign w:val="center"/>
          </w:tcPr>
          <w:p w14:paraId="75AB9655">
            <w:pPr>
              <w:pStyle w:val="90"/>
              <w:rPr>
                <w:sz w:val="21"/>
                <w:szCs w:val="21"/>
              </w:rPr>
            </w:pPr>
            <w:r>
              <w:rPr>
                <w:rFonts w:hint="eastAsia"/>
                <w:sz w:val="21"/>
                <w:szCs w:val="21"/>
              </w:rPr>
              <w:t>0</w:t>
            </w:r>
            <w:r>
              <w:rPr>
                <w:sz w:val="21"/>
                <w:szCs w:val="21"/>
              </w:rPr>
              <w:t>.0821</w:t>
            </w:r>
          </w:p>
        </w:tc>
        <w:tc>
          <w:tcPr>
            <w:tcW w:w="550" w:type="pct"/>
            <w:vAlign w:val="center"/>
          </w:tcPr>
          <w:p w14:paraId="5F8D540A">
            <w:pPr>
              <w:pStyle w:val="90"/>
              <w:rPr>
                <w:sz w:val="21"/>
                <w:szCs w:val="21"/>
              </w:rPr>
            </w:pPr>
            <w:r>
              <w:rPr>
                <w:sz w:val="21"/>
                <w:szCs w:val="21"/>
              </w:rPr>
              <w:t>0.01642</w:t>
            </w:r>
          </w:p>
        </w:tc>
        <w:tc>
          <w:tcPr>
            <w:tcW w:w="700" w:type="pct"/>
            <w:vAlign w:val="center"/>
          </w:tcPr>
          <w:p w14:paraId="21703720">
            <w:pPr>
              <w:pStyle w:val="90"/>
              <w:rPr>
                <w:sz w:val="21"/>
                <w:szCs w:val="21"/>
              </w:rPr>
            </w:pPr>
            <w:r>
              <w:rPr>
                <w:sz w:val="21"/>
                <w:szCs w:val="21"/>
              </w:rPr>
              <w:t>0.6168</w:t>
            </w:r>
          </w:p>
        </w:tc>
        <w:tc>
          <w:tcPr>
            <w:tcW w:w="549" w:type="pct"/>
            <w:vAlign w:val="center"/>
          </w:tcPr>
          <w:p w14:paraId="4008CDE5">
            <w:pPr>
              <w:pStyle w:val="90"/>
              <w:rPr>
                <w:sz w:val="21"/>
                <w:szCs w:val="21"/>
              </w:rPr>
            </w:pPr>
            <w:r>
              <w:rPr>
                <w:sz w:val="21"/>
                <w:szCs w:val="21"/>
              </w:rPr>
              <w:t>0.3084</w:t>
            </w:r>
          </w:p>
        </w:tc>
        <w:tc>
          <w:tcPr>
            <w:tcW w:w="700" w:type="pct"/>
            <w:vAlign w:val="center"/>
          </w:tcPr>
          <w:p w14:paraId="5EAAB5B7">
            <w:pPr>
              <w:pStyle w:val="90"/>
              <w:rPr>
                <w:sz w:val="21"/>
                <w:szCs w:val="21"/>
              </w:rPr>
            </w:pPr>
            <w:r>
              <w:rPr>
                <w:sz w:val="21"/>
                <w:szCs w:val="21"/>
              </w:rPr>
              <w:t>0.487</w:t>
            </w:r>
          </w:p>
        </w:tc>
        <w:tc>
          <w:tcPr>
            <w:tcW w:w="614" w:type="pct"/>
            <w:vAlign w:val="center"/>
          </w:tcPr>
          <w:p w14:paraId="60A1995B">
            <w:pPr>
              <w:pStyle w:val="90"/>
              <w:rPr>
                <w:sz w:val="21"/>
                <w:szCs w:val="21"/>
              </w:rPr>
            </w:pPr>
            <w:r>
              <w:rPr>
                <w:rFonts w:hint="eastAsia"/>
                <w:sz w:val="21"/>
                <w:szCs w:val="21"/>
              </w:rPr>
              <w:t>0.108222</w:t>
            </w:r>
          </w:p>
        </w:tc>
      </w:tr>
      <w:tr w14:paraId="7A0F6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9" w:type="pct"/>
            <w:shd w:val="clear" w:color="auto" w:fill="auto"/>
            <w:tcMar>
              <w:left w:w="0" w:type="dxa"/>
              <w:right w:w="0" w:type="dxa"/>
            </w:tcMar>
            <w:vAlign w:val="center"/>
          </w:tcPr>
          <w:p w14:paraId="3A0DE835">
            <w:pPr>
              <w:pStyle w:val="90"/>
              <w:rPr>
                <w:sz w:val="21"/>
                <w:szCs w:val="21"/>
              </w:rPr>
            </w:pPr>
            <w:r>
              <w:rPr>
                <w:rFonts w:hint="eastAsia"/>
                <w:sz w:val="21"/>
                <w:szCs w:val="21"/>
              </w:rPr>
              <w:t>D</w:t>
            </w:r>
            <w:r>
              <w:rPr>
                <w:sz w:val="21"/>
                <w:szCs w:val="21"/>
              </w:rPr>
              <w:t>10</w:t>
            </w:r>
            <w:r>
              <w:rPr>
                <w:rFonts w:hint="eastAsia"/>
                <w:sz w:val="21"/>
                <w:szCs w:val="21"/>
              </w:rPr>
              <w:t>%</w:t>
            </w:r>
            <w:r>
              <w:rPr>
                <w:rFonts w:hint="eastAsia"/>
                <w:sz w:val="21"/>
                <w:szCs w:val="21"/>
                <w:lang w:val="en-US" w:eastAsia="zh-CN"/>
              </w:rPr>
              <w:t>距离</w:t>
            </w:r>
            <w:r>
              <w:rPr>
                <w:rFonts w:hint="eastAsia"/>
                <w:sz w:val="21"/>
                <w:szCs w:val="21"/>
              </w:rPr>
              <w:t>/m</w:t>
            </w:r>
          </w:p>
        </w:tc>
        <w:tc>
          <w:tcPr>
            <w:tcW w:w="888" w:type="pct"/>
            <w:gridSpan w:val="2"/>
            <w:shd w:val="clear" w:color="auto" w:fill="auto"/>
            <w:tcMar>
              <w:left w:w="0" w:type="dxa"/>
              <w:right w:w="0" w:type="dxa"/>
            </w:tcMar>
            <w:vAlign w:val="center"/>
          </w:tcPr>
          <w:p w14:paraId="46A59CD3">
            <w:pPr>
              <w:pStyle w:val="90"/>
              <w:rPr>
                <w:sz w:val="21"/>
                <w:szCs w:val="21"/>
              </w:rPr>
            </w:pPr>
            <w:r>
              <w:rPr>
                <w:sz w:val="21"/>
                <w:szCs w:val="21"/>
              </w:rPr>
              <w:t>/</w:t>
            </w:r>
          </w:p>
        </w:tc>
        <w:tc>
          <w:tcPr>
            <w:tcW w:w="1227" w:type="pct"/>
            <w:gridSpan w:val="2"/>
            <w:vAlign w:val="center"/>
          </w:tcPr>
          <w:p w14:paraId="4833FADF">
            <w:pPr>
              <w:pStyle w:val="90"/>
              <w:rPr>
                <w:sz w:val="21"/>
                <w:szCs w:val="21"/>
              </w:rPr>
            </w:pPr>
            <w:r>
              <w:rPr>
                <w:rFonts w:hint="eastAsia"/>
                <w:sz w:val="21"/>
                <w:szCs w:val="21"/>
              </w:rPr>
              <w:t>/</w:t>
            </w:r>
          </w:p>
        </w:tc>
        <w:tc>
          <w:tcPr>
            <w:tcW w:w="1250" w:type="pct"/>
            <w:gridSpan w:val="2"/>
            <w:vAlign w:val="center"/>
          </w:tcPr>
          <w:p w14:paraId="745D0299">
            <w:pPr>
              <w:pStyle w:val="90"/>
              <w:rPr>
                <w:sz w:val="21"/>
                <w:szCs w:val="21"/>
              </w:rPr>
            </w:pPr>
            <w:r>
              <w:rPr>
                <w:rFonts w:hint="eastAsia"/>
                <w:sz w:val="21"/>
                <w:szCs w:val="21"/>
              </w:rPr>
              <w:t>/</w:t>
            </w:r>
          </w:p>
        </w:tc>
        <w:tc>
          <w:tcPr>
            <w:tcW w:w="1314" w:type="pct"/>
            <w:gridSpan w:val="2"/>
            <w:vAlign w:val="center"/>
          </w:tcPr>
          <w:p w14:paraId="230CBC9D">
            <w:pPr>
              <w:pStyle w:val="90"/>
              <w:rPr>
                <w:sz w:val="21"/>
                <w:szCs w:val="21"/>
              </w:rPr>
            </w:pPr>
            <w:r>
              <w:rPr>
                <w:rFonts w:hint="eastAsia"/>
                <w:sz w:val="21"/>
                <w:szCs w:val="21"/>
              </w:rPr>
              <w:t>/</w:t>
            </w:r>
          </w:p>
        </w:tc>
      </w:tr>
    </w:tbl>
    <w:p w14:paraId="29683D59">
      <w:pPr>
        <w:pStyle w:val="47"/>
        <w:spacing w:before="65"/>
        <w:rPr>
          <w:rFonts w:hint="default"/>
          <w:lang w:val="en-US" w:eastAsia="zh-CN"/>
        </w:rPr>
      </w:pPr>
      <w:r>
        <w:rPr>
          <w:rFonts w:hint="eastAsia"/>
          <w:lang w:val="en-US" w:eastAsia="zh-CN"/>
        </w:rPr>
        <w:t xml:space="preserve">表2.6-5   </w:t>
      </w:r>
      <w:r>
        <w:rPr>
          <w:rFonts w:hint="eastAsia"/>
        </w:rPr>
        <w:t>主要污染源估算模型计算结果表（</w:t>
      </w:r>
      <w:r>
        <w:rPr>
          <w:rFonts w:hint="eastAsia"/>
          <w:lang w:val="en-US" w:eastAsia="zh-CN"/>
        </w:rPr>
        <w:t>DA003</w:t>
      </w:r>
      <w:r>
        <w:rPr>
          <w:rFonts w:hint="eastAsia"/>
        </w:rPr>
        <w:t>）</w:t>
      </w:r>
    </w:p>
    <w:tbl>
      <w:tblPr>
        <w:tblStyle w:val="30"/>
        <w:tblW w:w="50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2167"/>
        <w:gridCol w:w="1761"/>
        <w:gridCol w:w="2242"/>
        <w:gridCol w:w="1759"/>
      </w:tblGrid>
      <w:tr w14:paraId="694C1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vMerge w:val="restart"/>
            <w:shd w:val="clear" w:color="auto" w:fill="auto"/>
            <w:tcMar>
              <w:left w:w="0" w:type="dxa"/>
              <w:right w:w="0" w:type="dxa"/>
            </w:tcMar>
            <w:vAlign w:val="center"/>
          </w:tcPr>
          <w:p w14:paraId="4AC27CD5">
            <w:pPr>
              <w:pStyle w:val="90"/>
              <w:rPr>
                <w:sz w:val="21"/>
                <w:szCs w:val="21"/>
              </w:rPr>
            </w:pPr>
            <w:r>
              <w:rPr>
                <w:sz w:val="21"/>
                <w:szCs w:val="21"/>
              </w:rPr>
              <w:t>下风向距离/m</w:t>
            </w:r>
          </w:p>
        </w:tc>
        <w:tc>
          <w:tcPr>
            <w:tcW w:w="2195" w:type="pct"/>
            <w:gridSpan w:val="2"/>
            <w:vAlign w:val="center"/>
          </w:tcPr>
          <w:p w14:paraId="71D125A4">
            <w:pPr>
              <w:pStyle w:val="90"/>
              <w:rPr>
                <w:rFonts w:hint="eastAsia" w:eastAsia="宋体"/>
                <w:sz w:val="21"/>
                <w:szCs w:val="21"/>
                <w:lang w:eastAsia="zh-CN"/>
              </w:rPr>
            </w:pPr>
            <w:r>
              <w:rPr>
                <w:rFonts w:hint="eastAsia"/>
                <w:sz w:val="21"/>
                <w:szCs w:val="21"/>
                <w:lang w:val="en-US" w:eastAsia="zh-CN"/>
              </w:rPr>
              <w:t>非甲烷总烃</w:t>
            </w:r>
          </w:p>
        </w:tc>
        <w:tc>
          <w:tcPr>
            <w:tcW w:w="2236" w:type="pct"/>
            <w:gridSpan w:val="2"/>
            <w:vAlign w:val="center"/>
          </w:tcPr>
          <w:p w14:paraId="63EDB402">
            <w:pPr>
              <w:pStyle w:val="90"/>
              <w:rPr>
                <w:rFonts w:hint="eastAsia" w:eastAsia="宋体"/>
                <w:sz w:val="21"/>
                <w:szCs w:val="21"/>
                <w:lang w:eastAsia="zh-CN"/>
              </w:rPr>
            </w:pPr>
            <w:r>
              <w:rPr>
                <w:rFonts w:hint="eastAsia"/>
                <w:sz w:val="21"/>
                <w:szCs w:val="21"/>
                <w:lang w:val="en-US" w:eastAsia="zh-CN"/>
              </w:rPr>
              <w:t>硫酸雾</w:t>
            </w:r>
          </w:p>
        </w:tc>
      </w:tr>
      <w:tr w14:paraId="1FEAB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vMerge w:val="continue"/>
            <w:shd w:val="clear" w:color="auto" w:fill="auto"/>
            <w:tcMar>
              <w:left w:w="0" w:type="dxa"/>
              <w:right w:w="0" w:type="dxa"/>
            </w:tcMar>
            <w:vAlign w:val="center"/>
          </w:tcPr>
          <w:p w14:paraId="0A692CA9">
            <w:pPr>
              <w:pStyle w:val="90"/>
              <w:rPr>
                <w:sz w:val="21"/>
                <w:szCs w:val="21"/>
              </w:rPr>
            </w:pPr>
          </w:p>
        </w:tc>
        <w:tc>
          <w:tcPr>
            <w:tcW w:w="1211" w:type="pct"/>
            <w:vAlign w:val="center"/>
          </w:tcPr>
          <w:p w14:paraId="04FCFF9C">
            <w:pPr>
              <w:pStyle w:val="90"/>
              <w:rPr>
                <w:sz w:val="21"/>
                <w:szCs w:val="21"/>
              </w:rPr>
            </w:pPr>
            <w:r>
              <w:rPr>
                <w:sz w:val="21"/>
                <w:szCs w:val="21"/>
              </w:rPr>
              <w:t>预测质量浓度/（μg/m</w:t>
            </w:r>
            <w:r>
              <w:rPr>
                <w:sz w:val="21"/>
                <w:szCs w:val="21"/>
                <w:vertAlign w:val="superscript"/>
              </w:rPr>
              <w:t>3</w:t>
            </w:r>
            <w:r>
              <w:rPr>
                <w:sz w:val="21"/>
                <w:szCs w:val="21"/>
              </w:rPr>
              <w:t>）</w:t>
            </w:r>
          </w:p>
        </w:tc>
        <w:tc>
          <w:tcPr>
            <w:tcW w:w="984" w:type="pct"/>
            <w:vAlign w:val="center"/>
          </w:tcPr>
          <w:p w14:paraId="331772BF">
            <w:pPr>
              <w:pStyle w:val="90"/>
              <w:rPr>
                <w:sz w:val="21"/>
                <w:szCs w:val="21"/>
              </w:rPr>
            </w:pPr>
            <w:r>
              <w:rPr>
                <w:sz w:val="21"/>
                <w:szCs w:val="21"/>
              </w:rPr>
              <w:t>占标率/%</w:t>
            </w:r>
          </w:p>
        </w:tc>
        <w:tc>
          <w:tcPr>
            <w:tcW w:w="1253" w:type="pct"/>
            <w:vAlign w:val="center"/>
          </w:tcPr>
          <w:p w14:paraId="4D1CAB32">
            <w:pPr>
              <w:pStyle w:val="90"/>
              <w:rPr>
                <w:sz w:val="21"/>
                <w:szCs w:val="21"/>
              </w:rPr>
            </w:pPr>
            <w:r>
              <w:rPr>
                <w:sz w:val="21"/>
                <w:szCs w:val="21"/>
              </w:rPr>
              <w:t>预测质量浓度/（μg/m</w:t>
            </w:r>
            <w:r>
              <w:rPr>
                <w:sz w:val="21"/>
                <w:szCs w:val="21"/>
                <w:vertAlign w:val="superscript"/>
              </w:rPr>
              <w:t>3</w:t>
            </w:r>
            <w:r>
              <w:rPr>
                <w:sz w:val="21"/>
                <w:szCs w:val="21"/>
              </w:rPr>
              <w:t>）</w:t>
            </w:r>
          </w:p>
        </w:tc>
        <w:tc>
          <w:tcPr>
            <w:tcW w:w="983" w:type="pct"/>
            <w:vAlign w:val="center"/>
          </w:tcPr>
          <w:p w14:paraId="35D43057">
            <w:pPr>
              <w:pStyle w:val="90"/>
              <w:rPr>
                <w:sz w:val="21"/>
                <w:szCs w:val="21"/>
              </w:rPr>
            </w:pPr>
            <w:r>
              <w:rPr>
                <w:sz w:val="21"/>
                <w:szCs w:val="21"/>
              </w:rPr>
              <w:t>占标率/%</w:t>
            </w:r>
          </w:p>
        </w:tc>
      </w:tr>
      <w:tr w14:paraId="1FE2A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402BFC1C">
            <w:pPr>
              <w:pStyle w:val="90"/>
              <w:rPr>
                <w:sz w:val="21"/>
                <w:szCs w:val="21"/>
              </w:rPr>
            </w:pPr>
            <w:r>
              <w:rPr>
                <w:rFonts w:hint="eastAsia"/>
                <w:sz w:val="21"/>
                <w:szCs w:val="21"/>
              </w:rPr>
              <w:t>130</w:t>
            </w:r>
          </w:p>
        </w:tc>
        <w:tc>
          <w:tcPr>
            <w:tcW w:w="1211" w:type="pct"/>
            <w:vAlign w:val="center"/>
          </w:tcPr>
          <w:p w14:paraId="1A12675B">
            <w:pPr>
              <w:pStyle w:val="90"/>
              <w:rPr>
                <w:rFonts w:hint="default" w:eastAsia="宋体"/>
                <w:sz w:val="21"/>
                <w:szCs w:val="21"/>
                <w:lang w:val="en-US" w:eastAsia="zh-CN"/>
              </w:rPr>
            </w:pPr>
            <w:r>
              <w:rPr>
                <w:rFonts w:hint="eastAsia"/>
                <w:sz w:val="21"/>
                <w:szCs w:val="21"/>
                <w:lang w:val="en-US" w:eastAsia="zh-CN"/>
              </w:rPr>
              <w:t>58.9240</w:t>
            </w:r>
          </w:p>
        </w:tc>
        <w:tc>
          <w:tcPr>
            <w:tcW w:w="984" w:type="pct"/>
            <w:vAlign w:val="center"/>
          </w:tcPr>
          <w:p w14:paraId="242EEA31">
            <w:pPr>
              <w:pStyle w:val="90"/>
              <w:rPr>
                <w:rFonts w:hint="default" w:eastAsia="宋体"/>
                <w:sz w:val="21"/>
                <w:szCs w:val="21"/>
                <w:lang w:val="en-US" w:eastAsia="zh-CN"/>
              </w:rPr>
            </w:pPr>
            <w:r>
              <w:rPr>
                <w:rFonts w:hint="eastAsia"/>
                <w:sz w:val="21"/>
                <w:szCs w:val="21"/>
                <w:lang w:val="en-US" w:eastAsia="zh-CN"/>
              </w:rPr>
              <w:t>2.95</w:t>
            </w:r>
          </w:p>
        </w:tc>
        <w:tc>
          <w:tcPr>
            <w:tcW w:w="1253" w:type="pct"/>
            <w:shd w:val="clear" w:color="auto" w:fill="auto"/>
            <w:vAlign w:val="center"/>
          </w:tcPr>
          <w:p w14:paraId="6EE5077B">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1.0659</w:t>
            </w:r>
          </w:p>
        </w:tc>
        <w:tc>
          <w:tcPr>
            <w:tcW w:w="983" w:type="pct"/>
            <w:vAlign w:val="center"/>
          </w:tcPr>
          <w:p w14:paraId="1FAE3AE1">
            <w:pPr>
              <w:pStyle w:val="90"/>
              <w:rPr>
                <w:rFonts w:hint="default" w:eastAsia="宋体"/>
                <w:sz w:val="21"/>
                <w:szCs w:val="21"/>
                <w:lang w:val="en-US" w:eastAsia="zh-CN"/>
              </w:rPr>
            </w:pPr>
            <w:r>
              <w:rPr>
                <w:rFonts w:hint="eastAsia"/>
                <w:sz w:val="21"/>
                <w:szCs w:val="21"/>
                <w:lang w:val="en-US" w:eastAsia="zh-CN"/>
              </w:rPr>
              <w:t>0.36</w:t>
            </w:r>
          </w:p>
        </w:tc>
      </w:tr>
      <w:tr w14:paraId="2C39E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3509D893">
            <w:pPr>
              <w:pStyle w:val="90"/>
              <w:rPr>
                <w:sz w:val="21"/>
                <w:szCs w:val="21"/>
              </w:rPr>
            </w:pPr>
            <w:r>
              <w:rPr>
                <w:rFonts w:hint="eastAsia"/>
                <w:sz w:val="21"/>
                <w:szCs w:val="21"/>
              </w:rPr>
              <w:t>150</w:t>
            </w:r>
          </w:p>
        </w:tc>
        <w:tc>
          <w:tcPr>
            <w:tcW w:w="1211" w:type="pct"/>
            <w:vAlign w:val="center"/>
          </w:tcPr>
          <w:p w14:paraId="47E90B46">
            <w:pPr>
              <w:pStyle w:val="90"/>
              <w:rPr>
                <w:rFonts w:hint="default" w:eastAsia="宋体"/>
                <w:sz w:val="21"/>
                <w:szCs w:val="21"/>
                <w:lang w:val="en-US" w:eastAsia="zh-CN"/>
              </w:rPr>
            </w:pPr>
            <w:r>
              <w:rPr>
                <w:rFonts w:hint="eastAsia"/>
                <w:sz w:val="21"/>
                <w:szCs w:val="21"/>
                <w:lang w:val="en-US" w:eastAsia="zh-CN"/>
              </w:rPr>
              <w:t>60.5740</w:t>
            </w:r>
          </w:p>
        </w:tc>
        <w:tc>
          <w:tcPr>
            <w:tcW w:w="984" w:type="pct"/>
            <w:vAlign w:val="center"/>
          </w:tcPr>
          <w:p w14:paraId="2B061187">
            <w:pPr>
              <w:pStyle w:val="90"/>
              <w:rPr>
                <w:rFonts w:hint="default" w:eastAsia="宋体"/>
                <w:sz w:val="21"/>
                <w:szCs w:val="21"/>
                <w:lang w:val="en-US" w:eastAsia="zh-CN"/>
              </w:rPr>
            </w:pPr>
            <w:r>
              <w:rPr>
                <w:rFonts w:hint="eastAsia"/>
                <w:sz w:val="21"/>
                <w:szCs w:val="21"/>
                <w:lang w:val="en-US" w:eastAsia="zh-CN"/>
              </w:rPr>
              <w:t>3.03</w:t>
            </w:r>
          </w:p>
        </w:tc>
        <w:tc>
          <w:tcPr>
            <w:tcW w:w="1253" w:type="pct"/>
            <w:shd w:val="clear" w:color="auto" w:fill="auto"/>
            <w:vAlign w:val="center"/>
          </w:tcPr>
          <w:p w14:paraId="0EB7FC59">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1.0958</w:t>
            </w:r>
          </w:p>
        </w:tc>
        <w:tc>
          <w:tcPr>
            <w:tcW w:w="983" w:type="pct"/>
            <w:vAlign w:val="center"/>
          </w:tcPr>
          <w:p w14:paraId="4FE058C0">
            <w:pPr>
              <w:pStyle w:val="90"/>
              <w:rPr>
                <w:rFonts w:hint="default" w:eastAsia="宋体"/>
                <w:sz w:val="21"/>
                <w:szCs w:val="21"/>
                <w:lang w:val="en-US" w:eastAsia="zh-CN"/>
              </w:rPr>
            </w:pPr>
            <w:r>
              <w:rPr>
                <w:rFonts w:hint="eastAsia"/>
                <w:sz w:val="21"/>
                <w:szCs w:val="21"/>
                <w:lang w:val="en-US" w:eastAsia="zh-CN"/>
              </w:rPr>
              <w:t>0.37</w:t>
            </w:r>
          </w:p>
        </w:tc>
      </w:tr>
      <w:tr w14:paraId="2465D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6B0ADB74">
            <w:pPr>
              <w:pStyle w:val="90"/>
              <w:rPr>
                <w:rFonts w:hint="default" w:eastAsia="宋体"/>
                <w:sz w:val="21"/>
                <w:szCs w:val="21"/>
                <w:lang w:val="en-US" w:eastAsia="zh-CN"/>
              </w:rPr>
            </w:pPr>
            <w:r>
              <w:rPr>
                <w:rFonts w:hint="eastAsia"/>
                <w:sz w:val="21"/>
                <w:szCs w:val="21"/>
                <w:lang w:val="en-US" w:eastAsia="zh-CN"/>
              </w:rPr>
              <w:t>167</w:t>
            </w:r>
          </w:p>
        </w:tc>
        <w:tc>
          <w:tcPr>
            <w:tcW w:w="1211" w:type="pct"/>
            <w:vAlign w:val="center"/>
          </w:tcPr>
          <w:p w14:paraId="3E3EBC38">
            <w:pPr>
              <w:pStyle w:val="90"/>
              <w:rPr>
                <w:rFonts w:hint="default" w:eastAsia="宋体"/>
                <w:sz w:val="21"/>
                <w:szCs w:val="21"/>
                <w:lang w:val="en-US" w:eastAsia="zh-CN"/>
              </w:rPr>
            </w:pPr>
            <w:r>
              <w:rPr>
                <w:rFonts w:hint="eastAsia"/>
                <w:sz w:val="21"/>
                <w:szCs w:val="21"/>
                <w:lang w:val="en-US" w:eastAsia="zh-CN"/>
              </w:rPr>
              <w:t>61.5050</w:t>
            </w:r>
          </w:p>
        </w:tc>
        <w:tc>
          <w:tcPr>
            <w:tcW w:w="984" w:type="pct"/>
            <w:vAlign w:val="center"/>
          </w:tcPr>
          <w:p w14:paraId="190975BB">
            <w:pPr>
              <w:pStyle w:val="90"/>
              <w:rPr>
                <w:rFonts w:hint="default" w:eastAsia="宋体"/>
                <w:sz w:val="21"/>
                <w:szCs w:val="21"/>
                <w:lang w:val="en-US" w:eastAsia="zh-CN"/>
              </w:rPr>
            </w:pPr>
            <w:r>
              <w:rPr>
                <w:rFonts w:hint="eastAsia"/>
                <w:sz w:val="21"/>
                <w:szCs w:val="21"/>
                <w:lang w:val="en-US" w:eastAsia="zh-CN"/>
              </w:rPr>
              <w:t>3.08</w:t>
            </w:r>
          </w:p>
        </w:tc>
        <w:tc>
          <w:tcPr>
            <w:tcW w:w="1253" w:type="pct"/>
            <w:shd w:val="clear" w:color="auto" w:fill="auto"/>
            <w:vAlign w:val="center"/>
          </w:tcPr>
          <w:p w14:paraId="14775929">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1.1126</w:t>
            </w:r>
          </w:p>
        </w:tc>
        <w:tc>
          <w:tcPr>
            <w:tcW w:w="983" w:type="pct"/>
            <w:vAlign w:val="center"/>
          </w:tcPr>
          <w:p w14:paraId="0467647E">
            <w:pPr>
              <w:pStyle w:val="90"/>
              <w:rPr>
                <w:rFonts w:hint="default" w:eastAsia="宋体"/>
                <w:sz w:val="21"/>
                <w:szCs w:val="21"/>
                <w:lang w:val="en-US" w:eastAsia="zh-CN"/>
              </w:rPr>
            </w:pPr>
            <w:r>
              <w:rPr>
                <w:rFonts w:hint="eastAsia"/>
                <w:sz w:val="21"/>
                <w:szCs w:val="21"/>
                <w:lang w:val="en-US" w:eastAsia="zh-CN"/>
              </w:rPr>
              <w:t>0.37</w:t>
            </w:r>
          </w:p>
        </w:tc>
      </w:tr>
      <w:tr w14:paraId="10240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4A8DB01A">
            <w:pPr>
              <w:pStyle w:val="90"/>
              <w:rPr>
                <w:sz w:val="21"/>
                <w:szCs w:val="21"/>
              </w:rPr>
            </w:pPr>
            <w:r>
              <w:rPr>
                <w:rFonts w:hint="eastAsia"/>
                <w:sz w:val="21"/>
                <w:szCs w:val="21"/>
              </w:rPr>
              <w:t>175</w:t>
            </w:r>
          </w:p>
        </w:tc>
        <w:tc>
          <w:tcPr>
            <w:tcW w:w="1211" w:type="pct"/>
            <w:vAlign w:val="center"/>
          </w:tcPr>
          <w:p w14:paraId="3028BD80">
            <w:pPr>
              <w:pStyle w:val="90"/>
              <w:rPr>
                <w:rFonts w:hint="default" w:eastAsia="宋体"/>
                <w:sz w:val="21"/>
                <w:szCs w:val="21"/>
                <w:lang w:val="en-US" w:eastAsia="zh-CN"/>
              </w:rPr>
            </w:pPr>
            <w:r>
              <w:rPr>
                <w:rFonts w:hint="eastAsia"/>
                <w:sz w:val="21"/>
                <w:szCs w:val="21"/>
                <w:lang w:val="en-US" w:eastAsia="zh-CN"/>
              </w:rPr>
              <w:t>61.3540</w:t>
            </w:r>
          </w:p>
        </w:tc>
        <w:tc>
          <w:tcPr>
            <w:tcW w:w="984" w:type="pct"/>
            <w:vAlign w:val="center"/>
          </w:tcPr>
          <w:p w14:paraId="665FF64F">
            <w:pPr>
              <w:pStyle w:val="90"/>
              <w:rPr>
                <w:rFonts w:hint="default" w:eastAsia="宋体"/>
                <w:sz w:val="21"/>
                <w:szCs w:val="21"/>
                <w:lang w:val="en-US" w:eastAsia="zh-CN"/>
              </w:rPr>
            </w:pPr>
            <w:r>
              <w:rPr>
                <w:rFonts w:hint="eastAsia"/>
                <w:sz w:val="21"/>
                <w:szCs w:val="21"/>
                <w:lang w:val="en-US" w:eastAsia="zh-CN"/>
              </w:rPr>
              <w:t>3.07</w:t>
            </w:r>
          </w:p>
        </w:tc>
        <w:tc>
          <w:tcPr>
            <w:tcW w:w="1253" w:type="pct"/>
            <w:shd w:val="clear" w:color="auto" w:fill="auto"/>
            <w:vAlign w:val="center"/>
          </w:tcPr>
          <w:p w14:paraId="05C39160">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1.1099</w:t>
            </w:r>
          </w:p>
        </w:tc>
        <w:tc>
          <w:tcPr>
            <w:tcW w:w="983" w:type="pct"/>
            <w:vAlign w:val="center"/>
          </w:tcPr>
          <w:p w14:paraId="1265242A">
            <w:pPr>
              <w:pStyle w:val="90"/>
              <w:rPr>
                <w:rFonts w:hint="default" w:eastAsia="宋体"/>
                <w:sz w:val="21"/>
                <w:szCs w:val="21"/>
                <w:lang w:val="en-US" w:eastAsia="zh-CN"/>
              </w:rPr>
            </w:pPr>
            <w:r>
              <w:rPr>
                <w:rFonts w:hint="eastAsia"/>
                <w:sz w:val="21"/>
                <w:szCs w:val="21"/>
                <w:lang w:val="en-US" w:eastAsia="zh-CN"/>
              </w:rPr>
              <w:t>0.37</w:t>
            </w:r>
          </w:p>
        </w:tc>
      </w:tr>
      <w:tr w14:paraId="3F54F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6ACC0230">
            <w:pPr>
              <w:pStyle w:val="90"/>
              <w:rPr>
                <w:sz w:val="21"/>
                <w:szCs w:val="21"/>
              </w:rPr>
            </w:pPr>
            <w:r>
              <w:rPr>
                <w:rFonts w:hint="eastAsia"/>
                <w:sz w:val="21"/>
                <w:szCs w:val="21"/>
              </w:rPr>
              <w:t>200</w:t>
            </w:r>
          </w:p>
        </w:tc>
        <w:tc>
          <w:tcPr>
            <w:tcW w:w="1211" w:type="pct"/>
            <w:vAlign w:val="center"/>
          </w:tcPr>
          <w:p w14:paraId="72B0F993">
            <w:pPr>
              <w:pStyle w:val="90"/>
              <w:rPr>
                <w:rFonts w:hint="default" w:eastAsia="宋体"/>
                <w:sz w:val="21"/>
                <w:szCs w:val="21"/>
                <w:lang w:val="en-US" w:eastAsia="zh-CN"/>
              </w:rPr>
            </w:pPr>
            <w:r>
              <w:rPr>
                <w:rFonts w:hint="eastAsia"/>
                <w:sz w:val="21"/>
                <w:szCs w:val="21"/>
                <w:lang w:val="en-US" w:eastAsia="zh-CN"/>
              </w:rPr>
              <w:t>59.3680</w:t>
            </w:r>
          </w:p>
        </w:tc>
        <w:tc>
          <w:tcPr>
            <w:tcW w:w="984" w:type="pct"/>
            <w:vAlign w:val="center"/>
          </w:tcPr>
          <w:p w14:paraId="72FA2440">
            <w:pPr>
              <w:pStyle w:val="90"/>
              <w:rPr>
                <w:rFonts w:hint="default" w:eastAsia="宋体"/>
                <w:sz w:val="21"/>
                <w:szCs w:val="21"/>
                <w:lang w:val="en-US" w:eastAsia="zh-CN"/>
              </w:rPr>
            </w:pPr>
            <w:r>
              <w:rPr>
                <w:rFonts w:hint="eastAsia"/>
                <w:sz w:val="21"/>
                <w:szCs w:val="21"/>
                <w:lang w:val="en-US" w:eastAsia="zh-CN"/>
              </w:rPr>
              <w:t>2.97</w:t>
            </w:r>
          </w:p>
        </w:tc>
        <w:tc>
          <w:tcPr>
            <w:tcW w:w="1253" w:type="pct"/>
            <w:shd w:val="clear" w:color="auto" w:fill="auto"/>
            <w:vAlign w:val="center"/>
          </w:tcPr>
          <w:p w14:paraId="5A51BFD6">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1.0740</w:t>
            </w:r>
          </w:p>
        </w:tc>
        <w:tc>
          <w:tcPr>
            <w:tcW w:w="983" w:type="pct"/>
            <w:vAlign w:val="center"/>
          </w:tcPr>
          <w:p w14:paraId="42CEC74E">
            <w:pPr>
              <w:pStyle w:val="90"/>
              <w:rPr>
                <w:rFonts w:hint="default" w:eastAsia="宋体"/>
                <w:sz w:val="21"/>
                <w:szCs w:val="21"/>
                <w:lang w:val="en-US" w:eastAsia="zh-CN"/>
              </w:rPr>
            </w:pPr>
            <w:r>
              <w:rPr>
                <w:rFonts w:hint="eastAsia"/>
                <w:sz w:val="21"/>
                <w:szCs w:val="21"/>
                <w:lang w:val="en-US" w:eastAsia="zh-CN"/>
              </w:rPr>
              <w:t>0.36</w:t>
            </w:r>
          </w:p>
        </w:tc>
      </w:tr>
      <w:tr w14:paraId="2CE9F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2DBDC1DD">
            <w:pPr>
              <w:pStyle w:val="90"/>
              <w:rPr>
                <w:sz w:val="21"/>
                <w:szCs w:val="21"/>
              </w:rPr>
            </w:pPr>
            <w:r>
              <w:rPr>
                <w:rFonts w:hint="eastAsia"/>
                <w:sz w:val="21"/>
                <w:szCs w:val="21"/>
              </w:rPr>
              <w:t>250</w:t>
            </w:r>
          </w:p>
        </w:tc>
        <w:tc>
          <w:tcPr>
            <w:tcW w:w="1211" w:type="pct"/>
            <w:vAlign w:val="center"/>
          </w:tcPr>
          <w:p w14:paraId="7CC995B4">
            <w:pPr>
              <w:pStyle w:val="90"/>
              <w:rPr>
                <w:rFonts w:hint="default" w:eastAsia="宋体"/>
                <w:sz w:val="21"/>
                <w:szCs w:val="21"/>
                <w:lang w:val="en-US" w:eastAsia="zh-CN"/>
              </w:rPr>
            </w:pPr>
            <w:r>
              <w:rPr>
                <w:rFonts w:hint="eastAsia"/>
                <w:sz w:val="21"/>
                <w:szCs w:val="21"/>
                <w:lang w:val="en-US" w:eastAsia="zh-CN"/>
              </w:rPr>
              <w:t>52.5720</w:t>
            </w:r>
          </w:p>
        </w:tc>
        <w:tc>
          <w:tcPr>
            <w:tcW w:w="984" w:type="pct"/>
            <w:vAlign w:val="center"/>
          </w:tcPr>
          <w:p w14:paraId="5A7842AA">
            <w:pPr>
              <w:pStyle w:val="90"/>
              <w:rPr>
                <w:rFonts w:hint="default" w:eastAsia="宋体"/>
                <w:sz w:val="21"/>
                <w:szCs w:val="21"/>
                <w:lang w:val="en-US" w:eastAsia="zh-CN"/>
              </w:rPr>
            </w:pPr>
            <w:r>
              <w:rPr>
                <w:rFonts w:hint="eastAsia"/>
                <w:sz w:val="21"/>
                <w:szCs w:val="21"/>
                <w:lang w:val="en-US" w:eastAsia="zh-CN"/>
              </w:rPr>
              <w:t>2.63</w:t>
            </w:r>
          </w:p>
        </w:tc>
        <w:tc>
          <w:tcPr>
            <w:tcW w:w="1253" w:type="pct"/>
            <w:shd w:val="clear" w:color="auto" w:fill="auto"/>
            <w:vAlign w:val="center"/>
          </w:tcPr>
          <w:p w14:paraId="6296E940">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0.9510</w:t>
            </w:r>
          </w:p>
        </w:tc>
        <w:tc>
          <w:tcPr>
            <w:tcW w:w="983" w:type="pct"/>
            <w:vAlign w:val="center"/>
          </w:tcPr>
          <w:p w14:paraId="37CAD363">
            <w:pPr>
              <w:pStyle w:val="90"/>
              <w:rPr>
                <w:rFonts w:hint="default" w:eastAsia="宋体"/>
                <w:sz w:val="21"/>
                <w:szCs w:val="21"/>
                <w:lang w:val="en-US" w:eastAsia="zh-CN"/>
              </w:rPr>
            </w:pPr>
            <w:r>
              <w:rPr>
                <w:rFonts w:hint="eastAsia"/>
                <w:sz w:val="21"/>
                <w:szCs w:val="21"/>
                <w:lang w:val="en-US" w:eastAsia="zh-CN"/>
              </w:rPr>
              <w:t>0.32</w:t>
            </w:r>
          </w:p>
        </w:tc>
      </w:tr>
      <w:tr w14:paraId="7D81B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163E7120">
            <w:pPr>
              <w:pStyle w:val="90"/>
              <w:rPr>
                <w:sz w:val="21"/>
                <w:szCs w:val="21"/>
              </w:rPr>
            </w:pPr>
            <w:r>
              <w:rPr>
                <w:rFonts w:hint="eastAsia"/>
                <w:sz w:val="21"/>
                <w:szCs w:val="21"/>
              </w:rPr>
              <w:t>300</w:t>
            </w:r>
          </w:p>
        </w:tc>
        <w:tc>
          <w:tcPr>
            <w:tcW w:w="1211" w:type="pct"/>
            <w:vAlign w:val="center"/>
          </w:tcPr>
          <w:p w14:paraId="4DA2F238">
            <w:pPr>
              <w:pStyle w:val="90"/>
              <w:rPr>
                <w:rFonts w:hint="default" w:eastAsia="宋体"/>
                <w:sz w:val="21"/>
                <w:szCs w:val="21"/>
                <w:lang w:val="en-US" w:eastAsia="zh-CN"/>
              </w:rPr>
            </w:pPr>
            <w:r>
              <w:rPr>
                <w:rFonts w:hint="eastAsia"/>
                <w:sz w:val="21"/>
                <w:szCs w:val="21"/>
                <w:lang w:val="en-US" w:eastAsia="zh-CN"/>
              </w:rPr>
              <w:t>45.6910</w:t>
            </w:r>
          </w:p>
        </w:tc>
        <w:tc>
          <w:tcPr>
            <w:tcW w:w="984" w:type="pct"/>
            <w:vAlign w:val="center"/>
          </w:tcPr>
          <w:p w14:paraId="38E02276">
            <w:pPr>
              <w:pStyle w:val="90"/>
              <w:rPr>
                <w:rFonts w:hint="default" w:eastAsia="宋体"/>
                <w:sz w:val="21"/>
                <w:szCs w:val="21"/>
                <w:lang w:val="en-US" w:eastAsia="zh-CN"/>
              </w:rPr>
            </w:pPr>
            <w:r>
              <w:rPr>
                <w:rFonts w:hint="eastAsia"/>
                <w:sz w:val="21"/>
                <w:szCs w:val="21"/>
                <w:lang w:val="en-US" w:eastAsia="zh-CN"/>
              </w:rPr>
              <w:t>2.28</w:t>
            </w:r>
          </w:p>
        </w:tc>
        <w:tc>
          <w:tcPr>
            <w:tcW w:w="1253" w:type="pct"/>
            <w:shd w:val="clear" w:color="auto" w:fill="auto"/>
            <w:vAlign w:val="center"/>
          </w:tcPr>
          <w:p w14:paraId="028A620C">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0.8265</w:t>
            </w:r>
          </w:p>
        </w:tc>
        <w:tc>
          <w:tcPr>
            <w:tcW w:w="983" w:type="pct"/>
            <w:vAlign w:val="center"/>
          </w:tcPr>
          <w:p w14:paraId="11644172">
            <w:pPr>
              <w:pStyle w:val="90"/>
              <w:rPr>
                <w:rFonts w:hint="default" w:eastAsia="宋体"/>
                <w:sz w:val="21"/>
                <w:szCs w:val="21"/>
                <w:lang w:val="en-US" w:eastAsia="zh-CN"/>
              </w:rPr>
            </w:pPr>
            <w:r>
              <w:rPr>
                <w:rFonts w:hint="eastAsia"/>
                <w:sz w:val="21"/>
                <w:szCs w:val="21"/>
                <w:lang w:val="en-US" w:eastAsia="zh-CN"/>
              </w:rPr>
              <w:t>0.28</w:t>
            </w:r>
          </w:p>
        </w:tc>
      </w:tr>
      <w:tr w14:paraId="57927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7B4D0ACB">
            <w:pPr>
              <w:pStyle w:val="90"/>
              <w:rPr>
                <w:sz w:val="21"/>
                <w:szCs w:val="21"/>
              </w:rPr>
            </w:pPr>
            <w:r>
              <w:rPr>
                <w:rFonts w:hint="eastAsia"/>
                <w:sz w:val="21"/>
                <w:szCs w:val="21"/>
              </w:rPr>
              <w:t>400</w:t>
            </w:r>
          </w:p>
        </w:tc>
        <w:tc>
          <w:tcPr>
            <w:tcW w:w="1211" w:type="pct"/>
            <w:vAlign w:val="center"/>
          </w:tcPr>
          <w:p w14:paraId="77B06129">
            <w:pPr>
              <w:pStyle w:val="90"/>
              <w:rPr>
                <w:rFonts w:hint="default" w:eastAsia="宋体"/>
                <w:sz w:val="21"/>
                <w:szCs w:val="21"/>
                <w:lang w:val="en-US" w:eastAsia="zh-CN"/>
              </w:rPr>
            </w:pPr>
            <w:r>
              <w:rPr>
                <w:rFonts w:hint="eastAsia"/>
                <w:sz w:val="21"/>
                <w:szCs w:val="21"/>
                <w:lang w:val="en-US" w:eastAsia="zh-CN"/>
              </w:rPr>
              <w:t>35.0430</w:t>
            </w:r>
          </w:p>
        </w:tc>
        <w:tc>
          <w:tcPr>
            <w:tcW w:w="984" w:type="pct"/>
            <w:vAlign w:val="center"/>
          </w:tcPr>
          <w:p w14:paraId="1A8E38D2">
            <w:pPr>
              <w:pStyle w:val="90"/>
              <w:rPr>
                <w:rFonts w:hint="default" w:eastAsia="宋体"/>
                <w:sz w:val="21"/>
                <w:szCs w:val="21"/>
                <w:lang w:val="en-US" w:eastAsia="zh-CN"/>
              </w:rPr>
            </w:pPr>
            <w:r>
              <w:rPr>
                <w:rFonts w:hint="eastAsia"/>
                <w:sz w:val="21"/>
                <w:szCs w:val="21"/>
                <w:lang w:val="en-US" w:eastAsia="zh-CN"/>
              </w:rPr>
              <w:t>1.75</w:t>
            </w:r>
          </w:p>
        </w:tc>
        <w:tc>
          <w:tcPr>
            <w:tcW w:w="1253" w:type="pct"/>
            <w:shd w:val="clear" w:color="auto" w:fill="auto"/>
            <w:vAlign w:val="center"/>
          </w:tcPr>
          <w:p w14:paraId="3947E32F">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0.6339</w:t>
            </w:r>
          </w:p>
        </w:tc>
        <w:tc>
          <w:tcPr>
            <w:tcW w:w="983" w:type="pct"/>
            <w:vAlign w:val="center"/>
          </w:tcPr>
          <w:p w14:paraId="362DDEC3">
            <w:pPr>
              <w:pStyle w:val="90"/>
              <w:rPr>
                <w:rFonts w:hint="default" w:eastAsia="宋体"/>
                <w:sz w:val="21"/>
                <w:szCs w:val="21"/>
                <w:lang w:val="en-US" w:eastAsia="zh-CN"/>
              </w:rPr>
            </w:pPr>
            <w:r>
              <w:rPr>
                <w:rFonts w:hint="eastAsia"/>
                <w:sz w:val="21"/>
                <w:szCs w:val="21"/>
                <w:lang w:val="en-US" w:eastAsia="zh-CN"/>
              </w:rPr>
              <w:t>0.21</w:t>
            </w:r>
          </w:p>
        </w:tc>
      </w:tr>
      <w:tr w14:paraId="53116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188EF940">
            <w:pPr>
              <w:pStyle w:val="90"/>
              <w:rPr>
                <w:sz w:val="21"/>
                <w:szCs w:val="21"/>
              </w:rPr>
            </w:pPr>
            <w:r>
              <w:rPr>
                <w:rFonts w:hint="eastAsia"/>
                <w:sz w:val="21"/>
                <w:szCs w:val="21"/>
              </w:rPr>
              <w:t>500</w:t>
            </w:r>
          </w:p>
        </w:tc>
        <w:tc>
          <w:tcPr>
            <w:tcW w:w="1211" w:type="pct"/>
            <w:vAlign w:val="center"/>
          </w:tcPr>
          <w:p w14:paraId="52249834">
            <w:pPr>
              <w:pStyle w:val="90"/>
              <w:rPr>
                <w:rFonts w:hint="default" w:eastAsia="宋体"/>
                <w:sz w:val="21"/>
                <w:szCs w:val="21"/>
                <w:lang w:val="en-US" w:eastAsia="zh-CN"/>
              </w:rPr>
            </w:pPr>
            <w:r>
              <w:rPr>
                <w:rFonts w:hint="eastAsia"/>
                <w:sz w:val="21"/>
                <w:szCs w:val="21"/>
                <w:lang w:val="en-US" w:eastAsia="zh-CN"/>
              </w:rPr>
              <w:t>27.3260</w:t>
            </w:r>
          </w:p>
        </w:tc>
        <w:tc>
          <w:tcPr>
            <w:tcW w:w="984" w:type="pct"/>
            <w:vAlign w:val="center"/>
          </w:tcPr>
          <w:p w14:paraId="2B9D0B53">
            <w:pPr>
              <w:pStyle w:val="90"/>
              <w:rPr>
                <w:rFonts w:hint="default" w:eastAsia="宋体"/>
                <w:sz w:val="21"/>
                <w:szCs w:val="21"/>
                <w:lang w:val="en-US" w:eastAsia="zh-CN"/>
              </w:rPr>
            </w:pPr>
            <w:r>
              <w:rPr>
                <w:rFonts w:hint="eastAsia"/>
                <w:sz w:val="21"/>
                <w:szCs w:val="21"/>
                <w:lang w:val="en-US" w:eastAsia="zh-CN"/>
              </w:rPr>
              <w:t>1.37</w:t>
            </w:r>
          </w:p>
        </w:tc>
        <w:tc>
          <w:tcPr>
            <w:tcW w:w="1253" w:type="pct"/>
            <w:shd w:val="clear" w:color="auto" w:fill="auto"/>
            <w:vAlign w:val="center"/>
          </w:tcPr>
          <w:p w14:paraId="78054340">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0.4943</w:t>
            </w:r>
          </w:p>
        </w:tc>
        <w:tc>
          <w:tcPr>
            <w:tcW w:w="983" w:type="pct"/>
            <w:vAlign w:val="center"/>
          </w:tcPr>
          <w:p w14:paraId="6DDBC50B">
            <w:pPr>
              <w:pStyle w:val="90"/>
              <w:rPr>
                <w:rFonts w:hint="default" w:eastAsia="宋体"/>
                <w:sz w:val="21"/>
                <w:szCs w:val="21"/>
                <w:lang w:val="en-US" w:eastAsia="zh-CN"/>
              </w:rPr>
            </w:pPr>
            <w:r>
              <w:rPr>
                <w:rFonts w:hint="eastAsia"/>
                <w:sz w:val="21"/>
                <w:szCs w:val="21"/>
                <w:lang w:val="en-US" w:eastAsia="zh-CN"/>
              </w:rPr>
              <w:t>0.16</w:t>
            </w:r>
          </w:p>
        </w:tc>
      </w:tr>
      <w:tr w14:paraId="6D3E0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2640DBC3">
            <w:pPr>
              <w:pStyle w:val="90"/>
              <w:rPr>
                <w:sz w:val="21"/>
                <w:szCs w:val="21"/>
              </w:rPr>
            </w:pPr>
            <w:r>
              <w:rPr>
                <w:rFonts w:hint="eastAsia"/>
                <w:sz w:val="21"/>
                <w:szCs w:val="21"/>
              </w:rPr>
              <w:t>600</w:t>
            </w:r>
          </w:p>
        </w:tc>
        <w:tc>
          <w:tcPr>
            <w:tcW w:w="1211" w:type="pct"/>
            <w:vAlign w:val="center"/>
          </w:tcPr>
          <w:p w14:paraId="625FDA96">
            <w:pPr>
              <w:pStyle w:val="90"/>
              <w:rPr>
                <w:rFonts w:hint="default" w:eastAsia="宋体"/>
                <w:sz w:val="21"/>
                <w:szCs w:val="21"/>
                <w:lang w:val="en-US" w:eastAsia="zh-CN"/>
              </w:rPr>
            </w:pPr>
            <w:r>
              <w:rPr>
                <w:rFonts w:hint="eastAsia"/>
                <w:sz w:val="21"/>
                <w:szCs w:val="21"/>
                <w:lang w:val="en-US" w:eastAsia="zh-CN"/>
              </w:rPr>
              <w:t>22.5500</w:t>
            </w:r>
          </w:p>
        </w:tc>
        <w:tc>
          <w:tcPr>
            <w:tcW w:w="984" w:type="pct"/>
            <w:vAlign w:val="center"/>
          </w:tcPr>
          <w:p w14:paraId="780A216A">
            <w:pPr>
              <w:pStyle w:val="90"/>
              <w:rPr>
                <w:rFonts w:hint="default" w:eastAsia="宋体"/>
                <w:sz w:val="21"/>
                <w:szCs w:val="21"/>
                <w:lang w:val="en-US" w:eastAsia="zh-CN"/>
              </w:rPr>
            </w:pPr>
            <w:r>
              <w:rPr>
                <w:rFonts w:hint="eastAsia"/>
                <w:sz w:val="21"/>
                <w:szCs w:val="21"/>
                <w:lang w:val="en-US" w:eastAsia="zh-CN"/>
              </w:rPr>
              <w:t>1.13</w:t>
            </w:r>
          </w:p>
        </w:tc>
        <w:tc>
          <w:tcPr>
            <w:tcW w:w="1253" w:type="pct"/>
            <w:shd w:val="clear" w:color="auto" w:fill="auto"/>
            <w:vAlign w:val="center"/>
          </w:tcPr>
          <w:p w14:paraId="5E129712">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0.4079</w:t>
            </w:r>
          </w:p>
        </w:tc>
        <w:tc>
          <w:tcPr>
            <w:tcW w:w="983" w:type="pct"/>
            <w:vAlign w:val="center"/>
          </w:tcPr>
          <w:p w14:paraId="63D9D056">
            <w:pPr>
              <w:pStyle w:val="90"/>
              <w:rPr>
                <w:rFonts w:hint="default" w:eastAsia="宋体"/>
                <w:sz w:val="21"/>
                <w:szCs w:val="21"/>
                <w:lang w:val="en-US" w:eastAsia="zh-CN"/>
              </w:rPr>
            </w:pPr>
            <w:r>
              <w:rPr>
                <w:rFonts w:hint="eastAsia"/>
                <w:sz w:val="21"/>
                <w:szCs w:val="21"/>
                <w:lang w:val="en-US" w:eastAsia="zh-CN"/>
              </w:rPr>
              <w:t>0.14</w:t>
            </w:r>
          </w:p>
        </w:tc>
      </w:tr>
      <w:tr w14:paraId="6D79F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3EDE33AB">
            <w:pPr>
              <w:pStyle w:val="90"/>
              <w:rPr>
                <w:sz w:val="21"/>
                <w:szCs w:val="21"/>
              </w:rPr>
            </w:pPr>
            <w:r>
              <w:rPr>
                <w:rFonts w:hint="eastAsia"/>
                <w:sz w:val="21"/>
                <w:szCs w:val="21"/>
              </w:rPr>
              <w:t>700</w:t>
            </w:r>
          </w:p>
        </w:tc>
        <w:tc>
          <w:tcPr>
            <w:tcW w:w="1211" w:type="pct"/>
            <w:vAlign w:val="center"/>
          </w:tcPr>
          <w:p w14:paraId="0317AD22">
            <w:pPr>
              <w:pStyle w:val="90"/>
              <w:rPr>
                <w:rFonts w:hint="default" w:eastAsia="宋体"/>
                <w:sz w:val="21"/>
                <w:szCs w:val="21"/>
                <w:lang w:val="en-US" w:eastAsia="zh-CN"/>
              </w:rPr>
            </w:pPr>
            <w:r>
              <w:rPr>
                <w:rFonts w:hint="eastAsia"/>
                <w:sz w:val="21"/>
                <w:szCs w:val="21"/>
                <w:lang w:val="en-US" w:eastAsia="zh-CN"/>
              </w:rPr>
              <w:t>19.9870</w:t>
            </w:r>
          </w:p>
        </w:tc>
        <w:tc>
          <w:tcPr>
            <w:tcW w:w="984" w:type="pct"/>
            <w:vAlign w:val="center"/>
          </w:tcPr>
          <w:p w14:paraId="52F42D77">
            <w:pPr>
              <w:pStyle w:val="90"/>
              <w:rPr>
                <w:rFonts w:hint="default" w:eastAsia="宋体"/>
                <w:sz w:val="21"/>
                <w:szCs w:val="21"/>
                <w:lang w:val="en-US" w:eastAsia="zh-CN"/>
              </w:rPr>
            </w:pPr>
            <w:r>
              <w:rPr>
                <w:rFonts w:hint="eastAsia"/>
                <w:sz w:val="21"/>
                <w:szCs w:val="21"/>
                <w:lang w:val="en-US" w:eastAsia="zh-CN"/>
              </w:rPr>
              <w:t>1.00</w:t>
            </w:r>
          </w:p>
        </w:tc>
        <w:tc>
          <w:tcPr>
            <w:tcW w:w="1253" w:type="pct"/>
            <w:shd w:val="clear" w:color="auto" w:fill="auto"/>
            <w:vAlign w:val="center"/>
          </w:tcPr>
          <w:p w14:paraId="15088BC1">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0.3616</w:t>
            </w:r>
          </w:p>
        </w:tc>
        <w:tc>
          <w:tcPr>
            <w:tcW w:w="983" w:type="pct"/>
            <w:vAlign w:val="center"/>
          </w:tcPr>
          <w:p w14:paraId="6830149C">
            <w:pPr>
              <w:pStyle w:val="90"/>
              <w:rPr>
                <w:rFonts w:hint="default" w:eastAsia="宋体"/>
                <w:sz w:val="21"/>
                <w:szCs w:val="21"/>
                <w:lang w:val="en-US" w:eastAsia="zh-CN"/>
              </w:rPr>
            </w:pPr>
            <w:r>
              <w:rPr>
                <w:rFonts w:hint="eastAsia"/>
                <w:sz w:val="21"/>
                <w:szCs w:val="21"/>
                <w:lang w:val="en-US" w:eastAsia="zh-CN"/>
              </w:rPr>
              <w:t>0.12</w:t>
            </w:r>
          </w:p>
        </w:tc>
      </w:tr>
      <w:tr w14:paraId="2D72B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7ACE1844">
            <w:pPr>
              <w:pStyle w:val="90"/>
              <w:rPr>
                <w:sz w:val="21"/>
                <w:szCs w:val="21"/>
              </w:rPr>
            </w:pPr>
            <w:r>
              <w:rPr>
                <w:rFonts w:hint="eastAsia"/>
                <w:sz w:val="21"/>
                <w:szCs w:val="21"/>
              </w:rPr>
              <w:t>800</w:t>
            </w:r>
          </w:p>
        </w:tc>
        <w:tc>
          <w:tcPr>
            <w:tcW w:w="1211" w:type="pct"/>
            <w:vAlign w:val="center"/>
          </w:tcPr>
          <w:p w14:paraId="2160717A">
            <w:pPr>
              <w:pStyle w:val="90"/>
              <w:rPr>
                <w:rFonts w:hint="default" w:eastAsia="宋体"/>
                <w:sz w:val="21"/>
                <w:szCs w:val="21"/>
                <w:lang w:val="en-US" w:eastAsia="zh-CN"/>
              </w:rPr>
            </w:pPr>
            <w:r>
              <w:rPr>
                <w:rFonts w:hint="eastAsia"/>
                <w:sz w:val="21"/>
                <w:szCs w:val="21"/>
                <w:lang w:val="en-US" w:eastAsia="zh-CN"/>
              </w:rPr>
              <w:t>19.6550</w:t>
            </w:r>
          </w:p>
        </w:tc>
        <w:tc>
          <w:tcPr>
            <w:tcW w:w="984" w:type="pct"/>
            <w:vAlign w:val="center"/>
          </w:tcPr>
          <w:p w14:paraId="5C9F87AE">
            <w:pPr>
              <w:pStyle w:val="90"/>
              <w:rPr>
                <w:rFonts w:hint="default" w:eastAsia="宋体"/>
                <w:sz w:val="21"/>
                <w:szCs w:val="21"/>
                <w:lang w:val="en-US" w:eastAsia="zh-CN"/>
              </w:rPr>
            </w:pPr>
            <w:r>
              <w:rPr>
                <w:rFonts w:hint="eastAsia"/>
                <w:sz w:val="21"/>
                <w:szCs w:val="21"/>
                <w:lang w:val="en-US" w:eastAsia="zh-CN"/>
              </w:rPr>
              <w:t>0.98</w:t>
            </w:r>
          </w:p>
        </w:tc>
        <w:tc>
          <w:tcPr>
            <w:tcW w:w="1253" w:type="pct"/>
            <w:shd w:val="clear" w:color="auto" w:fill="auto"/>
            <w:vAlign w:val="center"/>
          </w:tcPr>
          <w:p w14:paraId="0CF84B6A">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0.3556</w:t>
            </w:r>
          </w:p>
        </w:tc>
        <w:tc>
          <w:tcPr>
            <w:tcW w:w="983" w:type="pct"/>
            <w:vAlign w:val="center"/>
          </w:tcPr>
          <w:p w14:paraId="2F2D94B2">
            <w:pPr>
              <w:pStyle w:val="90"/>
              <w:rPr>
                <w:rFonts w:hint="default" w:eastAsia="宋体"/>
                <w:sz w:val="21"/>
                <w:szCs w:val="21"/>
                <w:lang w:val="en-US" w:eastAsia="zh-CN"/>
              </w:rPr>
            </w:pPr>
            <w:r>
              <w:rPr>
                <w:rFonts w:hint="eastAsia"/>
                <w:sz w:val="21"/>
                <w:szCs w:val="21"/>
                <w:lang w:val="en-US" w:eastAsia="zh-CN"/>
              </w:rPr>
              <w:t>0.12</w:t>
            </w:r>
          </w:p>
        </w:tc>
      </w:tr>
      <w:tr w14:paraId="3C13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3CF98EAE">
            <w:pPr>
              <w:pStyle w:val="90"/>
              <w:rPr>
                <w:sz w:val="21"/>
                <w:szCs w:val="21"/>
              </w:rPr>
            </w:pPr>
            <w:r>
              <w:rPr>
                <w:rFonts w:hint="eastAsia"/>
                <w:sz w:val="21"/>
                <w:szCs w:val="21"/>
              </w:rPr>
              <w:t>900</w:t>
            </w:r>
          </w:p>
        </w:tc>
        <w:tc>
          <w:tcPr>
            <w:tcW w:w="1211" w:type="pct"/>
            <w:vAlign w:val="center"/>
          </w:tcPr>
          <w:p w14:paraId="29B2A4DB">
            <w:pPr>
              <w:pStyle w:val="90"/>
              <w:rPr>
                <w:rFonts w:hint="default" w:eastAsia="宋体"/>
                <w:sz w:val="21"/>
                <w:szCs w:val="21"/>
                <w:lang w:val="en-US" w:eastAsia="zh-CN"/>
              </w:rPr>
            </w:pPr>
            <w:r>
              <w:rPr>
                <w:rFonts w:hint="eastAsia"/>
                <w:sz w:val="21"/>
                <w:szCs w:val="21"/>
                <w:lang w:val="en-US" w:eastAsia="zh-CN"/>
              </w:rPr>
              <w:t>18.9490</w:t>
            </w:r>
          </w:p>
        </w:tc>
        <w:tc>
          <w:tcPr>
            <w:tcW w:w="984" w:type="pct"/>
            <w:vAlign w:val="center"/>
          </w:tcPr>
          <w:p w14:paraId="2A5B83DC">
            <w:pPr>
              <w:pStyle w:val="90"/>
              <w:rPr>
                <w:rFonts w:hint="default" w:eastAsia="宋体"/>
                <w:sz w:val="21"/>
                <w:szCs w:val="21"/>
                <w:lang w:val="en-US" w:eastAsia="zh-CN"/>
              </w:rPr>
            </w:pPr>
            <w:r>
              <w:rPr>
                <w:rFonts w:hint="eastAsia"/>
                <w:sz w:val="21"/>
                <w:szCs w:val="21"/>
                <w:lang w:val="en-US" w:eastAsia="zh-CN"/>
              </w:rPr>
              <w:t>0.95</w:t>
            </w:r>
          </w:p>
        </w:tc>
        <w:tc>
          <w:tcPr>
            <w:tcW w:w="1253" w:type="pct"/>
            <w:shd w:val="clear" w:color="auto" w:fill="auto"/>
            <w:vAlign w:val="center"/>
          </w:tcPr>
          <w:p w14:paraId="7066E6D5">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0.3428</w:t>
            </w:r>
          </w:p>
        </w:tc>
        <w:tc>
          <w:tcPr>
            <w:tcW w:w="983" w:type="pct"/>
            <w:vAlign w:val="center"/>
          </w:tcPr>
          <w:p w14:paraId="38599183">
            <w:pPr>
              <w:pStyle w:val="90"/>
              <w:rPr>
                <w:rFonts w:hint="default" w:eastAsia="宋体"/>
                <w:sz w:val="21"/>
                <w:szCs w:val="21"/>
                <w:lang w:val="en-US" w:eastAsia="zh-CN"/>
              </w:rPr>
            </w:pPr>
            <w:r>
              <w:rPr>
                <w:rFonts w:hint="eastAsia"/>
                <w:sz w:val="21"/>
                <w:szCs w:val="21"/>
                <w:lang w:val="en-US" w:eastAsia="zh-CN"/>
              </w:rPr>
              <w:t>0.11</w:t>
            </w:r>
          </w:p>
        </w:tc>
      </w:tr>
      <w:tr w14:paraId="25887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5822D505">
            <w:pPr>
              <w:pStyle w:val="90"/>
              <w:rPr>
                <w:sz w:val="21"/>
                <w:szCs w:val="21"/>
              </w:rPr>
            </w:pPr>
            <w:r>
              <w:rPr>
                <w:rFonts w:hint="eastAsia"/>
                <w:sz w:val="21"/>
                <w:szCs w:val="21"/>
              </w:rPr>
              <w:t>1000</w:t>
            </w:r>
          </w:p>
        </w:tc>
        <w:tc>
          <w:tcPr>
            <w:tcW w:w="1211" w:type="pct"/>
            <w:vAlign w:val="center"/>
          </w:tcPr>
          <w:p w14:paraId="42FD37AB">
            <w:pPr>
              <w:pStyle w:val="90"/>
              <w:rPr>
                <w:rFonts w:hint="default" w:eastAsia="宋体"/>
                <w:sz w:val="21"/>
                <w:szCs w:val="21"/>
                <w:lang w:val="en-US" w:eastAsia="zh-CN"/>
              </w:rPr>
            </w:pPr>
            <w:r>
              <w:rPr>
                <w:rFonts w:hint="eastAsia"/>
                <w:sz w:val="21"/>
                <w:szCs w:val="21"/>
                <w:lang w:val="en-US" w:eastAsia="zh-CN"/>
              </w:rPr>
              <w:t>18.3260</w:t>
            </w:r>
          </w:p>
        </w:tc>
        <w:tc>
          <w:tcPr>
            <w:tcW w:w="984" w:type="pct"/>
            <w:vAlign w:val="center"/>
          </w:tcPr>
          <w:p w14:paraId="304CEDA5">
            <w:pPr>
              <w:pStyle w:val="90"/>
              <w:rPr>
                <w:rFonts w:hint="default" w:eastAsia="宋体"/>
                <w:sz w:val="21"/>
                <w:szCs w:val="21"/>
                <w:lang w:val="en-US" w:eastAsia="zh-CN"/>
              </w:rPr>
            </w:pPr>
            <w:r>
              <w:rPr>
                <w:rFonts w:hint="eastAsia"/>
                <w:sz w:val="21"/>
                <w:szCs w:val="21"/>
                <w:lang w:val="en-US" w:eastAsia="zh-CN"/>
              </w:rPr>
              <w:t>0.92</w:t>
            </w:r>
          </w:p>
        </w:tc>
        <w:tc>
          <w:tcPr>
            <w:tcW w:w="1253" w:type="pct"/>
            <w:shd w:val="clear" w:color="auto" w:fill="auto"/>
            <w:vAlign w:val="center"/>
          </w:tcPr>
          <w:p w14:paraId="1A30B144">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0.3315</w:t>
            </w:r>
          </w:p>
        </w:tc>
        <w:tc>
          <w:tcPr>
            <w:tcW w:w="983" w:type="pct"/>
            <w:vAlign w:val="center"/>
          </w:tcPr>
          <w:p w14:paraId="1C7757DB">
            <w:pPr>
              <w:pStyle w:val="90"/>
              <w:rPr>
                <w:rFonts w:hint="default" w:eastAsia="宋体"/>
                <w:sz w:val="21"/>
                <w:szCs w:val="21"/>
                <w:lang w:val="en-US" w:eastAsia="zh-CN"/>
              </w:rPr>
            </w:pPr>
            <w:r>
              <w:rPr>
                <w:rFonts w:hint="eastAsia"/>
                <w:sz w:val="21"/>
                <w:szCs w:val="21"/>
                <w:lang w:val="en-US" w:eastAsia="zh-CN"/>
              </w:rPr>
              <w:t>0.11</w:t>
            </w:r>
          </w:p>
        </w:tc>
      </w:tr>
      <w:tr w14:paraId="501F4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392D7EEB">
            <w:pPr>
              <w:pStyle w:val="90"/>
              <w:rPr>
                <w:sz w:val="21"/>
                <w:szCs w:val="21"/>
              </w:rPr>
            </w:pPr>
            <w:r>
              <w:rPr>
                <w:rFonts w:hint="eastAsia"/>
                <w:sz w:val="21"/>
                <w:szCs w:val="21"/>
              </w:rPr>
              <w:t>1200</w:t>
            </w:r>
          </w:p>
        </w:tc>
        <w:tc>
          <w:tcPr>
            <w:tcW w:w="1211" w:type="pct"/>
            <w:vAlign w:val="center"/>
          </w:tcPr>
          <w:p w14:paraId="5ED5CA6F">
            <w:pPr>
              <w:pStyle w:val="90"/>
              <w:rPr>
                <w:rFonts w:hint="default" w:eastAsia="宋体"/>
                <w:sz w:val="21"/>
                <w:szCs w:val="21"/>
                <w:lang w:val="en-US" w:eastAsia="zh-CN"/>
              </w:rPr>
            </w:pPr>
            <w:r>
              <w:rPr>
                <w:rFonts w:hint="eastAsia"/>
                <w:sz w:val="21"/>
                <w:szCs w:val="21"/>
                <w:lang w:val="en-US" w:eastAsia="zh-CN"/>
              </w:rPr>
              <w:t>17.9650</w:t>
            </w:r>
          </w:p>
        </w:tc>
        <w:tc>
          <w:tcPr>
            <w:tcW w:w="984" w:type="pct"/>
            <w:vAlign w:val="center"/>
          </w:tcPr>
          <w:p w14:paraId="6B82F17A">
            <w:pPr>
              <w:pStyle w:val="90"/>
              <w:rPr>
                <w:rFonts w:hint="default" w:eastAsia="宋体"/>
                <w:sz w:val="21"/>
                <w:szCs w:val="21"/>
                <w:lang w:val="en-US" w:eastAsia="zh-CN"/>
              </w:rPr>
            </w:pPr>
            <w:r>
              <w:rPr>
                <w:rFonts w:hint="eastAsia"/>
                <w:sz w:val="21"/>
                <w:szCs w:val="21"/>
                <w:lang w:val="en-US" w:eastAsia="zh-CN"/>
              </w:rPr>
              <w:t>0.90</w:t>
            </w:r>
          </w:p>
        </w:tc>
        <w:tc>
          <w:tcPr>
            <w:tcW w:w="1253" w:type="pct"/>
            <w:shd w:val="clear" w:color="auto" w:fill="auto"/>
            <w:vAlign w:val="center"/>
          </w:tcPr>
          <w:p w14:paraId="1C13B7FC">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0.3250</w:t>
            </w:r>
          </w:p>
        </w:tc>
        <w:tc>
          <w:tcPr>
            <w:tcW w:w="983" w:type="pct"/>
            <w:vAlign w:val="center"/>
          </w:tcPr>
          <w:p w14:paraId="582AC68E">
            <w:pPr>
              <w:pStyle w:val="90"/>
              <w:rPr>
                <w:rFonts w:hint="default" w:eastAsia="宋体"/>
                <w:sz w:val="21"/>
                <w:szCs w:val="21"/>
                <w:lang w:val="en-US" w:eastAsia="zh-CN"/>
              </w:rPr>
            </w:pPr>
            <w:r>
              <w:rPr>
                <w:rFonts w:hint="eastAsia"/>
                <w:sz w:val="21"/>
                <w:szCs w:val="21"/>
                <w:lang w:val="en-US" w:eastAsia="zh-CN"/>
              </w:rPr>
              <w:t>0.11</w:t>
            </w:r>
          </w:p>
        </w:tc>
      </w:tr>
      <w:tr w14:paraId="5B994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211B3027">
            <w:pPr>
              <w:pStyle w:val="90"/>
              <w:rPr>
                <w:sz w:val="21"/>
                <w:szCs w:val="21"/>
              </w:rPr>
            </w:pPr>
            <w:r>
              <w:rPr>
                <w:rFonts w:hint="eastAsia"/>
                <w:sz w:val="21"/>
                <w:szCs w:val="21"/>
              </w:rPr>
              <w:t>1400</w:t>
            </w:r>
          </w:p>
        </w:tc>
        <w:tc>
          <w:tcPr>
            <w:tcW w:w="1211" w:type="pct"/>
            <w:vAlign w:val="center"/>
          </w:tcPr>
          <w:p w14:paraId="24573396">
            <w:pPr>
              <w:pStyle w:val="90"/>
              <w:rPr>
                <w:rFonts w:hint="default" w:eastAsia="宋体"/>
                <w:sz w:val="21"/>
                <w:szCs w:val="21"/>
                <w:lang w:val="en-US" w:eastAsia="zh-CN"/>
              </w:rPr>
            </w:pPr>
            <w:r>
              <w:rPr>
                <w:rFonts w:hint="eastAsia"/>
                <w:sz w:val="21"/>
                <w:szCs w:val="21"/>
                <w:lang w:val="en-US" w:eastAsia="zh-CN"/>
              </w:rPr>
              <w:t>17.0050</w:t>
            </w:r>
          </w:p>
        </w:tc>
        <w:tc>
          <w:tcPr>
            <w:tcW w:w="984" w:type="pct"/>
            <w:vAlign w:val="center"/>
          </w:tcPr>
          <w:p w14:paraId="1A685F60">
            <w:pPr>
              <w:pStyle w:val="90"/>
              <w:rPr>
                <w:rFonts w:hint="default" w:eastAsia="宋体"/>
                <w:sz w:val="21"/>
                <w:szCs w:val="21"/>
                <w:lang w:val="en-US" w:eastAsia="zh-CN"/>
              </w:rPr>
            </w:pPr>
            <w:r>
              <w:rPr>
                <w:rFonts w:hint="eastAsia"/>
                <w:sz w:val="21"/>
                <w:szCs w:val="21"/>
                <w:lang w:val="en-US" w:eastAsia="zh-CN"/>
              </w:rPr>
              <w:t>0.85</w:t>
            </w:r>
          </w:p>
        </w:tc>
        <w:tc>
          <w:tcPr>
            <w:tcW w:w="1253" w:type="pct"/>
            <w:shd w:val="clear" w:color="auto" w:fill="auto"/>
            <w:vAlign w:val="center"/>
          </w:tcPr>
          <w:p w14:paraId="2C87089D">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0.3076</w:t>
            </w:r>
          </w:p>
        </w:tc>
        <w:tc>
          <w:tcPr>
            <w:tcW w:w="983" w:type="pct"/>
            <w:vAlign w:val="center"/>
          </w:tcPr>
          <w:p w14:paraId="37992773">
            <w:pPr>
              <w:pStyle w:val="90"/>
              <w:rPr>
                <w:rFonts w:hint="default" w:eastAsia="宋体"/>
                <w:sz w:val="21"/>
                <w:szCs w:val="21"/>
                <w:lang w:val="en-US" w:eastAsia="zh-CN"/>
              </w:rPr>
            </w:pPr>
            <w:r>
              <w:rPr>
                <w:rFonts w:hint="eastAsia"/>
                <w:sz w:val="21"/>
                <w:szCs w:val="21"/>
                <w:lang w:val="en-US" w:eastAsia="zh-CN"/>
              </w:rPr>
              <w:t>0.10</w:t>
            </w:r>
          </w:p>
        </w:tc>
      </w:tr>
      <w:tr w14:paraId="2EC17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6257935E">
            <w:pPr>
              <w:pStyle w:val="90"/>
              <w:rPr>
                <w:sz w:val="21"/>
                <w:szCs w:val="21"/>
              </w:rPr>
            </w:pPr>
            <w:r>
              <w:rPr>
                <w:rFonts w:hint="eastAsia"/>
                <w:sz w:val="21"/>
                <w:szCs w:val="21"/>
              </w:rPr>
              <w:t>1600</w:t>
            </w:r>
          </w:p>
        </w:tc>
        <w:tc>
          <w:tcPr>
            <w:tcW w:w="1211" w:type="pct"/>
            <w:vAlign w:val="center"/>
          </w:tcPr>
          <w:p w14:paraId="7EDA2A33">
            <w:pPr>
              <w:pStyle w:val="90"/>
              <w:rPr>
                <w:rFonts w:hint="default" w:eastAsia="宋体"/>
                <w:sz w:val="21"/>
                <w:szCs w:val="21"/>
                <w:lang w:val="en-US" w:eastAsia="zh-CN"/>
              </w:rPr>
            </w:pPr>
            <w:r>
              <w:rPr>
                <w:rFonts w:hint="eastAsia"/>
                <w:sz w:val="21"/>
                <w:szCs w:val="21"/>
                <w:lang w:val="en-US" w:eastAsia="zh-CN"/>
              </w:rPr>
              <w:t>15.8780</w:t>
            </w:r>
          </w:p>
        </w:tc>
        <w:tc>
          <w:tcPr>
            <w:tcW w:w="984" w:type="pct"/>
            <w:vAlign w:val="center"/>
          </w:tcPr>
          <w:p w14:paraId="0C3DD5DB">
            <w:pPr>
              <w:pStyle w:val="90"/>
              <w:rPr>
                <w:rFonts w:hint="default" w:eastAsia="宋体"/>
                <w:sz w:val="21"/>
                <w:szCs w:val="21"/>
                <w:lang w:val="en-US" w:eastAsia="zh-CN"/>
              </w:rPr>
            </w:pPr>
            <w:r>
              <w:rPr>
                <w:rFonts w:hint="eastAsia"/>
                <w:sz w:val="21"/>
                <w:szCs w:val="21"/>
                <w:lang w:val="en-US" w:eastAsia="zh-CN"/>
              </w:rPr>
              <w:t>0.79</w:t>
            </w:r>
          </w:p>
        </w:tc>
        <w:tc>
          <w:tcPr>
            <w:tcW w:w="1253" w:type="pct"/>
            <w:shd w:val="clear" w:color="auto" w:fill="auto"/>
            <w:vAlign w:val="center"/>
          </w:tcPr>
          <w:p w14:paraId="017CDA52">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0.2872</w:t>
            </w:r>
          </w:p>
        </w:tc>
        <w:tc>
          <w:tcPr>
            <w:tcW w:w="983" w:type="pct"/>
            <w:vAlign w:val="center"/>
          </w:tcPr>
          <w:p w14:paraId="50EDA44E">
            <w:pPr>
              <w:pStyle w:val="90"/>
              <w:rPr>
                <w:rFonts w:hint="default" w:eastAsia="宋体"/>
                <w:sz w:val="21"/>
                <w:szCs w:val="21"/>
                <w:lang w:val="en-US" w:eastAsia="zh-CN"/>
              </w:rPr>
            </w:pPr>
            <w:r>
              <w:rPr>
                <w:rFonts w:hint="eastAsia"/>
                <w:sz w:val="21"/>
                <w:szCs w:val="21"/>
                <w:lang w:val="en-US" w:eastAsia="zh-CN"/>
              </w:rPr>
              <w:t>0.10</w:t>
            </w:r>
          </w:p>
        </w:tc>
      </w:tr>
      <w:tr w14:paraId="7A51A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5CB6679C">
            <w:pPr>
              <w:pStyle w:val="90"/>
              <w:rPr>
                <w:sz w:val="21"/>
                <w:szCs w:val="21"/>
              </w:rPr>
            </w:pPr>
            <w:r>
              <w:rPr>
                <w:rFonts w:hint="eastAsia"/>
                <w:sz w:val="21"/>
                <w:szCs w:val="21"/>
              </w:rPr>
              <w:t>1800</w:t>
            </w:r>
          </w:p>
        </w:tc>
        <w:tc>
          <w:tcPr>
            <w:tcW w:w="1211" w:type="pct"/>
            <w:vAlign w:val="center"/>
          </w:tcPr>
          <w:p w14:paraId="59287865">
            <w:pPr>
              <w:pStyle w:val="90"/>
              <w:rPr>
                <w:rFonts w:hint="default" w:eastAsia="宋体"/>
                <w:sz w:val="21"/>
                <w:szCs w:val="21"/>
                <w:lang w:val="en-US" w:eastAsia="zh-CN"/>
              </w:rPr>
            </w:pPr>
            <w:r>
              <w:rPr>
                <w:rFonts w:hint="eastAsia"/>
                <w:sz w:val="21"/>
                <w:szCs w:val="21"/>
                <w:lang w:val="en-US" w:eastAsia="zh-CN"/>
              </w:rPr>
              <w:t>14.7380</w:t>
            </w:r>
          </w:p>
        </w:tc>
        <w:tc>
          <w:tcPr>
            <w:tcW w:w="984" w:type="pct"/>
            <w:vAlign w:val="center"/>
          </w:tcPr>
          <w:p w14:paraId="3BCD8AA7">
            <w:pPr>
              <w:pStyle w:val="90"/>
              <w:rPr>
                <w:rFonts w:hint="default" w:eastAsia="宋体"/>
                <w:sz w:val="21"/>
                <w:szCs w:val="21"/>
                <w:lang w:val="en-US" w:eastAsia="zh-CN"/>
              </w:rPr>
            </w:pPr>
            <w:r>
              <w:rPr>
                <w:rFonts w:hint="eastAsia"/>
                <w:sz w:val="21"/>
                <w:szCs w:val="21"/>
                <w:lang w:val="en-US" w:eastAsia="zh-CN"/>
              </w:rPr>
              <w:t>0.74</w:t>
            </w:r>
          </w:p>
        </w:tc>
        <w:tc>
          <w:tcPr>
            <w:tcW w:w="1253" w:type="pct"/>
            <w:shd w:val="clear" w:color="auto" w:fill="auto"/>
            <w:vAlign w:val="center"/>
          </w:tcPr>
          <w:p w14:paraId="79761782">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0.2666</w:t>
            </w:r>
          </w:p>
        </w:tc>
        <w:tc>
          <w:tcPr>
            <w:tcW w:w="983" w:type="pct"/>
            <w:vAlign w:val="center"/>
          </w:tcPr>
          <w:p w14:paraId="62D29364">
            <w:pPr>
              <w:pStyle w:val="90"/>
              <w:rPr>
                <w:rFonts w:hint="default" w:eastAsia="宋体"/>
                <w:sz w:val="21"/>
                <w:szCs w:val="21"/>
                <w:lang w:val="en-US" w:eastAsia="zh-CN"/>
              </w:rPr>
            </w:pPr>
            <w:r>
              <w:rPr>
                <w:rFonts w:hint="eastAsia"/>
                <w:sz w:val="21"/>
                <w:szCs w:val="21"/>
                <w:lang w:val="en-US" w:eastAsia="zh-CN"/>
              </w:rPr>
              <w:t>0.09</w:t>
            </w:r>
          </w:p>
        </w:tc>
      </w:tr>
      <w:tr w14:paraId="55E11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4932CA9A">
            <w:pPr>
              <w:pStyle w:val="90"/>
              <w:rPr>
                <w:sz w:val="21"/>
                <w:szCs w:val="21"/>
              </w:rPr>
            </w:pPr>
            <w:r>
              <w:rPr>
                <w:rFonts w:hint="eastAsia"/>
                <w:sz w:val="21"/>
                <w:szCs w:val="21"/>
              </w:rPr>
              <w:t>2000</w:t>
            </w:r>
          </w:p>
        </w:tc>
        <w:tc>
          <w:tcPr>
            <w:tcW w:w="1211" w:type="pct"/>
            <w:vAlign w:val="center"/>
          </w:tcPr>
          <w:p w14:paraId="23D9477B">
            <w:pPr>
              <w:pStyle w:val="90"/>
              <w:rPr>
                <w:rFonts w:hint="default" w:eastAsia="宋体"/>
                <w:sz w:val="21"/>
                <w:szCs w:val="21"/>
                <w:lang w:val="en-US" w:eastAsia="zh-CN"/>
              </w:rPr>
            </w:pPr>
            <w:r>
              <w:rPr>
                <w:rFonts w:hint="eastAsia"/>
                <w:sz w:val="21"/>
                <w:szCs w:val="21"/>
                <w:lang w:val="en-US" w:eastAsia="zh-CN"/>
              </w:rPr>
              <w:t>13.6580</w:t>
            </w:r>
          </w:p>
        </w:tc>
        <w:tc>
          <w:tcPr>
            <w:tcW w:w="984" w:type="pct"/>
            <w:vAlign w:val="center"/>
          </w:tcPr>
          <w:p w14:paraId="22886565">
            <w:pPr>
              <w:pStyle w:val="90"/>
              <w:rPr>
                <w:rFonts w:hint="default" w:eastAsia="宋体"/>
                <w:sz w:val="21"/>
                <w:szCs w:val="21"/>
                <w:lang w:val="en-US" w:eastAsia="zh-CN"/>
              </w:rPr>
            </w:pPr>
            <w:r>
              <w:rPr>
                <w:rFonts w:hint="eastAsia"/>
                <w:sz w:val="21"/>
                <w:szCs w:val="21"/>
                <w:lang w:val="en-US" w:eastAsia="zh-CN"/>
              </w:rPr>
              <w:t>0.68</w:t>
            </w:r>
          </w:p>
        </w:tc>
        <w:tc>
          <w:tcPr>
            <w:tcW w:w="1253" w:type="pct"/>
            <w:shd w:val="clear" w:color="auto" w:fill="auto"/>
            <w:vAlign w:val="center"/>
          </w:tcPr>
          <w:p w14:paraId="55B40CFF">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0.2471</w:t>
            </w:r>
          </w:p>
        </w:tc>
        <w:tc>
          <w:tcPr>
            <w:tcW w:w="983" w:type="pct"/>
            <w:vAlign w:val="center"/>
          </w:tcPr>
          <w:p w14:paraId="05FBB690">
            <w:pPr>
              <w:pStyle w:val="90"/>
              <w:rPr>
                <w:rFonts w:hint="default" w:eastAsia="宋体"/>
                <w:sz w:val="21"/>
                <w:szCs w:val="21"/>
                <w:lang w:val="en-US" w:eastAsia="zh-CN"/>
              </w:rPr>
            </w:pPr>
            <w:r>
              <w:rPr>
                <w:rFonts w:hint="eastAsia"/>
                <w:sz w:val="21"/>
                <w:szCs w:val="21"/>
                <w:lang w:val="en-US" w:eastAsia="zh-CN"/>
              </w:rPr>
              <w:t>0.08</w:t>
            </w:r>
          </w:p>
        </w:tc>
      </w:tr>
      <w:tr w14:paraId="737DD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29C50CBF">
            <w:pPr>
              <w:pStyle w:val="90"/>
              <w:rPr>
                <w:sz w:val="21"/>
                <w:szCs w:val="21"/>
              </w:rPr>
            </w:pPr>
            <w:r>
              <w:rPr>
                <w:rFonts w:hint="eastAsia"/>
                <w:sz w:val="21"/>
                <w:szCs w:val="21"/>
              </w:rPr>
              <w:t>3000</w:t>
            </w:r>
          </w:p>
        </w:tc>
        <w:tc>
          <w:tcPr>
            <w:tcW w:w="1211" w:type="pct"/>
            <w:vAlign w:val="center"/>
          </w:tcPr>
          <w:p w14:paraId="573D61FB">
            <w:pPr>
              <w:pStyle w:val="90"/>
              <w:rPr>
                <w:rFonts w:hint="default" w:eastAsia="宋体"/>
                <w:sz w:val="21"/>
                <w:szCs w:val="21"/>
                <w:lang w:val="en-US" w:eastAsia="zh-CN"/>
              </w:rPr>
            </w:pPr>
            <w:r>
              <w:rPr>
                <w:rFonts w:hint="eastAsia"/>
                <w:sz w:val="21"/>
                <w:szCs w:val="21"/>
                <w:lang w:val="en-US" w:eastAsia="zh-CN"/>
              </w:rPr>
              <w:t>11.8360</w:t>
            </w:r>
          </w:p>
        </w:tc>
        <w:tc>
          <w:tcPr>
            <w:tcW w:w="984" w:type="pct"/>
            <w:vAlign w:val="center"/>
          </w:tcPr>
          <w:p w14:paraId="550068AB">
            <w:pPr>
              <w:pStyle w:val="90"/>
              <w:rPr>
                <w:rFonts w:hint="default" w:eastAsia="宋体"/>
                <w:sz w:val="21"/>
                <w:szCs w:val="21"/>
                <w:lang w:val="en-US" w:eastAsia="zh-CN"/>
              </w:rPr>
            </w:pPr>
            <w:r>
              <w:rPr>
                <w:rFonts w:hint="eastAsia"/>
                <w:sz w:val="21"/>
                <w:szCs w:val="21"/>
                <w:lang w:val="en-US" w:eastAsia="zh-CN"/>
              </w:rPr>
              <w:t>0.59</w:t>
            </w:r>
          </w:p>
        </w:tc>
        <w:tc>
          <w:tcPr>
            <w:tcW w:w="1253" w:type="pct"/>
            <w:shd w:val="clear" w:color="auto" w:fill="auto"/>
            <w:vAlign w:val="center"/>
          </w:tcPr>
          <w:p w14:paraId="7E4A8FB2">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0.2141</w:t>
            </w:r>
          </w:p>
        </w:tc>
        <w:tc>
          <w:tcPr>
            <w:tcW w:w="983" w:type="pct"/>
            <w:vAlign w:val="center"/>
          </w:tcPr>
          <w:p w14:paraId="4CC6E345">
            <w:pPr>
              <w:pStyle w:val="90"/>
              <w:rPr>
                <w:rFonts w:hint="default" w:eastAsia="宋体"/>
                <w:sz w:val="21"/>
                <w:szCs w:val="21"/>
                <w:lang w:val="en-US" w:eastAsia="zh-CN"/>
              </w:rPr>
            </w:pPr>
            <w:r>
              <w:rPr>
                <w:rFonts w:hint="eastAsia"/>
                <w:sz w:val="21"/>
                <w:szCs w:val="21"/>
                <w:lang w:val="en-US" w:eastAsia="zh-CN"/>
              </w:rPr>
              <w:t>0.07</w:t>
            </w:r>
          </w:p>
        </w:tc>
      </w:tr>
      <w:tr w14:paraId="35B1C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60E99821">
            <w:pPr>
              <w:pStyle w:val="90"/>
              <w:rPr>
                <w:sz w:val="21"/>
                <w:szCs w:val="21"/>
              </w:rPr>
            </w:pPr>
            <w:r>
              <w:rPr>
                <w:rFonts w:hint="eastAsia"/>
                <w:sz w:val="21"/>
                <w:szCs w:val="21"/>
              </w:rPr>
              <w:t>4000</w:t>
            </w:r>
          </w:p>
        </w:tc>
        <w:tc>
          <w:tcPr>
            <w:tcW w:w="1211" w:type="pct"/>
            <w:vAlign w:val="center"/>
          </w:tcPr>
          <w:p w14:paraId="65FF4884">
            <w:pPr>
              <w:pStyle w:val="90"/>
              <w:rPr>
                <w:rFonts w:hint="default" w:eastAsia="宋体"/>
                <w:sz w:val="21"/>
                <w:szCs w:val="21"/>
                <w:lang w:val="en-US" w:eastAsia="zh-CN"/>
              </w:rPr>
            </w:pPr>
            <w:r>
              <w:rPr>
                <w:rFonts w:hint="eastAsia"/>
                <w:sz w:val="21"/>
                <w:szCs w:val="21"/>
                <w:lang w:val="en-US" w:eastAsia="zh-CN"/>
              </w:rPr>
              <w:t>9.1855</w:t>
            </w:r>
          </w:p>
        </w:tc>
        <w:tc>
          <w:tcPr>
            <w:tcW w:w="984" w:type="pct"/>
            <w:vAlign w:val="center"/>
          </w:tcPr>
          <w:p w14:paraId="1EC47045">
            <w:pPr>
              <w:pStyle w:val="90"/>
              <w:rPr>
                <w:rFonts w:hint="default" w:eastAsia="宋体"/>
                <w:sz w:val="21"/>
                <w:szCs w:val="21"/>
                <w:lang w:val="en-US" w:eastAsia="zh-CN"/>
              </w:rPr>
            </w:pPr>
            <w:r>
              <w:rPr>
                <w:rFonts w:hint="eastAsia"/>
                <w:sz w:val="21"/>
                <w:szCs w:val="21"/>
                <w:lang w:val="en-US" w:eastAsia="zh-CN"/>
              </w:rPr>
              <w:t>0.46</w:t>
            </w:r>
          </w:p>
        </w:tc>
        <w:tc>
          <w:tcPr>
            <w:tcW w:w="1253" w:type="pct"/>
            <w:shd w:val="clear" w:color="auto" w:fill="auto"/>
            <w:vAlign w:val="center"/>
          </w:tcPr>
          <w:p w14:paraId="52BF9B79">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0.1662</w:t>
            </w:r>
          </w:p>
        </w:tc>
        <w:tc>
          <w:tcPr>
            <w:tcW w:w="983" w:type="pct"/>
            <w:vAlign w:val="center"/>
          </w:tcPr>
          <w:p w14:paraId="29979564">
            <w:pPr>
              <w:pStyle w:val="90"/>
              <w:rPr>
                <w:rFonts w:hint="default" w:eastAsia="宋体"/>
                <w:sz w:val="21"/>
                <w:szCs w:val="21"/>
                <w:lang w:val="en-US" w:eastAsia="zh-CN"/>
              </w:rPr>
            </w:pPr>
            <w:r>
              <w:rPr>
                <w:rFonts w:hint="eastAsia"/>
                <w:sz w:val="21"/>
                <w:szCs w:val="21"/>
                <w:lang w:val="en-US" w:eastAsia="zh-CN"/>
              </w:rPr>
              <w:t>0.06</w:t>
            </w:r>
          </w:p>
        </w:tc>
      </w:tr>
      <w:tr w14:paraId="31743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7F515991">
            <w:pPr>
              <w:pStyle w:val="90"/>
              <w:rPr>
                <w:sz w:val="21"/>
                <w:szCs w:val="21"/>
              </w:rPr>
            </w:pPr>
            <w:r>
              <w:rPr>
                <w:rFonts w:hint="eastAsia"/>
                <w:sz w:val="21"/>
                <w:szCs w:val="21"/>
              </w:rPr>
              <w:t>5000</w:t>
            </w:r>
          </w:p>
        </w:tc>
        <w:tc>
          <w:tcPr>
            <w:tcW w:w="1211" w:type="pct"/>
            <w:vAlign w:val="center"/>
          </w:tcPr>
          <w:p w14:paraId="720B62ED">
            <w:pPr>
              <w:pStyle w:val="90"/>
              <w:rPr>
                <w:rFonts w:hint="default" w:eastAsia="宋体"/>
                <w:sz w:val="21"/>
                <w:szCs w:val="21"/>
                <w:lang w:val="en-US" w:eastAsia="zh-CN"/>
              </w:rPr>
            </w:pPr>
            <w:r>
              <w:rPr>
                <w:rFonts w:hint="eastAsia"/>
                <w:sz w:val="21"/>
                <w:szCs w:val="21"/>
                <w:lang w:val="en-US" w:eastAsia="zh-CN"/>
              </w:rPr>
              <w:t>8.2479</w:t>
            </w:r>
          </w:p>
        </w:tc>
        <w:tc>
          <w:tcPr>
            <w:tcW w:w="984" w:type="pct"/>
            <w:vAlign w:val="center"/>
          </w:tcPr>
          <w:p w14:paraId="5E5C63C8">
            <w:pPr>
              <w:pStyle w:val="90"/>
              <w:rPr>
                <w:rFonts w:hint="default" w:eastAsia="宋体"/>
                <w:sz w:val="21"/>
                <w:szCs w:val="21"/>
                <w:lang w:val="en-US" w:eastAsia="zh-CN"/>
              </w:rPr>
            </w:pPr>
            <w:r>
              <w:rPr>
                <w:rFonts w:hint="eastAsia"/>
                <w:sz w:val="21"/>
                <w:szCs w:val="21"/>
                <w:lang w:val="en-US" w:eastAsia="zh-CN"/>
              </w:rPr>
              <w:t>0.41</w:t>
            </w:r>
          </w:p>
        </w:tc>
        <w:tc>
          <w:tcPr>
            <w:tcW w:w="1253" w:type="pct"/>
            <w:shd w:val="clear" w:color="auto" w:fill="auto"/>
            <w:vAlign w:val="center"/>
          </w:tcPr>
          <w:p w14:paraId="27CE02FA">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0.1492</w:t>
            </w:r>
          </w:p>
        </w:tc>
        <w:tc>
          <w:tcPr>
            <w:tcW w:w="983" w:type="pct"/>
            <w:vAlign w:val="center"/>
          </w:tcPr>
          <w:p w14:paraId="0325C413">
            <w:pPr>
              <w:pStyle w:val="90"/>
              <w:rPr>
                <w:rFonts w:hint="default" w:eastAsia="宋体"/>
                <w:sz w:val="21"/>
                <w:szCs w:val="21"/>
                <w:lang w:val="en-US" w:eastAsia="zh-CN"/>
              </w:rPr>
            </w:pPr>
            <w:r>
              <w:rPr>
                <w:rFonts w:hint="eastAsia"/>
                <w:sz w:val="21"/>
                <w:szCs w:val="21"/>
                <w:lang w:val="en-US" w:eastAsia="zh-CN"/>
              </w:rPr>
              <w:t>0.05</w:t>
            </w:r>
          </w:p>
        </w:tc>
      </w:tr>
      <w:tr w14:paraId="770D5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67" w:type="pct"/>
            <w:shd w:val="clear" w:color="auto" w:fill="auto"/>
            <w:tcMar>
              <w:left w:w="0" w:type="dxa"/>
              <w:right w:w="0" w:type="dxa"/>
            </w:tcMar>
            <w:vAlign w:val="center"/>
          </w:tcPr>
          <w:p w14:paraId="28C5C3D9">
            <w:pPr>
              <w:pStyle w:val="90"/>
              <w:rPr>
                <w:sz w:val="21"/>
                <w:szCs w:val="21"/>
              </w:rPr>
            </w:pPr>
            <w:r>
              <w:rPr>
                <w:rFonts w:hint="eastAsia"/>
                <w:sz w:val="21"/>
                <w:szCs w:val="21"/>
              </w:rPr>
              <w:t>10000</w:t>
            </w:r>
          </w:p>
        </w:tc>
        <w:tc>
          <w:tcPr>
            <w:tcW w:w="1211" w:type="pct"/>
            <w:vAlign w:val="center"/>
          </w:tcPr>
          <w:p w14:paraId="474D19AF">
            <w:pPr>
              <w:pStyle w:val="90"/>
              <w:rPr>
                <w:rFonts w:hint="default" w:eastAsia="宋体"/>
                <w:sz w:val="21"/>
                <w:szCs w:val="21"/>
                <w:lang w:val="en-US" w:eastAsia="zh-CN"/>
              </w:rPr>
            </w:pPr>
            <w:r>
              <w:rPr>
                <w:rFonts w:hint="eastAsia"/>
                <w:sz w:val="21"/>
                <w:szCs w:val="21"/>
                <w:lang w:val="en-US" w:eastAsia="zh-CN"/>
              </w:rPr>
              <w:t>4.9075</w:t>
            </w:r>
          </w:p>
        </w:tc>
        <w:tc>
          <w:tcPr>
            <w:tcW w:w="984" w:type="pct"/>
            <w:vAlign w:val="center"/>
          </w:tcPr>
          <w:p w14:paraId="2612EA91">
            <w:pPr>
              <w:pStyle w:val="90"/>
              <w:rPr>
                <w:rFonts w:hint="default" w:eastAsia="宋体"/>
                <w:sz w:val="21"/>
                <w:szCs w:val="21"/>
                <w:lang w:val="en-US" w:eastAsia="zh-CN"/>
              </w:rPr>
            </w:pPr>
            <w:r>
              <w:rPr>
                <w:rFonts w:hint="eastAsia"/>
                <w:sz w:val="21"/>
                <w:szCs w:val="21"/>
                <w:lang w:val="en-US" w:eastAsia="zh-CN"/>
              </w:rPr>
              <w:t>0.25</w:t>
            </w:r>
          </w:p>
        </w:tc>
        <w:tc>
          <w:tcPr>
            <w:tcW w:w="1253" w:type="pct"/>
            <w:shd w:val="clear" w:color="auto" w:fill="auto"/>
            <w:vAlign w:val="center"/>
          </w:tcPr>
          <w:p w14:paraId="4C95859D">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0.0888</w:t>
            </w:r>
          </w:p>
        </w:tc>
        <w:tc>
          <w:tcPr>
            <w:tcW w:w="983" w:type="pct"/>
            <w:vAlign w:val="center"/>
          </w:tcPr>
          <w:p w14:paraId="460F1E41">
            <w:pPr>
              <w:pStyle w:val="90"/>
              <w:rPr>
                <w:rFonts w:hint="default" w:eastAsia="宋体"/>
                <w:sz w:val="21"/>
                <w:szCs w:val="21"/>
                <w:lang w:val="en-US" w:eastAsia="zh-CN"/>
              </w:rPr>
            </w:pPr>
            <w:r>
              <w:rPr>
                <w:rFonts w:hint="eastAsia"/>
                <w:sz w:val="21"/>
                <w:szCs w:val="21"/>
                <w:lang w:val="en-US" w:eastAsia="zh-CN"/>
              </w:rPr>
              <w:t>0.03</w:t>
            </w:r>
          </w:p>
        </w:tc>
      </w:tr>
      <w:tr w14:paraId="57BB6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7EC6D0D3">
            <w:pPr>
              <w:pStyle w:val="90"/>
              <w:rPr>
                <w:sz w:val="21"/>
                <w:szCs w:val="21"/>
              </w:rPr>
            </w:pPr>
            <w:r>
              <w:rPr>
                <w:rFonts w:hint="eastAsia"/>
                <w:sz w:val="21"/>
                <w:szCs w:val="21"/>
              </w:rPr>
              <w:t>20000</w:t>
            </w:r>
          </w:p>
        </w:tc>
        <w:tc>
          <w:tcPr>
            <w:tcW w:w="1211" w:type="pct"/>
            <w:vAlign w:val="center"/>
          </w:tcPr>
          <w:p w14:paraId="5DF9D518">
            <w:pPr>
              <w:pStyle w:val="90"/>
              <w:rPr>
                <w:rFonts w:hint="default" w:eastAsia="宋体"/>
                <w:sz w:val="21"/>
                <w:szCs w:val="21"/>
                <w:lang w:val="en-US" w:eastAsia="zh-CN"/>
              </w:rPr>
            </w:pPr>
            <w:r>
              <w:rPr>
                <w:rFonts w:hint="eastAsia"/>
                <w:sz w:val="21"/>
                <w:szCs w:val="21"/>
                <w:lang w:val="en-US" w:eastAsia="zh-CN"/>
              </w:rPr>
              <w:t>2.2244</w:t>
            </w:r>
          </w:p>
        </w:tc>
        <w:tc>
          <w:tcPr>
            <w:tcW w:w="984" w:type="pct"/>
            <w:vAlign w:val="center"/>
          </w:tcPr>
          <w:p w14:paraId="4636D0AF">
            <w:pPr>
              <w:pStyle w:val="90"/>
              <w:rPr>
                <w:rFonts w:hint="default" w:eastAsia="宋体"/>
                <w:sz w:val="21"/>
                <w:szCs w:val="21"/>
                <w:lang w:val="en-US" w:eastAsia="zh-CN"/>
              </w:rPr>
            </w:pPr>
            <w:r>
              <w:rPr>
                <w:rFonts w:hint="eastAsia"/>
                <w:sz w:val="21"/>
                <w:szCs w:val="21"/>
                <w:lang w:val="en-US" w:eastAsia="zh-CN"/>
              </w:rPr>
              <w:t>0.11</w:t>
            </w:r>
          </w:p>
        </w:tc>
        <w:tc>
          <w:tcPr>
            <w:tcW w:w="1253" w:type="pct"/>
            <w:shd w:val="clear" w:color="auto" w:fill="auto"/>
            <w:vAlign w:val="center"/>
          </w:tcPr>
          <w:p w14:paraId="71EAC53B">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0.0402</w:t>
            </w:r>
          </w:p>
        </w:tc>
        <w:tc>
          <w:tcPr>
            <w:tcW w:w="983" w:type="pct"/>
            <w:vAlign w:val="center"/>
          </w:tcPr>
          <w:p w14:paraId="79EEF051">
            <w:pPr>
              <w:pStyle w:val="90"/>
              <w:rPr>
                <w:rFonts w:hint="default" w:eastAsia="宋体"/>
                <w:sz w:val="21"/>
                <w:szCs w:val="21"/>
                <w:lang w:val="en-US" w:eastAsia="zh-CN"/>
              </w:rPr>
            </w:pPr>
            <w:r>
              <w:rPr>
                <w:rFonts w:hint="eastAsia"/>
                <w:sz w:val="21"/>
                <w:szCs w:val="21"/>
                <w:lang w:val="en-US" w:eastAsia="zh-CN"/>
              </w:rPr>
              <w:t>0.01</w:t>
            </w:r>
          </w:p>
        </w:tc>
      </w:tr>
      <w:tr w14:paraId="4EA07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7AA1BE62">
            <w:pPr>
              <w:pStyle w:val="90"/>
              <w:rPr>
                <w:sz w:val="21"/>
                <w:szCs w:val="21"/>
              </w:rPr>
            </w:pPr>
            <w:r>
              <w:rPr>
                <w:rFonts w:hint="eastAsia"/>
                <w:sz w:val="21"/>
                <w:szCs w:val="21"/>
              </w:rPr>
              <w:t>25000</w:t>
            </w:r>
          </w:p>
        </w:tc>
        <w:tc>
          <w:tcPr>
            <w:tcW w:w="1211" w:type="pct"/>
            <w:vAlign w:val="center"/>
          </w:tcPr>
          <w:p w14:paraId="009D81B0">
            <w:pPr>
              <w:pStyle w:val="90"/>
              <w:rPr>
                <w:rFonts w:hint="default" w:eastAsia="宋体"/>
                <w:sz w:val="21"/>
                <w:szCs w:val="21"/>
                <w:lang w:val="en-US" w:eastAsia="zh-CN"/>
              </w:rPr>
            </w:pPr>
            <w:r>
              <w:rPr>
                <w:rFonts w:hint="eastAsia"/>
                <w:sz w:val="21"/>
                <w:szCs w:val="21"/>
                <w:lang w:val="en-US" w:eastAsia="zh-CN"/>
              </w:rPr>
              <w:t>1.6461</w:t>
            </w:r>
          </w:p>
        </w:tc>
        <w:tc>
          <w:tcPr>
            <w:tcW w:w="984" w:type="pct"/>
            <w:vAlign w:val="center"/>
          </w:tcPr>
          <w:p w14:paraId="6453D636">
            <w:pPr>
              <w:pStyle w:val="90"/>
              <w:rPr>
                <w:rFonts w:hint="default" w:eastAsia="宋体"/>
                <w:sz w:val="21"/>
                <w:szCs w:val="21"/>
                <w:lang w:val="en-US" w:eastAsia="zh-CN"/>
              </w:rPr>
            </w:pPr>
            <w:r>
              <w:rPr>
                <w:rFonts w:hint="eastAsia"/>
                <w:sz w:val="21"/>
                <w:szCs w:val="21"/>
                <w:lang w:val="en-US" w:eastAsia="zh-CN"/>
              </w:rPr>
              <w:t>0.08</w:t>
            </w:r>
          </w:p>
        </w:tc>
        <w:tc>
          <w:tcPr>
            <w:tcW w:w="1253" w:type="pct"/>
            <w:shd w:val="clear" w:color="auto" w:fill="auto"/>
            <w:vAlign w:val="center"/>
          </w:tcPr>
          <w:p w14:paraId="7C5079B0">
            <w:pPr>
              <w:pStyle w:val="90"/>
              <w:ind w:firstLine="0" w:firstLineChars="0"/>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0.0298</w:t>
            </w:r>
          </w:p>
        </w:tc>
        <w:tc>
          <w:tcPr>
            <w:tcW w:w="983" w:type="pct"/>
            <w:vAlign w:val="center"/>
          </w:tcPr>
          <w:p w14:paraId="078F967B">
            <w:pPr>
              <w:pStyle w:val="90"/>
              <w:rPr>
                <w:rFonts w:hint="default" w:eastAsia="宋体"/>
                <w:sz w:val="21"/>
                <w:szCs w:val="21"/>
                <w:lang w:val="en-US" w:eastAsia="zh-CN"/>
              </w:rPr>
            </w:pPr>
            <w:r>
              <w:rPr>
                <w:rFonts w:hint="eastAsia"/>
                <w:sz w:val="21"/>
                <w:szCs w:val="21"/>
                <w:lang w:val="en-US" w:eastAsia="zh-CN"/>
              </w:rPr>
              <w:t>0.01</w:t>
            </w:r>
          </w:p>
        </w:tc>
      </w:tr>
      <w:tr w14:paraId="0AC44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6EEFF913">
            <w:pPr>
              <w:pStyle w:val="90"/>
              <w:rPr>
                <w:sz w:val="21"/>
                <w:szCs w:val="21"/>
              </w:rPr>
            </w:pPr>
            <w:r>
              <w:rPr>
                <w:rFonts w:hint="eastAsia"/>
                <w:sz w:val="21"/>
                <w:szCs w:val="21"/>
              </w:rPr>
              <w:t>下风向最大质量浓度及占标率/%</w:t>
            </w:r>
          </w:p>
        </w:tc>
        <w:tc>
          <w:tcPr>
            <w:tcW w:w="1211" w:type="pct"/>
            <w:vAlign w:val="center"/>
          </w:tcPr>
          <w:p w14:paraId="0E80DCDD">
            <w:pPr>
              <w:pStyle w:val="90"/>
              <w:rPr>
                <w:rFonts w:hint="default" w:eastAsia="宋体"/>
                <w:sz w:val="21"/>
                <w:szCs w:val="21"/>
                <w:lang w:val="en-US" w:eastAsia="zh-CN"/>
              </w:rPr>
            </w:pPr>
            <w:r>
              <w:rPr>
                <w:rFonts w:hint="eastAsia"/>
                <w:sz w:val="21"/>
                <w:szCs w:val="21"/>
                <w:lang w:val="en-US" w:eastAsia="zh-CN"/>
              </w:rPr>
              <w:t>61.5050</w:t>
            </w:r>
          </w:p>
        </w:tc>
        <w:tc>
          <w:tcPr>
            <w:tcW w:w="984" w:type="pct"/>
            <w:vAlign w:val="center"/>
          </w:tcPr>
          <w:p w14:paraId="05E458DB">
            <w:pPr>
              <w:pStyle w:val="90"/>
              <w:rPr>
                <w:rFonts w:hint="default" w:eastAsia="宋体"/>
                <w:sz w:val="21"/>
                <w:szCs w:val="21"/>
                <w:lang w:val="en-US" w:eastAsia="zh-CN"/>
              </w:rPr>
            </w:pPr>
            <w:r>
              <w:rPr>
                <w:rFonts w:hint="eastAsia"/>
                <w:sz w:val="21"/>
                <w:szCs w:val="21"/>
                <w:lang w:val="en-US" w:eastAsia="zh-CN"/>
              </w:rPr>
              <w:t>3.08</w:t>
            </w:r>
          </w:p>
        </w:tc>
        <w:tc>
          <w:tcPr>
            <w:tcW w:w="1253" w:type="pct"/>
            <w:vAlign w:val="center"/>
          </w:tcPr>
          <w:p w14:paraId="657E8DF6">
            <w:pPr>
              <w:pStyle w:val="90"/>
              <w:rPr>
                <w:rFonts w:hint="default" w:eastAsia="宋体"/>
                <w:sz w:val="21"/>
                <w:szCs w:val="21"/>
                <w:lang w:val="en-US" w:eastAsia="zh-CN"/>
              </w:rPr>
            </w:pPr>
            <w:r>
              <w:rPr>
                <w:rFonts w:hint="eastAsia"/>
                <w:sz w:val="21"/>
                <w:szCs w:val="21"/>
                <w:lang w:val="en-US" w:eastAsia="zh-CN"/>
              </w:rPr>
              <w:t>1.1126</w:t>
            </w:r>
          </w:p>
        </w:tc>
        <w:tc>
          <w:tcPr>
            <w:tcW w:w="983" w:type="pct"/>
            <w:vAlign w:val="center"/>
          </w:tcPr>
          <w:p w14:paraId="2A49A0F6">
            <w:pPr>
              <w:pStyle w:val="90"/>
              <w:rPr>
                <w:rFonts w:hint="default" w:eastAsia="宋体"/>
                <w:sz w:val="21"/>
                <w:szCs w:val="21"/>
                <w:lang w:val="en-US" w:eastAsia="zh-CN"/>
              </w:rPr>
            </w:pPr>
            <w:r>
              <w:rPr>
                <w:rFonts w:hint="eastAsia"/>
                <w:sz w:val="21"/>
                <w:szCs w:val="21"/>
                <w:lang w:val="en-US" w:eastAsia="zh-CN"/>
              </w:rPr>
              <w:t>0.37</w:t>
            </w:r>
          </w:p>
        </w:tc>
      </w:tr>
      <w:tr w14:paraId="20644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7" w:type="pct"/>
            <w:shd w:val="clear" w:color="auto" w:fill="auto"/>
            <w:tcMar>
              <w:left w:w="0" w:type="dxa"/>
              <w:right w:w="0" w:type="dxa"/>
            </w:tcMar>
            <w:vAlign w:val="center"/>
          </w:tcPr>
          <w:p w14:paraId="1E59F636">
            <w:pPr>
              <w:pStyle w:val="90"/>
              <w:rPr>
                <w:sz w:val="21"/>
                <w:szCs w:val="21"/>
              </w:rPr>
            </w:pPr>
            <w:r>
              <w:rPr>
                <w:rFonts w:hint="eastAsia"/>
                <w:sz w:val="21"/>
                <w:szCs w:val="21"/>
              </w:rPr>
              <w:t>D</w:t>
            </w:r>
            <w:r>
              <w:rPr>
                <w:sz w:val="21"/>
                <w:szCs w:val="21"/>
              </w:rPr>
              <w:t>10</w:t>
            </w:r>
            <w:r>
              <w:rPr>
                <w:rFonts w:hint="eastAsia"/>
                <w:sz w:val="21"/>
                <w:szCs w:val="21"/>
              </w:rPr>
              <w:t>%</w:t>
            </w:r>
            <w:r>
              <w:rPr>
                <w:rFonts w:hint="eastAsia"/>
                <w:sz w:val="21"/>
                <w:szCs w:val="21"/>
                <w:lang w:val="en-US" w:eastAsia="zh-CN"/>
              </w:rPr>
              <w:t>距离</w:t>
            </w:r>
            <w:r>
              <w:rPr>
                <w:rFonts w:hint="eastAsia"/>
                <w:sz w:val="21"/>
                <w:szCs w:val="21"/>
              </w:rPr>
              <w:t>/m</w:t>
            </w:r>
          </w:p>
        </w:tc>
        <w:tc>
          <w:tcPr>
            <w:tcW w:w="2195" w:type="pct"/>
            <w:gridSpan w:val="2"/>
            <w:vAlign w:val="center"/>
          </w:tcPr>
          <w:p w14:paraId="086CC071">
            <w:pPr>
              <w:pStyle w:val="90"/>
              <w:rPr>
                <w:sz w:val="21"/>
                <w:szCs w:val="21"/>
              </w:rPr>
            </w:pPr>
            <w:r>
              <w:rPr>
                <w:rFonts w:hint="eastAsia"/>
                <w:sz w:val="21"/>
                <w:szCs w:val="21"/>
              </w:rPr>
              <w:t>/</w:t>
            </w:r>
          </w:p>
        </w:tc>
        <w:tc>
          <w:tcPr>
            <w:tcW w:w="2236" w:type="pct"/>
            <w:gridSpan w:val="2"/>
            <w:vAlign w:val="center"/>
          </w:tcPr>
          <w:p w14:paraId="48F0F03C">
            <w:pPr>
              <w:pStyle w:val="90"/>
              <w:rPr>
                <w:sz w:val="21"/>
                <w:szCs w:val="21"/>
              </w:rPr>
            </w:pPr>
            <w:r>
              <w:rPr>
                <w:rFonts w:hint="eastAsia"/>
                <w:sz w:val="21"/>
                <w:szCs w:val="21"/>
              </w:rPr>
              <w:t>/</w:t>
            </w:r>
          </w:p>
        </w:tc>
      </w:tr>
    </w:tbl>
    <w:p w14:paraId="4E4C223D">
      <w:pPr>
        <w:pStyle w:val="47"/>
        <w:spacing w:before="65"/>
      </w:pPr>
      <w:r>
        <w:rPr>
          <w:rFonts w:hint="eastAsia"/>
        </w:rPr>
        <w:t>表2.</w:t>
      </w:r>
      <w:r>
        <w:t xml:space="preserve">6-5   </w:t>
      </w:r>
      <w:r>
        <w:rPr>
          <w:rFonts w:hint="eastAsia"/>
        </w:rPr>
        <w:t>主要污染源估算模型计算结果表（</w:t>
      </w:r>
      <w:r>
        <w:rPr>
          <w:rFonts w:hint="eastAsia"/>
          <w:lang w:val="en-US" w:eastAsia="zh-CN"/>
        </w:rPr>
        <w:t>无组织</w:t>
      </w:r>
      <w:r>
        <w:rPr>
          <w:rFonts w:hint="eastAsia"/>
        </w:rPr>
        <w:t>）</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20"/>
        <w:gridCol w:w="1283"/>
        <w:gridCol w:w="1285"/>
        <w:gridCol w:w="1283"/>
        <w:gridCol w:w="1285"/>
        <w:gridCol w:w="1283"/>
        <w:gridCol w:w="1288"/>
      </w:tblGrid>
      <w:tr w14:paraId="419583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vMerge w:val="restart"/>
            <w:tcMar>
              <w:left w:w="0" w:type="dxa"/>
              <w:right w:w="0" w:type="dxa"/>
            </w:tcMar>
            <w:vAlign w:val="center"/>
          </w:tcPr>
          <w:p w14:paraId="2CA72EA5">
            <w:pPr>
              <w:pStyle w:val="90"/>
              <w:rPr>
                <w:sz w:val="21"/>
                <w:szCs w:val="21"/>
              </w:rPr>
            </w:pPr>
            <w:r>
              <w:rPr>
                <w:rFonts w:hint="eastAsia"/>
                <w:sz w:val="21"/>
                <w:szCs w:val="21"/>
              </w:rPr>
              <w:t>离源距离</w:t>
            </w:r>
            <w:r>
              <w:rPr>
                <w:sz w:val="21"/>
                <w:szCs w:val="21"/>
              </w:rPr>
              <w:t>(m)</w:t>
            </w:r>
          </w:p>
        </w:tc>
        <w:tc>
          <w:tcPr>
            <w:tcW w:w="1471" w:type="pct"/>
            <w:gridSpan w:val="2"/>
            <w:tcMar>
              <w:left w:w="0" w:type="dxa"/>
              <w:right w:w="0" w:type="dxa"/>
            </w:tcMar>
            <w:vAlign w:val="center"/>
          </w:tcPr>
          <w:p w14:paraId="1541266A">
            <w:pPr>
              <w:pStyle w:val="90"/>
              <w:rPr>
                <w:sz w:val="21"/>
                <w:szCs w:val="21"/>
              </w:rPr>
            </w:pPr>
            <w:r>
              <w:rPr>
                <w:sz w:val="21"/>
                <w:szCs w:val="21"/>
              </w:rPr>
              <w:t>NH</w:t>
            </w:r>
            <w:r>
              <w:rPr>
                <w:sz w:val="21"/>
                <w:szCs w:val="21"/>
                <w:vertAlign w:val="subscript"/>
              </w:rPr>
              <w:t>3</w:t>
            </w:r>
          </w:p>
        </w:tc>
        <w:tc>
          <w:tcPr>
            <w:tcW w:w="1471" w:type="pct"/>
            <w:gridSpan w:val="2"/>
            <w:tcMar>
              <w:left w:w="0" w:type="dxa"/>
              <w:right w:w="0" w:type="dxa"/>
            </w:tcMar>
            <w:vAlign w:val="center"/>
          </w:tcPr>
          <w:p w14:paraId="614C4BE7">
            <w:pPr>
              <w:pStyle w:val="90"/>
              <w:rPr>
                <w:sz w:val="21"/>
                <w:szCs w:val="21"/>
              </w:rPr>
            </w:pPr>
            <w:r>
              <w:rPr>
                <w:sz w:val="21"/>
                <w:szCs w:val="21"/>
              </w:rPr>
              <w:t>H</w:t>
            </w:r>
            <w:r>
              <w:rPr>
                <w:sz w:val="21"/>
                <w:szCs w:val="21"/>
                <w:vertAlign w:val="subscript"/>
              </w:rPr>
              <w:t>2</w:t>
            </w:r>
            <w:r>
              <w:rPr>
                <w:sz w:val="21"/>
                <w:szCs w:val="21"/>
              </w:rPr>
              <w:t>S</w:t>
            </w:r>
          </w:p>
        </w:tc>
        <w:tc>
          <w:tcPr>
            <w:tcW w:w="1473" w:type="pct"/>
            <w:gridSpan w:val="2"/>
            <w:tcMar>
              <w:left w:w="0" w:type="dxa"/>
              <w:right w:w="0" w:type="dxa"/>
            </w:tcMar>
            <w:vAlign w:val="center"/>
          </w:tcPr>
          <w:p w14:paraId="4BF4E08A">
            <w:pPr>
              <w:pStyle w:val="90"/>
              <w:rPr>
                <w:rFonts w:hint="eastAsia" w:eastAsia="宋体"/>
                <w:sz w:val="21"/>
                <w:szCs w:val="21"/>
                <w:lang w:val="en-US" w:eastAsia="zh-CN"/>
              </w:rPr>
            </w:pPr>
            <w:r>
              <w:rPr>
                <w:rFonts w:hint="eastAsia"/>
                <w:sz w:val="21"/>
                <w:szCs w:val="21"/>
                <w:lang w:val="en-US" w:eastAsia="zh-CN"/>
              </w:rPr>
              <w:t>非甲烷总烃</w:t>
            </w:r>
          </w:p>
        </w:tc>
      </w:tr>
      <w:tr w14:paraId="3011DD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vMerge w:val="continue"/>
            <w:tcMar>
              <w:left w:w="0" w:type="dxa"/>
              <w:right w:w="0" w:type="dxa"/>
            </w:tcMar>
            <w:vAlign w:val="center"/>
          </w:tcPr>
          <w:p w14:paraId="40383EBD">
            <w:pPr>
              <w:pStyle w:val="90"/>
              <w:rPr>
                <w:sz w:val="21"/>
                <w:szCs w:val="21"/>
              </w:rPr>
            </w:pPr>
          </w:p>
        </w:tc>
        <w:tc>
          <w:tcPr>
            <w:tcW w:w="735" w:type="pct"/>
            <w:tcMar>
              <w:left w:w="0" w:type="dxa"/>
              <w:right w:w="0" w:type="dxa"/>
            </w:tcMar>
            <w:vAlign w:val="center"/>
          </w:tcPr>
          <w:p w14:paraId="4355687C">
            <w:pPr>
              <w:pStyle w:val="90"/>
              <w:rPr>
                <w:sz w:val="21"/>
                <w:szCs w:val="21"/>
              </w:rPr>
            </w:pPr>
            <w:r>
              <w:rPr>
                <w:rFonts w:hint="eastAsia"/>
                <w:sz w:val="21"/>
                <w:szCs w:val="21"/>
              </w:rPr>
              <w:t>下风向预测浓度</w:t>
            </w:r>
          </w:p>
          <w:p w14:paraId="1AFFA349">
            <w:pPr>
              <w:pStyle w:val="90"/>
              <w:rPr>
                <w:sz w:val="21"/>
                <w:szCs w:val="21"/>
              </w:rPr>
            </w:pPr>
            <w:r>
              <w:rPr>
                <w:sz w:val="21"/>
                <w:szCs w:val="21"/>
              </w:rPr>
              <w:t>(mg/m</w:t>
            </w:r>
            <w:r>
              <w:rPr>
                <w:sz w:val="21"/>
                <w:szCs w:val="21"/>
                <w:vertAlign w:val="superscript"/>
              </w:rPr>
              <w:t>3</w:t>
            </w:r>
            <w:r>
              <w:rPr>
                <w:sz w:val="21"/>
                <w:szCs w:val="21"/>
              </w:rPr>
              <w:t>)</w:t>
            </w:r>
          </w:p>
        </w:tc>
        <w:tc>
          <w:tcPr>
            <w:tcW w:w="736" w:type="pct"/>
            <w:tcMar>
              <w:left w:w="0" w:type="dxa"/>
              <w:right w:w="0" w:type="dxa"/>
            </w:tcMar>
            <w:vAlign w:val="center"/>
          </w:tcPr>
          <w:p w14:paraId="0EF79A8C">
            <w:pPr>
              <w:pStyle w:val="90"/>
              <w:rPr>
                <w:sz w:val="21"/>
                <w:szCs w:val="21"/>
              </w:rPr>
            </w:pPr>
            <w:r>
              <w:rPr>
                <w:rFonts w:hint="eastAsia"/>
                <w:sz w:val="21"/>
                <w:szCs w:val="21"/>
              </w:rPr>
              <w:t>占标率（</w:t>
            </w:r>
            <w:r>
              <w:rPr>
                <w:sz w:val="21"/>
                <w:szCs w:val="21"/>
              </w:rPr>
              <w:t>%</w:t>
            </w:r>
            <w:r>
              <w:rPr>
                <w:rFonts w:hint="eastAsia"/>
                <w:sz w:val="21"/>
                <w:szCs w:val="21"/>
              </w:rPr>
              <w:t>）</w:t>
            </w:r>
          </w:p>
        </w:tc>
        <w:tc>
          <w:tcPr>
            <w:tcW w:w="735" w:type="pct"/>
            <w:tcMar>
              <w:left w:w="0" w:type="dxa"/>
              <w:right w:w="0" w:type="dxa"/>
            </w:tcMar>
            <w:vAlign w:val="center"/>
          </w:tcPr>
          <w:p w14:paraId="30B8FD57">
            <w:pPr>
              <w:pStyle w:val="90"/>
              <w:rPr>
                <w:sz w:val="21"/>
                <w:szCs w:val="21"/>
              </w:rPr>
            </w:pPr>
            <w:r>
              <w:rPr>
                <w:rFonts w:hint="eastAsia"/>
                <w:sz w:val="21"/>
                <w:szCs w:val="21"/>
              </w:rPr>
              <w:t>下风向预测浓度</w:t>
            </w:r>
          </w:p>
          <w:p w14:paraId="2B122254">
            <w:pPr>
              <w:pStyle w:val="90"/>
              <w:rPr>
                <w:sz w:val="21"/>
                <w:szCs w:val="21"/>
              </w:rPr>
            </w:pPr>
            <w:r>
              <w:rPr>
                <w:sz w:val="21"/>
                <w:szCs w:val="21"/>
              </w:rPr>
              <w:t>(mg/m</w:t>
            </w:r>
            <w:r>
              <w:rPr>
                <w:sz w:val="21"/>
                <w:szCs w:val="21"/>
                <w:vertAlign w:val="superscript"/>
              </w:rPr>
              <w:t>3</w:t>
            </w:r>
            <w:r>
              <w:rPr>
                <w:sz w:val="21"/>
                <w:szCs w:val="21"/>
              </w:rPr>
              <w:t>)</w:t>
            </w:r>
          </w:p>
        </w:tc>
        <w:tc>
          <w:tcPr>
            <w:tcW w:w="736" w:type="pct"/>
            <w:tcMar>
              <w:left w:w="0" w:type="dxa"/>
              <w:right w:w="0" w:type="dxa"/>
            </w:tcMar>
            <w:vAlign w:val="center"/>
          </w:tcPr>
          <w:p w14:paraId="2F52AC3D">
            <w:pPr>
              <w:pStyle w:val="90"/>
              <w:rPr>
                <w:sz w:val="21"/>
                <w:szCs w:val="21"/>
              </w:rPr>
            </w:pPr>
            <w:r>
              <w:rPr>
                <w:rFonts w:hint="eastAsia"/>
                <w:sz w:val="21"/>
                <w:szCs w:val="21"/>
              </w:rPr>
              <w:t>占标率（</w:t>
            </w:r>
            <w:r>
              <w:rPr>
                <w:sz w:val="21"/>
                <w:szCs w:val="21"/>
              </w:rPr>
              <w:t>%</w:t>
            </w:r>
            <w:r>
              <w:rPr>
                <w:rFonts w:hint="eastAsia"/>
                <w:sz w:val="21"/>
                <w:szCs w:val="21"/>
              </w:rPr>
              <w:t>）</w:t>
            </w:r>
          </w:p>
        </w:tc>
        <w:tc>
          <w:tcPr>
            <w:tcW w:w="735" w:type="pct"/>
            <w:shd w:val="clear" w:color="auto" w:fill="auto"/>
            <w:tcMar>
              <w:left w:w="0" w:type="dxa"/>
              <w:right w:w="0" w:type="dxa"/>
            </w:tcMar>
            <w:vAlign w:val="center"/>
          </w:tcPr>
          <w:p w14:paraId="13500E17">
            <w:pPr>
              <w:pStyle w:val="90"/>
              <w:ind w:firstLine="0" w:firstLineChars="0"/>
              <w:rPr>
                <w:rFonts w:hint="eastAsia" w:ascii="Times New Roman" w:hAnsi="Times New Roman" w:eastAsia="宋体" w:cs="Times New Roman"/>
                <w:bCs/>
                <w:kern w:val="2"/>
                <w:sz w:val="21"/>
                <w:szCs w:val="21"/>
                <w:lang w:val="zh-CN" w:eastAsia="zh-CN" w:bidi="ar-SA"/>
              </w:rPr>
            </w:pPr>
            <w:r>
              <w:rPr>
                <w:sz w:val="21"/>
                <w:szCs w:val="21"/>
              </w:rPr>
              <w:t>预测质量浓度/（μg/m</w:t>
            </w:r>
            <w:r>
              <w:rPr>
                <w:sz w:val="21"/>
                <w:szCs w:val="21"/>
                <w:vertAlign w:val="superscript"/>
              </w:rPr>
              <w:t>3</w:t>
            </w:r>
            <w:r>
              <w:rPr>
                <w:sz w:val="21"/>
                <w:szCs w:val="21"/>
              </w:rPr>
              <w:t>）</w:t>
            </w:r>
          </w:p>
        </w:tc>
        <w:tc>
          <w:tcPr>
            <w:tcW w:w="737" w:type="pct"/>
            <w:shd w:val="clear" w:color="auto" w:fill="auto"/>
            <w:tcMar>
              <w:left w:w="0" w:type="dxa"/>
              <w:right w:w="0" w:type="dxa"/>
            </w:tcMar>
            <w:vAlign w:val="center"/>
          </w:tcPr>
          <w:p w14:paraId="554FB132">
            <w:pPr>
              <w:pStyle w:val="90"/>
              <w:ind w:firstLine="0" w:firstLineChars="0"/>
              <w:rPr>
                <w:rFonts w:hint="eastAsia" w:ascii="Times New Roman" w:hAnsi="Times New Roman" w:eastAsia="宋体" w:cs="Times New Roman"/>
                <w:bCs/>
                <w:kern w:val="2"/>
                <w:sz w:val="21"/>
                <w:szCs w:val="21"/>
                <w:lang w:val="zh-CN" w:eastAsia="zh-CN" w:bidi="ar-SA"/>
              </w:rPr>
            </w:pPr>
            <w:r>
              <w:rPr>
                <w:sz w:val="21"/>
                <w:szCs w:val="21"/>
              </w:rPr>
              <w:t>占标率/%</w:t>
            </w:r>
          </w:p>
        </w:tc>
      </w:tr>
      <w:tr w14:paraId="1C3AB2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28D22CA2">
            <w:pPr>
              <w:pStyle w:val="90"/>
              <w:rPr>
                <w:sz w:val="21"/>
                <w:szCs w:val="21"/>
              </w:rPr>
            </w:pPr>
            <w:r>
              <w:rPr>
                <w:sz w:val="21"/>
                <w:szCs w:val="21"/>
              </w:rPr>
              <w:t>1</w:t>
            </w:r>
          </w:p>
        </w:tc>
        <w:tc>
          <w:tcPr>
            <w:tcW w:w="735" w:type="pct"/>
            <w:tcMar>
              <w:left w:w="0" w:type="dxa"/>
              <w:right w:w="0" w:type="dxa"/>
            </w:tcMar>
            <w:vAlign w:val="center"/>
          </w:tcPr>
          <w:p w14:paraId="610E86B2">
            <w:pPr>
              <w:pStyle w:val="90"/>
              <w:rPr>
                <w:sz w:val="21"/>
                <w:szCs w:val="21"/>
              </w:rPr>
            </w:pPr>
            <w:r>
              <w:rPr>
                <w:sz w:val="21"/>
                <w:szCs w:val="21"/>
              </w:rPr>
              <w:t>0.002482</w:t>
            </w:r>
          </w:p>
        </w:tc>
        <w:tc>
          <w:tcPr>
            <w:tcW w:w="736" w:type="pct"/>
            <w:tcMar>
              <w:left w:w="0" w:type="dxa"/>
              <w:right w:w="0" w:type="dxa"/>
            </w:tcMar>
            <w:vAlign w:val="center"/>
          </w:tcPr>
          <w:p w14:paraId="081BEB93">
            <w:pPr>
              <w:pStyle w:val="90"/>
              <w:rPr>
                <w:sz w:val="21"/>
                <w:szCs w:val="21"/>
              </w:rPr>
            </w:pPr>
            <w:r>
              <w:rPr>
                <w:sz w:val="21"/>
                <w:szCs w:val="21"/>
              </w:rPr>
              <w:t>1.24</w:t>
            </w:r>
          </w:p>
        </w:tc>
        <w:tc>
          <w:tcPr>
            <w:tcW w:w="735" w:type="pct"/>
            <w:tcMar>
              <w:left w:w="0" w:type="dxa"/>
              <w:right w:w="0" w:type="dxa"/>
            </w:tcMar>
            <w:vAlign w:val="center"/>
          </w:tcPr>
          <w:p w14:paraId="2F720EDA">
            <w:pPr>
              <w:pStyle w:val="90"/>
              <w:rPr>
                <w:sz w:val="21"/>
                <w:szCs w:val="21"/>
              </w:rPr>
            </w:pPr>
            <w:r>
              <w:rPr>
                <w:sz w:val="21"/>
                <w:szCs w:val="21"/>
              </w:rPr>
              <w:t>0.000009366</w:t>
            </w:r>
          </w:p>
        </w:tc>
        <w:tc>
          <w:tcPr>
            <w:tcW w:w="736" w:type="pct"/>
            <w:tcMar>
              <w:left w:w="0" w:type="dxa"/>
              <w:right w:w="0" w:type="dxa"/>
            </w:tcMar>
            <w:vAlign w:val="center"/>
          </w:tcPr>
          <w:p w14:paraId="45CB40D2">
            <w:pPr>
              <w:pStyle w:val="90"/>
              <w:rPr>
                <w:sz w:val="21"/>
                <w:szCs w:val="21"/>
              </w:rPr>
            </w:pPr>
            <w:r>
              <w:rPr>
                <w:sz w:val="21"/>
                <w:szCs w:val="21"/>
              </w:rPr>
              <w:t>0.09</w:t>
            </w:r>
          </w:p>
        </w:tc>
        <w:tc>
          <w:tcPr>
            <w:tcW w:w="735" w:type="pct"/>
            <w:shd w:val="clear" w:color="auto" w:fill="auto"/>
            <w:tcMar>
              <w:left w:w="0" w:type="dxa"/>
              <w:right w:w="0" w:type="dxa"/>
            </w:tcMar>
            <w:vAlign w:val="center"/>
          </w:tcPr>
          <w:p w14:paraId="7C9186CB">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208.88</w:t>
            </w:r>
          </w:p>
        </w:tc>
        <w:tc>
          <w:tcPr>
            <w:tcW w:w="737" w:type="pct"/>
            <w:shd w:val="clear" w:color="auto" w:fill="auto"/>
            <w:tcMar>
              <w:left w:w="0" w:type="dxa"/>
              <w:right w:w="0" w:type="dxa"/>
            </w:tcMar>
            <w:vAlign w:val="center"/>
          </w:tcPr>
          <w:p w14:paraId="3725CF5F">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10.44</w:t>
            </w:r>
          </w:p>
        </w:tc>
      </w:tr>
      <w:tr w14:paraId="7103FD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jc w:val="center"/>
        </w:trPr>
        <w:tc>
          <w:tcPr>
            <w:tcW w:w="584" w:type="pct"/>
            <w:tcMar>
              <w:left w:w="0" w:type="dxa"/>
              <w:right w:w="0" w:type="dxa"/>
            </w:tcMar>
            <w:vAlign w:val="center"/>
          </w:tcPr>
          <w:p w14:paraId="3D67F44B">
            <w:pPr>
              <w:pStyle w:val="90"/>
              <w:rPr>
                <w:sz w:val="21"/>
                <w:szCs w:val="21"/>
              </w:rPr>
            </w:pPr>
            <w:r>
              <w:rPr>
                <w:sz w:val="21"/>
                <w:szCs w:val="21"/>
              </w:rPr>
              <w:t>50</w:t>
            </w:r>
          </w:p>
        </w:tc>
        <w:tc>
          <w:tcPr>
            <w:tcW w:w="735" w:type="pct"/>
            <w:tcMar>
              <w:left w:w="0" w:type="dxa"/>
              <w:right w:w="0" w:type="dxa"/>
            </w:tcMar>
            <w:vAlign w:val="center"/>
          </w:tcPr>
          <w:p w14:paraId="18D5DB61">
            <w:pPr>
              <w:pStyle w:val="90"/>
              <w:rPr>
                <w:sz w:val="21"/>
                <w:szCs w:val="21"/>
              </w:rPr>
            </w:pPr>
            <w:r>
              <w:rPr>
                <w:sz w:val="21"/>
                <w:szCs w:val="21"/>
              </w:rPr>
              <w:t>0.005272</w:t>
            </w:r>
          </w:p>
        </w:tc>
        <w:tc>
          <w:tcPr>
            <w:tcW w:w="736" w:type="pct"/>
            <w:tcMar>
              <w:left w:w="0" w:type="dxa"/>
              <w:right w:w="0" w:type="dxa"/>
            </w:tcMar>
            <w:vAlign w:val="center"/>
          </w:tcPr>
          <w:p w14:paraId="42C2A517">
            <w:pPr>
              <w:pStyle w:val="90"/>
              <w:rPr>
                <w:sz w:val="21"/>
                <w:szCs w:val="21"/>
              </w:rPr>
            </w:pPr>
            <w:r>
              <w:rPr>
                <w:sz w:val="21"/>
                <w:szCs w:val="21"/>
              </w:rPr>
              <w:t>2.64</w:t>
            </w:r>
          </w:p>
        </w:tc>
        <w:tc>
          <w:tcPr>
            <w:tcW w:w="735" w:type="pct"/>
            <w:tcMar>
              <w:left w:w="0" w:type="dxa"/>
              <w:right w:w="0" w:type="dxa"/>
            </w:tcMar>
            <w:vAlign w:val="center"/>
          </w:tcPr>
          <w:p w14:paraId="6129109D">
            <w:pPr>
              <w:pStyle w:val="90"/>
              <w:rPr>
                <w:sz w:val="21"/>
                <w:szCs w:val="21"/>
              </w:rPr>
            </w:pPr>
            <w:r>
              <w:rPr>
                <w:sz w:val="21"/>
                <w:szCs w:val="21"/>
              </w:rPr>
              <w:t>0.00001295</w:t>
            </w:r>
          </w:p>
        </w:tc>
        <w:tc>
          <w:tcPr>
            <w:tcW w:w="736" w:type="pct"/>
            <w:tcMar>
              <w:left w:w="0" w:type="dxa"/>
              <w:right w:w="0" w:type="dxa"/>
            </w:tcMar>
            <w:vAlign w:val="center"/>
          </w:tcPr>
          <w:p w14:paraId="5A46F99A">
            <w:pPr>
              <w:pStyle w:val="90"/>
              <w:rPr>
                <w:sz w:val="21"/>
                <w:szCs w:val="21"/>
              </w:rPr>
            </w:pPr>
            <w:r>
              <w:rPr>
                <w:sz w:val="21"/>
                <w:szCs w:val="21"/>
              </w:rPr>
              <w:t>0.13</w:t>
            </w:r>
          </w:p>
        </w:tc>
        <w:tc>
          <w:tcPr>
            <w:tcW w:w="735" w:type="pct"/>
            <w:shd w:val="clear" w:color="auto" w:fill="auto"/>
            <w:tcMar>
              <w:left w:w="0" w:type="dxa"/>
              <w:right w:w="0" w:type="dxa"/>
            </w:tcMar>
            <w:vAlign w:val="center"/>
          </w:tcPr>
          <w:p w14:paraId="05E93B7D">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195.41</w:t>
            </w:r>
          </w:p>
        </w:tc>
        <w:tc>
          <w:tcPr>
            <w:tcW w:w="737" w:type="pct"/>
            <w:shd w:val="clear" w:color="auto" w:fill="auto"/>
            <w:tcMar>
              <w:left w:w="0" w:type="dxa"/>
              <w:right w:w="0" w:type="dxa"/>
            </w:tcMar>
            <w:vAlign w:val="center"/>
          </w:tcPr>
          <w:p w14:paraId="73DDF7C2">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9.77</w:t>
            </w:r>
          </w:p>
        </w:tc>
      </w:tr>
      <w:tr w14:paraId="194524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525D6553">
            <w:pPr>
              <w:pStyle w:val="90"/>
              <w:rPr>
                <w:sz w:val="21"/>
                <w:szCs w:val="21"/>
              </w:rPr>
            </w:pPr>
            <w:r>
              <w:rPr>
                <w:sz w:val="21"/>
                <w:szCs w:val="21"/>
              </w:rPr>
              <w:t>99</w:t>
            </w:r>
          </w:p>
        </w:tc>
        <w:tc>
          <w:tcPr>
            <w:tcW w:w="735" w:type="pct"/>
            <w:tcMar>
              <w:left w:w="0" w:type="dxa"/>
              <w:right w:w="0" w:type="dxa"/>
            </w:tcMar>
            <w:vAlign w:val="center"/>
          </w:tcPr>
          <w:p w14:paraId="7EA8F895">
            <w:pPr>
              <w:pStyle w:val="90"/>
              <w:rPr>
                <w:sz w:val="21"/>
                <w:szCs w:val="21"/>
              </w:rPr>
            </w:pPr>
            <w:r>
              <w:rPr>
                <w:sz w:val="21"/>
                <w:szCs w:val="21"/>
              </w:rPr>
              <w:t>0.003500</w:t>
            </w:r>
          </w:p>
        </w:tc>
        <w:tc>
          <w:tcPr>
            <w:tcW w:w="736" w:type="pct"/>
            <w:tcMar>
              <w:left w:w="0" w:type="dxa"/>
              <w:right w:w="0" w:type="dxa"/>
            </w:tcMar>
            <w:vAlign w:val="center"/>
          </w:tcPr>
          <w:p w14:paraId="6BA2131F">
            <w:pPr>
              <w:pStyle w:val="90"/>
              <w:rPr>
                <w:sz w:val="21"/>
                <w:szCs w:val="21"/>
              </w:rPr>
            </w:pPr>
            <w:r>
              <w:rPr>
                <w:sz w:val="21"/>
                <w:szCs w:val="21"/>
              </w:rPr>
              <w:t>1.75</w:t>
            </w:r>
          </w:p>
        </w:tc>
        <w:tc>
          <w:tcPr>
            <w:tcW w:w="735" w:type="pct"/>
            <w:tcMar>
              <w:left w:w="0" w:type="dxa"/>
              <w:right w:w="0" w:type="dxa"/>
            </w:tcMar>
            <w:vAlign w:val="center"/>
          </w:tcPr>
          <w:p w14:paraId="09E08DFC">
            <w:pPr>
              <w:pStyle w:val="90"/>
              <w:rPr>
                <w:sz w:val="21"/>
                <w:szCs w:val="21"/>
              </w:rPr>
            </w:pPr>
            <w:r>
              <w:rPr>
                <w:sz w:val="21"/>
                <w:szCs w:val="21"/>
              </w:rPr>
              <w:t>0.00001550</w:t>
            </w:r>
          </w:p>
        </w:tc>
        <w:tc>
          <w:tcPr>
            <w:tcW w:w="736" w:type="pct"/>
            <w:tcMar>
              <w:left w:w="0" w:type="dxa"/>
              <w:right w:w="0" w:type="dxa"/>
            </w:tcMar>
            <w:vAlign w:val="center"/>
          </w:tcPr>
          <w:p w14:paraId="56B94CBD">
            <w:pPr>
              <w:pStyle w:val="90"/>
              <w:rPr>
                <w:sz w:val="21"/>
                <w:szCs w:val="21"/>
              </w:rPr>
            </w:pPr>
            <w:r>
              <w:rPr>
                <w:sz w:val="21"/>
                <w:szCs w:val="21"/>
              </w:rPr>
              <w:t>0.16</w:t>
            </w:r>
          </w:p>
        </w:tc>
        <w:tc>
          <w:tcPr>
            <w:tcW w:w="735" w:type="pct"/>
            <w:shd w:val="clear" w:color="auto" w:fill="auto"/>
            <w:tcMar>
              <w:left w:w="0" w:type="dxa"/>
              <w:right w:w="0" w:type="dxa"/>
            </w:tcMar>
            <w:vAlign w:val="center"/>
          </w:tcPr>
          <w:p w14:paraId="46DBD197">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178.26</w:t>
            </w:r>
          </w:p>
        </w:tc>
        <w:tc>
          <w:tcPr>
            <w:tcW w:w="737" w:type="pct"/>
            <w:shd w:val="clear" w:color="auto" w:fill="auto"/>
            <w:tcMar>
              <w:left w:w="0" w:type="dxa"/>
              <w:right w:w="0" w:type="dxa"/>
            </w:tcMar>
            <w:vAlign w:val="center"/>
          </w:tcPr>
          <w:p w14:paraId="02E45256">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8.91</w:t>
            </w:r>
          </w:p>
        </w:tc>
      </w:tr>
      <w:tr w14:paraId="663F0E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2E17D0AB">
            <w:pPr>
              <w:pStyle w:val="90"/>
              <w:rPr>
                <w:sz w:val="21"/>
                <w:szCs w:val="21"/>
              </w:rPr>
            </w:pPr>
            <w:r>
              <w:rPr>
                <w:sz w:val="21"/>
                <w:szCs w:val="21"/>
              </w:rPr>
              <w:t>100</w:t>
            </w:r>
          </w:p>
        </w:tc>
        <w:tc>
          <w:tcPr>
            <w:tcW w:w="735" w:type="pct"/>
            <w:tcMar>
              <w:left w:w="0" w:type="dxa"/>
              <w:right w:w="0" w:type="dxa"/>
            </w:tcMar>
            <w:vAlign w:val="center"/>
          </w:tcPr>
          <w:p w14:paraId="222FE2B4">
            <w:pPr>
              <w:pStyle w:val="90"/>
              <w:rPr>
                <w:sz w:val="21"/>
                <w:szCs w:val="21"/>
              </w:rPr>
            </w:pPr>
            <w:r>
              <w:rPr>
                <w:sz w:val="21"/>
                <w:szCs w:val="21"/>
              </w:rPr>
              <w:t>0.002133</w:t>
            </w:r>
          </w:p>
        </w:tc>
        <w:tc>
          <w:tcPr>
            <w:tcW w:w="736" w:type="pct"/>
            <w:tcMar>
              <w:left w:w="0" w:type="dxa"/>
              <w:right w:w="0" w:type="dxa"/>
            </w:tcMar>
            <w:vAlign w:val="center"/>
          </w:tcPr>
          <w:p w14:paraId="0BFAD311">
            <w:pPr>
              <w:pStyle w:val="90"/>
              <w:rPr>
                <w:sz w:val="21"/>
                <w:szCs w:val="21"/>
              </w:rPr>
            </w:pPr>
            <w:r>
              <w:rPr>
                <w:sz w:val="21"/>
                <w:szCs w:val="21"/>
              </w:rPr>
              <w:t>1.07</w:t>
            </w:r>
          </w:p>
        </w:tc>
        <w:tc>
          <w:tcPr>
            <w:tcW w:w="735" w:type="pct"/>
            <w:tcMar>
              <w:left w:w="0" w:type="dxa"/>
              <w:right w:w="0" w:type="dxa"/>
            </w:tcMar>
            <w:vAlign w:val="center"/>
          </w:tcPr>
          <w:p w14:paraId="796B8DD0">
            <w:pPr>
              <w:pStyle w:val="90"/>
              <w:rPr>
                <w:sz w:val="21"/>
                <w:szCs w:val="21"/>
              </w:rPr>
            </w:pPr>
            <w:r>
              <w:rPr>
                <w:sz w:val="21"/>
                <w:szCs w:val="21"/>
              </w:rPr>
              <w:t>0.00001550</w:t>
            </w:r>
          </w:p>
        </w:tc>
        <w:tc>
          <w:tcPr>
            <w:tcW w:w="736" w:type="pct"/>
            <w:tcMar>
              <w:left w:w="0" w:type="dxa"/>
              <w:right w:w="0" w:type="dxa"/>
            </w:tcMar>
            <w:vAlign w:val="center"/>
          </w:tcPr>
          <w:p w14:paraId="1E95584F">
            <w:pPr>
              <w:pStyle w:val="90"/>
              <w:rPr>
                <w:sz w:val="21"/>
                <w:szCs w:val="21"/>
              </w:rPr>
            </w:pPr>
            <w:r>
              <w:rPr>
                <w:sz w:val="21"/>
                <w:szCs w:val="21"/>
              </w:rPr>
              <w:t>0.16</w:t>
            </w:r>
          </w:p>
        </w:tc>
        <w:tc>
          <w:tcPr>
            <w:tcW w:w="735" w:type="pct"/>
            <w:shd w:val="clear" w:color="auto" w:fill="auto"/>
            <w:tcMar>
              <w:left w:w="0" w:type="dxa"/>
              <w:right w:w="0" w:type="dxa"/>
            </w:tcMar>
            <w:vAlign w:val="center"/>
          </w:tcPr>
          <w:p w14:paraId="674F4D70">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162.19</w:t>
            </w:r>
          </w:p>
        </w:tc>
        <w:tc>
          <w:tcPr>
            <w:tcW w:w="737" w:type="pct"/>
            <w:shd w:val="clear" w:color="auto" w:fill="auto"/>
            <w:tcMar>
              <w:left w:w="0" w:type="dxa"/>
              <w:right w:w="0" w:type="dxa"/>
            </w:tcMar>
            <w:vAlign w:val="center"/>
          </w:tcPr>
          <w:p w14:paraId="2C6B1DED">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8.11</w:t>
            </w:r>
          </w:p>
        </w:tc>
      </w:tr>
      <w:tr w14:paraId="3E39C9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28D65BB0">
            <w:pPr>
              <w:pStyle w:val="90"/>
              <w:rPr>
                <w:sz w:val="21"/>
                <w:szCs w:val="21"/>
              </w:rPr>
            </w:pPr>
            <w:r>
              <w:rPr>
                <w:sz w:val="21"/>
                <w:szCs w:val="21"/>
              </w:rPr>
              <w:t>150</w:t>
            </w:r>
          </w:p>
        </w:tc>
        <w:tc>
          <w:tcPr>
            <w:tcW w:w="735" w:type="pct"/>
            <w:tcMar>
              <w:left w:w="0" w:type="dxa"/>
              <w:right w:w="0" w:type="dxa"/>
            </w:tcMar>
            <w:vAlign w:val="center"/>
          </w:tcPr>
          <w:p w14:paraId="3679DBEF">
            <w:pPr>
              <w:pStyle w:val="90"/>
              <w:rPr>
                <w:sz w:val="21"/>
                <w:szCs w:val="21"/>
              </w:rPr>
            </w:pPr>
            <w:r>
              <w:rPr>
                <w:sz w:val="21"/>
                <w:szCs w:val="21"/>
              </w:rPr>
              <w:t>0.001472</w:t>
            </w:r>
          </w:p>
        </w:tc>
        <w:tc>
          <w:tcPr>
            <w:tcW w:w="736" w:type="pct"/>
            <w:tcMar>
              <w:left w:w="0" w:type="dxa"/>
              <w:right w:w="0" w:type="dxa"/>
            </w:tcMar>
            <w:vAlign w:val="center"/>
          </w:tcPr>
          <w:p w14:paraId="03DF6ED3">
            <w:pPr>
              <w:pStyle w:val="90"/>
              <w:rPr>
                <w:sz w:val="21"/>
                <w:szCs w:val="21"/>
              </w:rPr>
            </w:pPr>
            <w:r>
              <w:rPr>
                <w:sz w:val="21"/>
                <w:szCs w:val="21"/>
              </w:rPr>
              <w:t>0.74</w:t>
            </w:r>
          </w:p>
        </w:tc>
        <w:tc>
          <w:tcPr>
            <w:tcW w:w="735" w:type="pct"/>
            <w:tcMar>
              <w:left w:w="0" w:type="dxa"/>
              <w:right w:w="0" w:type="dxa"/>
            </w:tcMar>
            <w:vAlign w:val="center"/>
          </w:tcPr>
          <w:p w14:paraId="69CF0040">
            <w:pPr>
              <w:pStyle w:val="90"/>
              <w:rPr>
                <w:sz w:val="21"/>
                <w:szCs w:val="21"/>
              </w:rPr>
            </w:pPr>
            <w:r>
              <w:rPr>
                <w:sz w:val="21"/>
                <w:szCs w:val="21"/>
              </w:rPr>
              <w:t>0.00001229</w:t>
            </w:r>
          </w:p>
        </w:tc>
        <w:tc>
          <w:tcPr>
            <w:tcW w:w="736" w:type="pct"/>
            <w:tcMar>
              <w:left w:w="0" w:type="dxa"/>
              <w:right w:w="0" w:type="dxa"/>
            </w:tcMar>
            <w:vAlign w:val="center"/>
          </w:tcPr>
          <w:p w14:paraId="7BE5B65D">
            <w:pPr>
              <w:pStyle w:val="90"/>
              <w:rPr>
                <w:sz w:val="21"/>
                <w:szCs w:val="21"/>
              </w:rPr>
            </w:pPr>
            <w:r>
              <w:rPr>
                <w:sz w:val="21"/>
                <w:szCs w:val="21"/>
              </w:rPr>
              <w:t>0.12</w:t>
            </w:r>
          </w:p>
        </w:tc>
        <w:tc>
          <w:tcPr>
            <w:tcW w:w="735" w:type="pct"/>
            <w:shd w:val="clear" w:color="auto" w:fill="auto"/>
            <w:tcMar>
              <w:left w:w="0" w:type="dxa"/>
              <w:right w:w="0" w:type="dxa"/>
            </w:tcMar>
            <w:vAlign w:val="center"/>
          </w:tcPr>
          <w:p w14:paraId="5403423D">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147.79</w:t>
            </w:r>
          </w:p>
        </w:tc>
        <w:tc>
          <w:tcPr>
            <w:tcW w:w="737" w:type="pct"/>
            <w:shd w:val="clear" w:color="auto" w:fill="auto"/>
            <w:tcMar>
              <w:left w:w="0" w:type="dxa"/>
              <w:right w:w="0" w:type="dxa"/>
            </w:tcMar>
            <w:vAlign w:val="center"/>
          </w:tcPr>
          <w:p w14:paraId="5F32213A">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7.39</w:t>
            </w:r>
          </w:p>
        </w:tc>
      </w:tr>
      <w:tr w14:paraId="6F671F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734CE711">
            <w:pPr>
              <w:pStyle w:val="90"/>
              <w:rPr>
                <w:sz w:val="21"/>
                <w:szCs w:val="21"/>
              </w:rPr>
            </w:pPr>
            <w:r>
              <w:rPr>
                <w:sz w:val="21"/>
                <w:szCs w:val="21"/>
              </w:rPr>
              <w:t>200</w:t>
            </w:r>
          </w:p>
        </w:tc>
        <w:tc>
          <w:tcPr>
            <w:tcW w:w="735" w:type="pct"/>
            <w:tcMar>
              <w:left w:w="0" w:type="dxa"/>
              <w:right w:w="0" w:type="dxa"/>
            </w:tcMar>
            <w:vAlign w:val="center"/>
          </w:tcPr>
          <w:p w14:paraId="352995B7">
            <w:pPr>
              <w:pStyle w:val="90"/>
              <w:rPr>
                <w:sz w:val="21"/>
                <w:szCs w:val="21"/>
              </w:rPr>
            </w:pPr>
            <w:r>
              <w:rPr>
                <w:sz w:val="21"/>
                <w:szCs w:val="21"/>
              </w:rPr>
              <w:t>0.001084</w:t>
            </w:r>
          </w:p>
        </w:tc>
        <w:tc>
          <w:tcPr>
            <w:tcW w:w="736" w:type="pct"/>
            <w:tcMar>
              <w:left w:w="0" w:type="dxa"/>
              <w:right w:w="0" w:type="dxa"/>
            </w:tcMar>
            <w:vAlign w:val="center"/>
          </w:tcPr>
          <w:p w14:paraId="72AB3605">
            <w:pPr>
              <w:pStyle w:val="90"/>
              <w:rPr>
                <w:sz w:val="21"/>
                <w:szCs w:val="21"/>
              </w:rPr>
            </w:pPr>
            <w:r>
              <w:rPr>
                <w:sz w:val="21"/>
                <w:szCs w:val="21"/>
              </w:rPr>
              <w:t>0.54</w:t>
            </w:r>
          </w:p>
        </w:tc>
        <w:tc>
          <w:tcPr>
            <w:tcW w:w="735" w:type="pct"/>
            <w:tcMar>
              <w:left w:w="0" w:type="dxa"/>
              <w:right w:w="0" w:type="dxa"/>
            </w:tcMar>
            <w:vAlign w:val="center"/>
          </w:tcPr>
          <w:p w14:paraId="03092190">
            <w:pPr>
              <w:pStyle w:val="90"/>
              <w:rPr>
                <w:sz w:val="21"/>
                <w:szCs w:val="21"/>
              </w:rPr>
            </w:pPr>
            <w:r>
              <w:rPr>
                <w:sz w:val="21"/>
                <w:szCs w:val="21"/>
              </w:rPr>
              <w:t>0.00001036</w:t>
            </w:r>
          </w:p>
        </w:tc>
        <w:tc>
          <w:tcPr>
            <w:tcW w:w="736" w:type="pct"/>
            <w:tcMar>
              <w:left w:w="0" w:type="dxa"/>
              <w:right w:w="0" w:type="dxa"/>
            </w:tcMar>
            <w:vAlign w:val="center"/>
          </w:tcPr>
          <w:p w14:paraId="647708B7">
            <w:pPr>
              <w:pStyle w:val="90"/>
              <w:rPr>
                <w:sz w:val="21"/>
                <w:szCs w:val="21"/>
              </w:rPr>
            </w:pPr>
            <w:r>
              <w:rPr>
                <w:sz w:val="21"/>
                <w:szCs w:val="21"/>
              </w:rPr>
              <w:t>0.10</w:t>
            </w:r>
          </w:p>
        </w:tc>
        <w:tc>
          <w:tcPr>
            <w:tcW w:w="735" w:type="pct"/>
            <w:shd w:val="clear" w:color="auto" w:fill="auto"/>
            <w:tcMar>
              <w:left w:w="0" w:type="dxa"/>
              <w:right w:w="0" w:type="dxa"/>
            </w:tcMar>
            <w:vAlign w:val="center"/>
          </w:tcPr>
          <w:p w14:paraId="664690E2">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123.81</w:t>
            </w:r>
          </w:p>
        </w:tc>
        <w:tc>
          <w:tcPr>
            <w:tcW w:w="737" w:type="pct"/>
            <w:shd w:val="clear" w:color="auto" w:fill="auto"/>
            <w:tcMar>
              <w:left w:w="0" w:type="dxa"/>
              <w:right w:w="0" w:type="dxa"/>
            </w:tcMar>
            <w:vAlign w:val="center"/>
          </w:tcPr>
          <w:p w14:paraId="6F0E194E">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6.19</w:t>
            </w:r>
          </w:p>
        </w:tc>
      </w:tr>
      <w:tr w14:paraId="3BE828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06C94B4F">
            <w:pPr>
              <w:pStyle w:val="90"/>
              <w:rPr>
                <w:sz w:val="21"/>
                <w:szCs w:val="21"/>
              </w:rPr>
            </w:pPr>
            <w:r>
              <w:rPr>
                <w:sz w:val="21"/>
                <w:szCs w:val="21"/>
              </w:rPr>
              <w:t>300</w:t>
            </w:r>
          </w:p>
        </w:tc>
        <w:tc>
          <w:tcPr>
            <w:tcW w:w="735" w:type="pct"/>
            <w:tcMar>
              <w:left w:w="0" w:type="dxa"/>
              <w:right w:w="0" w:type="dxa"/>
            </w:tcMar>
            <w:vAlign w:val="center"/>
          </w:tcPr>
          <w:p w14:paraId="4D3229CB">
            <w:pPr>
              <w:pStyle w:val="90"/>
              <w:rPr>
                <w:sz w:val="21"/>
                <w:szCs w:val="21"/>
              </w:rPr>
            </w:pPr>
            <w:r>
              <w:rPr>
                <w:sz w:val="21"/>
                <w:szCs w:val="21"/>
              </w:rPr>
              <w:t>0.0006758</w:t>
            </w:r>
          </w:p>
        </w:tc>
        <w:tc>
          <w:tcPr>
            <w:tcW w:w="736" w:type="pct"/>
            <w:tcMar>
              <w:left w:w="0" w:type="dxa"/>
              <w:right w:w="0" w:type="dxa"/>
            </w:tcMar>
            <w:vAlign w:val="center"/>
          </w:tcPr>
          <w:p w14:paraId="28E3CE31">
            <w:pPr>
              <w:pStyle w:val="90"/>
              <w:rPr>
                <w:sz w:val="21"/>
                <w:szCs w:val="21"/>
              </w:rPr>
            </w:pPr>
            <w:r>
              <w:rPr>
                <w:sz w:val="21"/>
                <w:szCs w:val="21"/>
              </w:rPr>
              <w:t>0.34</w:t>
            </w:r>
          </w:p>
        </w:tc>
        <w:tc>
          <w:tcPr>
            <w:tcW w:w="735" w:type="pct"/>
            <w:tcMar>
              <w:left w:w="0" w:type="dxa"/>
              <w:right w:w="0" w:type="dxa"/>
            </w:tcMar>
            <w:vAlign w:val="center"/>
          </w:tcPr>
          <w:p w14:paraId="70D1C7DF">
            <w:pPr>
              <w:pStyle w:val="90"/>
              <w:rPr>
                <w:sz w:val="21"/>
                <w:szCs w:val="21"/>
              </w:rPr>
            </w:pPr>
            <w:r>
              <w:rPr>
                <w:sz w:val="21"/>
                <w:szCs w:val="21"/>
              </w:rPr>
              <w:t>0.000008082</w:t>
            </w:r>
          </w:p>
        </w:tc>
        <w:tc>
          <w:tcPr>
            <w:tcW w:w="736" w:type="pct"/>
            <w:tcMar>
              <w:left w:w="0" w:type="dxa"/>
              <w:right w:w="0" w:type="dxa"/>
            </w:tcMar>
            <w:vAlign w:val="center"/>
          </w:tcPr>
          <w:p w14:paraId="5C3164DA">
            <w:pPr>
              <w:pStyle w:val="90"/>
              <w:rPr>
                <w:sz w:val="21"/>
                <w:szCs w:val="21"/>
              </w:rPr>
            </w:pPr>
            <w:r>
              <w:rPr>
                <w:sz w:val="21"/>
                <w:szCs w:val="21"/>
              </w:rPr>
              <w:t>0.08</w:t>
            </w:r>
          </w:p>
        </w:tc>
        <w:tc>
          <w:tcPr>
            <w:tcW w:w="735" w:type="pct"/>
            <w:shd w:val="clear" w:color="auto" w:fill="auto"/>
            <w:tcMar>
              <w:left w:w="0" w:type="dxa"/>
              <w:right w:w="0" w:type="dxa"/>
            </w:tcMar>
            <w:vAlign w:val="center"/>
          </w:tcPr>
          <w:p w14:paraId="79FFE8AB">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27.688</w:t>
            </w:r>
          </w:p>
        </w:tc>
        <w:tc>
          <w:tcPr>
            <w:tcW w:w="737" w:type="pct"/>
            <w:shd w:val="clear" w:color="auto" w:fill="auto"/>
            <w:tcMar>
              <w:left w:w="0" w:type="dxa"/>
              <w:right w:w="0" w:type="dxa"/>
            </w:tcMar>
            <w:vAlign w:val="center"/>
          </w:tcPr>
          <w:p w14:paraId="696020CD">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1.38</w:t>
            </w:r>
          </w:p>
        </w:tc>
      </w:tr>
      <w:tr w14:paraId="219EF4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218521B7">
            <w:pPr>
              <w:pStyle w:val="90"/>
              <w:rPr>
                <w:sz w:val="21"/>
                <w:szCs w:val="21"/>
              </w:rPr>
            </w:pPr>
            <w:r>
              <w:rPr>
                <w:sz w:val="21"/>
                <w:szCs w:val="21"/>
              </w:rPr>
              <w:t>400</w:t>
            </w:r>
          </w:p>
        </w:tc>
        <w:tc>
          <w:tcPr>
            <w:tcW w:w="735" w:type="pct"/>
            <w:tcMar>
              <w:left w:w="0" w:type="dxa"/>
              <w:right w:w="0" w:type="dxa"/>
            </w:tcMar>
            <w:vAlign w:val="center"/>
          </w:tcPr>
          <w:p w14:paraId="0D7F42ED">
            <w:pPr>
              <w:pStyle w:val="90"/>
              <w:rPr>
                <w:sz w:val="21"/>
                <w:szCs w:val="21"/>
              </w:rPr>
            </w:pPr>
            <w:r>
              <w:rPr>
                <w:sz w:val="21"/>
                <w:szCs w:val="21"/>
              </w:rPr>
              <w:t>0.0004736</w:t>
            </w:r>
          </w:p>
        </w:tc>
        <w:tc>
          <w:tcPr>
            <w:tcW w:w="736" w:type="pct"/>
            <w:tcMar>
              <w:left w:w="0" w:type="dxa"/>
              <w:right w:w="0" w:type="dxa"/>
            </w:tcMar>
            <w:vAlign w:val="center"/>
          </w:tcPr>
          <w:p w14:paraId="77CDF288">
            <w:pPr>
              <w:pStyle w:val="90"/>
              <w:rPr>
                <w:sz w:val="21"/>
                <w:szCs w:val="21"/>
              </w:rPr>
            </w:pPr>
            <w:r>
              <w:rPr>
                <w:sz w:val="21"/>
                <w:szCs w:val="21"/>
              </w:rPr>
              <w:t>0.24</w:t>
            </w:r>
          </w:p>
        </w:tc>
        <w:tc>
          <w:tcPr>
            <w:tcW w:w="735" w:type="pct"/>
            <w:tcMar>
              <w:left w:w="0" w:type="dxa"/>
              <w:right w:w="0" w:type="dxa"/>
            </w:tcMar>
            <w:vAlign w:val="center"/>
          </w:tcPr>
          <w:p w14:paraId="3F44CE37">
            <w:pPr>
              <w:pStyle w:val="90"/>
              <w:rPr>
                <w:sz w:val="21"/>
                <w:szCs w:val="21"/>
              </w:rPr>
            </w:pPr>
            <w:r>
              <w:rPr>
                <w:sz w:val="21"/>
                <w:szCs w:val="21"/>
              </w:rPr>
              <w:t>0.000006686</w:t>
            </w:r>
          </w:p>
        </w:tc>
        <w:tc>
          <w:tcPr>
            <w:tcW w:w="736" w:type="pct"/>
            <w:tcMar>
              <w:left w:w="0" w:type="dxa"/>
              <w:right w:w="0" w:type="dxa"/>
            </w:tcMar>
            <w:vAlign w:val="center"/>
          </w:tcPr>
          <w:p w14:paraId="5BCC9A18">
            <w:pPr>
              <w:pStyle w:val="90"/>
              <w:rPr>
                <w:sz w:val="21"/>
                <w:szCs w:val="21"/>
              </w:rPr>
            </w:pPr>
            <w:r>
              <w:rPr>
                <w:sz w:val="21"/>
                <w:szCs w:val="21"/>
              </w:rPr>
              <w:t>0.07</w:t>
            </w:r>
          </w:p>
        </w:tc>
        <w:tc>
          <w:tcPr>
            <w:tcW w:w="735" w:type="pct"/>
            <w:shd w:val="clear" w:color="auto" w:fill="auto"/>
            <w:tcMar>
              <w:left w:w="0" w:type="dxa"/>
              <w:right w:w="0" w:type="dxa"/>
            </w:tcMar>
            <w:vAlign w:val="center"/>
          </w:tcPr>
          <w:p w14:paraId="1A28CB13">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22.083</w:t>
            </w:r>
          </w:p>
        </w:tc>
        <w:tc>
          <w:tcPr>
            <w:tcW w:w="737" w:type="pct"/>
            <w:shd w:val="clear" w:color="auto" w:fill="auto"/>
            <w:tcMar>
              <w:left w:w="0" w:type="dxa"/>
              <w:right w:w="0" w:type="dxa"/>
            </w:tcMar>
            <w:vAlign w:val="center"/>
          </w:tcPr>
          <w:p w14:paraId="34B49F31">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1.1</w:t>
            </w:r>
          </w:p>
        </w:tc>
      </w:tr>
      <w:tr w14:paraId="3D1A97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3BC2ECFF">
            <w:pPr>
              <w:pStyle w:val="90"/>
              <w:rPr>
                <w:sz w:val="21"/>
                <w:szCs w:val="21"/>
              </w:rPr>
            </w:pPr>
            <w:r>
              <w:rPr>
                <w:sz w:val="21"/>
                <w:szCs w:val="21"/>
              </w:rPr>
              <w:t>500</w:t>
            </w:r>
          </w:p>
        </w:tc>
        <w:tc>
          <w:tcPr>
            <w:tcW w:w="735" w:type="pct"/>
            <w:tcMar>
              <w:left w:w="0" w:type="dxa"/>
              <w:right w:w="0" w:type="dxa"/>
            </w:tcMar>
            <w:vAlign w:val="center"/>
          </w:tcPr>
          <w:p w14:paraId="07BAD65F">
            <w:pPr>
              <w:pStyle w:val="90"/>
              <w:rPr>
                <w:sz w:val="21"/>
                <w:szCs w:val="21"/>
              </w:rPr>
            </w:pPr>
            <w:r>
              <w:rPr>
                <w:sz w:val="21"/>
                <w:szCs w:val="21"/>
              </w:rPr>
              <w:t>0.0003613</w:t>
            </w:r>
          </w:p>
        </w:tc>
        <w:tc>
          <w:tcPr>
            <w:tcW w:w="736" w:type="pct"/>
            <w:tcMar>
              <w:left w:w="0" w:type="dxa"/>
              <w:right w:w="0" w:type="dxa"/>
            </w:tcMar>
            <w:vAlign w:val="center"/>
          </w:tcPr>
          <w:p w14:paraId="79702F0F">
            <w:pPr>
              <w:pStyle w:val="90"/>
              <w:rPr>
                <w:sz w:val="21"/>
                <w:szCs w:val="21"/>
              </w:rPr>
            </w:pPr>
            <w:r>
              <w:rPr>
                <w:sz w:val="21"/>
                <w:szCs w:val="21"/>
              </w:rPr>
              <w:t>0.18</w:t>
            </w:r>
          </w:p>
        </w:tc>
        <w:tc>
          <w:tcPr>
            <w:tcW w:w="735" w:type="pct"/>
            <w:tcMar>
              <w:left w:w="0" w:type="dxa"/>
              <w:right w:w="0" w:type="dxa"/>
            </w:tcMar>
            <w:vAlign w:val="center"/>
          </w:tcPr>
          <w:p w14:paraId="4EC22569">
            <w:pPr>
              <w:pStyle w:val="90"/>
              <w:rPr>
                <w:sz w:val="21"/>
                <w:szCs w:val="21"/>
              </w:rPr>
            </w:pPr>
            <w:r>
              <w:rPr>
                <w:sz w:val="21"/>
                <w:szCs w:val="21"/>
              </w:rPr>
              <w:t>0.000005638</w:t>
            </w:r>
          </w:p>
        </w:tc>
        <w:tc>
          <w:tcPr>
            <w:tcW w:w="736" w:type="pct"/>
            <w:tcMar>
              <w:left w:w="0" w:type="dxa"/>
              <w:right w:w="0" w:type="dxa"/>
            </w:tcMar>
            <w:vAlign w:val="center"/>
          </w:tcPr>
          <w:p w14:paraId="31583D05">
            <w:pPr>
              <w:pStyle w:val="90"/>
              <w:rPr>
                <w:sz w:val="21"/>
                <w:szCs w:val="21"/>
              </w:rPr>
            </w:pPr>
            <w:r>
              <w:rPr>
                <w:sz w:val="21"/>
                <w:szCs w:val="21"/>
              </w:rPr>
              <w:t>0.06</w:t>
            </w:r>
          </w:p>
        </w:tc>
        <w:tc>
          <w:tcPr>
            <w:tcW w:w="735" w:type="pct"/>
            <w:shd w:val="clear" w:color="auto" w:fill="auto"/>
            <w:tcMar>
              <w:left w:w="0" w:type="dxa"/>
              <w:right w:w="0" w:type="dxa"/>
            </w:tcMar>
            <w:vAlign w:val="center"/>
          </w:tcPr>
          <w:p w14:paraId="4B8CCEF2">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18.199</w:t>
            </w:r>
          </w:p>
        </w:tc>
        <w:tc>
          <w:tcPr>
            <w:tcW w:w="737" w:type="pct"/>
            <w:shd w:val="clear" w:color="auto" w:fill="auto"/>
            <w:tcMar>
              <w:left w:w="0" w:type="dxa"/>
              <w:right w:w="0" w:type="dxa"/>
            </w:tcMar>
            <w:vAlign w:val="center"/>
          </w:tcPr>
          <w:p w14:paraId="2C247544">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0.91</w:t>
            </w:r>
          </w:p>
        </w:tc>
      </w:tr>
      <w:tr w14:paraId="08E1BC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53CC1F99">
            <w:pPr>
              <w:pStyle w:val="90"/>
              <w:rPr>
                <w:sz w:val="21"/>
                <w:szCs w:val="21"/>
              </w:rPr>
            </w:pPr>
            <w:r>
              <w:rPr>
                <w:sz w:val="21"/>
                <w:szCs w:val="21"/>
              </w:rPr>
              <w:t>1000</w:t>
            </w:r>
          </w:p>
        </w:tc>
        <w:tc>
          <w:tcPr>
            <w:tcW w:w="735" w:type="pct"/>
            <w:tcMar>
              <w:left w:w="0" w:type="dxa"/>
              <w:right w:w="0" w:type="dxa"/>
            </w:tcMar>
            <w:vAlign w:val="center"/>
          </w:tcPr>
          <w:p w14:paraId="1FA348CD">
            <w:pPr>
              <w:pStyle w:val="90"/>
              <w:rPr>
                <w:sz w:val="21"/>
                <w:szCs w:val="21"/>
              </w:rPr>
            </w:pPr>
            <w:r>
              <w:rPr>
                <w:sz w:val="21"/>
                <w:szCs w:val="21"/>
              </w:rPr>
              <w:t>0.0001450</w:t>
            </w:r>
          </w:p>
        </w:tc>
        <w:tc>
          <w:tcPr>
            <w:tcW w:w="736" w:type="pct"/>
            <w:tcMar>
              <w:left w:w="0" w:type="dxa"/>
              <w:right w:w="0" w:type="dxa"/>
            </w:tcMar>
            <w:vAlign w:val="center"/>
          </w:tcPr>
          <w:p w14:paraId="5C98D2E6">
            <w:pPr>
              <w:pStyle w:val="90"/>
              <w:rPr>
                <w:sz w:val="21"/>
                <w:szCs w:val="21"/>
              </w:rPr>
            </w:pPr>
            <w:r>
              <w:rPr>
                <w:sz w:val="21"/>
                <w:szCs w:val="21"/>
              </w:rPr>
              <w:t>0.07</w:t>
            </w:r>
          </w:p>
        </w:tc>
        <w:tc>
          <w:tcPr>
            <w:tcW w:w="735" w:type="pct"/>
            <w:tcMar>
              <w:left w:w="0" w:type="dxa"/>
              <w:right w:w="0" w:type="dxa"/>
            </w:tcMar>
            <w:vAlign w:val="center"/>
          </w:tcPr>
          <w:p w14:paraId="731AEAE8">
            <w:pPr>
              <w:pStyle w:val="90"/>
              <w:rPr>
                <w:sz w:val="21"/>
                <w:szCs w:val="21"/>
              </w:rPr>
            </w:pPr>
            <w:r>
              <w:rPr>
                <w:sz w:val="21"/>
                <w:szCs w:val="21"/>
              </w:rPr>
              <w:t>0.000002894</w:t>
            </w:r>
          </w:p>
        </w:tc>
        <w:tc>
          <w:tcPr>
            <w:tcW w:w="736" w:type="pct"/>
            <w:tcMar>
              <w:left w:w="0" w:type="dxa"/>
              <w:right w:w="0" w:type="dxa"/>
            </w:tcMar>
            <w:vAlign w:val="center"/>
          </w:tcPr>
          <w:p w14:paraId="4954470F">
            <w:pPr>
              <w:pStyle w:val="90"/>
              <w:rPr>
                <w:sz w:val="21"/>
                <w:szCs w:val="21"/>
              </w:rPr>
            </w:pPr>
            <w:r>
              <w:rPr>
                <w:sz w:val="21"/>
                <w:szCs w:val="21"/>
              </w:rPr>
              <w:t>0.03</w:t>
            </w:r>
          </w:p>
        </w:tc>
        <w:tc>
          <w:tcPr>
            <w:tcW w:w="735" w:type="pct"/>
            <w:shd w:val="clear" w:color="auto" w:fill="auto"/>
            <w:tcMar>
              <w:left w:w="0" w:type="dxa"/>
              <w:right w:w="0" w:type="dxa"/>
            </w:tcMar>
            <w:vAlign w:val="center"/>
          </w:tcPr>
          <w:p w14:paraId="3B4BDC48">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15.439</w:t>
            </w:r>
          </w:p>
        </w:tc>
        <w:tc>
          <w:tcPr>
            <w:tcW w:w="737" w:type="pct"/>
            <w:shd w:val="clear" w:color="auto" w:fill="auto"/>
            <w:tcMar>
              <w:left w:w="0" w:type="dxa"/>
              <w:right w:w="0" w:type="dxa"/>
            </w:tcMar>
            <w:vAlign w:val="center"/>
          </w:tcPr>
          <w:p w14:paraId="6094A3D5">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0.77</w:t>
            </w:r>
          </w:p>
        </w:tc>
      </w:tr>
      <w:tr w14:paraId="524041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13AC06CD">
            <w:pPr>
              <w:pStyle w:val="90"/>
              <w:rPr>
                <w:sz w:val="21"/>
                <w:szCs w:val="21"/>
              </w:rPr>
            </w:pPr>
            <w:r>
              <w:rPr>
                <w:sz w:val="21"/>
                <w:szCs w:val="21"/>
              </w:rPr>
              <w:t>1500</w:t>
            </w:r>
          </w:p>
        </w:tc>
        <w:tc>
          <w:tcPr>
            <w:tcW w:w="735" w:type="pct"/>
            <w:tcMar>
              <w:left w:w="0" w:type="dxa"/>
              <w:right w:w="0" w:type="dxa"/>
            </w:tcMar>
            <w:vAlign w:val="center"/>
          </w:tcPr>
          <w:p w14:paraId="44E28771">
            <w:pPr>
              <w:pStyle w:val="90"/>
              <w:rPr>
                <w:sz w:val="21"/>
                <w:szCs w:val="21"/>
              </w:rPr>
            </w:pPr>
            <w:r>
              <w:rPr>
                <w:sz w:val="21"/>
                <w:szCs w:val="21"/>
              </w:rPr>
              <w:t>0.00008432</w:t>
            </w:r>
          </w:p>
        </w:tc>
        <w:tc>
          <w:tcPr>
            <w:tcW w:w="736" w:type="pct"/>
            <w:tcMar>
              <w:left w:w="0" w:type="dxa"/>
              <w:right w:w="0" w:type="dxa"/>
            </w:tcMar>
            <w:vAlign w:val="center"/>
          </w:tcPr>
          <w:p w14:paraId="44112ABC">
            <w:pPr>
              <w:pStyle w:val="90"/>
              <w:rPr>
                <w:sz w:val="21"/>
                <w:szCs w:val="21"/>
              </w:rPr>
            </w:pPr>
            <w:r>
              <w:rPr>
                <w:sz w:val="21"/>
                <w:szCs w:val="21"/>
              </w:rPr>
              <w:t>0.04</w:t>
            </w:r>
          </w:p>
        </w:tc>
        <w:tc>
          <w:tcPr>
            <w:tcW w:w="735" w:type="pct"/>
            <w:tcMar>
              <w:left w:w="0" w:type="dxa"/>
              <w:right w:w="0" w:type="dxa"/>
            </w:tcMar>
            <w:vAlign w:val="center"/>
          </w:tcPr>
          <w:p w14:paraId="7B153DAC">
            <w:pPr>
              <w:pStyle w:val="90"/>
              <w:rPr>
                <w:sz w:val="21"/>
                <w:szCs w:val="21"/>
              </w:rPr>
            </w:pPr>
            <w:r>
              <w:rPr>
                <w:sz w:val="21"/>
                <w:szCs w:val="21"/>
              </w:rPr>
              <w:t>0.000001817</w:t>
            </w:r>
          </w:p>
        </w:tc>
        <w:tc>
          <w:tcPr>
            <w:tcW w:w="736" w:type="pct"/>
            <w:tcMar>
              <w:left w:w="0" w:type="dxa"/>
              <w:right w:w="0" w:type="dxa"/>
            </w:tcMar>
            <w:vAlign w:val="center"/>
          </w:tcPr>
          <w:p w14:paraId="7ACA3F18">
            <w:pPr>
              <w:pStyle w:val="90"/>
              <w:rPr>
                <w:sz w:val="21"/>
                <w:szCs w:val="21"/>
              </w:rPr>
            </w:pPr>
            <w:r>
              <w:rPr>
                <w:sz w:val="21"/>
                <w:szCs w:val="21"/>
              </w:rPr>
              <w:t>0.02</w:t>
            </w:r>
          </w:p>
        </w:tc>
        <w:tc>
          <w:tcPr>
            <w:tcW w:w="735" w:type="pct"/>
            <w:shd w:val="clear" w:color="auto" w:fill="auto"/>
            <w:tcMar>
              <w:left w:w="0" w:type="dxa"/>
              <w:right w:w="0" w:type="dxa"/>
            </w:tcMar>
            <w:vAlign w:val="center"/>
          </w:tcPr>
          <w:p w14:paraId="616645A3">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13.263</w:t>
            </w:r>
          </w:p>
        </w:tc>
        <w:tc>
          <w:tcPr>
            <w:tcW w:w="737" w:type="pct"/>
            <w:shd w:val="clear" w:color="auto" w:fill="auto"/>
            <w:tcMar>
              <w:left w:w="0" w:type="dxa"/>
              <w:right w:w="0" w:type="dxa"/>
            </w:tcMar>
            <w:vAlign w:val="center"/>
          </w:tcPr>
          <w:p w14:paraId="7489D2BF">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0.66</w:t>
            </w:r>
          </w:p>
        </w:tc>
      </w:tr>
      <w:tr w14:paraId="7F60A1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33E89941">
            <w:pPr>
              <w:pStyle w:val="90"/>
              <w:rPr>
                <w:sz w:val="21"/>
                <w:szCs w:val="21"/>
              </w:rPr>
            </w:pPr>
            <w:r>
              <w:rPr>
                <w:sz w:val="21"/>
                <w:szCs w:val="21"/>
              </w:rPr>
              <w:t>2000</w:t>
            </w:r>
          </w:p>
        </w:tc>
        <w:tc>
          <w:tcPr>
            <w:tcW w:w="735" w:type="pct"/>
            <w:tcMar>
              <w:left w:w="0" w:type="dxa"/>
              <w:right w:w="0" w:type="dxa"/>
            </w:tcMar>
            <w:vAlign w:val="center"/>
          </w:tcPr>
          <w:p w14:paraId="4234634E">
            <w:pPr>
              <w:pStyle w:val="90"/>
              <w:rPr>
                <w:sz w:val="21"/>
                <w:szCs w:val="21"/>
              </w:rPr>
            </w:pPr>
            <w:r>
              <w:rPr>
                <w:sz w:val="21"/>
                <w:szCs w:val="21"/>
              </w:rPr>
              <w:t>0.00005727</w:t>
            </w:r>
          </w:p>
        </w:tc>
        <w:tc>
          <w:tcPr>
            <w:tcW w:w="736" w:type="pct"/>
            <w:tcMar>
              <w:left w:w="0" w:type="dxa"/>
              <w:right w:w="0" w:type="dxa"/>
            </w:tcMar>
            <w:vAlign w:val="center"/>
          </w:tcPr>
          <w:p w14:paraId="671470AB">
            <w:pPr>
              <w:pStyle w:val="90"/>
              <w:rPr>
                <w:sz w:val="21"/>
                <w:szCs w:val="21"/>
              </w:rPr>
            </w:pPr>
            <w:r>
              <w:rPr>
                <w:sz w:val="21"/>
                <w:szCs w:val="21"/>
              </w:rPr>
              <w:t>0.03</w:t>
            </w:r>
          </w:p>
        </w:tc>
        <w:tc>
          <w:tcPr>
            <w:tcW w:w="735" w:type="pct"/>
            <w:tcMar>
              <w:left w:w="0" w:type="dxa"/>
              <w:right w:w="0" w:type="dxa"/>
            </w:tcMar>
            <w:vAlign w:val="center"/>
          </w:tcPr>
          <w:p w14:paraId="4F930FCF">
            <w:pPr>
              <w:pStyle w:val="90"/>
              <w:rPr>
                <w:sz w:val="21"/>
                <w:szCs w:val="21"/>
              </w:rPr>
            </w:pPr>
            <w:r>
              <w:rPr>
                <w:sz w:val="21"/>
                <w:szCs w:val="21"/>
              </w:rPr>
              <w:t>0.000001279</w:t>
            </w:r>
          </w:p>
        </w:tc>
        <w:tc>
          <w:tcPr>
            <w:tcW w:w="736" w:type="pct"/>
            <w:tcMar>
              <w:left w:w="0" w:type="dxa"/>
              <w:right w:w="0" w:type="dxa"/>
            </w:tcMar>
            <w:vAlign w:val="center"/>
          </w:tcPr>
          <w:p w14:paraId="22D9FBCA">
            <w:pPr>
              <w:pStyle w:val="90"/>
              <w:rPr>
                <w:sz w:val="21"/>
                <w:szCs w:val="21"/>
              </w:rPr>
            </w:pPr>
            <w:r>
              <w:rPr>
                <w:sz w:val="21"/>
                <w:szCs w:val="21"/>
              </w:rPr>
              <w:t>0.01</w:t>
            </w:r>
          </w:p>
        </w:tc>
        <w:tc>
          <w:tcPr>
            <w:tcW w:w="735" w:type="pct"/>
            <w:shd w:val="clear" w:color="auto" w:fill="auto"/>
            <w:tcMar>
              <w:left w:w="0" w:type="dxa"/>
              <w:right w:w="0" w:type="dxa"/>
            </w:tcMar>
            <w:vAlign w:val="center"/>
          </w:tcPr>
          <w:p w14:paraId="32C845B1">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11.57</w:t>
            </w:r>
          </w:p>
        </w:tc>
        <w:tc>
          <w:tcPr>
            <w:tcW w:w="737" w:type="pct"/>
            <w:shd w:val="clear" w:color="auto" w:fill="auto"/>
            <w:tcMar>
              <w:left w:w="0" w:type="dxa"/>
              <w:right w:w="0" w:type="dxa"/>
            </w:tcMar>
            <w:vAlign w:val="center"/>
          </w:tcPr>
          <w:p w14:paraId="40F9A9F1">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0.58</w:t>
            </w:r>
          </w:p>
        </w:tc>
      </w:tr>
      <w:tr w14:paraId="49ABD6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0B74BCA6">
            <w:pPr>
              <w:pStyle w:val="90"/>
              <w:rPr>
                <w:sz w:val="21"/>
                <w:szCs w:val="21"/>
              </w:rPr>
            </w:pPr>
            <w:r>
              <w:rPr>
                <w:sz w:val="21"/>
                <w:szCs w:val="21"/>
              </w:rPr>
              <w:t>2500</w:t>
            </w:r>
          </w:p>
        </w:tc>
        <w:tc>
          <w:tcPr>
            <w:tcW w:w="735" w:type="pct"/>
            <w:tcMar>
              <w:left w:w="0" w:type="dxa"/>
              <w:right w:w="0" w:type="dxa"/>
            </w:tcMar>
            <w:vAlign w:val="center"/>
          </w:tcPr>
          <w:p w14:paraId="39C80A4B">
            <w:pPr>
              <w:pStyle w:val="90"/>
              <w:rPr>
                <w:sz w:val="21"/>
                <w:szCs w:val="21"/>
              </w:rPr>
            </w:pPr>
            <w:r>
              <w:rPr>
                <w:sz w:val="21"/>
                <w:szCs w:val="21"/>
              </w:rPr>
              <w:t>0.00004238</w:t>
            </w:r>
          </w:p>
        </w:tc>
        <w:tc>
          <w:tcPr>
            <w:tcW w:w="736" w:type="pct"/>
            <w:tcMar>
              <w:left w:w="0" w:type="dxa"/>
              <w:right w:w="0" w:type="dxa"/>
            </w:tcMar>
            <w:vAlign w:val="center"/>
          </w:tcPr>
          <w:p w14:paraId="4B971832">
            <w:pPr>
              <w:pStyle w:val="90"/>
              <w:rPr>
                <w:sz w:val="21"/>
                <w:szCs w:val="21"/>
              </w:rPr>
            </w:pPr>
            <w:r>
              <w:rPr>
                <w:sz w:val="21"/>
                <w:szCs w:val="21"/>
              </w:rPr>
              <w:t>0.02</w:t>
            </w:r>
          </w:p>
        </w:tc>
        <w:tc>
          <w:tcPr>
            <w:tcW w:w="735" w:type="pct"/>
            <w:tcMar>
              <w:left w:w="0" w:type="dxa"/>
              <w:right w:w="0" w:type="dxa"/>
            </w:tcMar>
            <w:vAlign w:val="center"/>
          </w:tcPr>
          <w:p w14:paraId="0AF346BB">
            <w:pPr>
              <w:pStyle w:val="90"/>
              <w:rPr>
                <w:sz w:val="21"/>
                <w:szCs w:val="21"/>
              </w:rPr>
            </w:pPr>
            <w:r>
              <w:rPr>
                <w:sz w:val="21"/>
                <w:szCs w:val="21"/>
              </w:rPr>
              <w:t>0.0000009653</w:t>
            </w:r>
          </w:p>
        </w:tc>
        <w:tc>
          <w:tcPr>
            <w:tcW w:w="736" w:type="pct"/>
            <w:tcMar>
              <w:left w:w="0" w:type="dxa"/>
              <w:right w:w="0" w:type="dxa"/>
            </w:tcMar>
            <w:vAlign w:val="center"/>
          </w:tcPr>
          <w:p w14:paraId="0149A140">
            <w:pPr>
              <w:pStyle w:val="90"/>
              <w:rPr>
                <w:sz w:val="21"/>
                <w:szCs w:val="21"/>
              </w:rPr>
            </w:pPr>
            <w:r>
              <w:rPr>
                <w:sz w:val="21"/>
                <w:szCs w:val="21"/>
              </w:rPr>
              <w:t>0.01</w:t>
            </w:r>
          </w:p>
        </w:tc>
        <w:tc>
          <w:tcPr>
            <w:tcW w:w="735" w:type="pct"/>
            <w:shd w:val="clear" w:color="auto" w:fill="auto"/>
            <w:tcMar>
              <w:left w:w="0" w:type="dxa"/>
              <w:right w:w="0" w:type="dxa"/>
            </w:tcMar>
            <w:vAlign w:val="center"/>
          </w:tcPr>
          <w:p w14:paraId="27B2BA10">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4.6524</w:t>
            </w:r>
          </w:p>
        </w:tc>
        <w:tc>
          <w:tcPr>
            <w:tcW w:w="737" w:type="pct"/>
            <w:shd w:val="clear" w:color="auto" w:fill="auto"/>
            <w:tcMar>
              <w:left w:w="0" w:type="dxa"/>
              <w:right w:w="0" w:type="dxa"/>
            </w:tcMar>
            <w:vAlign w:val="center"/>
          </w:tcPr>
          <w:p w14:paraId="554748C5">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0.23</w:t>
            </w:r>
          </w:p>
        </w:tc>
      </w:tr>
      <w:tr w14:paraId="1A7460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2E44C4BA">
            <w:pPr>
              <w:pStyle w:val="90"/>
              <w:rPr>
                <w:sz w:val="21"/>
                <w:szCs w:val="21"/>
              </w:rPr>
            </w:pPr>
            <w:r>
              <w:rPr>
                <w:sz w:val="21"/>
                <w:szCs w:val="21"/>
              </w:rPr>
              <w:t>3000</w:t>
            </w:r>
          </w:p>
        </w:tc>
        <w:tc>
          <w:tcPr>
            <w:tcW w:w="735" w:type="pct"/>
            <w:tcMar>
              <w:left w:w="0" w:type="dxa"/>
              <w:right w:w="0" w:type="dxa"/>
            </w:tcMar>
            <w:vAlign w:val="center"/>
          </w:tcPr>
          <w:p w14:paraId="3413F446">
            <w:pPr>
              <w:pStyle w:val="90"/>
              <w:rPr>
                <w:sz w:val="21"/>
                <w:szCs w:val="21"/>
              </w:rPr>
            </w:pPr>
            <w:r>
              <w:rPr>
                <w:sz w:val="21"/>
                <w:szCs w:val="21"/>
              </w:rPr>
              <w:t>0.00003313</w:t>
            </w:r>
          </w:p>
        </w:tc>
        <w:tc>
          <w:tcPr>
            <w:tcW w:w="736" w:type="pct"/>
            <w:tcMar>
              <w:left w:w="0" w:type="dxa"/>
              <w:right w:w="0" w:type="dxa"/>
            </w:tcMar>
            <w:vAlign w:val="center"/>
          </w:tcPr>
          <w:p w14:paraId="613757E2">
            <w:pPr>
              <w:pStyle w:val="90"/>
              <w:rPr>
                <w:sz w:val="21"/>
                <w:szCs w:val="21"/>
              </w:rPr>
            </w:pPr>
            <w:r>
              <w:rPr>
                <w:sz w:val="21"/>
                <w:szCs w:val="21"/>
              </w:rPr>
              <w:t>0.02</w:t>
            </w:r>
          </w:p>
        </w:tc>
        <w:tc>
          <w:tcPr>
            <w:tcW w:w="735" w:type="pct"/>
            <w:tcMar>
              <w:left w:w="0" w:type="dxa"/>
              <w:right w:w="0" w:type="dxa"/>
            </w:tcMar>
            <w:vAlign w:val="center"/>
          </w:tcPr>
          <w:p w14:paraId="4691C71D">
            <w:pPr>
              <w:pStyle w:val="90"/>
              <w:rPr>
                <w:sz w:val="21"/>
                <w:szCs w:val="21"/>
              </w:rPr>
            </w:pPr>
            <w:r>
              <w:rPr>
                <w:sz w:val="21"/>
                <w:szCs w:val="21"/>
              </w:rPr>
              <w:t>0.0000007976</w:t>
            </w:r>
          </w:p>
        </w:tc>
        <w:tc>
          <w:tcPr>
            <w:tcW w:w="736" w:type="pct"/>
            <w:tcMar>
              <w:left w:w="0" w:type="dxa"/>
              <w:right w:w="0" w:type="dxa"/>
            </w:tcMar>
            <w:vAlign w:val="center"/>
          </w:tcPr>
          <w:p w14:paraId="3F551A13">
            <w:pPr>
              <w:pStyle w:val="90"/>
              <w:rPr>
                <w:sz w:val="21"/>
                <w:szCs w:val="21"/>
              </w:rPr>
            </w:pPr>
            <w:r>
              <w:rPr>
                <w:sz w:val="21"/>
                <w:szCs w:val="21"/>
              </w:rPr>
              <w:t>0.01</w:t>
            </w:r>
          </w:p>
        </w:tc>
        <w:tc>
          <w:tcPr>
            <w:tcW w:w="735" w:type="pct"/>
            <w:shd w:val="clear" w:color="auto" w:fill="auto"/>
            <w:tcMar>
              <w:left w:w="0" w:type="dxa"/>
              <w:right w:w="0" w:type="dxa"/>
            </w:tcMar>
            <w:vAlign w:val="center"/>
          </w:tcPr>
          <w:p w14:paraId="00E90B1B">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3.3038</w:t>
            </w:r>
          </w:p>
        </w:tc>
        <w:tc>
          <w:tcPr>
            <w:tcW w:w="737" w:type="pct"/>
            <w:shd w:val="clear" w:color="auto" w:fill="auto"/>
            <w:tcMar>
              <w:left w:w="0" w:type="dxa"/>
              <w:right w:w="0" w:type="dxa"/>
            </w:tcMar>
            <w:vAlign w:val="center"/>
          </w:tcPr>
          <w:p w14:paraId="13FAF8D0">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0.17</w:t>
            </w:r>
          </w:p>
        </w:tc>
      </w:tr>
      <w:tr w14:paraId="29151F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4EF85F49">
            <w:pPr>
              <w:pStyle w:val="90"/>
              <w:rPr>
                <w:sz w:val="21"/>
                <w:szCs w:val="21"/>
              </w:rPr>
            </w:pPr>
            <w:r>
              <w:rPr>
                <w:sz w:val="21"/>
                <w:szCs w:val="21"/>
              </w:rPr>
              <w:t>4000</w:t>
            </w:r>
          </w:p>
        </w:tc>
        <w:tc>
          <w:tcPr>
            <w:tcW w:w="735" w:type="pct"/>
            <w:tcMar>
              <w:left w:w="0" w:type="dxa"/>
              <w:right w:w="0" w:type="dxa"/>
            </w:tcMar>
            <w:vAlign w:val="center"/>
          </w:tcPr>
          <w:p w14:paraId="122961BE">
            <w:pPr>
              <w:pStyle w:val="90"/>
              <w:rPr>
                <w:sz w:val="21"/>
                <w:szCs w:val="21"/>
              </w:rPr>
            </w:pPr>
            <w:r>
              <w:rPr>
                <w:sz w:val="21"/>
                <w:szCs w:val="21"/>
              </w:rPr>
              <w:t>0.00002245</w:t>
            </w:r>
          </w:p>
        </w:tc>
        <w:tc>
          <w:tcPr>
            <w:tcW w:w="736" w:type="pct"/>
            <w:tcMar>
              <w:left w:w="0" w:type="dxa"/>
              <w:right w:w="0" w:type="dxa"/>
            </w:tcMar>
            <w:vAlign w:val="center"/>
          </w:tcPr>
          <w:p w14:paraId="6D379085">
            <w:pPr>
              <w:pStyle w:val="90"/>
              <w:rPr>
                <w:sz w:val="21"/>
                <w:szCs w:val="21"/>
              </w:rPr>
            </w:pPr>
            <w:r>
              <w:rPr>
                <w:sz w:val="21"/>
                <w:szCs w:val="21"/>
              </w:rPr>
              <w:t>0.01</w:t>
            </w:r>
          </w:p>
        </w:tc>
        <w:tc>
          <w:tcPr>
            <w:tcW w:w="735" w:type="pct"/>
            <w:tcMar>
              <w:left w:w="0" w:type="dxa"/>
              <w:right w:w="0" w:type="dxa"/>
            </w:tcMar>
            <w:vAlign w:val="center"/>
          </w:tcPr>
          <w:p w14:paraId="3F0D876E">
            <w:pPr>
              <w:pStyle w:val="90"/>
              <w:rPr>
                <w:sz w:val="21"/>
                <w:szCs w:val="21"/>
              </w:rPr>
            </w:pPr>
            <w:r>
              <w:rPr>
                <w:sz w:val="21"/>
                <w:szCs w:val="21"/>
              </w:rPr>
              <w:t>0.0000005404</w:t>
            </w:r>
          </w:p>
        </w:tc>
        <w:tc>
          <w:tcPr>
            <w:tcW w:w="736" w:type="pct"/>
            <w:tcMar>
              <w:left w:w="0" w:type="dxa"/>
              <w:right w:w="0" w:type="dxa"/>
            </w:tcMar>
            <w:vAlign w:val="center"/>
          </w:tcPr>
          <w:p w14:paraId="735D5787">
            <w:pPr>
              <w:pStyle w:val="90"/>
              <w:rPr>
                <w:sz w:val="21"/>
                <w:szCs w:val="21"/>
              </w:rPr>
            </w:pPr>
            <w:r>
              <w:rPr>
                <w:sz w:val="21"/>
                <w:szCs w:val="21"/>
              </w:rPr>
              <w:t>0.01</w:t>
            </w:r>
          </w:p>
        </w:tc>
        <w:tc>
          <w:tcPr>
            <w:tcW w:w="735" w:type="pct"/>
            <w:shd w:val="clear" w:color="auto" w:fill="auto"/>
            <w:tcMar>
              <w:left w:w="0" w:type="dxa"/>
              <w:right w:w="0" w:type="dxa"/>
            </w:tcMar>
            <w:vAlign w:val="center"/>
          </w:tcPr>
          <w:p w14:paraId="48F1A6A3">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1.3376</w:t>
            </w:r>
          </w:p>
        </w:tc>
        <w:tc>
          <w:tcPr>
            <w:tcW w:w="737" w:type="pct"/>
            <w:shd w:val="clear" w:color="auto" w:fill="auto"/>
            <w:tcMar>
              <w:left w:w="0" w:type="dxa"/>
              <w:right w:w="0" w:type="dxa"/>
            </w:tcMar>
            <w:vAlign w:val="center"/>
          </w:tcPr>
          <w:p w14:paraId="1F474D8E">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0.07</w:t>
            </w:r>
          </w:p>
        </w:tc>
      </w:tr>
      <w:tr w14:paraId="75D047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470800CF">
            <w:pPr>
              <w:pStyle w:val="90"/>
              <w:rPr>
                <w:sz w:val="21"/>
                <w:szCs w:val="21"/>
              </w:rPr>
            </w:pPr>
            <w:r>
              <w:rPr>
                <w:sz w:val="21"/>
                <w:szCs w:val="21"/>
              </w:rPr>
              <w:t>5000</w:t>
            </w:r>
          </w:p>
        </w:tc>
        <w:tc>
          <w:tcPr>
            <w:tcW w:w="735" w:type="pct"/>
            <w:tcMar>
              <w:left w:w="0" w:type="dxa"/>
              <w:right w:w="0" w:type="dxa"/>
            </w:tcMar>
            <w:vAlign w:val="center"/>
          </w:tcPr>
          <w:p w14:paraId="1808E274">
            <w:pPr>
              <w:pStyle w:val="90"/>
              <w:rPr>
                <w:sz w:val="21"/>
                <w:szCs w:val="21"/>
              </w:rPr>
            </w:pPr>
            <w:r>
              <w:rPr>
                <w:sz w:val="21"/>
                <w:szCs w:val="21"/>
              </w:rPr>
              <w:t>0.00001659</w:t>
            </w:r>
          </w:p>
        </w:tc>
        <w:tc>
          <w:tcPr>
            <w:tcW w:w="736" w:type="pct"/>
            <w:tcMar>
              <w:left w:w="0" w:type="dxa"/>
              <w:right w:w="0" w:type="dxa"/>
            </w:tcMar>
            <w:vAlign w:val="center"/>
          </w:tcPr>
          <w:p w14:paraId="2EAB8D84">
            <w:pPr>
              <w:pStyle w:val="90"/>
              <w:rPr>
                <w:sz w:val="21"/>
                <w:szCs w:val="21"/>
              </w:rPr>
            </w:pPr>
            <w:r>
              <w:rPr>
                <w:sz w:val="21"/>
                <w:szCs w:val="21"/>
              </w:rPr>
              <w:t>0.01</w:t>
            </w:r>
          </w:p>
        </w:tc>
        <w:tc>
          <w:tcPr>
            <w:tcW w:w="735" w:type="pct"/>
            <w:tcMar>
              <w:left w:w="0" w:type="dxa"/>
              <w:right w:w="0" w:type="dxa"/>
            </w:tcMar>
            <w:vAlign w:val="center"/>
          </w:tcPr>
          <w:p w14:paraId="5DDFA7DE">
            <w:pPr>
              <w:pStyle w:val="90"/>
              <w:rPr>
                <w:sz w:val="21"/>
                <w:szCs w:val="21"/>
              </w:rPr>
            </w:pPr>
            <w:r>
              <w:rPr>
                <w:sz w:val="21"/>
                <w:szCs w:val="21"/>
              </w:rPr>
              <w:t>0.0000003994</w:t>
            </w:r>
          </w:p>
        </w:tc>
        <w:tc>
          <w:tcPr>
            <w:tcW w:w="736" w:type="pct"/>
            <w:tcMar>
              <w:left w:w="0" w:type="dxa"/>
              <w:right w:w="0" w:type="dxa"/>
            </w:tcMar>
            <w:vAlign w:val="center"/>
          </w:tcPr>
          <w:p w14:paraId="101F0A87">
            <w:pPr>
              <w:pStyle w:val="90"/>
              <w:rPr>
                <w:sz w:val="21"/>
                <w:szCs w:val="21"/>
              </w:rPr>
            </w:pPr>
            <w:r>
              <w:rPr>
                <w:sz w:val="21"/>
                <w:szCs w:val="21"/>
              </w:rPr>
              <w:t>0.00</w:t>
            </w:r>
          </w:p>
        </w:tc>
        <w:tc>
          <w:tcPr>
            <w:tcW w:w="735" w:type="pct"/>
            <w:shd w:val="clear" w:color="auto" w:fill="auto"/>
            <w:tcMar>
              <w:left w:w="0" w:type="dxa"/>
              <w:right w:w="0" w:type="dxa"/>
            </w:tcMar>
            <w:vAlign w:val="center"/>
          </w:tcPr>
          <w:p w14:paraId="1F0AEF27">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0.6107</w:t>
            </w:r>
          </w:p>
        </w:tc>
        <w:tc>
          <w:tcPr>
            <w:tcW w:w="737" w:type="pct"/>
            <w:shd w:val="clear" w:color="auto" w:fill="auto"/>
            <w:tcMar>
              <w:left w:w="0" w:type="dxa"/>
              <w:right w:w="0" w:type="dxa"/>
            </w:tcMar>
            <w:vAlign w:val="center"/>
          </w:tcPr>
          <w:p w14:paraId="11E5EE82">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0.03</w:t>
            </w:r>
          </w:p>
        </w:tc>
      </w:tr>
      <w:tr w14:paraId="24B2C3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84" w:type="pct"/>
            <w:tcMar>
              <w:left w:w="0" w:type="dxa"/>
              <w:right w:w="0" w:type="dxa"/>
            </w:tcMar>
            <w:vAlign w:val="center"/>
          </w:tcPr>
          <w:p w14:paraId="21DD0DB6">
            <w:pPr>
              <w:pStyle w:val="90"/>
              <w:rPr>
                <w:sz w:val="21"/>
                <w:szCs w:val="21"/>
              </w:rPr>
            </w:pPr>
            <w:r>
              <w:rPr>
                <w:rFonts w:hint="eastAsia"/>
                <w:sz w:val="21"/>
                <w:szCs w:val="21"/>
              </w:rPr>
              <w:t>最大落地浓度最大占标率</w:t>
            </w:r>
          </w:p>
        </w:tc>
        <w:tc>
          <w:tcPr>
            <w:tcW w:w="735" w:type="pct"/>
            <w:tcMar>
              <w:left w:w="0" w:type="dxa"/>
              <w:right w:w="0" w:type="dxa"/>
            </w:tcMar>
            <w:vAlign w:val="center"/>
          </w:tcPr>
          <w:p w14:paraId="39CE9C1E">
            <w:pPr>
              <w:pStyle w:val="90"/>
              <w:rPr>
                <w:sz w:val="21"/>
                <w:szCs w:val="21"/>
              </w:rPr>
            </w:pPr>
            <w:r>
              <w:rPr>
                <w:sz w:val="21"/>
                <w:szCs w:val="21"/>
              </w:rPr>
              <w:t>0.005272</w:t>
            </w:r>
          </w:p>
        </w:tc>
        <w:tc>
          <w:tcPr>
            <w:tcW w:w="736" w:type="pct"/>
            <w:tcMar>
              <w:left w:w="0" w:type="dxa"/>
              <w:right w:w="0" w:type="dxa"/>
            </w:tcMar>
            <w:vAlign w:val="center"/>
          </w:tcPr>
          <w:p w14:paraId="39F35A11">
            <w:pPr>
              <w:pStyle w:val="90"/>
              <w:rPr>
                <w:sz w:val="21"/>
                <w:szCs w:val="21"/>
              </w:rPr>
            </w:pPr>
            <w:r>
              <w:rPr>
                <w:sz w:val="21"/>
                <w:szCs w:val="21"/>
              </w:rPr>
              <w:t>2.64</w:t>
            </w:r>
          </w:p>
        </w:tc>
        <w:tc>
          <w:tcPr>
            <w:tcW w:w="735" w:type="pct"/>
            <w:tcMar>
              <w:left w:w="0" w:type="dxa"/>
              <w:right w:w="0" w:type="dxa"/>
            </w:tcMar>
            <w:vAlign w:val="center"/>
          </w:tcPr>
          <w:p w14:paraId="33986863">
            <w:pPr>
              <w:pStyle w:val="90"/>
              <w:rPr>
                <w:sz w:val="21"/>
                <w:szCs w:val="21"/>
              </w:rPr>
            </w:pPr>
            <w:r>
              <w:rPr>
                <w:sz w:val="21"/>
                <w:szCs w:val="21"/>
              </w:rPr>
              <w:t>0.00001550</w:t>
            </w:r>
          </w:p>
        </w:tc>
        <w:tc>
          <w:tcPr>
            <w:tcW w:w="736" w:type="pct"/>
            <w:tcMar>
              <w:left w:w="0" w:type="dxa"/>
              <w:right w:w="0" w:type="dxa"/>
            </w:tcMar>
            <w:vAlign w:val="center"/>
          </w:tcPr>
          <w:p w14:paraId="5E5E72B1">
            <w:pPr>
              <w:pStyle w:val="90"/>
              <w:rPr>
                <w:sz w:val="21"/>
                <w:szCs w:val="21"/>
              </w:rPr>
            </w:pPr>
            <w:r>
              <w:rPr>
                <w:sz w:val="21"/>
                <w:szCs w:val="21"/>
              </w:rPr>
              <w:t>0.16</w:t>
            </w:r>
          </w:p>
        </w:tc>
        <w:tc>
          <w:tcPr>
            <w:tcW w:w="735" w:type="pct"/>
            <w:shd w:val="clear" w:color="auto" w:fill="auto"/>
            <w:tcMar>
              <w:left w:w="0" w:type="dxa"/>
              <w:right w:w="0" w:type="dxa"/>
            </w:tcMar>
            <w:vAlign w:val="center"/>
          </w:tcPr>
          <w:p w14:paraId="69146F58">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208.88</w:t>
            </w:r>
          </w:p>
        </w:tc>
        <w:tc>
          <w:tcPr>
            <w:tcW w:w="737" w:type="pct"/>
            <w:shd w:val="clear" w:color="auto" w:fill="auto"/>
            <w:tcMar>
              <w:left w:w="0" w:type="dxa"/>
              <w:right w:w="0" w:type="dxa"/>
            </w:tcMar>
            <w:vAlign w:val="center"/>
          </w:tcPr>
          <w:p w14:paraId="22B30307">
            <w:pPr>
              <w:pStyle w:val="90"/>
              <w:ind w:firstLine="0" w:firstLineChars="0"/>
              <w:rPr>
                <w:rFonts w:ascii="Times New Roman" w:hAnsi="Times New Roman" w:eastAsia="宋体" w:cs="Times New Roman"/>
                <w:bCs/>
                <w:kern w:val="2"/>
                <w:sz w:val="21"/>
                <w:szCs w:val="21"/>
                <w:lang w:val="zh-CN" w:eastAsia="zh-CN" w:bidi="ar-SA"/>
              </w:rPr>
            </w:pPr>
            <w:r>
              <w:rPr>
                <w:rFonts w:hint="eastAsia"/>
                <w:sz w:val="21"/>
                <w:szCs w:val="21"/>
              </w:rPr>
              <w:t>10.44</w:t>
            </w:r>
          </w:p>
        </w:tc>
      </w:tr>
    </w:tbl>
    <w:p w14:paraId="04D9AC6F">
      <w:pPr>
        <w:ind w:firstLine="480"/>
      </w:pPr>
      <w:r>
        <w:rPr>
          <w:rFonts w:hint="eastAsia"/>
        </w:rPr>
        <w:t>根据上表计算结果，本项目下风向最大质量浓度为非甲烷总烃（无组织）</w:t>
      </w:r>
      <w:r>
        <w:t>208.88</w:t>
      </w:r>
      <w:r>
        <w:rPr>
          <w:sz w:val="21"/>
          <w:szCs w:val="21"/>
        </w:rPr>
        <w:t>μg/m</w:t>
      </w:r>
      <w:r>
        <w:rPr>
          <w:sz w:val="21"/>
          <w:szCs w:val="21"/>
          <w:vertAlign w:val="superscript"/>
        </w:rPr>
        <w:t>3</w:t>
      </w:r>
      <w:r>
        <w:rPr>
          <w:rFonts w:hint="eastAsia"/>
        </w:rPr>
        <w:t>，占标率为</w:t>
      </w:r>
      <w:r>
        <w:t>10.44</w:t>
      </w:r>
      <w:r>
        <w:rPr>
          <w:rFonts w:hint="eastAsia"/>
        </w:rPr>
        <w:t>%，D</w:t>
      </w:r>
      <w:r>
        <w:rPr>
          <w:vertAlign w:val="subscript"/>
        </w:rPr>
        <w:t>10%</w:t>
      </w:r>
      <w:r>
        <w:t>最远距离</w:t>
      </w:r>
      <w:r>
        <w:rPr>
          <w:rFonts w:hint="eastAsia"/>
        </w:rPr>
        <w:t>为</w:t>
      </w:r>
      <w:r>
        <w:t>130</w:t>
      </w:r>
      <w:r>
        <w:rPr>
          <w:rFonts w:hint="eastAsia"/>
        </w:rPr>
        <w:t>m，因此，判定本项目大气环境影响评价等级为一级。</w:t>
      </w:r>
    </w:p>
    <w:p w14:paraId="3D32E95C">
      <w:pPr>
        <w:pStyle w:val="43"/>
      </w:pPr>
      <w:bookmarkStart w:id="77" w:name="_Toc82518706"/>
      <w:bookmarkStart w:id="78" w:name="_Toc77007743"/>
      <w:bookmarkStart w:id="79" w:name="_Toc81214025"/>
      <w:bookmarkStart w:id="80" w:name="_Toc152864150"/>
      <w:bookmarkStart w:id="81" w:name="_Toc79515401"/>
      <w:bookmarkStart w:id="82" w:name="_Toc80193030"/>
      <w:bookmarkStart w:id="83" w:name="_Toc80973457"/>
      <w:r>
        <w:rPr>
          <w:rFonts w:hint="eastAsia"/>
        </w:rPr>
        <w:t>地表水环境</w:t>
      </w:r>
      <w:bookmarkEnd w:id="77"/>
      <w:bookmarkEnd w:id="78"/>
      <w:bookmarkEnd w:id="79"/>
      <w:bookmarkEnd w:id="80"/>
      <w:bookmarkEnd w:id="81"/>
      <w:bookmarkEnd w:id="82"/>
      <w:bookmarkEnd w:id="83"/>
    </w:p>
    <w:p w14:paraId="6444C2C4">
      <w:pPr>
        <w:ind w:firstLine="480"/>
      </w:pPr>
      <w:r>
        <w:rPr>
          <w:rFonts w:hint="eastAsia"/>
        </w:rPr>
        <w:t>本项目的废水主要是生产废水和生活污水，</w:t>
      </w:r>
      <w:r>
        <w:rPr>
          <w:rFonts w:hint="eastAsia"/>
          <w:lang w:val="en-US" w:eastAsia="zh-CN"/>
        </w:rPr>
        <w:t>厂区设置污水处理站处理后通过总排口排入</w:t>
      </w:r>
      <w:r>
        <w:rPr>
          <w:rFonts w:hint="eastAsia"/>
        </w:rPr>
        <w:t>园区污水处理厂</w:t>
      </w:r>
      <w:r>
        <w:rPr>
          <w:rFonts w:hint="eastAsia"/>
          <w:lang w:val="en-US" w:eastAsia="zh-CN"/>
        </w:rPr>
        <w:t>进一步</w:t>
      </w:r>
      <w:r>
        <w:rPr>
          <w:rFonts w:hint="eastAsia"/>
        </w:rPr>
        <w:t>处理，属于间接排放，根据《环境影响评价技术导则 地表水环境》（HJ</w:t>
      </w:r>
      <w:r>
        <w:t>2.3-2018</w:t>
      </w:r>
      <w:r>
        <w:rPr>
          <w:rFonts w:hint="eastAsia"/>
        </w:rPr>
        <w:t>），本项目地表水评价等级为三级B。</w:t>
      </w:r>
    </w:p>
    <w:p w14:paraId="04A51D11">
      <w:pPr>
        <w:pStyle w:val="43"/>
      </w:pPr>
      <w:bookmarkStart w:id="84" w:name="_Toc152864151"/>
      <w:bookmarkStart w:id="85" w:name="_Toc80973458"/>
      <w:bookmarkStart w:id="86" w:name="_Toc77007744"/>
      <w:bookmarkStart w:id="87" w:name="_Toc81214026"/>
      <w:bookmarkStart w:id="88" w:name="_Toc79515402"/>
      <w:bookmarkStart w:id="89" w:name="_Toc80193031"/>
      <w:bookmarkStart w:id="90" w:name="_Toc82518707"/>
      <w:r>
        <w:rPr>
          <w:rFonts w:hint="eastAsia"/>
        </w:rPr>
        <w:t>地下水环境</w:t>
      </w:r>
      <w:bookmarkEnd w:id="84"/>
      <w:bookmarkEnd w:id="85"/>
      <w:bookmarkEnd w:id="86"/>
      <w:bookmarkEnd w:id="87"/>
      <w:bookmarkEnd w:id="88"/>
      <w:bookmarkEnd w:id="89"/>
      <w:bookmarkEnd w:id="90"/>
    </w:p>
    <w:p w14:paraId="55B44342">
      <w:pPr>
        <w:ind w:firstLine="480"/>
      </w:pPr>
      <w:r>
        <w:rPr>
          <w:rFonts w:hint="eastAsia"/>
        </w:rPr>
        <w:t>根据</w:t>
      </w:r>
      <w:r>
        <w:t>《环境影响评价技术导则 地下水环境》（HJ610-2016）附录A，</w:t>
      </w:r>
      <w:r>
        <w:rPr>
          <w:rFonts w:hint="eastAsia"/>
        </w:rPr>
        <w:t>本</w:t>
      </w:r>
      <w:r>
        <w:t>项目类别为Ⅰ类。</w:t>
      </w:r>
      <w:r>
        <w:rPr>
          <w:rFonts w:hint="eastAsia"/>
        </w:rPr>
        <w:t>项目区</w:t>
      </w:r>
      <w:r>
        <w:t>地下水环境敏感程度分为敏感、较敏感、不敏感三级，分级原则见</w:t>
      </w:r>
      <w:r>
        <w:rPr>
          <w:rFonts w:hint="eastAsia"/>
        </w:rPr>
        <w:t>下</w:t>
      </w:r>
      <w:r>
        <w:t>表</w:t>
      </w:r>
      <w:r>
        <w:rPr>
          <w:rFonts w:hint="eastAsia"/>
        </w:rPr>
        <w:t>。</w:t>
      </w:r>
    </w:p>
    <w:p w14:paraId="79C5EB5F">
      <w:pPr>
        <w:pStyle w:val="47"/>
        <w:spacing w:before="65"/>
      </w:pPr>
      <w:r>
        <w:rPr>
          <w:rFonts w:hint="eastAsia"/>
        </w:rPr>
        <w:t>表2.</w:t>
      </w:r>
      <w:r>
        <w:t xml:space="preserve">6-5   </w:t>
      </w:r>
      <w:r>
        <w:rPr>
          <w:rFonts w:hint="eastAsia"/>
        </w:rPr>
        <w:t>地下水环境敏感程度分级表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32"/>
        <w:gridCol w:w="7398"/>
      </w:tblGrid>
      <w:tr w14:paraId="13B41AD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763" w:type="pct"/>
            <w:vAlign w:val="center"/>
          </w:tcPr>
          <w:p w14:paraId="518E9761">
            <w:pPr>
              <w:adjustRightInd w:val="0"/>
              <w:snapToGrid w:val="0"/>
              <w:spacing w:line="240" w:lineRule="auto"/>
              <w:ind w:firstLine="0" w:firstLineChars="0"/>
              <w:jc w:val="center"/>
              <w:rPr>
                <w:sz w:val="21"/>
                <w:szCs w:val="20"/>
              </w:rPr>
            </w:pPr>
            <w:r>
              <w:rPr>
                <w:sz w:val="21"/>
                <w:szCs w:val="20"/>
              </w:rPr>
              <w:t>分级</w:t>
            </w:r>
          </w:p>
        </w:tc>
        <w:tc>
          <w:tcPr>
            <w:tcW w:w="4237" w:type="pct"/>
          </w:tcPr>
          <w:p w14:paraId="71D90D2B">
            <w:pPr>
              <w:adjustRightInd w:val="0"/>
              <w:snapToGrid w:val="0"/>
              <w:spacing w:line="240" w:lineRule="auto"/>
              <w:ind w:firstLine="0" w:firstLineChars="0"/>
              <w:jc w:val="center"/>
              <w:rPr>
                <w:sz w:val="21"/>
                <w:szCs w:val="20"/>
              </w:rPr>
            </w:pPr>
            <w:r>
              <w:rPr>
                <w:sz w:val="21"/>
                <w:szCs w:val="20"/>
              </w:rPr>
              <w:t>项目场地的地下水环境敏感特征</w:t>
            </w:r>
          </w:p>
        </w:tc>
      </w:tr>
      <w:tr w14:paraId="50C284A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763" w:type="pct"/>
            <w:vAlign w:val="center"/>
          </w:tcPr>
          <w:p w14:paraId="35D8DE48">
            <w:pPr>
              <w:adjustRightInd w:val="0"/>
              <w:snapToGrid w:val="0"/>
              <w:spacing w:line="240" w:lineRule="auto"/>
              <w:ind w:firstLine="0" w:firstLineChars="0"/>
              <w:jc w:val="center"/>
              <w:rPr>
                <w:sz w:val="21"/>
                <w:szCs w:val="20"/>
              </w:rPr>
            </w:pPr>
            <w:r>
              <w:rPr>
                <w:sz w:val="21"/>
                <w:szCs w:val="20"/>
              </w:rPr>
              <w:t>敏感</w:t>
            </w:r>
          </w:p>
        </w:tc>
        <w:tc>
          <w:tcPr>
            <w:tcW w:w="4237" w:type="pct"/>
          </w:tcPr>
          <w:p w14:paraId="1E0E262F">
            <w:pPr>
              <w:adjustRightInd w:val="0"/>
              <w:snapToGrid w:val="0"/>
              <w:spacing w:line="240" w:lineRule="auto"/>
              <w:ind w:firstLine="0" w:firstLineChars="0"/>
              <w:rPr>
                <w:sz w:val="21"/>
                <w:szCs w:val="20"/>
              </w:rPr>
            </w:pPr>
            <w:r>
              <w:rPr>
                <w:sz w:val="21"/>
                <w:szCs w:val="20"/>
              </w:rPr>
              <w:t>集中式饮用水水源（包括已建成的在用、备用、应急水源地，在建和规划的饮用水水源）准保护区；除集中式饮用水水源以外的国家或地方政府设定的与地下水环境相关的其他保护区，如热水、矿泉水、温泉等特殊地下水资源保护区。</w:t>
            </w:r>
          </w:p>
        </w:tc>
      </w:tr>
      <w:tr w14:paraId="35665B7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763" w:type="pct"/>
            <w:vAlign w:val="center"/>
          </w:tcPr>
          <w:p w14:paraId="42ED673D">
            <w:pPr>
              <w:adjustRightInd w:val="0"/>
              <w:snapToGrid w:val="0"/>
              <w:spacing w:line="240" w:lineRule="auto"/>
              <w:ind w:firstLine="0" w:firstLineChars="0"/>
              <w:jc w:val="center"/>
              <w:rPr>
                <w:sz w:val="21"/>
                <w:szCs w:val="20"/>
              </w:rPr>
            </w:pPr>
            <w:r>
              <w:rPr>
                <w:sz w:val="21"/>
                <w:szCs w:val="20"/>
              </w:rPr>
              <w:t>较敏感</w:t>
            </w:r>
          </w:p>
        </w:tc>
        <w:tc>
          <w:tcPr>
            <w:tcW w:w="4237" w:type="pct"/>
          </w:tcPr>
          <w:p w14:paraId="70E95905">
            <w:pPr>
              <w:adjustRightInd w:val="0"/>
              <w:snapToGrid w:val="0"/>
              <w:spacing w:line="240" w:lineRule="auto"/>
              <w:ind w:firstLine="0" w:firstLineChars="0"/>
              <w:rPr>
                <w:sz w:val="21"/>
                <w:szCs w:val="20"/>
              </w:rPr>
            </w:pPr>
            <w:r>
              <w:rPr>
                <w:sz w:val="21"/>
                <w:szCs w:val="20"/>
              </w:rPr>
              <w:t>集中式饮用水水源（包括已建成的在用、备用、应急水源地，在建和规划的饮用水水源）准保护区以外的补给径流区；未划定准保护区的集中式饮用水水源保护区以外的补给径流区；分散式饮用水水源地；特殊地下水资源（如矿泉水、温泉等）保护区以外的分布区等其他未列入上述敏感分级的环境敏感区</w:t>
            </w:r>
            <w:r>
              <w:rPr>
                <w:sz w:val="21"/>
                <w:szCs w:val="20"/>
                <w:vertAlign w:val="superscript"/>
              </w:rPr>
              <w:t>a</w:t>
            </w:r>
            <w:r>
              <w:rPr>
                <w:sz w:val="21"/>
                <w:szCs w:val="20"/>
              </w:rPr>
              <w:t>。</w:t>
            </w:r>
          </w:p>
        </w:tc>
      </w:tr>
      <w:tr w14:paraId="4C7F38B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763" w:type="pct"/>
            <w:vAlign w:val="center"/>
          </w:tcPr>
          <w:p w14:paraId="34F2C297">
            <w:pPr>
              <w:adjustRightInd w:val="0"/>
              <w:snapToGrid w:val="0"/>
              <w:spacing w:line="240" w:lineRule="auto"/>
              <w:ind w:firstLine="0" w:firstLineChars="0"/>
              <w:jc w:val="center"/>
              <w:rPr>
                <w:sz w:val="21"/>
                <w:szCs w:val="20"/>
              </w:rPr>
            </w:pPr>
            <w:r>
              <w:rPr>
                <w:sz w:val="21"/>
                <w:szCs w:val="20"/>
              </w:rPr>
              <w:t>不敏感</w:t>
            </w:r>
          </w:p>
        </w:tc>
        <w:tc>
          <w:tcPr>
            <w:tcW w:w="4237" w:type="pct"/>
          </w:tcPr>
          <w:p w14:paraId="14CAF60E">
            <w:pPr>
              <w:adjustRightInd w:val="0"/>
              <w:snapToGrid w:val="0"/>
              <w:spacing w:line="240" w:lineRule="auto"/>
              <w:ind w:firstLine="0" w:firstLineChars="0"/>
              <w:rPr>
                <w:sz w:val="21"/>
                <w:szCs w:val="20"/>
              </w:rPr>
            </w:pPr>
            <w:r>
              <w:rPr>
                <w:sz w:val="21"/>
                <w:szCs w:val="20"/>
              </w:rPr>
              <w:t>上述地区之外的其他地区。</w:t>
            </w:r>
          </w:p>
        </w:tc>
      </w:tr>
      <w:tr w14:paraId="1ADF32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5000" w:type="pct"/>
            <w:gridSpan w:val="2"/>
          </w:tcPr>
          <w:p w14:paraId="2409DDA2">
            <w:pPr>
              <w:adjustRightInd w:val="0"/>
              <w:snapToGrid w:val="0"/>
              <w:spacing w:line="240" w:lineRule="auto"/>
              <w:ind w:firstLine="0" w:firstLineChars="0"/>
              <w:rPr>
                <w:sz w:val="21"/>
                <w:szCs w:val="20"/>
              </w:rPr>
            </w:pPr>
            <w:r>
              <w:rPr>
                <w:sz w:val="21"/>
                <w:szCs w:val="20"/>
              </w:rPr>
              <w:t>注：a</w:t>
            </w:r>
            <w:r>
              <w:rPr>
                <w:rFonts w:hint="eastAsia"/>
                <w:sz w:val="21"/>
                <w:szCs w:val="20"/>
              </w:rPr>
              <w:t>“</w:t>
            </w:r>
            <w:r>
              <w:rPr>
                <w:sz w:val="21"/>
                <w:szCs w:val="20"/>
              </w:rPr>
              <w:t>环境敏感区</w:t>
            </w:r>
            <w:r>
              <w:rPr>
                <w:rFonts w:hint="eastAsia"/>
                <w:sz w:val="21"/>
                <w:szCs w:val="20"/>
              </w:rPr>
              <w:t>”</w:t>
            </w:r>
            <w:r>
              <w:rPr>
                <w:sz w:val="21"/>
                <w:szCs w:val="20"/>
              </w:rPr>
              <w:t>是指《建设项目环境影响评价分类管理名录》中所界定的涉及地下水的环境敏感区。</w:t>
            </w:r>
          </w:p>
        </w:tc>
      </w:tr>
    </w:tbl>
    <w:p w14:paraId="266103E0">
      <w:pPr>
        <w:ind w:firstLine="480"/>
      </w:pPr>
      <w:r>
        <w:rPr>
          <w:rFonts w:hint="eastAsia"/>
        </w:rPr>
        <w:t>本项目</w:t>
      </w:r>
      <w:r>
        <w:t>位于</w:t>
      </w:r>
      <w:r>
        <w:rPr>
          <w:rFonts w:hint="eastAsia"/>
        </w:rPr>
        <w:t>胡杨河经济技术开发区南园区</w:t>
      </w:r>
      <w:r>
        <w:t>，周围无地下水敏感或较敏感目标。因此，</w:t>
      </w:r>
      <w:r>
        <w:rPr>
          <w:rFonts w:hint="eastAsia"/>
        </w:rPr>
        <w:t>本</w:t>
      </w:r>
      <w:r>
        <w:t>项目场地地下水敏感程度为</w:t>
      </w:r>
      <w:r>
        <w:rPr>
          <w:rFonts w:ascii="宋体" w:hAnsi="宋体"/>
        </w:rPr>
        <w:t>“不敏感”</w:t>
      </w:r>
      <w:r>
        <w:t>。</w:t>
      </w:r>
    </w:p>
    <w:p w14:paraId="20069F11">
      <w:pPr>
        <w:ind w:firstLine="480"/>
      </w:pPr>
      <w:r>
        <w:rPr>
          <w:rFonts w:hint="eastAsia"/>
        </w:rPr>
        <w:t>根据地下水导则附录A判定，本项目行业类别为“84、原油加工、天然气加工、油母页岩提炼原油、煤制油、生物制油及其他石油制品”，编制环境影响报告书，项目类别为</w:t>
      </w:r>
      <w:r>
        <w:t>Ⅰ</w:t>
      </w:r>
      <w:r>
        <w:rPr>
          <w:rFonts w:hint="eastAsia"/>
        </w:rPr>
        <w:t>类。</w:t>
      </w:r>
    </w:p>
    <w:p w14:paraId="02560103">
      <w:pPr>
        <w:ind w:firstLine="480"/>
      </w:pPr>
      <w:r>
        <w:t>建设项目地下水环境影响评价工作等级划分见</w:t>
      </w:r>
      <w:r>
        <w:rPr>
          <w:rFonts w:hint="eastAsia"/>
        </w:rPr>
        <w:t>下</w:t>
      </w:r>
      <w:r>
        <w:t>表。</w:t>
      </w:r>
    </w:p>
    <w:p w14:paraId="2255CC91">
      <w:pPr>
        <w:pStyle w:val="47"/>
        <w:spacing w:before="65"/>
      </w:pPr>
      <w:r>
        <w:rPr>
          <w:rFonts w:hint="eastAsia"/>
        </w:rPr>
        <w:t>表2.</w:t>
      </w:r>
      <w:r>
        <w:t xml:space="preserve">6-6   </w:t>
      </w:r>
      <w:r>
        <w:rPr>
          <w:rFonts w:hint="eastAsia"/>
        </w:rPr>
        <w:t>地下水环境影响评价工作等级</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2706"/>
        <w:gridCol w:w="2124"/>
        <w:gridCol w:w="1860"/>
        <w:gridCol w:w="2040"/>
      </w:tblGrid>
      <w:tr w14:paraId="4A271F8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550" w:type="pct"/>
            <w:tcBorders>
              <w:top w:val="single" w:color="000000" w:sz="12" w:space="0"/>
              <w:bottom w:val="single" w:color="000000" w:sz="8" w:space="0"/>
              <w:tl2br w:val="single" w:color="auto" w:sz="4" w:space="0"/>
            </w:tcBorders>
          </w:tcPr>
          <w:p w14:paraId="3AE32F5B">
            <w:pPr>
              <w:adjustRightInd w:val="0"/>
              <w:snapToGrid w:val="0"/>
              <w:spacing w:line="240" w:lineRule="auto"/>
              <w:ind w:firstLine="0" w:firstLineChars="0"/>
              <w:jc w:val="right"/>
              <w:rPr>
                <w:sz w:val="21"/>
                <w:szCs w:val="20"/>
              </w:rPr>
            </w:pPr>
            <w:r>
              <w:rPr>
                <w:sz w:val="21"/>
                <w:szCs w:val="20"/>
              </w:rPr>
              <w:t>项目类别</w:t>
            </w:r>
          </w:p>
          <w:p w14:paraId="34CB74E1">
            <w:pPr>
              <w:adjustRightInd w:val="0"/>
              <w:snapToGrid w:val="0"/>
              <w:spacing w:line="240" w:lineRule="auto"/>
              <w:ind w:firstLine="0" w:firstLineChars="0"/>
              <w:jc w:val="left"/>
              <w:rPr>
                <w:sz w:val="21"/>
                <w:szCs w:val="20"/>
              </w:rPr>
            </w:pPr>
            <w:r>
              <w:rPr>
                <w:sz w:val="21"/>
                <w:szCs w:val="20"/>
              </w:rPr>
              <w:t>环境敏感程度</w:t>
            </w:r>
          </w:p>
        </w:tc>
        <w:tc>
          <w:tcPr>
            <w:tcW w:w="1216" w:type="pct"/>
            <w:vAlign w:val="center"/>
          </w:tcPr>
          <w:p w14:paraId="28225CCF">
            <w:pPr>
              <w:adjustRightInd w:val="0"/>
              <w:snapToGrid w:val="0"/>
              <w:spacing w:line="240" w:lineRule="auto"/>
              <w:ind w:firstLine="0" w:firstLineChars="0"/>
              <w:jc w:val="center"/>
              <w:rPr>
                <w:sz w:val="21"/>
                <w:szCs w:val="20"/>
              </w:rPr>
            </w:pPr>
            <w:r>
              <w:rPr>
                <w:sz w:val="21"/>
                <w:szCs w:val="20"/>
              </w:rPr>
              <w:t>I类项目</w:t>
            </w:r>
          </w:p>
        </w:tc>
        <w:tc>
          <w:tcPr>
            <w:tcW w:w="1065" w:type="pct"/>
            <w:vAlign w:val="center"/>
          </w:tcPr>
          <w:p w14:paraId="37600EA4">
            <w:pPr>
              <w:adjustRightInd w:val="0"/>
              <w:snapToGrid w:val="0"/>
              <w:spacing w:line="240" w:lineRule="auto"/>
              <w:ind w:firstLine="0" w:firstLineChars="0"/>
              <w:jc w:val="center"/>
              <w:rPr>
                <w:sz w:val="21"/>
                <w:szCs w:val="20"/>
              </w:rPr>
            </w:pPr>
            <w:r>
              <w:rPr>
                <w:sz w:val="21"/>
                <w:szCs w:val="20"/>
              </w:rPr>
              <w:t>II类项目</w:t>
            </w:r>
          </w:p>
        </w:tc>
        <w:tc>
          <w:tcPr>
            <w:tcW w:w="1168" w:type="pct"/>
            <w:vAlign w:val="center"/>
          </w:tcPr>
          <w:p w14:paraId="70A3755B">
            <w:pPr>
              <w:adjustRightInd w:val="0"/>
              <w:snapToGrid w:val="0"/>
              <w:spacing w:line="240" w:lineRule="auto"/>
              <w:ind w:firstLine="0" w:firstLineChars="0"/>
              <w:jc w:val="center"/>
              <w:rPr>
                <w:sz w:val="21"/>
                <w:szCs w:val="20"/>
              </w:rPr>
            </w:pPr>
            <w:r>
              <w:rPr>
                <w:sz w:val="21"/>
                <w:szCs w:val="20"/>
              </w:rPr>
              <w:t>III类项目</w:t>
            </w:r>
          </w:p>
        </w:tc>
      </w:tr>
      <w:tr w14:paraId="3FA679A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550" w:type="pct"/>
            <w:tcBorders>
              <w:top w:val="single" w:color="000000" w:sz="8" w:space="0"/>
            </w:tcBorders>
            <w:vAlign w:val="center"/>
          </w:tcPr>
          <w:p w14:paraId="7DB5AE47">
            <w:pPr>
              <w:adjustRightInd w:val="0"/>
              <w:snapToGrid w:val="0"/>
              <w:spacing w:line="240" w:lineRule="auto"/>
              <w:ind w:firstLine="0" w:firstLineChars="0"/>
              <w:jc w:val="center"/>
              <w:rPr>
                <w:sz w:val="21"/>
                <w:szCs w:val="20"/>
              </w:rPr>
            </w:pPr>
            <w:r>
              <w:rPr>
                <w:sz w:val="21"/>
                <w:szCs w:val="20"/>
              </w:rPr>
              <w:t>敏感</w:t>
            </w:r>
          </w:p>
        </w:tc>
        <w:tc>
          <w:tcPr>
            <w:tcW w:w="1216" w:type="pct"/>
            <w:vAlign w:val="center"/>
          </w:tcPr>
          <w:p w14:paraId="61082A40">
            <w:pPr>
              <w:adjustRightInd w:val="0"/>
              <w:snapToGrid w:val="0"/>
              <w:spacing w:line="240" w:lineRule="auto"/>
              <w:ind w:firstLine="0" w:firstLineChars="0"/>
              <w:jc w:val="center"/>
              <w:rPr>
                <w:sz w:val="21"/>
                <w:szCs w:val="20"/>
              </w:rPr>
            </w:pPr>
            <w:r>
              <w:rPr>
                <w:sz w:val="21"/>
                <w:szCs w:val="20"/>
              </w:rPr>
              <w:t>一</w:t>
            </w:r>
          </w:p>
        </w:tc>
        <w:tc>
          <w:tcPr>
            <w:tcW w:w="1065" w:type="pct"/>
            <w:vAlign w:val="center"/>
          </w:tcPr>
          <w:p w14:paraId="2CD6F7B4">
            <w:pPr>
              <w:adjustRightInd w:val="0"/>
              <w:snapToGrid w:val="0"/>
              <w:spacing w:line="240" w:lineRule="auto"/>
              <w:ind w:firstLine="0" w:firstLineChars="0"/>
              <w:jc w:val="center"/>
              <w:rPr>
                <w:sz w:val="21"/>
                <w:szCs w:val="20"/>
              </w:rPr>
            </w:pPr>
            <w:r>
              <w:rPr>
                <w:sz w:val="21"/>
                <w:szCs w:val="20"/>
              </w:rPr>
              <w:t>一</w:t>
            </w:r>
          </w:p>
        </w:tc>
        <w:tc>
          <w:tcPr>
            <w:tcW w:w="1168" w:type="pct"/>
            <w:vAlign w:val="center"/>
          </w:tcPr>
          <w:p w14:paraId="7514C989">
            <w:pPr>
              <w:adjustRightInd w:val="0"/>
              <w:snapToGrid w:val="0"/>
              <w:spacing w:line="240" w:lineRule="auto"/>
              <w:ind w:firstLine="0" w:firstLineChars="0"/>
              <w:jc w:val="center"/>
              <w:rPr>
                <w:sz w:val="21"/>
                <w:szCs w:val="20"/>
              </w:rPr>
            </w:pPr>
            <w:r>
              <w:rPr>
                <w:sz w:val="21"/>
                <w:szCs w:val="20"/>
              </w:rPr>
              <w:t>二</w:t>
            </w:r>
          </w:p>
        </w:tc>
      </w:tr>
      <w:tr w14:paraId="5D7F9E8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550" w:type="pct"/>
            <w:vAlign w:val="center"/>
          </w:tcPr>
          <w:p w14:paraId="5CA7FB07">
            <w:pPr>
              <w:adjustRightInd w:val="0"/>
              <w:snapToGrid w:val="0"/>
              <w:spacing w:line="240" w:lineRule="auto"/>
              <w:ind w:firstLine="0" w:firstLineChars="0"/>
              <w:jc w:val="center"/>
              <w:rPr>
                <w:sz w:val="21"/>
                <w:szCs w:val="20"/>
              </w:rPr>
            </w:pPr>
            <w:r>
              <w:rPr>
                <w:sz w:val="21"/>
                <w:szCs w:val="20"/>
              </w:rPr>
              <w:t>较敏感</w:t>
            </w:r>
          </w:p>
        </w:tc>
        <w:tc>
          <w:tcPr>
            <w:tcW w:w="1216" w:type="pct"/>
            <w:vAlign w:val="center"/>
          </w:tcPr>
          <w:p w14:paraId="65C6A32D">
            <w:pPr>
              <w:adjustRightInd w:val="0"/>
              <w:snapToGrid w:val="0"/>
              <w:spacing w:line="240" w:lineRule="auto"/>
              <w:ind w:firstLine="0" w:firstLineChars="0"/>
              <w:jc w:val="center"/>
              <w:rPr>
                <w:sz w:val="21"/>
                <w:szCs w:val="20"/>
              </w:rPr>
            </w:pPr>
            <w:r>
              <w:rPr>
                <w:sz w:val="21"/>
                <w:szCs w:val="20"/>
              </w:rPr>
              <w:t>一</w:t>
            </w:r>
          </w:p>
        </w:tc>
        <w:tc>
          <w:tcPr>
            <w:tcW w:w="1065" w:type="pct"/>
            <w:vAlign w:val="center"/>
          </w:tcPr>
          <w:p w14:paraId="6C13BDE8">
            <w:pPr>
              <w:adjustRightInd w:val="0"/>
              <w:snapToGrid w:val="0"/>
              <w:spacing w:line="240" w:lineRule="auto"/>
              <w:ind w:firstLine="0" w:firstLineChars="0"/>
              <w:jc w:val="center"/>
              <w:rPr>
                <w:sz w:val="21"/>
                <w:szCs w:val="20"/>
              </w:rPr>
            </w:pPr>
            <w:r>
              <w:rPr>
                <w:sz w:val="21"/>
                <w:szCs w:val="20"/>
              </w:rPr>
              <w:t>二</w:t>
            </w:r>
          </w:p>
        </w:tc>
        <w:tc>
          <w:tcPr>
            <w:tcW w:w="1168" w:type="pct"/>
            <w:vAlign w:val="center"/>
          </w:tcPr>
          <w:p w14:paraId="5D11C6C6">
            <w:pPr>
              <w:adjustRightInd w:val="0"/>
              <w:snapToGrid w:val="0"/>
              <w:spacing w:line="240" w:lineRule="auto"/>
              <w:ind w:firstLine="0" w:firstLineChars="0"/>
              <w:jc w:val="center"/>
              <w:rPr>
                <w:sz w:val="21"/>
                <w:szCs w:val="20"/>
              </w:rPr>
            </w:pPr>
            <w:r>
              <w:rPr>
                <w:sz w:val="21"/>
                <w:szCs w:val="20"/>
              </w:rPr>
              <w:t>三</w:t>
            </w:r>
          </w:p>
        </w:tc>
      </w:tr>
      <w:tr w14:paraId="651F46A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550" w:type="pct"/>
            <w:shd w:val="clear" w:color="auto" w:fill="auto"/>
            <w:vAlign w:val="center"/>
          </w:tcPr>
          <w:p w14:paraId="66D39901">
            <w:pPr>
              <w:adjustRightInd w:val="0"/>
              <w:snapToGrid w:val="0"/>
              <w:spacing w:line="240" w:lineRule="auto"/>
              <w:ind w:firstLine="0" w:firstLineChars="0"/>
              <w:jc w:val="center"/>
              <w:rPr>
                <w:sz w:val="21"/>
                <w:szCs w:val="20"/>
              </w:rPr>
            </w:pPr>
            <w:r>
              <w:rPr>
                <w:sz w:val="21"/>
                <w:szCs w:val="20"/>
              </w:rPr>
              <w:t>不敏感</w:t>
            </w:r>
          </w:p>
        </w:tc>
        <w:tc>
          <w:tcPr>
            <w:tcW w:w="1216" w:type="pct"/>
            <w:shd w:val="clear" w:color="auto" w:fill="808080"/>
            <w:vAlign w:val="center"/>
          </w:tcPr>
          <w:p w14:paraId="3606CA5C">
            <w:pPr>
              <w:adjustRightInd w:val="0"/>
              <w:snapToGrid w:val="0"/>
              <w:spacing w:line="240" w:lineRule="auto"/>
              <w:ind w:firstLine="0" w:firstLineChars="0"/>
              <w:jc w:val="center"/>
              <w:rPr>
                <w:sz w:val="21"/>
                <w:szCs w:val="20"/>
              </w:rPr>
            </w:pPr>
            <w:r>
              <w:rPr>
                <w:sz w:val="21"/>
                <w:szCs w:val="20"/>
              </w:rPr>
              <w:t>二</w:t>
            </w:r>
          </w:p>
        </w:tc>
        <w:tc>
          <w:tcPr>
            <w:tcW w:w="1065" w:type="pct"/>
            <w:vAlign w:val="center"/>
          </w:tcPr>
          <w:p w14:paraId="08E349C0">
            <w:pPr>
              <w:adjustRightInd w:val="0"/>
              <w:snapToGrid w:val="0"/>
              <w:spacing w:line="240" w:lineRule="auto"/>
              <w:ind w:firstLine="0" w:firstLineChars="0"/>
              <w:jc w:val="center"/>
              <w:rPr>
                <w:sz w:val="21"/>
                <w:szCs w:val="20"/>
              </w:rPr>
            </w:pPr>
            <w:r>
              <w:rPr>
                <w:sz w:val="21"/>
                <w:szCs w:val="20"/>
              </w:rPr>
              <w:t>三</w:t>
            </w:r>
          </w:p>
        </w:tc>
        <w:tc>
          <w:tcPr>
            <w:tcW w:w="1168" w:type="pct"/>
            <w:vAlign w:val="center"/>
          </w:tcPr>
          <w:p w14:paraId="479C6E90">
            <w:pPr>
              <w:adjustRightInd w:val="0"/>
              <w:snapToGrid w:val="0"/>
              <w:spacing w:line="240" w:lineRule="auto"/>
              <w:ind w:firstLine="0" w:firstLineChars="0"/>
              <w:jc w:val="center"/>
              <w:rPr>
                <w:sz w:val="21"/>
                <w:szCs w:val="20"/>
              </w:rPr>
            </w:pPr>
            <w:r>
              <w:rPr>
                <w:sz w:val="21"/>
                <w:szCs w:val="20"/>
              </w:rPr>
              <w:t>三</w:t>
            </w:r>
          </w:p>
        </w:tc>
      </w:tr>
    </w:tbl>
    <w:p w14:paraId="3EB2E7FC">
      <w:pPr>
        <w:ind w:firstLine="480"/>
      </w:pPr>
      <w:r>
        <w:rPr>
          <w:rFonts w:hint="eastAsia"/>
        </w:rPr>
        <w:t>综上所述，本项目地下水评价等级为二级。</w:t>
      </w:r>
    </w:p>
    <w:p w14:paraId="6A01D61A">
      <w:pPr>
        <w:ind w:firstLine="480"/>
      </w:pPr>
      <w:r>
        <w:rPr>
          <w:rFonts w:hint="eastAsia"/>
        </w:rPr>
        <w:t>根据</w:t>
      </w:r>
      <w:r>
        <w:t>《环境影响评价技术导则 地下水环境》（HJ610-2016）</w:t>
      </w:r>
      <w:r>
        <w:rPr>
          <w:rFonts w:hint="eastAsia"/>
        </w:rPr>
        <w:t>中“8</w:t>
      </w:r>
      <w:r>
        <w:t>.2</w:t>
      </w:r>
      <w:r>
        <w:rPr>
          <w:rFonts w:hint="eastAsia"/>
        </w:rPr>
        <w:t>调查评价范围”的相关要求，确定本项目地下水评价范围如下：</w:t>
      </w:r>
    </w:p>
    <w:p w14:paraId="468DED03">
      <w:pPr>
        <w:ind w:firstLine="480"/>
      </w:pPr>
      <w:r>
        <w:rPr>
          <w:rFonts w:hint="eastAsia"/>
        </w:rPr>
        <w:t>（1）公式计算法</w:t>
      </w:r>
    </w:p>
    <w:p w14:paraId="0FEA7B9C">
      <w:pPr>
        <w:ind w:firstLine="0" w:firstLineChars="0"/>
        <w:jc w:val="center"/>
        <w:rPr>
          <w:vertAlign w:val="subscript"/>
        </w:rPr>
      </w:pPr>
      <w:r>
        <w:rPr>
          <w:rFonts w:hint="eastAsia"/>
        </w:rPr>
        <w:t>L</w:t>
      </w:r>
      <w:r>
        <w:t>=</w:t>
      </w:r>
      <w:r>
        <w:rPr>
          <w:rFonts w:hint="eastAsia"/>
        </w:rPr>
        <w:t>α×K×I×T</w:t>
      </w:r>
      <w:r>
        <w:t>/</w:t>
      </w:r>
      <w:r>
        <w:rPr>
          <w:rFonts w:hint="eastAsia"/>
        </w:rPr>
        <w:t>n</w:t>
      </w:r>
      <w:r>
        <w:rPr>
          <w:rFonts w:hint="eastAsia"/>
          <w:vertAlign w:val="subscript"/>
        </w:rPr>
        <w:t>e</w:t>
      </w:r>
    </w:p>
    <w:p w14:paraId="05A6F68C">
      <w:pPr>
        <w:ind w:firstLine="480"/>
      </w:pPr>
      <w:r>
        <w:rPr>
          <w:rFonts w:hint="eastAsia"/>
        </w:rPr>
        <w:t>式中：L——下游迁移距离，m；</w:t>
      </w:r>
    </w:p>
    <w:p w14:paraId="43D0BC8D">
      <w:pPr>
        <w:ind w:firstLine="480"/>
      </w:pPr>
      <w:r>
        <w:rPr>
          <w:rFonts w:hint="eastAsia"/>
        </w:rPr>
        <w:t xml:space="preserve"> </w:t>
      </w:r>
      <w:r>
        <w:t xml:space="preserve">    </w:t>
      </w:r>
      <w:r>
        <w:rPr>
          <w:rFonts w:hint="eastAsia"/>
        </w:rPr>
        <w:t>α——变化系数，α≥1，一般取2；</w:t>
      </w:r>
    </w:p>
    <w:p w14:paraId="4CA8DF26">
      <w:pPr>
        <w:ind w:firstLine="480"/>
      </w:pPr>
      <w:r>
        <w:rPr>
          <w:rFonts w:hint="eastAsia"/>
        </w:rPr>
        <w:t xml:space="preserve"> </w:t>
      </w:r>
      <w:r>
        <w:t xml:space="preserve">    </w:t>
      </w:r>
      <w:r>
        <w:rPr>
          <w:rFonts w:hint="eastAsia"/>
        </w:rPr>
        <w:t>K——渗透系数，m</w:t>
      </w:r>
      <w:r>
        <w:t>/d</w:t>
      </w:r>
      <w:r>
        <w:rPr>
          <w:rFonts w:hint="eastAsia"/>
        </w:rPr>
        <w:t>，常见渗透系数表见附录B表B</w:t>
      </w:r>
      <w:r>
        <w:t>.1</w:t>
      </w:r>
      <w:r>
        <w:rPr>
          <w:rFonts w:hint="eastAsia"/>
        </w:rPr>
        <w:t>；</w:t>
      </w:r>
    </w:p>
    <w:p w14:paraId="3BB9191B">
      <w:pPr>
        <w:ind w:firstLine="480"/>
      </w:pPr>
      <w:r>
        <w:rPr>
          <w:rFonts w:hint="eastAsia"/>
        </w:rPr>
        <w:t xml:space="preserve"> </w:t>
      </w:r>
      <w:r>
        <w:t xml:space="preserve">    </w:t>
      </w:r>
      <w:r>
        <w:rPr>
          <w:rFonts w:hint="eastAsia"/>
        </w:rPr>
        <w:t>I——水力坡度，无量纲；</w:t>
      </w:r>
    </w:p>
    <w:p w14:paraId="27C5380D">
      <w:pPr>
        <w:ind w:firstLine="480"/>
      </w:pPr>
      <w:r>
        <w:rPr>
          <w:rFonts w:hint="eastAsia"/>
        </w:rPr>
        <w:t xml:space="preserve"> </w:t>
      </w:r>
      <w:r>
        <w:t xml:space="preserve">    </w:t>
      </w:r>
      <w:r>
        <w:rPr>
          <w:rFonts w:hint="eastAsia"/>
        </w:rPr>
        <w:t>T——质点迁移天数，取值不小于5</w:t>
      </w:r>
      <w:r>
        <w:t>000</w:t>
      </w:r>
      <w:r>
        <w:rPr>
          <w:rFonts w:hint="eastAsia"/>
        </w:rPr>
        <w:t>d，本次取值5</w:t>
      </w:r>
      <w:r>
        <w:t>500</w:t>
      </w:r>
      <w:r>
        <w:rPr>
          <w:rFonts w:hint="eastAsia"/>
        </w:rPr>
        <w:t>d；</w:t>
      </w:r>
    </w:p>
    <w:p w14:paraId="3B9288B1">
      <w:pPr>
        <w:ind w:firstLine="480"/>
      </w:pPr>
      <w:r>
        <w:rPr>
          <w:rFonts w:hint="eastAsia"/>
        </w:rPr>
        <w:t xml:space="preserve"> </w:t>
      </w:r>
      <w:r>
        <w:t xml:space="preserve">    </w:t>
      </w:r>
      <w:r>
        <w:rPr>
          <w:rFonts w:hint="eastAsia"/>
        </w:rPr>
        <w:t>n</w:t>
      </w:r>
      <w:r>
        <w:rPr>
          <w:rFonts w:hint="eastAsia"/>
          <w:vertAlign w:val="subscript"/>
        </w:rPr>
        <w:t>e</w:t>
      </w:r>
      <w:r>
        <w:rPr>
          <w:rFonts w:hint="eastAsia"/>
        </w:rPr>
        <w:t>——有效孔隙度，无量纲。</w:t>
      </w:r>
    </w:p>
    <w:p w14:paraId="503AC7B3">
      <w:pPr>
        <w:ind w:firstLine="480"/>
      </w:pPr>
      <w:r>
        <w:rPr>
          <w:rFonts w:hint="eastAsia"/>
        </w:rPr>
        <w:t>根据区域水文地质勘查成果可知，渗透系数为1</w:t>
      </w:r>
      <w:r>
        <w:t>.07</w:t>
      </w:r>
      <w:r>
        <w:rPr>
          <w:rFonts w:hint="eastAsia"/>
        </w:rPr>
        <w:t>m</w:t>
      </w:r>
      <w:r>
        <w:t>/d</w:t>
      </w:r>
      <w:r>
        <w:rPr>
          <w:rFonts w:hint="eastAsia"/>
        </w:rPr>
        <w:t>，水力坡度为1</w:t>
      </w:r>
      <w:r>
        <w:t>.6</w:t>
      </w:r>
      <w:r>
        <w:rPr>
          <w:rFonts w:hint="eastAsia"/>
        </w:rPr>
        <w:t>‰，有效孔隙度为0</w:t>
      </w:r>
      <w:r>
        <w:t>.1</w:t>
      </w:r>
      <w:r>
        <w:rPr>
          <w:rFonts w:hint="eastAsia"/>
        </w:rPr>
        <w:t>。经计算L</w:t>
      </w:r>
      <w:r>
        <w:t>=171.2</w:t>
      </w:r>
      <w:r>
        <w:rPr>
          <w:rFonts w:hint="eastAsia"/>
        </w:rPr>
        <w:t>m。</w:t>
      </w:r>
    </w:p>
    <w:p w14:paraId="1E089DDF">
      <w:pPr>
        <w:ind w:firstLine="480"/>
      </w:pPr>
      <w:r>
        <w:rPr>
          <w:rFonts w:hint="eastAsia"/>
        </w:rPr>
        <w:t>（2）查表法</w:t>
      </w:r>
    </w:p>
    <w:p w14:paraId="48CFE6C5">
      <w:pPr>
        <w:ind w:firstLine="480"/>
      </w:pPr>
      <w:r>
        <w:rPr>
          <w:rFonts w:hint="eastAsia"/>
        </w:rPr>
        <w:t>根据</w:t>
      </w:r>
      <w:r>
        <w:t>《环境影响评价技术导则 地下水环境》（HJ610-2016）</w:t>
      </w:r>
      <w:r>
        <w:rPr>
          <w:rFonts w:hint="eastAsia"/>
        </w:rPr>
        <w:t>中“表3</w:t>
      </w:r>
      <w:r>
        <w:t xml:space="preserve"> </w:t>
      </w:r>
      <w:r>
        <w:rPr>
          <w:rFonts w:hint="eastAsia"/>
        </w:rPr>
        <w:t>地下水环境现状调查评价范围参照表”可知，二级评价项目的调查评价面积应为6</w:t>
      </w:r>
      <w:r>
        <w:rPr>
          <w:rFonts w:hint="eastAsia"/>
          <w:lang w:val="en-US" w:eastAsia="zh-CN"/>
        </w:rPr>
        <w:t>～</w:t>
      </w:r>
      <w:r>
        <w:t>20</w:t>
      </w:r>
      <w:r>
        <w:rPr>
          <w:rFonts w:hint="eastAsia"/>
        </w:rPr>
        <w:t>km</w:t>
      </w:r>
      <w:r>
        <w:rPr>
          <w:vertAlign w:val="superscript"/>
        </w:rPr>
        <w:t>2</w:t>
      </w:r>
      <w:r>
        <w:rPr>
          <w:rFonts w:hint="eastAsia"/>
        </w:rPr>
        <w:t>。</w:t>
      </w:r>
    </w:p>
    <w:p w14:paraId="4F24281A">
      <w:pPr>
        <w:ind w:firstLine="480"/>
      </w:pPr>
      <w:r>
        <w:rPr>
          <w:rFonts w:hint="eastAsia"/>
        </w:rPr>
        <w:t>本项目地下水流向大致为自南向北方向，综合上述公式计算法和查表法确定本项目地下水评价范围为：</w:t>
      </w:r>
      <w:r>
        <w:t>2</w:t>
      </w:r>
      <w:r>
        <w:rPr>
          <w:rFonts w:hint="eastAsia"/>
        </w:rPr>
        <w:t>km×</w:t>
      </w:r>
      <w:r>
        <w:t>3.2</w:t>
      </w:r>
      <w:r>
        <w:rPr>
          <w:rFonts w:hint="eastAsia"/>
        </w:rPr>
        <w:t>km的矩形，项目区上游距离评价范围边界1km，下游距离</w:t>
      </w:r>
      <w:r>
        <w:t>2.2</w:t>
      </w:r>
      <w:r>
        <w:rPr>
          <w:rFonts w:hint="eastAsia"/>
        </w:rPr>
        <w:t>km，侧游距离</w:t>
      </w:r>
      <w:r>
        <w:t>1.1</w:t>
      </w:r>
      <w:r>
        <w:rPr>
          <w:rFonts w:hint="eastAsia"/>
        </w:rPr>
        <w:t>km。</w:t>
      </w:r>
    </w:p>
    <w:p w14:paraId="37E6EA33">
      <w:pPr>
        <w:pStyle w:val="43"/>
      </w:pPr>
      <w:bookmarkStart w:id="91" w:name="_Toc82518708"/>
      <w:bookmarkStart w:id="92" w:name="_Toc80973459"/>
      <w:bookmarkStart w:id="93" w:name="_Toc81214027"/>
      <w:bookmarkStart w:id="94" w:name="_Toc80193032"/>
      <w:bookmarkStart w:id="95" w:name="_Toc152864152"/>
      <w:bookmarkStart w:id="96" w:name="_Toc77007745"/>
      <w:bookmarkStart w:id="97" w:name="_Toc79515403"/>
      <w:r>
        <w:rPr>
          <w:rFonts w:hint="eastAsia"/>
        </w:rPr>
        <w:t>声环境</w:t>
      </w:r>
      <w:bookmarkEnd w:id="91"/>
      <w:bookmarkEnd w:id="92"/>
      <w:bookmarkEnd w:id="93"/>
      <w:bookmarkEnd w:id="94"/>
      <w:bookmarkEnd w:id="95"/>
      <w:bookmarkEnd w:id="96"/>
      <w:bookmarkEnd w:id="97"/>
    </w:p>
    <w:p w14:paraId="41E21A53">
      <w:pPr>
        <w:ind w:firstLine="480"/>
      </w:pPr>
      <w:r>
        <w:rPr>
          <w:rFonts w:hint="eastAsia"/>
        </w:rPr>
        <w:t>根据</w:t>
      </w:r>
      <w:r>
        <w:t>《环境影响评价技术导则 声环境》（HJ2.4-2021）中关于项目噪声环境影响评价工作等级划分基本原则，本项目</w:t>
      </w:r>
      <w:r>
        <w:rPr>
          <w:rFonts w:hint="eastAsia"/>
        </w:rPr>
        <w:t>周围无声环境敏感目标，</w:t>
      </w:r>
      <w:r>
        <w:t>确定</w:t>
      </w:r>
      <w:r>
        <w:rPr>
          <w:rFonts w:hint="eastAsia"/>
        </w:rPr>
        <w:t>本项目</w:t>
      </w:r>
      <w:r>
        <w:t>声环境影响评价工作等级为三级</w:t>
      </w:r>
      <w:r>
        <w:rPr>
          <w:rFonts w:hint="eastAsia"/>
        </w:rPr>
        <w:t>。</w:t>
      </w:r>
    </w:p>
    <w:p w14:paraId="62984806">
      <w:pPr>
        <w:pStyle w:val="43"/>
      </w:pPr>
      <w:bookmarkStart w:id="98" w:name="_Toc79515404"/>
      <w:bookmarkStart w:id="99" w:name="_Toc80973460"/>
      <w:bookmarkStart w:id="100" w:name="_Toc152864153"/>
      <w:bookmarkStart w:id="101" w:name="_Toc81214028"/>
      <w:bookmarkStart w:id="102" w:name="_Toc82518709"/>
      <w:bookmarkStart w:id="103" w:name="_Toc80193033"/>
      <w:bookmarkStart w:id="104" w:name="_Toc77007746"/>
      <w:r>
        <w:rPr>
          <w:rFonts w:hint="eastAsia"/>
        </w:rPr>
        <w:t>生态环境</w:t>
      </w:r>
      <w:bookmarkEnd w:id="98"/>
      <w:bookmarkEnd w:id="99"/>
      <w:bookmarkEnd w:id="100"/>
      <w:bookmarkEnd w:id="101"/>
      <w:bookmarkEnd w:id="102"/>
      <w:bookmarkEnd w:id="103"/>
      <w:bookmarkEnd w:id="104"/>
    </w:p>
    <w:p w14:paraId="0C1621A3">
      <w:pPr>
        <w:ind w:firstLine="480"/>
      </w:pPr>
      <w:r>
        <w:t>本项目总占地</w:t>
      </w:r>
      <w:r>
        <w:rPr>
          <w:rFonts w:hint="eastAsia"/>
        </w:rPr>
        <w:t>面积为</w:t>
      </w:r>
      <w:r>
        <w:t>66171.6m</w:t>
      </w:r>
      <w:r>
        <w:rPr>
          <w:vertAlign w:val="superscript"/>
        </w:rPr>
        <w:t>2</w:t>
      </w:r>
      <w:r>
        <w:t>，</w:t>
      </w:r>
      <w:r>
        <w:rPr>
          <w:rFonts w:hint="eastAsia"/>
        </w:rPr>
        <w:t>属于污染影响型建设项目，</w:t>
      </w:r>
      <w:r>
        <w:t>建设地点</w:t>
      </w:r>
      <w:r>
        <w:rPr>
          <w:rFonts w:hint="eastAsia"/>
        </w:rPr>
        <w:t>为已批准规划环评的胡杨河经济技术开发区南园区规划用地范围内，且符合胡杨河经济技术开发区总体规划（2021-2035年）环境影响报告书及其审查意见（兵环审〔2</w:t>
      </w:r>
      <w:r>
        <w:t>022</w:t>
      </w:r>
      <w:r>
        <w:rPr>
          <w:rFonts w:hint="eastAsia"/>
        </w:rPr>
        <w:t>〕</w:t>
      </w:r>
      <w:r>
        <w:t>2</w:t>
      </w:r>
      <w:r>
        <w:rPr>
          <w:rFonts w:hint="eastAsia"/>
        </w:rPr>
        <w:t>号）</w:t>
      </w:r>
      <w:r>
        <w:rPr>
          <w:rFonts w:hint="eastAsia"/>
          <w:lang w:val="en-US" w:eastAsia="zh-CN"/>
        </w:rPr>
        <w:t>和《第七师胡杨河经济技术开发区化工园区总体规划（2023-2035年）环境影响报告书》及其审查意见（兵环审〔2024〕28号）</w:t>
      </w:r>
      <w:r>
        <w:rPr>
          <w:rFonts w:hint="eastAsia"/>
        </w:rPr>
        <w:t>的要求，不涉及生态敏感区，</w:t>
      </w:r>
      <w:r>
        <w:t>根据《环境影响评价技术导则 生态影响》（HJ19-2022）</w:t>
      </w:r>
      <w:r>
        <w:rPr>
          <w:rFonts w:hint="eastAsia"/>
        </w:rPr>
        <w:t>6</w:t>
      </w:r>
      <w:r>
        <w:t>.1.8</w:t>
      </w:r>
      <w:r>
        <w:rPr>
          <w:rFonts w:hint="eastAsia"/>
        </w:rPr>
        <w:t>小结要求</w:t>
      </w:r>
      <w:r>
        <w:t>，</w:t>
      </w:r>
      <w:r>
        <w:rPr>
          <w:rFonts w:hint="eastAsia"/>
        </w:rPr>
        <w:t>本项目不确定评价等级，直接进行生态影响简单分析。</w:t>
      </w:r>
    </w:p>
    <w:p w14:paraId="4FA879B5">
      <w:pPr>
        <w:pStyle w:val="43"/>
      </w:pPr>
      <w:bookmarkStart w:id="105" w:name="_Toc77007747"/>
      <w:bookmarkStart w:id="106" w:name="_Toc80973461"/>
      <w:bookmarkStart w:id="107" w:name="_Toc82518710"/>
      <w:bookmarkStart w:id="108" w:name="_Toc80193034"/>
      <w:bookmarkStart w:id="109" w:name="_Toc81214029"/>
      <w:bookmarkStart w:id="110" w:name="_Toc79515405"/>
      <w:bookmarkStart w:id="111" w:name="_Toc152864154"/>
      <w:r>
        <w:rPr>
          <w:rFonts w:hint="eastAsia"/>
        </w:rPr>
        <w:t>土壤环境</w:t>
      </w:r>
      <w:bookmarkEnd w:id="105"/>
      <w:bookmarkEnd w:id="106"/>
      <w:bookmarkEnd w:id="107"/>
      <w:bookmarkEnd w:id="108"/>
      <w:bookmarkEnd w:id="109"/>
      <w:bookmarkEnd w:id="110"/>
      <w:bookmarkEnd w:id="111"/>
    </w:p>
    <w:p w14:paraId="327907F5">
      <w:pPr>
        <w:ind w:firstLine="480"/>
      </w:pPr>
      <w:r>
        <w:rPr>
          <w:rFonts w:hint="eastAsia"/>
        </w:rPr>
        <w:t>（1）判定依据</w:t>
      </w:r>
    </w:p>
    <w:p w14:paraId="7C533197">
      <w:pPr>
        <w:ind w:firstLine="480"/>
      </w:pPr>
      <w:r>
        <w:rPr>
          <w:rFonts w:hint="eastAsia"/>
        </w:rPr>
        <w:t>根据《环境影响评价技术导则 土壤环境（试行）》（HJ964-2018）中的有关规定，土壤环境影响评价等级划分为一级、二级、三级。本项目土壤环境影响类型为污染影响型，则划分依据见下表。</w:t>
      </w:r>
    </w:p>
    <w:p w14:paraId="49A1626E">
      <w:pPr>
        <w:pStyle w:val="47"/>
        <w:spacing w:before="65"/>
      </w:pPr>
      <w:r>
        <w:rPr>
          <w:rFonts w:hint="eastAsia"/>
        </w:rPr>
        <w:t>表2.</w:t>
      </w:r>
      <w:r>
        <w:t xml:space="preserve">6-7   </w:t>
      </w:r>
      <w:r>
        <w:rPr>
          <w:rFonts w:hint="eastAsia"/>
        </w:rPr>
        <w:t>污染影响型敏感程度分级表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79"/>
        <w:gridCol w:w="7551"/>
      </w:tblGrid>
      <w:tr w14:paraId="622792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675" w:type="pct"/>
            <w:shd w:val="clear" w:color="auto" w:fill="auto"/>
            <w:tcMar>
              <w:left w:w="0" w:type="dxa"/>
              <w:right w:w="0" w:type="dxa"/>
            </w:tcMar>
            <w:vAlign w:val="center"/>
          </w:tcPr>
          <w:p w14:paraId="5A9B0B8B">
            <w:pPr>
              <w:adjustRightInd w:val="0"/>
              <w:snapToGrid w:val="0"/>
              <w:spacing w:line="240" w:lineRule="auto"/>
              <w:ind w:firstLine="0" w:firstLineChars="0"/>
              <w:jc w:val="center"/>
              <w:rPr>
                <w:snapToGrid w:val="0"/>
                <w:sz w:val="21"/>
                <w:szCs w:val="20"/>
              </w:rPr>
            </w:pPr>
            <w:r>
              <w:rPr>
                <w:rFonts w:hint="eastAsia"/>
                <w:snapToGrid w:val="0"/>
                <w:sz w:val="21"/>
                <w:szCs w:val="20"/>
              </w:rPr>
              <w:t>敏感程度</w:t>
            </w:r>
          </w:p>
        </w:tc>
        <w:tc>
          <w:tcPr>
            <w:tcW w:w="4325" w:type="pct"/>
            <w:shd w:val="clear" w:color="auto" w:fill="auto"/>
            <w:tcMar>
              <w:left w:w="0" w:type="dxa"/>
              <w:right w:w="0" w:type="dxa"/>
            </w:tcMar>
            <w:vAlign w:val="center"/>
          </w:tcPr>
          <w:p w14:paraId="74B06D4F">
            <w:pPr>
              <w:adjustRightInd w:val="0"/>
              <w:snapToGrid w:val="0"/>
              <w:spacing w:line="240" w:lineRule="auto"/>
              <w:ind w:firstLine="0" w:firstLineChars="0"/>
              <w:jc w:val="center"/>
              <w:rPr>
                <w:snapToGrid w:val="0"/>
                <w:sz w:val="21"/>
                <w:szCs w:val="20"/>
              </w:rPr>
            </w:pPr>
            <w:r>
              <w:rPr>
                <w:rFonts w:hint="eastAsia"/>
                <w:snapToGrid w:val="0"/>
                <w:sz w:val="21"/>
                <w:szCs w:val="20"/>
              </w:rPr>
              <w:t>判定依据</w:t>
            </w:r>
          </w:p>
        </w:tc>
      </w:tr>
      <w:tr w14:paraId="46C72B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5" w:type="pct"/>
            <w:shd w:val="clear" w:color="auto" w:fill="auto"/>
            <w:tcMar>
              <w:left w:w="0" w:type="dxa"/>
              <w:right w:w="0" w:type="dxa"/>
            </w:tcMar>
            <w:vAlign w:val="center"/>
          </w:tcPr>
          <w:p w14:paraId="37EEC196">
            <w:pPr>
              <w:adjustRightInd w:val="0"/>
              <w:snapToGrid w:val="0"/>
              <w:spacing w:line="240" w:lineRule="auto"/>
              <w:ind w:firstLine="0" w:firstLineChars="0"/>
              <w:jc w:val="center"/>
              <w:rPr>
                <w:snapToGrid w:val="0"/>
                <w:sz w:val="21"/>
                <w:szCs w:val="20"/>
              </w:rPr>
            </w:pPr>
            <w:r>
              <w:rPr>
                <w:rFonts w:hint="eastAsia"/>
                <w:snapToGrid w:val="0"/>
                <w:sz w:val="21"/>
                <w:szCs w:val="20"/>
              </w:rPr>
              <w:t>敏感</w:t>
            </w:r>
          </w:p>
        </w:tc>
        <w:tc>
          <w:tcPr>
            <w:tcW w:w="4325" w:type="pct"/>
            <w:shd w:val="clear" w:color="auto" w:fill="auto"/>
            <w:tcMar>
              <w:left w:w="0" w:type="dxa"/>
              <w:right w:w="0" w:type="dxa"/>
            </w:tcMar>
            <w:vAlign w:val="center"/>
          </w:tcPr>
          <w:p w14:paraId="3504F8FB">
            <w:pPr>
              <w:adjustRightInd w:val="0"/>
              <w:snapToGrid w:val="0"/>
              <w:spacing w:line="240" w:lineRule="auto"/>
              <w:ind w:firstLine="0" w:firstLineChars="0"/>
              <w:rPr>
                <w:snapToGrid w:val="0"/>
                <w:sz w:val="21"/>
                <w:szCs w:val="20"/>
              </w:rPr>
            </w:pPr>
            <w:r>
              <w:rPr>
                <w:rFonts w:hint="eastAsia"/>
                <w:snapToGrid w:val="0"/>
                <w:sz w:val="21"/>
                <w:szCs w:val="20"/>
              </w:rPr>
              <w:t>建设项目周边存在耕地、园地、牧草地、饮用水水源地或居民区、学校、医院、疗养院、养老院等土壤环境敏感目标的</w:t>
            </w:r>
          </w:p>
        </w:tc>
      </w:tr>
      <w:tr w14:paraId="021E17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5" w:type="pct"/>
            <w:shd w:val="clear" w:color="auto" w:fill="auto"/>
            <w:tcMar>
              <w:left w:w="0" w:type="dxa"/>
              <w:right w:w="0" w:type="dxa"/>
            </w:tcMar>
            <w:vAlign w:val="center"/>
          </w:tcPr>
          <w:p w14:paraId="577FFAA0">
            <w:pPr>
              <w:adjustRightInd w:val="0"/>
              <w:snapToGrid w:val="0"/>
              <w:spacing w:line="240" w:lineRule="auto"/>
              <w:ind w:firstLine="0" w:firstLineChars="0"/>
              <w:jc w:val="center"/>
              <w:rPr>
                <w:snapToGrid w:val="0"/>
                <w:sz w:val="21"/>
                <w:szCs w:val="20"/>
              </w:rPr>
            </w:pPr>
            <w:r>
              <w:rPr>
                <w:rFonts w:hint="eastAsia"/>
                <w:snapToGrid w:val="0"/>
                <w:sz w:val="21"/>
                <w:szCs w:val="20"/>
              </w:rPr>
              <w:t>较敏感</w:t>
            </w:r>
          </w:p>
        </w:tc>
        <w:tc>
          <w:tcPr>
            <w:tcW w:w="4325" w:type="pct"/>
            <w:shd w:val="clear" w:color="auto" w:fill="auto"/>
            <w:tcMar>
              <w:left w:w="0" w:type="dxa"/>
              <w:right w:w="0" w:type="dxa"/>
            </w:tcMar>
            <w:vAlign w:val="center"/>
          </w:tcPr>
          <w:p w14:paraId="20FF4E2D">
            <w:pPr>
              <w:adjustRightInd w:val="0"/>
              <w:snapToGrid w:val="0"/>
              <w:spacing w:line="240" w:lineRule="auto"/>
              <w:ind w:firstLine="0" w:firstLineChars="0"/>
              <w:rPr>
                <w:snapToGrid w:val="0"/>
                <w:sz w:val="21"/>
                <w:szCs w:val="20"/>
              </w:rPr>
            </w:pPr>
            <w:r>
              <w:rPr>
                <w:rFonts w:hint="eastAsia"/>
                <w:snapToGrid w:val="0"/>
                <w:sz w:val="21"/>
                <w:szCs w:val="20"/>
              </w:rPr>
              <w:t>建设项目周边存在其他土壤环境敏感目标的</w:t>
            </w:r>
          </w:p>
        </w:tc>
      </w:tr>
      <w:tr w14:paraId="320047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5" w:type="pct"/>
            <w:shd w:val="clear" w:color="auto" w:fill="auto"/>
            <w:tcMar>
              <w:left w:w="0" w:type="dxa"/>
              <w:right w:w="0" w:type="dxa"/>
            </w:tcMar>
            <w:vAlign w:val="center"/>
          </w:tcPr>
          <w:p w14:paraId="1B7F5E21">
            <w:pPr>
              <w:adjustRightInd w:val="0"/>
              <w:snapToGrid w:val="0"/>
              <w:spacing w:line="240" w:lineRule="auto"/>
              <w:ind w:firstLine="0" w:firstLineChars="0"/>
              <w:jc w:val="center"/>
              <w:rPr>
                <w:snapToGrid w:val="0"/>
                <w:sz w:val="21"/>
                <w:szCs w:val="20"/>
              </w:rPr>
            </w:pPr>
            <w:r>
              <w:rPr>
                <w:rFonts w:hint="eastAsia"/>
                <w:snapToGrid w:val="0"/>
                <w:sz w:val="21"/>
                <w:szCs w:val="20"/>
              </w:rPr>
              <w:t>不敏感</w:t>
            </w:r>
          </w:p>
        </w:tc>
        <w:tc>
          <w:tcPr>
            <w:tcW w:w="4325" w:type="pct"/>
            <w:shd w:val="clear" w:color="auto" w:fill="auto"/>
            <w:tcMar>
              <w:left w:w="0" w:type="dxa"/>
              <w:right w:w="0" w:type="dxa"/>
            </w:tcMar>
            <w:vAlign w:val="center"/>
          </w:tcPr>
          <w:p w14:paraId="30F34C97">
            <w:pPr>
              <w:adjustRightInd w:val="0"/>
              <w:snapToGrid w:val="0"/>
              <w:spacing w:line="240" w:lineRule="auto"/>
              <w:ind w:firstLine="0" w:firstLineChars="0"/>
              <w:rPr>
                <w:snapToGrid w:val="0"/>
                <w:sz w:val="21"/>
                <w:szCs w:val="20"/>
              </w:rPr>
            </w:pPr>
            <w:r>
              <w:rPr>
                <w:rFonts w:hint="eastAsia"/>
                <w:snapToGrid w:val="0"/>
                <w:sz w:val="21"/>
                <w:szCs w:val="20"/>
              </w:rPr>
              <w:t>其他情况</w:t>
            </w:r>
          </w:p>
        </w:tc>
      </w:tr>
    </w:tbl>
    <w:p w14:paraId="1BD5E5F0">
      <w:pPr>
        <w:pStyle w:val="47"/>
        <w:spacing w:before="65"/>
      </w:pPr>
      <w:r>
        <w:rPr>
          <w:rFonts w:hint="eastAsia"/>
        </w:rPr>
        <w:t>表2.</w:t>
      </w:r>
      <w:r>
        <w:t xml:space="preserve">6-8   </w:t>
      </w:r>
      <w:r>
        <w:rPr>
          <w:rFonts w:hint="eastAsia"/>
        </w:rPr>
        <w:t>污染影响型评价工作等级划分表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488"/>
        <w:gridCol w:w="735"/>
        <w:gridCol w:w="812"/>
        <w:gridCol w:w="815"/>
        <w:gridCol w:w="814"/>
        <w:gridCol w:w="814"/>
        <w:gridCol w:w="814"/>
        <w:gridCol w:w="814"/>
        <w:gridCol w:w="814"/>
        <w:gridCol w:w="810"/>
      </w:tblGrid>
      <w:tr w14:paraId="13CB52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853" w:type="pct"/>
            <w:vMerge w:val="restart"/>
            <w:shd w:val="clear" w:color="auto" w:fill="auto"/>
            <w:tcMar>
              <w:left w:w="0" w:type="dxa"/>
              <w:right w:w="0" w:type="dxa"/>
            </w:tcMar>
            <w:vAlign w:val="center"/>
          </w:tcPr>
          <w:p w14:paraId="16F21B41">
            <w:pPr>
              <w:adjustRightInd w:val="0"/>
              <w:snapToGrid w:val="0"/>
              <w:spacing w:line="240" w:lineRule="auto"/>
              <w:ind w:firstLine="0" w:firstLineChars="0"/>
              <w:jc w:val="right"/>
              <w:rPr>
                <w:sz w:val="21"/>
                <w:szCs w:val="21"/>
              </w:rPr>
            </w:pPr>
            <w:r>
              <w:rPr>
                <w:rFonts w:hint="eastAsia"/>
                <w:sz w:val="21"/>
                <w:szCs w:val="21"/>
              </w:rPr>
              <w:t>占地规模</w:t>
            </w:r>
          </w:p>
          <w:p w14:paraId="20A2DF68">
            <w:pPr>
              <w:adjustRightInd w:val="0"/>
              <w:snapToGrid w:val="0"/>
              <w:spacing w:line="240" w:lineRule="auto"/>
              <w:ind w:firstLine="0" w:firstLineChars="0"/>
              <w:jc w:val="center"/>
              <w:rPr>
                <w:sz w:val="21"/>
                <w:szCs w:val="21"/>
              </w:rPr>
            </w:pPr>
            <w:r>
              <w:rPr>
                <w:rFonts w:hint="eastAsia"/>
                <w:sz w:val="21"/>
                <w:szCs w:val="21"/>
              </w:rPr>
              <w:t>评价工作等级</w:t>
            </w:r>
          </w:p>
          <w:p w14:paraId="0C2C2051">
            <w:pPr>
              <w:adjustRightInd w:val="0"/>
              <w:snapToGrid w:val="0"/>
              <w:spacing w:line="240" w:lineRule="auto"/>
              <w:ind w:firstLine="0" w:firstLineChars="0"/>
              <w:jc w:val="left"/>
              <w:rPr>
                <w:sz w:val="21"/>
                <w:szCs w:val="21"/>
              </w:rPr>
            </w:pPr>
            <w:r>
              <w:rPr>
                <w:rFonts w:hint="eastAsia"/>
                <w:sz w:val="21"/>
                <w:szCs w:val="21"/>
              </w:rPr>
              <w:t>敏感程度</w:t>
            </w:r>
          </w:p>
        </w:tc>
        <w:tc>
          <w:tcPr>
            <w:tcW w:w="1353" w:type="pct"/>
            <w:gridSpan w:val="3"/>
            <w:shd w:val="clear" w:color="auto" w:fill="auto"/>
            <w:tcMar>
              <w:left w:w="0" w:type="dxa"/>
              <w:right w:w="0" w:type="dxa"/>
            </w:tcMar>
            <w:vAlign w:val="center"/>
          </w:tcPr>
          <w:p w14:paraId="141629ED">
            <w:pPr>
              <w:adjustRightInd w:val="0"/>
              <w:snapToGrid w:val="0"/>
              <w:spacing w:line="240" w:lineRule="auto"/>
              <w:ind w:firstLine="0" w:firstLineChars="0"/>
              <w:jc w:val="center"/>
              <w:rPr>
                <w:sz w:val="21"/>
                <w:szCs w:val="21"/>
              </w:rPr>
            </w:pPr>
            <w:r>
              <w:rPr>
                <w:sz w:val="21"/>
                <w:szCs w:val="21"/>
              </w:rPr>
              <w:t>Ⅰ</w:t>
            </w:r>
            <w:r>
              <w:rPr>
                <w:rFonts w:hint="eastAsia"/>
                <w:sz w:val="21"/>
                <w:szCs w:val="21"/>
              </w:rPr>
              <w:t>类</w:t>
            </w:r>
          </w:p>
        </w:tc>
        <w:tc>
          <w:tcPr>
            <w:tcW w:w="1398" w:type="pct"/>
            <w:gridSpan w:val="3"/>
            <w:shd w:val="clear" w:color="auto" w:fill="auto"/>
            <w:tcMar>
              <w:left w:w="0" w:type="dxa"/>
              <w:right w:w="0" w:type="dxa"/>
            </w:tcMar>
            <w:vAlign w:val="center"/>
          </w:tcPr>
          <w:p w14:paraId="64D69F9C">
            <w:pPr>
              <w:adjustRightInd w:val="0"/>
              <w:snapToGrid w:val="0"/>
              <w:spacing w:line="240" w:lineRule="auto"/>
              <w:ind w:firstLine="0" w:firstLineChars="0"/>
              <w:jc w:val="center"/>
              <w:rPr>
                <w:sz w:val="21"/>
                <w:szCs w:val="21"/>
              </w:rPr>
            </w:pPr>
            <w:r>
              <w:rPr>
                <w:sz w:val="21"/>
                <w:szCs w:val="21"/>
              </w:rPr>
              <w:t>Ⅱ</w:t>
            </w:r>
            <w:r>
              <w:rPr>
                <w:rFonts w:hint="eastAsia"/>
                <w:sz w:val="21"/>
                <w:szCs w:val="21"/>
              </w:rPr>
              <w:t>类</w:t>
            </w:r>
          </w:p>
        </w:tc>
        <w:tc>
          <w:tcPr>
            <w:tcW w:w="1396" w:type="pct"/>
            <w:gridSpan w:val="3"/>
            <w:shd w:val="clear" w:color="auto" w:fill="auto"/>
            <w:tcMar>
              <w:left w:w="0" w:type="dxa"/>
              <w:right w:w="0" w:type="dxa"/>
            </w:tcMar>
            <w:vAlign w:val="center"/>
          </w:tcPr>
          <w:p w14:paraId="5351698C">
            <w:pPr>
              <w:adjustRightInd w:val="0"/>
              <w:snapToGrid w:val="0"/>
              <w:spacing w:line="240" w:lineRule="auto"/>
              <w:ind w:firstLine="0" w:firstLineChars="0"/>
              <w:jc w:val="center"/>
              <w:rPr>
                <w:sz w:val="21"/>
                <w:szCs w:val="21"/>
              </w:rPr>
            </w:pPr>
            <w:r>
              <w:rPr>
                <w:sz w:val="21"/>
                <w:szCs w:val="21"/>
              </w:rPr>
              <w:t>Ⅲ</w:t>
            </w:r>
            <w:r>
              <w:rPr>
                <w:rFonts w:hint="eastAsia"/>
                <w:sz w:val="21"/>
                <w:szCs w:val="21"/>
              </w:rPr>
              <w:t>类</w:t>
            </w:r>
          </w:p>
        </w:tc>
      </w:tr>
      <w:tr w14:paraId="6DA781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53" w:type="pct"/>
            <w:vMerge w:val="continue"/>
            <w:shd w:val="clear" w:color="auto" w:fill="auto"/>
            <w:tcMar>
              <w:left w:w="0" w:type="dxa"/>
              <w:right w:w="0" w:type="dxa"/>
            </w:tcMar>
            <w:vAlign w:val="center"/>
          </w:tcPr>
          <w:p w14:paraId="75A5262D">
            <w:pPr>
              <w:adjustRightInd w:val="0"/>
              <w:snapToGrid w:val="0"/>
              <w:spacing w:line="240" w:lineRule="auto"/>
              <w:ind w:firstLine="0" w:firstLineChars="0"/>
              <w:jc w:val="center"/>
              <w:rPr>
                <w:sz w:val="21"/>
                <w:szCs w:val="21"/>
              </w:rPr>
            </w:pPr>
          </w:p>
        </w:tc>
        <w:tc>
          <w:tcPr>
            <w:tcW w:w="421" w:type="pct"/>
            <w:shd w:val="clear" w:color="auto" w:fill="auto"/>
            <w:tcMar>
              <w:left w:w="0" w:type="dxa"/>
              <w:right w:w="0" w:type="dxa"/>
            </w:tcMar>
            <w:vAlign w:val="center"/>
          </w:tcPr>
          <w:p w14:paraId="22D5494E">
            <w:pPr>
              <w:adjustRightInd w:val="0"/>
              <w:snapToGrid w:val="0"/>
              <w:spacing w:line="240" w:lineRule="auto"/>
              <w:ind w:firstLine="0" w:firstLineChars="0"/>
              <w:jc w:val="center"/>
              <w:rPr>
                <w:sz w:val="21"/>
                <w:szCs w:val="21"/>
              </w:rPr>
            </w:pPr>
            <w:r>
              <w:rPr>
                <w:rFonts w:hint="eastAsia"/>
                <w:sz w:val="21"/>
                <w:szCs w:val="21"/>
              </w:rPr>
              <w:t>大</w:t>
            </w:r>
          </w:p>
        </w:tc>
        <w:tc>
          <w:tcPr>
            <w:tcW w:w="465" w:type="pct"/>
            <w:shd w:val="clear" w:color="auto" w:fill="auto"/>
            <w:tcMar>
              <w:left w:w="0" w:type="dxa"/>
              <w:right w:w="0" w:type="dxa"/>
            </w:tcMar>
            <w:vAlign w:val="center"/>
          </w:tcPr>
          <w:p w14:paraId="184B1C34">
            <w:pPr>
              <w:adjustRightInd w:val="0"/>
              <w:snapToGrid w:val="0"/>
              <w:spacing w:line="240" w:lineRule="auto"/>
              <w:ind w:firstLine="0" w:firstLineChars="0"/>
              <w:jc w:val="center"/>
              <w:rPr>
                <w:sz w:val="21"/>
                <w:szCs w:val="21"/>
              </w:rPr>
            </w:pPr>
            <w:r>
              <w:rPr>
                <w:rFonts w:hint="eastAsia"/>
                <w:sz w:val="21"/>
                <w:szCs w:val="21"/>
              </w:rPr>
              <w:t>中</w:t>
            </w:r>
          </w:p>
        </w:tc>
        <w:tc>
          <w:tcPr>
            <w:tcW w:w="466" w:type="pct"/>
            <w:shd w:val="clear" w:color="auto" w:fill="auto"/>
            <w:tcMar>
              <w:left w:w="0" w:type="dxa"/>
              <w:right w:w="0" w:type="dxa"/>
            </w:tcMar>
            <w:vAlign w:val="center"/>
          </w:tcPr>
          <w:p w14:paraId="1C6F1A47">
            <w:pPr>
              <w:adjustRightInd w:val="0"/>
              <w:snapToGrid w:val="0"/>
              <w:spacing w:line="240" w:lineRule="auto"/>
              <w:ind w:firstLine="0" w:firstLineChars="0"/>
              <w:jc w:val="center"/>
              <w:rPr>
                <w:sz w:val="21"/>
                <w:szCs w:val="21"/>
              </w:rPr>
            </w:pPr>
            <w:r>
              <w:rPr>
                <w:rFonts w:hint="eastAsia"/>
                <w:sz w:val="21"/>
                <w:szCs w:val="21"/>
              </w:rPr>
              <w:t>小</w:t>
            </w:r>
          </w:p>
        </w:tc>
        <w:tc>
          <w:tcPr>
            <w:tcW w:w="466" w:type="pct"/>
            <w:shd w:val="clear" w:color="auto" w:fill="auto"/>
            <w:tcMar>
              <w:left w:w="0" w:type="dxa"/>
              <w:right w:w="0" w:type="dxa"/>
            </w:tcMar>
            <w:vAlign w:val="center"/>
          </w:tcPr>
          <w:p w14:paraId="716AD786">
            <w:pPr>
              <w:adjustRightInd w:val="0"/>
              <w:snapToGrid w:val="0"/>
              <w:spacing w:line="240" w:lineRule="auto"/>
              <w:ind w:firstLine="0" w:firstLineChars="0"/>
              <w:jc w:val="center"/>
              <w:rPr>
                <w:sz w:val="21"/>
                <w:szCs w:val="21"/>
              </w:rPr>
            </w:pPr>
            <w:r>
              <w:rPr>
                <w:rFonts w:hint="eastAsia"/>
                <w:sz w:val="21"/>
                <w:szCs w:val="21"/>
              </w:rPr>
              <w:t>大</w:t>
            </w:r>
          </w:p>
        </w:tc>
        <w:tc>
          <w:tcPr>
            <w:tcW w:w="466" w:type="pct"/>
            <w:shd w:val="clear" w:color="auto" w:fill="auto"/>
            <w:tcMar>
              <w:left w:w="0" w:type="dxa"/>
              <w:right w:w="0" w:type="dxa"/>
            </w:tcMar>
            <w:vAlign w:val="center"/>
          </w:tcPr>
          <w:p w14:paraId="0B959710">
            <w:pPr>
              <w:adjustRightInd w:val="0"/>
              <w:snapToGrid w:val="0"/>
              <w:spacing w:line="240" w:lineRule="auto"/>
              <w:ind w:firstLine="0" w:firstLineChars="0"/>
              <w:jc w:val="center"/>
              <w:rPr>
                <w:sz w:val="21"/>
                <w:szCs w:val="21"/>
              </w:rPr>
            </w:pPr>
            <w:r>
              <w:rPr>
                <w:rFonts w:hint="eastAsia"/>
                <w:sz w:val="21"/>
                <w:szCs w:val="21"/>
              </w:rPr>
              <w:t>中</w:t>
            </w:r>
          </w:p>
        </w:tc>
        <w:tc>
          <w:tcPr>
            <w:tcW w:w="466" w:type="pct"/>
            <w:shd w:val="clear" w:color="auto" w:fill="auto"/>
            <w:tcMar>
              <w:left w:w="0" w:type="dxa"/>
              <w:right w:w="0" w:type="dxa"/>
            </w:tcMar>
            <w:vAlign w:val="center"/>
          </w:tcPr>
          <w:p w14:paraId="72CB4C6F">
            <w:pPr>
              <w:adjustRightInd w:val="0"/>
              <w:snapToGrid w:val="0"/>
              <w:spacing w:line="240" w:lineRule="auto"/>
              <w:ind w:firstLine="0" w:firstLineChars="0"/>
              <w:jc w:val="center"/>
              <w:rPr>
                <w:sz w:val="21"/>
                <w:szCs w:val="21"/>
              </w:rPr>
            </w:pPr>
            <w:r>
              <w:rPr>
                <w:rFonts w:hint="eastAsia"/>
                <w:sz w:val="21"/>
                <w:szCs w:val="21"/>
              </w:rPr>
              <w:t>小</w:t>
            </w:r>
          </w:p>
        </w:tc>
        <w:tc>
          <w:tcPr>
            <w:tcW w:w="466" w:type="pct"/>
            <w:shd w:val="clear" w:color="auto" w:fill="auto"/>
            <w:tcMar>
              <w:left w:w="0" w:type="dxa"/>
              <w:right w:w="0" w:type="dxa"/>
            </w:tcMar>
            <w:vAlign w:val="center"/>
          </w:tcPr>
          <w:p w14:paraId="5C7F40C5">
            <w:pPr>
              <w:adjustRightInd w:val="0"/>
              <w:snapToGrid w:val="0"/>
              <w:spacing w:line="240" w:lineRule="auto"/>
              <w:ind w:firstLine="0" w:firstLineChars="0"/>
              <w:jc w:val="center"/>
              <w:rPr>
                <w:sz w:val="21"/>
                <w:szCs w:val="21"/>
              </w:rPr>
            </w:pPr>
            <w:r>
              <w:rPr>
                <w:rFonts w:hint="eastAsia"/>
                <w:sz w:val="21"/>
                <w:szCs w:val="21"/>
              </w:rPr>
              <w:t>大</w:t>
            </w:r>
          </w:p>
        </w:tc>
        <w:tc>
          <w:tcPr>
            <w:tcW w:w="466" w:type="pct"/>
            <w:shd w:val="clear" w:color="auto" w:fill="auto"/>
            <w:tcMar>
              <w:left w:w="0" w:type="dxa"/>
              <w:right w:w="0" w:type="dxa"/>
            </w:tcMar>
            <w:vAlign w:val="center"/>
          </w:tcPr>
          <w:p w14:paraId="531846E7">
            <w:pPr>
              <w:adjustRightInd w:val="0"/>
              <w:snapToGrid w:val="0"/>
              <w:spacing w:line="240" w:lineRule="auto"/>
              <w:ind w:firstLine="0" w:firstLineChars="0"/>
              <w:jc w:val="center"/>
              <w:rPr>
                <w:sz w:val="21"/>
                <w:szCs w:val="21"/>
              </w:rPr>
            </w:pPr>
            <w:r>
              <w:rPr>
                <w:rFonts w:hint="eastAsia"/>
                <w:sz w:val="21"/>
                <w:szCs w:val="21"/>
              </w:rPr>
              <w:t>中</w:t>
            </w:r>
          </w:p>
        </w:tc>
        <w:tc>
          <w:tcPr>
            <w:tcW w:w="464" w:type="pct"/>
            <w:shd w:val="clear" w:color="auto" w:fill="auto"/>
            <w:tcMar>
              <w:left w:w="0" w:type="dxa"/>
              <w:right w:w="0" w:type="dxa"/>
            </w:tcMar>
            <w:vAlign w:val="center"/>
          </w:tcPr>
          <w:p w14:paraId="6FE799AF">
            <w:pPr>
              <w:adjustRightInd w:val="0"/>
              <w:snapToGrid w:val="0"/>
              <w:spacing w:line="240" w:lineRule="auto"/>
              <w:ind w:firstLine="0" w:firstLineChars="0"/>
              <w:jc w:val="center"/>
              <w:rPr>
                <w:sz w:val="21"/>
                <w:szCs w:val="21"/>
              </w:rPr>
            </w:pPr>
            <w:r>
              <w:rPr>
                <w:rFonts w:hint="eastAsia"/>
                <w:sz w:val="21"/>
                <w:szCs w:val="21"/>
              </w:rPr>
              <w:t>小</w:t>
            </w:r>
          </w:p>
        </w:tc>
      </w:tr>
      <w:tr w14:paraId="6233F5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53" w:type="pct"/>
            <w:shd w:val="clear" w:color="auto" w:fill="auto"/>
            <w:tcMar>
              <w:left w:w="0" w:type="dxa"/>
              <w:right w:w="0" w:type="dxa"/>
            </w:tcMar>
            <w:vAlign w:val="center"/>
          </w:tcPr>
          <w:p w14:paraId="4A61865F">
            <w:pPr>
              <w:adjustRightInd w:val="0"/>
              <w:snapToGrid w:val="0"/>
              <w:spacing w:line="240" w:lineRule="auto"/>
              <w:ind w:firstLine="0" w:firstLineChars="0"/>
              <w:jc w:val="center"/>
              <w:rPr>
                <w:sz w:val="21"/>
                <w:szCs w:val="21"/>
              </w:rPr>
            </w:pPr>
            <w:r>
              <w:rPr>
                <w:rFonts w:hint="eastAsia"/>
                <w:sz w:val="21"/>
                <w:szCs w:val="21"/>
              </w:rPr>
              <w:t>敏感</w:t>
            </w:r>
          </w:p>
        </w:tc>
        <w:tc>
          <w:tcPr>
            <w:tcW w:w="421" w:type="pct"/>
            <w:shd w:val="clear" w:color="auto" w:fill="auto"/>
            <w:tcMar>
              <w:left w:w="0" w:type="dxa"/>
              <w:right w:w="0" w:type="dxa"/>
            </w:tcMar>
            <w:vAlign w:val="center"/>
          </w:tcPr>
          <w:p w14:paraId="2202E539">
            <w:pPr>
              <w:adjustRightInd w:val="0"/>
              <w:snapToGrid w:val="0"/>
              <w:spacing w:line="240" w:lineRule="auto"/>
              <w:ind w:firstLine="0" w:firstLineChars="0"/>
              <w:jc w:val="center"/>
              <w:rPr>
                <w:sz w:val="21"/>
                <w:szCs w:val="21"/>
              </w:rPr>
            </w:pPr>
            <w:r>
              <w:rPr>
                <w:rFonts w:hint="eastAsia"/>
                <w:sz w:val="21"/>
                <w:szCs w:val="21"/>
              </w:rPr>
              <w:t>一级</w:t>
            </w:r>
          </w:p>
        </w:tc>
        <w:tc>
          <w:tcPr>
            <w:tcW w:w="465" w:type="pct"/>
            <w:shd w:val="clear" w:color="auto" w:fill="auto"/>
            <w:tcMar>
              <w:left w:w="0" w:type="dxa"/>
              <w:right w:w="0" w:type="dxa"/>
            </w:tcMar>
            <w:vAlign w:val="center"/>
          </w:tcPr>
          <w:p w14:paraId="2D64205C">
            <w:pPr>
              <w:adjustRightInd w:val="0"/>
              <w:snapToGrid w:val="0"/>
              <w:spacing w:line="240" w:lineRule="auto"/>
              <w:ind w:firstLine="0" w:firstLineChars="0"/>
              <w:jc w:val="center"/>
              <w:rPr>
                <w:sz w:val="21"/>
                <w:szCs w:val="21"/>
              </w:rPr>
            </w:pPr>
            <w:r>
              <w:rPr>
                <w:rFonts w:hint="eastAsia"/>
                <w:sz w:val="21"/>
                <w:szCs w:val="21"/>
              </w:rPr>
              <w:t>一级</w:t>
            </w:r>
          </w:p>
        </w:tc>
        <w:tc>
          <w:tcPr>
            <w:tcW w:w="466" w:type="pct"/>
            <w:shd w:val="clear" w:color="auto" w:fill="auto"/>
            <w:tcMar>
              <w:left w:w="0" w:type="dxa"/>
              <w:right w:w="0" w:type="dxa"/>
            </w:tcMar>
            <w:vAlign w:val="center"/>
          </w:tcPr>
          <w:p w14:paraId="66D26861">
            <w:pPr>
              <w:adjustRightInd w:val="0"/>
              <w:snapToGrid w:val="0"/>
              <w:spacing w:line="240" w:lineRule="auto"/>
              <w:ind w:firstLine="0" w:firstLineChars="0"/>
              <w:jc w:val="center"/>
              <w:rPr>
                <w:sz w:val="21"/>
                <w:szCs w:val="21"/>
              </w:rPr>
            </w:pPr>
            <w:r>
              <w:rPr>
                <w:rFonts w:hint="eastAsia"/>
                <w:sz w:val="21"/>
                <w:szCs w:val="21"/>
              </w:rPr>
              <w:t>一级</w:t>
            </w:r>
          </w:p>
        </w:tc>
        <w:tc>
          <w:tcPr>
            <w:tcW w:w="466" w:type="pct"/>
            <w:shd w:val="clear" w:color="auto" w:fill="auto"/>
            <w:tcMar>
              <w:left w:w="0" w:type="dxa"/>
              <w:right w:w="0" w:type="dxa"/>
            </w:tcMar>
            <w:vAlign w:val="center"/>
          </w:tcPr>
          <w:p w14:paraId="44A5329D">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2E139291">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26D77D21">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400968F9">
            <w:pPr>
              <w:adjustRightInd w:val="0"/>
              <w:snapToGrid w:val="0"/>
              <w:spacing w:line="240" w:lineRule="auto"/>
              <w:ind w:firstLine="0" w:firstLineChars="0"/>
              <w:jc w:val="center"/>
              <w:rPr>
                <w:sz w:val="21"/>
                <w:szCs w:val="21"/>
              </w:rPr>
            </w:pPr>
            <w:r>
              <w:rPr>
                <w:rFonts w:hint="eastAsia"/>
                <w:sz w:val="21"/>
                <w:szCs w:val="21"/>
              </w:rPr>
              <w:t>三级</w:t>
            </w:r>
          </w:p>
        </w:tc>
        <w:tc>
          <w:tcPr>
            <w:tcW w:w="466" w:type="pct"/>
            <w:shd w:val="clear" w:color="auto" w:fill="auto"/>
            <w:tcMar>
              <w:left w:w="0" w:type="dxa"/>
              <w:right w:w="0" w:type="dxa"/>
            </w:tcMar>
            <w:vAlign w:val="center"/>
          </w:tcPr>
          <w:p w14:paraId="4E7DDC01">
            <w:pPr>
              <w:adjustRightInd w:val="0"/>
              <w:snapToGrid w:val="0"/>
              <w:spacing w:line="240" w:lineRule="auto"/>
              <w:ind w:firstLine="0" w:firstLineChars="0"/>
              <w:jc w:val="center"/>
              <w:rPr>
                <w:sz w:val="21"/>
                <w:szCs w:val="21"/>
              </w:rPr>
            </w:pPr>
            <w:r>
              <w:rPr>
                <w:rFonts w:hint="eastAsia"/>
                <w:sz w:val="21"/>
                <w:szCs w:val="21"/>
              </w:rPr>
              <w:t>三级</w:t>
            </w:r>
          </w:p>
        </w:tc>
        <w:tc>
          <w:tcPr>
            <w:tcW w:w="464" w:type="pct"/>
            <w:shd w:val="clear" w:color="auto" w:fill="auto"/>
            <w:tcMar>
              <w:left w:w="0" w:type="dxa"/>
              <w:right w:w="0" w:type="dxa"/>
            </w:tcMar>
            <w:vAlign w:val="center"/>
          </w:tcPr>
          <w:p w14:paraId="69C60A1E">
            <w:pPr>
              <w:adjustRightInd w:val="0"/>
              <w:snapToGrid w:val="0"/>
              <w:spacing w:line="240" w:lineRule="auto"/>
              <w:ind w:firstLine="0" w:firstLineChars="0"/>
              <w:jc w:val="center"/>
              <w:rPr>
                <w:sz w:val="21"/>
                <w:szCs w:val="21"/>
              </w:rPr>
            </w:pPr>
            <w:r>
              <w:rPr>
                <w:rFonts w:hint="eastAsia"/>
                <w:sz w:val="21"/>
                <w:szCs w:val="21"/>
              </w:rPr>
              <w:t>三级</w:t>
            </w:r>
          </w:p>
        </w:tc>
      </w:tr>
      <w:tr w14:paraId="3BCFFE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53" w:type="pct"/>
            <w:shd w:val="clear" w:color="auto" w:fill="auto"/>
            <w:tcMar>
              <w:left w:w="0" w:type="dxa"/>
              <w:right w:w="0" w:type="dxa"/>
            </w:tcMar>
            <w:vAlign w:val="center"/>
          </w:tcPr>
          <w:p w14:paraId="695A728B">
            <w:pPr>
              <w:adjustRightInd w:val="0"/>
              <w:snapToGrid w:val="0"/>
              <w:spacing w:line="240" w:lineRule="auto"/>
              <w:ind w:firstLine="0" w:firstLineChars="0"/>
              <w:jc w:val="center"/>
              <w:rPr>
                <w:sz w:val="21"/>
                <w:szCs w:val="21"/>
              </w:rPr>
            </w:pPr>
            <w:r>
              <w:rPr>
                <w:rFonts w:hint="eastAsia"/>
                <w:sz w:val="21"/>
                <w:szCs w:val="21"/>
              </w:rPr>
              <w:t>较敏感</w:t>
            </w:r>
          </w:p>
        </w:tc>
        <w:tc>
          <w:tcPr>
            <w:tcW w:w="421" w:type="pct"/>
            <w:shd w:val="clear" w:color="auto" w:fill="auto"/>
            <w:tcMar>
              <w:left w:w="0" w:type="dxa"/>
              <w:right w:w="0" w:type="dxa"/>
            </w:tcMar>
            <w:vAlign w:val="center"/>
          </w:tcPr>
          <w:p w14:paraId="2C1D980D">
            <w:pPr>
              <w:adjustRightInd w:val="0"/>
              <w:snapToGrid w:val="0"/>
              <w:spacing w:line="240" w:lineRule="auto"/>
              <w:ind w:firstLine="0" w:firstLineChars="0"/>
              <w:jc w:val="center"/>
              <w:rPr>
                <w:sz w:val="21"/>
                <w:szCs w:val="21"/>
              </w:rPr>
            </w:pPr>
            <w:r>
              <w:rPr>
                <w:rFonts w:hint="eastAsia"/>
                <w:sz w:val="21"/>
                <w:szCs w:val="21"/>
              </w:rPr>
              <w:t>一级</w:t>
            </w:r>
          </w:p>
        </w:tc>
        <w:tc>
          <w:tcPr>
            <w:tcW w:w="465" w:type="pct"/>
            <w:shd w:val="clear" w:color="auto" w:fill="auto"/>
            <w:tcMar>
              <w:left w:w="0" w:type="dxa"/>
              <w:right w:w="0" w:type="dxa"/>
            </w:tcMar>
            <w:vAlign w:val="center"/>
          </w:tcPr>
          <w:p w14:paraId="6B5F1D21">
            <w:pPr>
              <w:adjustRightInd w:val="0"/>
              <w:snapToGrid w:val="0"/>
              <w:spacing w:line="240" w:lineRule="auto"/>
              <w:ind w:firstLine="0" w:firstLineChars="0"/>
              <w:jc w:val="center"/>
              <w:rPr>
                <w:sz w:val="21"/>
                <w:szCs w:val="21"/>
              </w:rPr>
            </w:pPr>
            <w:r>
              <w:rPr>
                <w:rFonts w:hint="eastAsia"/>
                <w:sz w:val="21"/>
                <w:szCs w:val="21"/>
              </w:rPr>
              <w:t>一级</w:t>
            </w:r>
          </w:p>
        </w:tc>
        <w:tc>
          <w:tcPr>
            <w:tcW w:w="466" w:type="pct"/>
            <w:shd w:val="clear" w:color="auto" w:fill="auto"/>
            <w:tcMar>
              <w:left w:w="0" w:type="dxa"/>
              <w:right w:w="0" w:type="dxa"/>
            </w:tcMar>
            <w:vAlign w:val="center"/>
          </w:tcPr>
          <w:p w14:paraId="0C42B693">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65D179DC">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1448FC28">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2B3F49E3">
            <w:pPr>
              <w:adjustRightInd w:val="0"/>
              <w:snapToGrid w:val="0"/>
              <w:spacing w:line="240" w:lineRule="auto"/>
              <w:ind w:firstLine="0" w:firstLineChars="0"/>
              <w:jc w:val="center"/>
              <w:rPr>
                <w:sz w:val="21"/>
                <w:szCs w:val="21"/>
              </w:rPr>
            </w:pPr>
            <w:r>
              <w:rPr>
                <w:rFonts w:hint="eastAsia"/>
                <w:sz w:val="21"/>
                <w:szCs w:val="21"/>
              </w:rPr>
              <w:t>三级</w:t>
            </w:r>
          </w:p>
        </w:tc>
        <w:tc>
          <w:tcPr>
            <w:tcW w:w="466" w:type="pct"/>
            <w:shd w:val="clear" w:color="auto" w:fill="auto"/>
            <w:tcMar>
              <w:left w:w="0" w:type="dxa"/>
              <w:right w:w="0" w:type="dxa"/>
            </w:tcMar>
            <w:vAlign w:val="center"/>
          </w:tcPr>
          <w:p w14:paraId="60D07784">
            <w:pPr>
              <w:adjustRightInd w:val="0"/>
              <w:snapToGrid w:val="0"/>
              <w:spacing w:line="240" w:lineRule="auto"/>
              <w:ind w:firstLine="0" w:firstLineChars="0"/>
              <w:jc w:val="center"/>
              <w:rPr>
                <w:sz w:val="21"/>
                <w:szCs w:val="21"/>
              </w:rPr>
            </w:pPr>
            <w:r>
              <w:rPr>
                <w:rFonts w:hint="eastAsia"/>
                <w:sz w:val="21"/>
                <w:szCs w:val="21"/>
              </w:rPr>
              <w:t>三级</w:t>
            </w:r>
          </w:p>
        </w:tc>
        <w:tc>
          <w:tcPr>
            <w:tcW w:w="466" w:type="pct"/>
            <w:shd w:val="clear" w:color="auto" w:fill="auto"/>
            <w:tcMar>
              <w:left w:w="0" w:type="dxa"/>
              <w:right w:w="0" w:type="dxa"/>
            </w:tcMar>
            <w:vAlign w:val="center"/>
          </w:tcPr>
          <w:p w14:paraId="30D8C1B3">
            <w:pPr>
              <w:adjustRightInd w:val="0"/>
              <w:snapToGrid w:val="0"/>
              <w:spacing w:line="240" w:lineRule="auto"/>
              <w:ind w:firstLine="0" w:firstLineChars="0"/>
              <w:jc w:val="center"/>
              <w:rPr>
                <w:sz w:val="21"/>
                <w:szCs w:val="21"/>
              </w:rPr>
            </w:pPr>
            <w:r>
              <w:rPr>
                <w:rFonts w:hint="eastAsia"/>
                <w:sz w:val="21"/>
                <w:szCs w:val="21"/>
              </w:rPr>
              <w:t>三级</w:t>
            </w:r>
          </w:p>
        </w:tc>
        <w:tc>
          <w:tcPr>
            <w:tcW w:w="464" w:type="pct"/>
            <w:shd w:val="clear" w:color="auto" w:fill="auto"/>
            <w:tcMar>
              <w:left w:w="0" w:type="dxa"/>
              <w:right w:w="0" w:type="dxa"/>
            </w:tcMar>
            <w:vAlign w:val="center"/>
          </w:tcPr>
          <w:p w14:paraId="76F33C86">
            <w:pPr>
              <w:adjustRightInd w:val="0"/>
              <w:snapToGrid w:val="0"/>
              <w:spacing w:line="240" w:lineRule="auto"/>
              <w:ind w:firstLine="0" w:firstLineChars="0"/>
              <w:jc w:val="center"/>
              <w:rPr>
                <w:sz w:val="21"/>
                <w:szCs w:val="21"/>
              </w:rPr>
            </w:pPr>
            <w:r>
              <w:rPr>
                <w:rFonts w:hint="eastAsia"/>
                <w:sz w:val="21"/>
                <w:szCs w:val="21"/>
              </w:rPr>
              <w:t>-</w:t>
            </w:r>
          </w:p>
        </w:tc>
      </w:tr>
      <w:tr w14:paraId="5A8C5F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53" w:type="pct"/>
            <w:shd w:val="clear" w:color="auto" w:fill="auto"/>
            <w:tcMar>
              <w:left w:w="0" w:type="dxa"/>
              <w:right w:w="0" w:type="dxa"/>
            </w:tcMar>
            <w:vAlign w:val="center"/>
          </w:tcPr>
          <w:p w14:paraId="4F76937C">
            <w:pPr>
              <w:adjustRightInd w:val="0"/>
              <w:snapToGrid w:val="0"/>
              <w:spacing w:line="240" w:lineRule="auto"/>
              <w:ind w:firstLine="0" w:firstLineChars="0"/>
              <w:jc w:val="center"/>
              <w:rPr>
                <w:sz w:val="21"/>
                <w:szCs w:val="21"/>
              </w:rPr>
            </w:pPr>
            <w:r>
              <w:rPr>
                <w:rFonts w:hint="eastAsia"/>
                <w:sz w:val="21"/>
                <w:szCs w:val="21"/>
              </w:rPr>
              <w:t>不敏感</w:t>
            </w:r>
          </w:p>
        </w:tc>
        <w:tc>
          <w:tcPr>
            <w:tcW w:w="421" w:type="pct"/>
            <w:shd w:val="clear" w:color="auto" w:fill="auto"/>
            <w:tcMar>
              <w:left w:w="0" w:type="dxa"/>
              <w:right w:w="0" w:type="dxa"/>
            </w:tcMar>
            <w:vAlign w:val="center"/>
          </w:tcPr>
          <w:p w14:paraId="1A37C2AE">
            <w:pPr>
              <w:adjustRightInd w:val="0"/>
              <w:snapToGrid w:val="0"/>
              <w:spacing w:line="240" w:lineRule="auto"/>
              <w:ind w:firstLine="0" w:firstLineChars="0"/>
              <w:jc w:val="center"/>
              <w:rPr>
                <w:sz w:val="21"/>
                <w:szCs w:val="21"/>
              </w:rPr>
            </w:pPr>
            <w:r>
              <w:rPr>
                <w:rFonts w:hint="eastAsia"/>
                <w:sz w:val="21"/>
                <w:szCs w:val="21"/>
              </w:rPr>
              <w:t>一级</w:t>
            </w:r>
          </w:p>
        </w:tc>
        <w:tc>
          <w:tcPr>
            <w:tcW w:w="465" w:type="pct"/>
            <w:shd w:val="clear" w:color="auto" w:fill="auto"/>
            <w:tcMar>
              <w:left w:w="0" w:type="dxa"/>
              <w:right w:w="0" w:type="dxa"/>
            </w:tcMar>
            <w:vAlign w:val="center"/>
          </w:tcPr>
          <w:p w14:paraId="10378CAF">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0844AC97">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76DF8075">
            <w:pPr>
              <w:adjustRightInd w:val="0"/>
              <w:snapToGrid w:val="0"/>
              <w:spacing w:line="240" w:lineRule="auto"/>
              <w:ind w:firstLine="0" w:firstLineChars="0"/>
              <w:jc w:val="center"/>
              <w:rPr>
                <w:sz w:val="21"/>
                <w:szCs w:val="21"/>
              </w:rPr>
            </w:pPr>
            <w:r>
              <w:rPr>
                <w:rFonts w:hint="eastAsia"/>
                <w:sz w:val="21"/>
                <w:szCs w:val="21"/>
              </w:rPr>
              <w:t>二级</w:t>
            </w:r>
          </w:p>
        </w:tc>
        <w:tc>
          <w:tcPr>
            <w:tcW w:w="466" w:type="pct"/>
            <w:shd w:val="clear" w:color="auto" w:fill="auto"/>
            <w:tcMar>
              <w:left w:w="0" w:type="dxa"/>
              <w:right w:w="0" w:type="dxa"/>
            </w:tcMar>
            <w:vAlign w:val="center"/>
          </w:tcPr>
          <w:p w14:paraId="3A560C66">
            <w:pPr>
              <w:adjustRightInd w:val="0"/>
              <w:snapToGrid w:val="0"/>
              <w:spacing w:line="240" w:lineRule="auto"/>
              <w:ind w:firstLine="0" w:firstLineChars="0"/>
              <w:jc w:val="center"/>
              <w:rPr>
                <w:sz w:val="21"/>
                <w:szCs w:val="21"/>
              </w:rPr>
            </w:pPr>
            <w:r>
              <w:rPr>
                <w:rFonts w:hint="eastAsia"/>
                <w:sz w:val="21"/>
                <w:szCs w:val="21"/>
              </w:rPr>
              <w:t>三级</w:t>
            </w:r>
          </w:p>
        </w:tc>
        <w:tc>
          <w:tcPr>
            <w:tcW w:w="466" w:type="pct"/>
            <w:shd w:val="clear" w:color="auto" w:fill="auto"/>
            <w:tcMar>
              <w:left w:w="0" w:type="dxa"/>
              <w:right w:w="0" w:type="dxa"/>
            </w:tcMar>
            <w:vAlign w:val="center"/>
          </w:tcPr>
          <w:p w14:paraId="1197FA79">
            <w:pPr>
              <w:adjustRightInd w:val="0"/>
              <w:snapToGrid w:val="0"/>
              <w:spacing w:line="240" w:lineRule="auto"/>
              <w:ind w:firstLine="0" w:firstLineChars="0"/>
              <w:jc w:val="center"/>
              <w:rPr>
                <w:sz w:val="21"/>
                <w:szCs w:val="21"/>
              </w:rPr>
            </w:pPr>
            <w:r>
              <w:rPr>
                <w:rFonts w:hint="eastAsia"/>
                <w:sz w:val="21"/>
                <w:szCs w:val="21"/>
              </w:rPr>
              <w:t>三级</w:t>
            </w:r>
          </w:p>
        </w:tc>
        <w:tc>
          <w:tcPr>
            <w:tcW w:w="466" w:type="pct"/>
            <w:shd w:val="clear" w:color="auto" w:fill="auto"/>
            <w:tcMar>
              <w:left w:w="0" w:type="dxa"/>
              <w:right w:w="0" w:type="dxa"/>
            </w:tcMar>
            <w:vAlign w:val="center"/>
          </w:tcPr>
          <w:p w14:paraId="4D912318">
            <w:pPr>
              <w:adjustRightInd w:val="0"/>
              <w:snapToGrid w:val="0"/>
              <w:spacing w:line="240" w:lineRule="auto"/>
              <w:ind w:firstLine="0" w:firstLineChars="0"/>
              <w:jc w:val="center"/>
              <w:rPr>
                <w:sz w:val="21"/>
                <w:szCs w:val="21"/>
              </w:rPr>
            </w:pPr>
            <w:r>
              <w:rPr>
                <w:rFonts w:hint="eastAsia"/>
                <w:sz w:val="21"/>
                <w:szCs w:val="21"/>
              </w:rPr>
              <w:t>三级</w:t>
            </w:r>
          </w:p>
        </w:tc>
        <w:tc>
          <w:tcPr>
            <w:tcW w:w="466" w:type="pct"/>
            <w:shd w:val="clear" w:color="auto" w:fill="auto"/>
            <w:tcMar>
              <w:left w:w="0" w:type="dxa"/>
              <w:right w:w="0" w:type="dxa"/>
            </w:tcMar>
            <w:vAlign w:val="center"/>
          </w:tcPr>
          <w:p w14:paraId="2C3FF4B4">
            <w:pPr>
              <w:adjustRightInd w:val="0"/>
              <w:snapToGrid w:val="0"/>
              <w:spacing w:line="240" w:lineRule="auto"/>
              <w:ind w:firstLine="0" w:firstLineChars="0"/>
              <w:jc w:val="center"/>
              <w:rPr>
                <w:sz w:val="21"/>
                <w:szCs w:val="21"/>
              </w:rPr>
            </w:pPr>
            <w:r>
              <w:rPr>
                <w:rFonts w:hint="eastAsia"/>
                <w:sz w:val="21"/>
                <w:szCs w:val="21"/>
              </w:rPr>
              <w:t>-</w:t>
            </w:r>
          </w:p>
        </w:tc>
        <w:tc>
          <w:tcPr>
            <w:tcW w:w="464" w:type="pct"/>
            <w:shd w:val="clear" w:color="auto" w:fill="auto"/>
            <w:tcMar>
              <w:left w:w="0" w:type="dxa"/>
              <w:right w:w="0" w:type="dxa"/>
            </w:tcMar>
            <w:vAlign w:val="center"/>
          </w:tcPr>
          <w:p w14:paraId="6D6E1A3A">
            <w:pPr>
              <w:adjustRightInd w:val="0"/>
              <w:snapToGrid w:val="0"/>
              <w:spacing w:line="240" w:lineRule="auto"/>
              <w:ind w:firstLine="0" w:firstLineChars="0"/>
              <w:jc w:val="center"/>
              <w:rPr>
                <w:sz w:val="21"/>
                <w:szCs w:val="21"/>
              </w:rPr>
            </w:pPr>
            <w:r>
              <w:rPr>
                <w:rFonts w:hint="eastAsia"/>
                <w:sz w:val="21"/>
                <w:szCs w:val="21"/>
              </w:rPr>
              <w:t>-</w:t>
            </w:r>
          </w:p>
        </w:tc>
      </w:tr>
      <w:tr w14:paraId="2361B1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10"/>
            <w:shd w:val="clear" w:color="auto" w:fill="auto"/>
            <w:tcMar>
              <w:left w:w="0" w:type="dxa"/>
              <w:right w:w="0" w:type="dxa"/>
            </w:tcMar>
            <w:vAlign w:val="center"/>
          </w:tcPr>
          <w:p w14:paraId="5935CBA7">
            <w:pPr>
              <w:adjustRightInd w:val="0"/>
              <w:snapToGrid w:val="0"/>
              <w:spacing w:line="240" w:lineRule="auto"/>
              <w:ind w:firstLine="0" w:firstLineChars="0"/>
              <w:rPr>
                <w:sz w:val="21"/>
                <w:szCs w:val="21"/>
              </w:rPr>
            </w:pPr>
            <w:r>
              <w:rPr>
                <w:rFonts w:hint="eastAsia"/>
                <w:sz w:val="21"/>
                <w:szCs w:val="21"/>
              </w:rPr>
              <w:t>注</w:t>
            </w:r>
            <w:r>
              <w:rPr>
                <w:sz w:val="21"/>
                <w:szCs w:val="21"/>
              </w:rPr>
              <w:t>：“-”</w:t>
            </w:r>
            <w:r>
              <w:rPr>
                <w:rFonts w:hint="eastAsia"/>
                <w:sz w:val="21"/>
                <w:szCs w:val="21"/>
              </w:rPr>
              <w:t>表示</w:t>
            </w:r>
            <w:r>
              <w:rPr>
                <w:sz w:val="21"/>
                <w:szCs w:val="21"/>
              </w:rPr>
              <w:t>可不开展</w:t>
            </w:r>
            <w:r>
              <w:rPr>
                <w:rFonts w:hint="eastAsia"/>
                <w:sz w:val="21"/>
                <w:szCs w:val="21"/>
              </w:rPr>
              <w:t>土壤</w:t>
            </w:r>
            <w:r>
              <w:rPr>
                <w:sz w:val="21"/>
                <w:szCs w:val="21"/>
              </w:rPr>
              <w:t>环境影响评价工作。</w:t>
            </w:r>
          </w:p>
        </w:tc>
      </w:tr>
    </w:tbl>
    <w:p w14:paraId="45323A2A">
      <w:pPr>
        <w:ind w:firstLine="480"/>
      </w:pPr>
      <w:r>
        <w:rPr>
          <w:rFonts w:hint="eastAsia"/>
        </w:rPr>
        <w:t>本项目永久占地面积</w:t>
      </w:r>
      <w:r>
        <w:t>5</w:t>
      </w:r>
      <w:r>
        <w:rPr>
          <w:rFonts w:hint="eastAsia"/>
        </w:rPr>
        <w:t>hm</w:t>
      </w:r>
      <w:r>
        <w:rPr>
          <w:vertAlign w:val="superscript"/>
        </w:rPr>
        <w:t>2</w:t>
      </w:r>
      <w:r>
        <w:rPr>
          <w:rFonts w:hint="eastAsia"/>
        </w:rPr>
        <w:t>≤</w:t>
      </w:r>
      <w:r>
        <w:t>6.61716</w:t>
      </w:r>
      <w:r>
        <w:rPr>
          <w:rFonts w:hint="eastAsia"/>
        </w:rPr>
        <w:t>hm</w:t>
      </w:r>
      <w:r>
        <w:rPr>
          <w:vertAlign w:val="superscript"/>
        </w:rPr>
        <w:t>2</w:t>
      </w:r>
      <w:r>
        <w:rPr>
          <w:rFonts w:hint="eastAsia"/>
        </w:rPr>
        <w:t>≤2</w:t>
      </w:r>
      <w:r>
        <w:t>0</w:t>
      </w:r>
      <w:r>
        <w:rPr>
          <w:rFonts w:hint="eastAsia"/>
        </w:rPr>
        <w:t>hm</w:t>
      </w:r>
      <w:r>
        <w:rPr>
          <w:vertAlign w:val="superscript"/>
        </w:rPr>
        <w:t>2</w:t>
      </w:r>
      <w:r>
        <w:rPr>
          <w:rFonts w:hint="eastAsia"/>
        </w:rPr>
        <w:t>，占地规模属于中型。建设项目类型根据《环境影响</w:t>
      </w:r>
      <w:r>
        <w:t>评价技术导则</w:t>
      </w:r>
      <w:r>
        <w:rPr>
          <w:rFonts w:hint="eastAsia"/>
        </w:rPr>
        <w:t xml:space="preserve"> 土壤环境》（HJ</w:t>
      </w:r>
      <w:r>
        <w:t>964-2018</w:t>
      </w:r>
      <w:r>
        <w:rPr>
          <w:rFonts w:hint="eastAsia"/>
        </w:rPr>
        <w:t>）附录A判定为</w:t>
      </w:r>
      <w:r>
        <w:t>Ⅰ</w:t>
      </w:r>
      <w:r>
        <w:rPr>
          <w:rFonts w:hint="eastAsia"/>
        </w:rPr>
        <w:t>类；建设地点位于胡杨河经济技术开发区南园区规划用地范围内，周围无居民、学校、耕地、牧草地等环境敏感目标，环境敏感程度为“不敏感”。因此，判定本项目土壤环境评价等级为二级。</w:t>
      </w:r>
    </w:p>
    <w:p w14:paraId="1C921793">
      <w:pPr>
        <w:pStyle w:val="43"/>
      </w:pPr>
      <w:bookmarkStart w:id="112" w:name="_Toc80193035"/>
      <w:bookmarkStart w:id="113" w:name="_Toc81214030"/>
      <w:bookmarkStart w:id="114" w:name="_Toc152864155"/>
      <w:bookmarkStart w:id="115" w:name="_Toc80973462"/>
      <w:bookmarkStart w:id="116" w:name="_Toc79515406"/>
      <w:bookmarkStart w:id="117" w:name="_Toc82518711"/>
      <w:bookmarkStart w:id="118" w:name="_Toc77007748"/>
      <w:r>
        <w:rPr>
          <w:rFonts w:hint="eastAsia"/>
        </w:rPr>
        <w:t>环境风险</w:t>
      </w:r>
      <w:bookmarkEnd w:id="112"/>
      <w:bookmarkEnd w:id="113"/>
      <w:bookmarkEnd w:id="114"/>
      <w:bookmarkEnd w:id="115"/>
      <w:bookmarkEnd w:id="116"/>
      <w:bookmarkEnd w:id="117"/>
      <w:bookmarkEnd w:id="118"/>
    </w:p>
    <w:p w14:paraId="7F8550FA">
      <w:pPr>
        <w:ind w:firstLine="480"/>
      </w:pPr>
      <w:r>
        <w:t>依据《建设项目环境风险评价技术导则》</w:t>
      </w:r>
      <w:r>
        <w:rPr>
          <w:rFonts w:hint="eastAsia"/>
        </w:rPr>
        <w:t>（</w:t>
      </w:r>
      <w:r>
        <w:t>HJ169-2018</w:t>
      </w:r>
      <w:r>
        <w:rPr>
          <w:rFonts w:hint="eastAsia"/>
        </w:rPr>
        <w:t>）</w:t>
      </w:r>
      <w:r>
        <w:t>的有关规定，根据建设项目所涉及的物质危险性、功能单元和重大危险源判定结果，以及建设项目周围的环境敏感程度等因素来确定项目环境风险评价等级。</w:t>
      </w:r>
      <w:r>
        <w:rPr>
          <w:rFonts w:hint="eastAsia"/>
        </w:rPr>
        <w:t>根据风险分析章节可知，本项目环境风险潜势划分见下表。</w:t>
      </w:r>
    </w:p>
    <w:p w14:paraId="1E95CC81">
      <w:pPr>
        <w:pStyle w:val="47"/>
        <w:spacing w:before="65"/>
      </w:pPr>
      <w:r>
        <w:rPr>
          <w:rFonts w:hint="eastAsia"/>
          <w:lang w:bidi="ar"/>
        </w:rPr>
        <w:t>表</w:t>
      </w:r>
      <w:r>
        <w:rPr>
          <w:lang w:bidi="ar"/>
        </w:rPr>
        <w:t xml:space="preserve">2.6-9   </w:t>
      </w:r>
      <w:r>
        <w:rPr>
          <w:rFonts w:hint="eastAsia"/>
          <w:lang w:bidi="ar"/>
        </w:rPr>
        <w:t>建设项目环境风险潜势划分一览表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2180"/>
        <w:gridCol w:w="1636"/>
        <w:gridCol w:w="1638"/>
        <w:gridCol w:w="1638"/>
        <w:gridCol w:w="1638"/>
      </w:tblGrid>
      <w:tr w14:paraId="51EFD2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83" w:hRule="atLeast"/>
          <w:jc w:val="center"/>
        </w:trPr>
        <w:tc>
          <w:tcPr>
            <w:tcW w:w="1249" w:type="pct"/>
            <w:vMerge w:val="restart"/>
            <w:shd w:val="clear" w:color="auto" w:fill="auto"/>
            <w:vAlign w:val="center"/>
          </w:tcPr>
          <w:p w14:paraId="62786BDC">
            <w:pPr>
              <w:pStyle w:val="90"/>
              <w:rPr>
                <w:rFonts w:hint="default" w:ascii="Times New Roman" w:hAnsi="Times New Roman" w:cs="Times New Roman"/>
              </w:rPr>
            </w:pPr>
            <w:r>
              <w:rPr>
                <w:rFonts w:hint="default" w:ascii="Times New Roman" w:hAnsi="Times New Roman" w:cs="Times New Roman"/>
                <w:lang w:bidi="ar"/>
              </w:rPr>
              <w:t>环境敏感程度（E）</w:t>
            </w:r>
          </w:p>
        </w:tc>
        <w:tc>
          <w:tcPr>
            <w:tcW w:w="3751" w:type="pct"/>
            <w:gridSpan w:val="4"/>
            <w:shd w:val="clear" w:color="auto" w:fill="auto"/>
            <w:vAlign w:val="center"/>
          </w:tcPr>
          <w:p w14:paraId="4F08E90B">
            <w:pPr>
              <w:pStyle w:val="90"/>
              <w:rPr>
                <w:rFonts w:hint="default" w:ascii="Times New Roman" w:hAnsi="Times New Roman" w:cs="Times New Roman"/>
              </w:rPr>
            </w:pPr>
            <w:r>
              <w:rPr>
                <w:rFonts w:hint="default" w:ascii="Times New Roman" w:hAnsi="Times New Roman" w:cs="Times New Roman"/>
                <w:lang w:bidi="ar"/>
              </w:rPr>
              <w:t>危险物质及工艺系统危险性（P）</w:t>
            </w:r>
          </w:p>
        </w:tc>
      </w:tr>
      <w:tr w14:paraId="2DE5AF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vMerge w:val="continue"/>
            <w:shd w:val="clear" w:color="auto" w:fill="auto"/>
            <w:vAlign w:val="center"/>
          </w:tcPr>
          <w:p w14:paraId="4BA458C2">
            <w:pPr>
              <w:pStyle w:val="90"/>
              <w:rPr>
                <w:rFonts w:hint="default" w:ascii="Times New Roman" w:hAnsi="Times New Roman" w:cs="Times New Roman"/>
              </w:rPr>
            </w:pPr>
          </w:p>
        </w:tc>
        <w:tc>
          <w:tcPr>
            <w:tcW w:w="937" w:type="pct"/>
            <w:shd w:val="clear" w:color="auto" w:fill="auto"/>
            <w:vAlign w:val="center"/>
          </w:tcPr>
          <w:p w14:paraId="75F60847">
            <w:pPr>
              <w:pStyle w:val="90"/>
              <w:rPr>
                <w:rFonts w:hint="default" w:ascii="Times New Roman" w:hAnsi="Times New Roman" w:cs="Times New Roman"/>
              </w:rPr>
            </w:pPr>
            <w:r>
              <w:rPr>
                <w:rFonts w:hint="default" w:ascii="Times New Roman" w:hAnsi="Times New Roman" w:cs="Times New Roman"/>
                <w:lang w:bidi="ar"/>
              </w:rPr>
              <w:t>极高危害（P1）</w:t>
            </w:r>
          </w:p>
        </w:tc>
        <w:tc>
          <w:tcPr>
            <w:tcW w:w="938" w:type="pct"/>
            <w:shd w:val="clear" w:color="auto" w:fill="auto"/>
            <w:vAlign w:val="center"/>
          </w:tcPr>
          <w:p w14:paraId="2A5BFE6B">
            <w:pPr>
              <w:pStyle w:val="90"/>
              <w:rPr>
                <w:rFonts w:hint="default" w:ascii="Times New Roman" w:hAnsi="Times New Roman" w:cs="Times New Roman"/>
              </w:rPr>
            </w:pPr>
            <w:r>
              <w:rPr>
                <w:rFonts w:hint="default" w:ascii="Times New Roman" w:hAnsi="Times New Roman" w:cs="Times New Roman"/>
                <w:lang w:bidi="ar"/>
              </w:rPr>
              <w:t>高度危害（P2）</w:t>
            </w:r>
          </w:p>
        </w:tc>
        <w:tc>
          <w:tcPr>
            <w:tcW w:w="938" w:type="pct"/>
            <w:shd w:val="clear" w:color="auto" w:fill="auto"/>
            <w:vAlign w:val="center"/>
          </w:tcPr>
          <w:p w14:paraId="2CD0B124">
            <w:pPr>
              <w:pStyle w:val="90"/>
              <w:rPr>
                <w:rFonts w:hint="default" w:ascii="Times New Roman" w:hAnsi="Times New Roman" w:cs="Times New Roman"/>
              </w:rPr>
            </w:pPr>
            <w:r>
              <w:rPr>
                <w:rFonts w:hint="default" w:ascii="Times New Roman" w:hAnsi="Times New Roman" w:cs="Times New Roman"/>
                <w:lang w:bidi="ar"/>
              </w:rPr>
              <w:t>中度危害（P3）</w:t>
            </w:r>
          </w:p>
        </w:tc>
        <w:tc>
          <w:tcPr>
            <w:tcW w:w="938" w:type="pct"/>
            <w:shd w:val="clear" w:color="auto" w:fill="auto"/>
            <w:vAlign w:val="center"/>
          </w:tcPr>
          <w:p w14:paraId="4413753B">
            <w:pPr>
              <w:pStyle w:val="90"/>
              <w:rPr>
                <w:rFonts w:hint="default" w:ascii="Times New Roman" w:hAnsi="Times New Roman" w:cs="Times New Roman"/>
              </w:rPr>
            </w:pPr>
            <w:r>
              <w:rPr>
                <w:rFonts w:hint="default" w:ascii="Times New Roman" w:hAnsi="Times New Roman" w:cs="Times New Roman"/>
                <w:lang w:bidi="ar"/>
              </w:rPr>
              <w:t>轻度危害（P4）</w:t>
            </w:r>
          </w:p>
        </w:tc>
      </w:tr>
      <w:tr w14:paraId="6F7F6F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5000" w:type="pct"/>
            <w:gridSpan w:val="5"/>
            <w:shd w:val="clear" w:color="auto" w:fill="auto"/>
            <w:vAlign w:val="center"/>
          </w:tcPr>
          <w:p w14:paraId="38232584">
            <w:pPr>
              <w:pStyle w:val="90"/>
              <w:rPr>
                <w:rFonts w:hint="default" w:ascii="Times New Roman" w:hAnsi="Times New Roman" w:cs="Times New Roman"/>
              </w:rPr>
            </w:pPr>
            <w:r>
              <w:rPr>
                <w:rFonts w:hint="default" w:ascii="Times New Roman" w:hAnsi="Times New Roman" w:cs="Times New Roman"/>
                <w:lang w:bidi="ar"/>
              </w:rPr>
              <w:t>大气环境</w:t>
            </w:r>
          </w:p>
        </w:tc>
      </w:tr>
      <w:tr w14:paraId="25229B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2604B9EE">
            <w:pPr>
              <w:pStyle w:val="90"/>
              <w:rPr>
                <w:rFonts w:hint="default" w:ascii="Times New Roman" w:hAnsi="Times New Roman" w:cs="Times New Roman"/>
              </w:rPr>
            </w:pPr>
            <w:r>
              <w:rPr>
                <w:rFonts w:hint="default" w:ascii="Times New Roman" w:hAnsi="Times New Roman" w:cs="Times New Roman"/>
                <w:lang w:bidi="ar"/>
              </w:rPr>
              <w:t>环境高度敏感区（E1）</w:t>
            </w:r>
          </w:p>
        </w:tc>
        <w:tc>
          <w:tcPr>
            <w:tcW w:w="937" w:type="pct"/>
            <w:shd w:val="clear" w:color="auto" w:fill="auto"/>
            <w:vAlign w:val="center"/>
          </w:tcPr>
          <w:p w14:paraId="2F44721E">
            <w:pPr>
              <w:pStyle w:val="90"/>
              <w:rPr>
                <w:rFonts w:hint="default" w:ascii="Times New Roman" w:hAnsi="Times New Roman" w:cs="Times New Roman"/>
              </w:rPr>
            </w:pPr>
            <w:r>
              <w:rPr>
                <w:rFonts w:hint="default" w:ascii="Times New Roman" w:hAnsi="Times New Roman" w:eastAsia="微软雅黑" w:cs="Times New Roman"/>
                <w:lang w:bidi="ar"/>
              </w:rPr>
              <w:t>Ⅳ</w:t>
            </w:r>
            <w:r>
              <w:rPr>
                <w:rFonts w:hint="default" w:ascii="Times New Roman" w:hAnsi="Times New Roman" w:cs="Times New Roman"/>
                <w:lang w:bidi="ar"/>
              </w:rPr>
              <w:t>+</w:t>
            </w:r>
          </w:p>
        </w:tc>
        <w:tc>
          <w:tcPr>
            <w:tcW w:w="938" w:type="pct"/>
            <w:shd w:val="clear" w:color="auto" w:fill="auto"/>
            <w:vAlign w:val="center"/>
          </w:tcPr>
          <w:p w14:paraId="0FAD8CC9">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1C783DEC">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4E5B8F16">
            <w:pPr>
              <w:pStyle w:val="90"/>
              <w:rPr>
                <w:rFonts w:hint="default" w:ascii="Times New Roman" w:hAnsi="Times New Roman" w:cs="Times New Roman"/>
              </w:rPr>
            </w:pPr>
            <w:r>
              <w:rPr>
                <w:rFonts w:hint="default" w:ascii="Times New Roman" w:hAnsi="Times New Roman" w:cs="Times New Roman"/>
                <w:lang w:bidi="ar"/>
              </w:rPr>
              <w:t>Ⅱ</w:t>
            </w:r>
          </w:p>
        </w:tc>
      </w:tr>
      <w:tr w14:paraId="1721B2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2F28BB11">
            <w:pPr>
              <w:pStyle w:val="90"/>
              <w:rPr>
                <w:rFonts w:hint="default" w:ascii="Times New Roman" w:hAnsi="Times New Roman" w:cs="Times New Roman"/>
              </w:rPr>
            </w:pPr>
            <w:r>
              <w:rPr>
                <w:rFonts w:hint="default" w:ascii="Times New Roman" w:hAnsi="Times New Roman" w:cs="Times New Roman"/>
                <w:lang w:bidi="ar"/>
              </w:rPr>
              <w:t>环境中度敏感区（E2）</w:t>
            </w:r>
          </w:p>
        </w:tc>
        <w:tc>
          <w:tcPr>
            <w:tcW w:w="937" w:type="pct"/>
            <w:shd w:val="clear" w:color="auto" w:fill="auto"/>
            <w:vAlign w:val="center"/>
          </w:tcPr>
          <w:p w14:paraId="544F0539">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2866E340">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08C9667A">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2E704825">
            <w:pPr>
              <w:pStyle w:val="90"/>
              <w:rPr>
                <w:rFonts w:hint="default" w:ascii="Times New Roman" w:hAnsi="Times New Roman" w:cs="Times New Roman"/>
              </w:rPr>
            </w:pPr>
            <w:r>
              <w:rPr>
                <w:rFonts w:hint="default" w:ascii="Times New Roman" w:hAnsi="Times New Roman" w:cs="Times New Roman"/>
                <w:lang w:bidi="ar"/>
              </w:rPr>
              <w:t>Ⅱ</w:t>
            </w:r>
          </w:p>
        </w:tc>
      </w:tr>
      <w:tr w14:paraId="3F6613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7AE8514E">
            <w:pPr>
              <w:pStyle w:val="90"/>
              <w:rPr>
                <w:rFonts w:hint="default" w:ascii="Times New Roman" w:hAnsi="Times New Roman" w:cs="Times New Roman"/>
              </w:rPr>
            </w:pPr>
            <w:r>
              <w:rPr>
                <w:rFonts w:hint="default" w:ascii="Times New Roman" w:hAnsi="Times New Roman" w:cs="Times New Roman"/>
                <w:lang w:bidi="ar"/>
              </w:rPr>
              <w:t>环境低度敏感区（E3）</w:t>
            </w:r>
          </w:p>
        </w:tc>
        <w:tc>
          <w:tcPr>
            <w:tcW w:w="937" w:type="pct"/>
            <w:shd w:val="clear" w:color="auto" w:fill="auto"/>
            <w:vAlign w:val="center"/>
          </w:tcPr>
          <w:p w14:paraId="3BFBAF2E">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25ACDA84">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40448319">
            <w:pPr>
              <w:pStyle w:val="90"/>
              <w:rPr>
                <w:rFonts w:hint="default" w:ascii="Times New Roman" w:hAnsi="Times New Roman" w:cs="Times New Roman"/>
              </w:rPr>
            </w:pPr>
            <w:r>
              <w:rPr>
                <w:rFonts w:hint="default" w:ascii="Times New Roman" w:hAnsi="Times New Roman" w:cs="Times New Roman"/>
                <w:lang w:bidi="ar"/>
              </w:rPr>
              <w:t>Ⅱ</w:t>
            </w:r>
          </w:p>
        </w:tc>
        <w:tc>
          <w:tcPr>
            <w:tcW w:w="938" w:type="pct"/>
            <w:shd w:val="clear" w:color="auto" w:fill="BFBFBF"/>
            <w:vAlign w:val="center"/>
          </w:tcPr>
          <w:p w14:paraId="6170C423">
            <w:pPr>
              <w:pStyle w:val="90"/>
              <w:rPr>
                <w:rFonts w:hint="default" w:ascii="Times New Roman" w:hAnsi="Times New Roman" w:cs="Times New Roman"/>
              </w:rPr>
            </w:pPr>
            <w:r>
              <w:rPr>
                <w:rFonts w:hint="default" w:ascii="Times New Roman" w:hAnsi="Times New Roman" w:cs="Times New Roman"/>
                <w:shd w:val="clear" w:color="auto" w:fill="BFBFBF"/>
                <w:lang w:bidi="ar"/>
              </w:rPr>
              <w:t>Ⅰ</w:t>
            </w:r>
          </w:p>
        </w:tc>
      </w:tr>
      <w:tr w14:paraId="18AAB1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5000" w:type="pct"/>
            <w:gridSpan w:val="5"/>
            <w:shd w:val="clear" w:color="auto" w:fill="auto"/>
            <w:vAlign w:val="center"/>
          </w:tcPr>
          <w:p w14:paraId="4217D732">
            <w:pPr>
              <w:pStyle w:val="90"/>
              <w:rPr>
                <w:rFonts w:hint="default" w:ascii="Times New Roman" w:hAnsi="Times New Roman" w:cs="Times New Roman"/>
              </w:rPr>
            </w:pPr>
            <w:r>
              <w:rPr>
                <w:rFonts w:hint="default" w:ascii="Times New Roman" w:hAnsi="Times New Roman" w:cs="Times New Roman"/>
                <w:lang w:bidi="ar"/>
              </w:rPr>
              <w:t>地表水环境</w:t>
            </w:r>
          </w:p>
        </w:tc>
      </w:tr>
      <w:tr w14:paraId="65369A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06EE5C47">
            <w:pPr>
              <w:pStyle w:val="90"/>
              <w:rPr>
                <w:rFonts w:hint="default" w:ascii="Times New Roman" w:hAnsi="Times New Roman" w:cs="Times New Roman"/>
              </w:rPr>
            </w:pPr>
            <w:r>
              <w:rPr>
                <w:rFonts w:hint="default" w:ascii="Times New Roman" w:hAnsi="Times New Roman" w:cs="Times New Roman"/>
                <w:lang w:bidi="ar"/>
              </w:rPr>
              <w:t>环境高度敏感区（E1）</w:t>
            </w:r>
          </w:p>
        </w:tc>
        <w:tc>
          <w:tcPr>
            <w:tcW w:w="937" w:type="pct"/>
            <w:shd w:val="clear" w:color="auto" w:fill="auto"/>
            <w:vAlign w:val="center"/>
          </w:tcPr>
          <w:p w14:paraId="40896F8E">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6E18A3DB">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2AB9FE85">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6C8AA5BC">
            <w:pPr>
              <w:pStyle w:val="90"/>
              <w:rPr>
                <w:rFonts w:hint="default" w:ascii="Times New Roman" w:hAnsi="Times New Roman" w:cs="Times New Roman"/>
              </w:rPr>
            </w:pPr>
            <w:r>
              <w:rPr>
                <w:rFonts w:hint="default" w:ascii="Times New Roman" w:hAnsi="Times New Roman" w:cs="Times New Roman"/>
                <w:lang w:bidi="ar"/>
              </w:rPr>
              <w:t>Ⅱ</w:t>
            </w:r>
          </w:p>
        </w:tc>
      </w:tr>
      <w:tr w14:paraId="1B1790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1191683D">
            <w:pPr>
              <w:pStyle w:val="90"/>
              <w:rPr>
                <w:rFonts w:hint="default" w:ascii="Times New Roman" w:hAnsi="Times New Roman" w:cs="Times New Roman"/>
              </w:rPr>
            </w:pPr>
            <w:r>
              <w:rPr>
                <w:rFonts w:hint="default" w:ascii="Times New Roman" w:hAnsi="Times New Roman" w:cs="Times New Roman"/>
                <w:lang w:bidi="ar"/>
              </w:rPr>
              <w:t>环境中度敏感区（E2）</w:t>
            </w:r>
          </w:p>
        </w:tc>
        <w:tc>
          <w:tcPr>
            <w:tcW w:w="937" w:type="pct"/>
            <w:shd w:val="clear" w:color="auto" w:fill="auto"/>
            <w:vAlign w:val="center"/>
          </w:tcPr>
          <w:p w14:paraId="126F98E9">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564C9DFD">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732E8A7D">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3837D5BD">
            <w:pPr>
              <w:pStyle w:val="90"/>
              <w:rPr>
                <w:rFonts w:hint="default" w:ascii="Times New Roman" w:hAnsi="Times New Roman" w:cs="Times New Roman"/>
              </w:rPr>
            </w:pPr>
            <w:r>
              <w:rPr>
                <w:rFonts w:hint="default" w:ascii="Times New Roman" w:hAnsi="Times New Roman" w:cs="Times New Roman"/>
                <w:lang w:bidi="ar"/>
              </w:rPr>
              <w:t>Ⅱ</w:t>
            </w:r>
          </w:p>
        </w:tc>
      </w:tr>
      <w:tr w14:paraId="3CDAC4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3B927C18">
            <w:pPr>
              <w:pStyle w:val="90"/>
              <w:rPr>
                <w:rFonts w:hint="default" w:ascii="Times New Roman" w:hAnsi="Times New Roman" w:cs="Times New Roman"/>
              </w:rPr>
            </w:pPr>
            <w:r>
              <w:rPr>
                <w:rFonts w:hint="default" w:ascii="Times New Roman" w:hAnsi="Times New Roman" w:cs="Times New Roman"/>
                <w:lang w:bidi="ar"/>
              </w:rPr>
              <w:t>环境低度敏感区（E3）</w:t>
            </w:r>
          </w:p>
        </w:tc>
        <w:tc>
          <w:tcPr>
            <w:tcW w:w="937" w:type="pct"/>
            <w:shd w:val="clear" w:color="auto" w:fill="auto"/>
            <w:vAlign w:val="center"/>
          </w:tcPr>
          <w:p w14:paraId="5E9CCFD1">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568FBE4F">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06CB1477">
            <w:pPr>
              <w:pStyle w:val="90"/>
              <w:rPr>
                <w:rFonts w:hint="default" w:ascii="Times New Roman" w:hAnsi="Times New Roman" w:cs="Times New Roman"/>
              </w:rPr>
            </w:pPr>
            <w:r>
              <w:rPr>
                <w:rFonts w:hint="default" w:ascii="Times New Roman" w:hAnsi="Times New Roman" w:cs="Times New Roman"/>
                <w:lang w:bidi="ar"/>
              </w:rPr>
              <w:t>Ⅱ</w:t>
            </w:r>
          </w:p>
        </w:tc>
        <w:tc>
          <w:tcPr>
            <w:tcW w:w="938" w:type="pct"/>
            <w:shd w:val="clear" w:color="auto" w:fill="BFBFBF"/>
            <w:vAlign w:val="center"/>
          </w:tcPr>
          <w:p w14:paraId="5192E823">
            <w:pPr>
              <w:pStyle w:val="90"/>
              <w:rPr>
                <w:rFonts w:hint="default" w:ascii="Times New Roman" w:hAnsi="Times New Roman" w:cs="Times New Roman"/>
              </w:rPr>
            </w:pPr>
            <w:r>
              <w:rPr>
                <w:rFonts w:hint="default" w:ascii="Times New Roman" w:hAnsi="Times New Roman" w:cs="Times New Roman"/>
                <w:lang w:bidi="ar"/>
              </w:rPr>
              <w:t>Ⅰ</w:t>
            </w:r>
          </w:p>
        </w:tc>
      </w:tr>
      <w:tr w14:paraId="401B66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5000" w:type="pct"/>
            <w:gridSpan w:val="5"/>
            <w:shd w:val="clear" w:color="auto" w:fill="auto"/>
            <w:vAlign w:val="center"/>
          </w:tcPr>
          <w:p w14:paraId="4E26D49F">
            <w:pPr>
              <w:pStyle w:val="90"/>
              <w:rPr>
                <w:rFonts w:hint="default" w:ascii="Times New Roman" w:hAnsi="Times New Roman" w:cs="Times New Roman"/>
              </w:rPr>
            </w:pPr>
            <w:r>
              <w:rPr>
                <w:rFonts w:hint="default" w:ascii="Times New Roman" w:hAnsi="Times New Roman" w:cs="Times New Roman"/>
                <w:lang w:bidi="ar"/>
              </w:rPr>
              <w:t>地下水环境</w:t>
            </w:r>
          </w:p>
        </w:tc>
      </w:tr>
      <w:tr w14:paraId="7BC2CA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0E23BDC2">
            <w:pPr>
              <w:pStyle w:val="90"/>
              <w:rPr>
                <w:rFonts w:hint="default" w:ascii="Times New Roman" w:hAnsi="Times New Roman" w:cs="Times New Roman"/>
              </w:rPr>
            </w:pPr>
            <w:r>
              <w:rPr>
                <w:rFonts w:hint="default" w:ascii="Times New Roman" w:hAnsi="Times New Roman" w:cs="Times New Roman"/>
                <w:lang w:bidi="ar"/>
              </w:rPr>
              <w:t>环境高度敏感区（E1）</w:t>
            </w:r>
          </w:p>
        </w:tc>
        <w:tc>
          <w:tcPr>
            <w:tcW w:w="937" w:type="pct"/>
            <w:shd w:val="clear" w:color="auto" w:fill="auto"/>
            <w:vAlign w:val="center"/>
          </w:tcPr>
          <w:p w14:paraId="2DCA12AB">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350358D6">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22F467EC">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2CCE2555">
            <w:pPr>
              <w:pStyle w:val="90"/>
              <w:rPr>
                <w:rFonts w:hint="default" w:ascii="Times New Roman" w:hAnsi="Times New Roman" w:cs="Times New Roman"/>
              </w:rPr>
            </w:pPr>
            <w:r>
              <w:rPr>
                <w:rFonts w:hint="default" w:ascii="Times New Roman" w:hAnsi="Times New Roman" w:cs="Times New Roman"/>
                <w:lang w:bidi="ar"/>
              </w:rPr>
              <w:t>Ⅱ</w:t>
            </w:r>
          </w:p>
        </w:tc>
      </w:tr>
      <w:tr w14:paraId="77C398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249" w:type="pct"/>
            <w:shd w:val="clear" w:color="auto" w:fill="auto"/>
            <w:vAlign w:val="center"/>
          </w:tcPr>
          <w:p w14:paraId="4DA3FD0F">
            <w:pPr>
              <w:pStyle w:val="90"/>
              <w:rPr>
                <w:rFonts w:hint="default" w:ascii="Times New Roman" w:hAnsi="Times New Roman" w:cs="Times New Roman"/>
              </w:rPr>
            </w:pPr>
            <w:r>
              <w:rPr>
                <w:rFonts w:hint="default" w:ascii="Times New Roman" w:hAnsi="Times New Roman" w:cs="Times New Roman"/>
                <w:lang w:bidi="ar"/>
              </w:rPr>
              <w:t>环境中度敏感区（E2）</w:t>
            </w:r>
          </w:p>
        </w:tc>
        <w:tc>
          <w:tcPr>
            <w:tcW w:w="937" w:type="pct"/>
            <w:shd w:val="clear" w:color="auto" w:fill="auto"/>
            <w:vAlign w:val="center"/>
          </w:tcPr>
          <w:p w14:paraId="1C7C41E7">
            <w:pPr>
              <w:pStyle w:val="90"/>
              <w:rPr>
                <w:rFonts w:hint="default" w:ascii="Times New Roman" w:hAnsi="Times New Roman" w:cs="Times New Roman"/>
              </w:rPr>
            </w:pPr>
            <w:r>
              <w:rPr>
                <w:rFonts w:hint="default" w:ascii="Times New Roman" w:hAnsi="Times New Roman" w:cs="Times New Roman"/>
                <w:lang w:bidi="ar"/>
              </w:rPr>
              <w:t>Ⅳ</w:t>
            </w:r>
          </w:p>
        </w:tc>
        <w:tc>
          <w:tcPr>
            <w:tcW w:w="938" w:type="pct"/>
            <w:shd w:val="clear" w:color="auto" w:fill="auto"/>
            <w:vAlign w:val="center"/>
          </w:tcPr>
          <w:p w14:paraId="15BDCF74">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12856E8B">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134DEF29">
            <w:pPr>
              <w:pStyle w:val="90"/>
              <w:rPr>
                <w:rFonts w:hint="default" w:ascii="Times New Roman" w:hAnsi="Times New Roman" w:cs="Times New Roman"/>
              </w:rPr>
            </w:pPr>
            <w:r>
              <w:rPr>
                <w:rFonts w:hint="default" w:ascii="Times New Roman" w:hAnsi="Times New Roman" w:cs="Times New Roman"/>
                <w:lang w:bidi="ar"/>
              </w:rPr>
              <w:t>Ⅱ</w:t>
            </w:r>
          </w:p>
        </w:tc>
      </w:tr>
      <w:tr w14:paraId="707C41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83" w:hRule="atLeast"/>
          <w:jc w:val="center"/>
        </w:trPr>
        <w:tc>
          <w:tcPr>
            <w:tcW w:w="1249" w:type="pct"/>
            <w:shd w:val="clear" w:color="auto" w:fill="auto"/>
            <w:vAlign w:val="center"/>
          </w:tcPr>
          <w:p w14:paraId="4BC4851C">
            <w:pPr>
              <w:pStyle w:val="90"/>
              <w:rPr>
                <w:rFonts w:hint="default" w:ascii="Times New Roman" w:hAnsi="Times New Roman" w:cs="Times New Roman"/>
              </w:rPr>
            </w:pPr>
            <w:r>
              <w:rPr>
                <w:rFonts w:hint="default" w:ascii="Times New Roman" w:hAnsi="Times New Roman" w:cs="Times New Roman"/>
                <w:lang w:bidi="ar"/>
              </w:rPr>
              <w:t>环境低度敏感区（E3）</w:t>
            </w:r>
          </w:p>
        </w:tc>
        <w:tc>
          <w:tcPr>
            <w:tcW w:w="937" w:type="pct"/>
            <w:shd w:val="clear" w:color="auto" w:fill="auto"/>
            <w:vAlign w:val="center"/>
          </w:tcPr>
          <w:p w14:paraId="4A7E72CC">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auto"/>
            <w:vAlign w:val="center"/>
          </w:tcPr>
          <w:p w14:paraId="7C671563">
            <w:pPr>
              <w:pStyle w:val="90"/>
              <w:rPr>
                <w:rFonts w:hint="default" w:ascii="Times New Roman" w:hAnsi="Times New Roman" w:cs="Times New Roman"/>
              </w:rPr>
            </w:pPr>
            <w:r>
              <w:rPr>
                <w:rFonts w:hint="default" w:ascii="Times New Roman" w:hAnsi="Times New Roman" w:cs="Times New Roman"/>
                <w:lang w:bidi="ar"/>
              </w:rPr>
              <w:t>Ⅲ</w:t>
            </w:r>
          </w:p>
        </w:tc>
        <w:tc>
          <w:tcPr>
            <w:tcW w:w="938" w:type="pct"/>
            <w:shd w:val="clear" w:color="auto" w:fill="BFBFBF"/>
            <w:vAlign w:val="center"/>
          </w:tcPr>
          <w:p w14:paraId="7B21BFDD">
            <w:pPr>
              <w:pStyle w:val="90"/>
              <w:rPr>
                <w:rFonts w:hint="default" w:ascii="Times New Roman" w:hAnsi="Times New Roman" w:cs="Times New Roman"/>
              </w:rPr>
            </w:pPr>
            <w:r>
              <w:rPr>
                <w:rFonts w:hint="default" w:ascii="Times New Roman" w:hAnsi="Times New Roman" w:cs="Times New Roman"/>
                <w:lang w:bidi="ar"/>
              </w:rPr>
              <w:t>Ⅱ</w:t>
            </w:r>
          </w:p>
        </w:tc>
        <w:tc>
          <w:tcPr>
            <w:tcW w:w="938" w:type="pct"/>
            <w:shd w:val="clear" w:color="auto" w:fill="auto"/>
            <w:vAlign w:val="center"/>
          </w:tcPr>
          <w:p w14:paraId="00C55223">
            <w:pPr>
              <w:pStyle w:val="90"/>
              <w:rPr>
                <w:rFonts w:hint="default" w:ascii="Times New Roman" w:hAnsi="Times New Roman" w:cs="Times New Roman"/>
              </w:rPr>
            </w:pPr>
            <w:r>
              <w:rPr>
                <w:rFonts w:hint="default" w:ascii="Times New Roman" w:hAnsi="Times New Roman" w:cs="Times New Roman"/>
                <w:lang w:bidi="ar"/>
              </w:rPr>
              <w:t>Ⅰ</w:t>
            </w:r>
          </w:p>
        </w:tc>
      </w:tr>
      <w:tr w14:paraId="408650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5000" w:type="pct"/>
            <w:gridSpan w:val="5"/>
            <w:shd w:val="clear" w:color="auto" w:fill="auto"/>
            <w:vAlign w:val="center"/>
          </w:tcPr>
          <w:p w14:paraId="3DF4465A">
            <w:pPr>
              <w:pStyle w:val="90"/>
              <w:rPr>
                <w:rFonts w:hint="default" w:ascii="Times New Roman" w:hAnsi="Times New Roman" w:cs="Times New Roman"/>
              </w:rPr>
            </w:pPr>
            <w:r>
              <w:rPr>
                <w:rFonts w:hint="default" w:ascii="Times New Roman" w:hAnsi="Times New Roman" w:cs="Times New Roman"/>
                <w:lang w:bidi="ar"/>
              </w:rPr>
              <w:t>注：Ⅳ+为极高环境风险</w:t>
            </w:r>
          </w:p>
        </w:tc>
      </w:tr>
    </w:tbl>
    <w:p w14:paraId="10EA74D7">
      <w:pPr>
        <w:pStyle w:val="47"/>
        <w:spacing w:before="65"/>
      </w:pPr>
      <w:r>
        <w:rPr>
          <w:rFonts w:hint="eastAsia"/>
        </w:rPr>
        <w:t>表2.</w:t>
      </w:r>
      <w:r>
        <w:t xml:space="preserve">6-10   </w:t>
      </w:r>
      <w:r>
        <w:rPr>
          <w:rFonts w:hint="eastAsia"/>
        </w:rPr>
        <w:t>风险评价等级划分表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71"/>
        <w:gridCol w:w="1790"/>
        <w:gridCol w:w="1790"/>
        <w:gridCol w:w="1791"/>
        <w:gridCol w:w="1788"/>
      </w:tblGrid>
      <w:tr w14:paraId="7F30C9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0" w:hRule="atLeast"/>
          <w:jc w:val="center"/>
        </w:trPr>
        <w:tc>
          <w:tcPr>
            <w:tcW w:w="900" w:type="pct"/>
            <w:tcMar>
              <w:left w:w="0" w:type="dxa"/>
              <w:right w:w="0" w:type="dxa"/>
            </w:tcMar>
            <w:vAlign w:val="center"/>
          </w:tcPr>
          <w:p w14:paraId="24FA81E1">
            <w:pPr>
              <w:adjustRightInd w:val="0"/>
              <w:snapToGrid w:val="0"/>
              <w:spacing w:line="240" w:lineRule="auto"/>
              <w:ind w:firstLine="0" w:firstLineChars="0"/>
              <w:jc w:val="center"/>
              <w:rPr>
                <w:sz w:val="21"/>
                <w:szCs w:val="20"/>
              </w:rPr>
            </w:pPr>
            <w:r>
              <w:rPr>
                <w:sz w:val="21"/>
                <w:szCs w:val="20"/>
              </w:rPr>
              <w:t>环境风险潜势</w:t>
            </w:r>
          </w:p>
        </w:tc>
        <w:tc>
          <w:tcPr>
            <w:tcW w:w="1025" w:type="pct"/>
            <w:shd w:val="clear" w:color="auto" w:fill="auto"/>
            <w:tcMar>
              <w:left w:w="0" w:type="dxa"/>
              <w:right w:w="0" w:type="dxa"/>
            </w:tcMar>
            <w:vAlign w:val="center"/>
          </w:tcPr>
          <w:p w14:paraId="738EB527">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4 \* ROMAN \* MERGEFORMAT </w:instrText>
            </w:r>
            <w:r>
              <w:rPr>
                <w:sz w:val="21"/>
                <w:szCs w:val="20"/>
              </w:rPr>
              <w:fldChar w:fldCharType="separate"/>
            </w:r>
            <w:r>
              <w:rPr>
                <w:sz w:val="21"/>
                <w:szCs w:val="20"/>
              </w:rPr>
              <w:t>IV</w:t>
            </w:r>
            <w:r>
              <w:rPr>
                <w:sz w:val="21"/>
                <w:szCs w:val="20"/>
              </w:rPr>
              <w:fldChar w:fldCharType="end"/>
            </w:r>
            <w:r>
              <w:rPr>
                <w:sz w:val="21"/>
                <w:szCs w:val="20"/>
              </w:rPr>
              <w:t>、</w:t>
            </w:r>
            <w:r>
              <w:rPr>
                <w:sz w:val="21"/>
                <w:szCs w:val="20"/>
              </w:rPr>
              <w:fldChar w:fldCharType="begin"/>
            </w:r>
            <w:r>
              <w:rPr>
                <w:sz w:val="21"/>
                <w:szCs w:val="20"/>
              </w:rPr>
              <w:instrText xml:space="preserve"> = 4 \* ROMAN \* MERGEFORMAT </w:instrText>
            </w:r>
            <w:r>
              <w:rPr>
                <w:sz w:val="21"/>
                <w:szCs w:val="20"/>
              </w:rPr>
              <w:fldChar w:fldCharType="separate"/>
            </w:r>
            <w:r>
              <w:rPr>
                <w:sz w:val="21"/>
                <w:szCs w:val="20"/>
              </w:rPr>
              <w:t>IV</w:t>
            </w:r>
            <w:r>
              <w:rPr>
                <w:sz w:val="21"/>
                <w:szCs w:val="20"/>
              </w:rPr>
              <w:fldChar w:fldCharType="end"/>
            </w:r>
            <w:r>
              <w:rPr>
                <w:sz w:val="21"/>
                <w:szCs w:val="20"/>
                <w:vertAlign w:val="superscript"/>
              </w:rPr>
              <w:t>+</w:t>
            </w:r>
          </w:p>
        </w:tc>
        <w:tc>
          <w:tcPr>
            <w:tcW w:w="1025" w:type="pct"/>
            <w:shd w:val="clear" w:color="auto" w:fill="auto"/>
            <w:tcMar>
              <w:left w:w="0" w:type="dxa"/>
              <w:right w:w="0" w:type="dxa"/>
            </w:tcMar>
            <w:vAlign w:val="center"/>
          </w:tcPr>
          <w:p w14:paraId="0410717A">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3 \* ROMAN \* MERGEFORMAT </w:instrText>
            </w:r>
            <w:r>
              <w:rPr>
                <w:sz w:val="21"/>
                <w:szCs w:val="20"/>
              </w:rPr>
              <w:fldChar w:fldCharType="separate"/>
            </w:r>
            <w:r>
              <w:rPr>
                <w:sz w:val="21"/>
                <w:szCs w:val="20"/>
              </w:rPr>
              <w:t>III</w:t>
            </w:r>
            <w:r>
              <w:rPr>
                <w:sz w:val="21"/>
                <w:szCs w:val="20"/>
              </w:rPr>
              <w:fldChar w:fldCharType="end"/>
            </w:r>
          </w:p>
        </w:tc>
        <w:tc>
          <w:tcPr>
            <w:tcW w:w="1026" w:type="pct"/>
            <w:shd w:val="clear" w:color="auto" w:fill="auto"/>
            <w:tcMar>
              <w:left w:w="0" w:type="dxa"/>
              <w:right w:w="0" w:type="dxa"/>
            </w:tcMar>
            <w:vAlign w:val="center"/>
          </w:tcPr>
          <w:p w14:paraId="2BA864A6">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2 \* ROMAN \* MERGEFORMAT </w:instrText>
            </w:r>
            <w:r>
              <w:rPr>
                <w:sz w:val="21"/>
                <w:szCs w:val="20"/>
              </w:rPr>
              <w:fldChar w:fldCharType="separate"/>
            </w:r>
            <w:r>
              <w:rPr>
                <w:sz w:val="21"/>
                <w:szCs w:val="20"/>
              </w:rPr>
              <w:t>II</w:t>
            </w:r>
            <w:r>
              <w:rPr>
                <w:sz w:val="21"/>
                <w:szCs w:val="20"/>
              </w:rPr>
              <w:fldChar w:fldCharType="end"/>
            </w:r>
          </w:p>
        </w:tc>
        <w:tc>
          <w:tcPr>
            <w:tcW w:w="1024" w:type="pct"/>
            <w:shd w:val="clear" w:color="auto" w:fill="auto"/>
            <w:tcMar>
              <w:left w:w="0" w:type="dxa"/>
              <w:right w:w="0" w:type="dxa"/>
            </w:tcMar>
            <w:vAlign w:val="center"/>
          </w:tcPr>
          <w:p w14:paraId="2FC7D12A">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1 \* ROMAN \* MERGEFORMAT </w:instrText>
            </w:r>
            <w:r>
              <w:rPr>
                <w:sz w:val="21"/>
                <w:szCs w:val="20"/>
              </w:rPr>
              <w:fldChar w:fldCharType="separate"/>
            </w:r>
            <w:r>
              <w:rPr>
                <w:sz w:val="21"/>
                <w:szCs w:val="20"/>
              </w:rPr>
              <w:t>I</w:t>
            </w:r>
            <w:r>
              <w:rPr>
                <w:sz w:val="21"/>
                <w:szCs w:val="20"/>
              </w:rPr>
              <w:fldChar w:fldCharType="end"/>
            </w:r>
          </w:p>
        </w:tc>
      </w:tr>
      <w:tr w14:paraId="7B47AB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900" w:type="pct"/>
            <w:tcMar>
              <w:left w:w="0" w:type="dxa"/>
              <w:right w:w="0" w:type="dxa"/>
            </w:tcMar>
            <w:vAlign w:val="center"/>
          </w:tcPr>
          <w:p w14:paraId="09B6FEC1">
            <w:pPr>
              <w:adjustRightInd w:val="0"/>
              <w:snapToGrid w:val="0"/>
              <w:spacing w:line="240" w:lineRule="auto"/>
              <w:ind w:firstLine="0" w:firstLineChars="0"/>
              <w:jc w:val="center"/>
              <w:rPr>
                <w:sz w:val="21"/>
                <w:szCs w:val="20"/>
              </w:rPr>
            </w:pPr>
            <w:r>
              <w:rPr>
                <w:sz w:val="21"/>
                <w:szCs w:val="20"/>
              </w:rPr>
              <w:t>评价工作等级</w:t>
            </w:r>
          </w:p>
        </w:tc>
        <w:tc>
          <w:tcPr>
            <w:tcW w:w="1025" w:type="pct"/>
            <w:tcMar>
              <w:left w:w="0" w:type="dxa"/>
              <w:right w:w="0" w:type="dxa"/>
            </w:tcMar>
            <w:vAlign w:val="center"/>
          </w:tcPr>
          <w:p w14:paraId="07E86861">
            <w:pPr>
              <w:adjustRightInd w:val="0"/>
              <w:snapToGrid w:val="0"/>
              <w:spacing w:line="240" w:lineRule="auto"/>
              <w:ind w:firstLine="0" w:firstLineChars="0"/>
              <w:jc w:val="center"/>
              <w:rPr>
                <w:sz w:val="21"/>
                <w:szCs w:val="20"/>
              </w:rPr>
            </w:pPr>
            <w:r>
              <w:rPr>
                <w:sz w:val="21"/>
                <w:szCs w:val="20"/>
              </w:rPr>
              <w:t>一</w:t>
            </w:r>
          </w:p>
        </w:tc>
        <w:tc>
          <w:tcPr>
            <w:tcW w:w="1025" w:type="pct"/>
            <w:tcMar>
              <w:left w:w="0" w:type="dxa"/>
              <w:right w:w="0" w:type="dxa"/>
            </w:tcMar>
            <w:vAlign w:val="center"/>
          </w:tcPr>
          <w:p w14:paraId="5854C4CA">
            <w:pPr>
              <w:adjustRightInd w:val="0"/>
              <w:snapToGrid w:val="0"/>
              <w:spacing w:line="240" w:lineRule="auto"/>
              <w:ind w:firstLine="0" w:firstLineChars="0"/>
              <w:jc w:val="center"/>
              <w:rPr>
                <w:sz w:val="21"/>
                <w:szCs w:val="20"/>
              </w:rPr>
            </w:pPr>
            <w:r>
              <w:rPr>
                <w:sz w:val="21"/>
                <w:szCs w:val="20"/>
              </w:rPr>
              <w:t>二</w:t>
            </w:r>
          </w:p>
        </w:tc>
        <w:tc>
          <w:tcPr>
            <w:tcW w:w="1026" w:type="pct"/>
            <w:tcMar>
              <w:left w:w="0" w:type="dxa"/>
              <w:right w:w="0" w:type="dxa"/>
            </w:tcMar>
            <w:vAlign w:val="center"/>
          </w:tcPr>
          <w:p w14:paraId="064A8AC9">
            <w:pPr>
              <w:adjustRightInd w:val="0"/>
              <w:snapToGrid w:val="0"/>
              <w:spacing w:line="240" w:lineRule="auto"/>
              <w:ind w:firstLine="0" w:firstLineChars="0"/>
              <w:jc w:val="center"/>
              <w:rPr>
                <w:sz w:val="21"/>
                <w:szCs w:val="20"/>
              </w:rPr>
            </w:pPr>
            <w:r>
              <w:rPr>
                <w:sz w:val="21"/>
                <w:szCs w:val="20"/>
              </w:rPr>
              <w:t>三</w:t>
            </w:r>
          </w:p>
        </w:tc>
        <w:tc>
          <w:tcPr>
            <w:tcW w:w="1024" w:type="pct"/>
            <w:tcMar>
              <w:left w:w="0" w:type="dxa"/>
              <w:right w:w="0" w:type="dxa"/>
            </w:tcMar>
            <w:vAlign w:val="center"/>
          </w:tcPr>
          <w:p w14:paraId="5FE4623C">
            <w:pPr>
              <w:adjustRightInd w:val="0"/>
              <w:snapToGrid w:val="0"/>
              <w:spacing w:line="240" w:lineRule="auto"/>
              <w:ind w:firstLine="0" w:firstLineChars="0"/>
              <w:jc w:val="center"/>
              <w:rPr>
                <w:sz w:val="21"/>
                <w:szCs w:val="20"/>
              </w:rPr>
            </w:pPr>
            <w:r>
              <w:rPr>
                <w:sz w:val="21"/>
                <w:szCs w:val="20"/>
              </w:rPr>
              <w:t>简单分析</w:t>
            </w:r>
            <w:r>
              <w:rPr>
                <w:sz w:val="21"/>
                <w:szCs w:val="20"/>
                <w:vertAlign w:val="superscript"/>
              </w:rPr>
              <w:t>a</w:t>
            </w:r>
          </w:p>
        </w:tc>
      </w:tr>
      <w:tr w14:paraId="6AF0CB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0" w:hRule="atLeast"/>
          <w:jc w:val="center"/>
        </w:trPr>
        <w:tc>
          <w:tcPr>
            <w:tcW w:w="5000" w:type="pct"/>
            <w:gridSpan w:val="5"/>
            <w:tcMar>
              <w:left w:w="0" w:type="dxa"/>
              <w:right w:w="0" w:type="dxa"/>
            </w:tcMar>
            <w:vAlign w:val="center"/>
          </w:tcPr>
          <w:p w14:paraId="43B33842">
            <w:pPr>
              <w:adjustRightInd w:val="0"/>
              <w:snapToGrid w:val="0"/>
              <w:spacing w:line="240" w:lineRule="auto"/>
              <w:ind w:firstLine="0" w:firstLineChars="0"/>
              <w:rPr>
                <w:sz w:val="21"/>
                <w:szCs w:val="20"/>
              </w:rPr>
            </w:pPr>
            <w:r>
              <w:rPr>
                <w:sz w:val="21"/>
                <w:szCs w:val="20"/>
                <w:vertAlign w:val="superscript"/>
              </w:rPr>
              <w:t>a</w:t>
            </w:r>
            <w:r>
              <w:rPr>
                <w:sz w:val="21"/>
                <w:szCs w:val="20"/>
              </w:rPr>
              <w:t>是相对于详细评价工作内容而言，在描述危险物质、环境影响途径、环境危害后果、风险防范措施等方面给出定性的说明</w:t>
            </w:r>
          </w:p>
        </w:tc>
      </w:tr>
    </w:tbl>
    <w:p w14:paraId="3BB6E2F5">
      <w:pPr>
        <w:ind w:firstLine="480"/>
      </w:pPr>
      <w:r>
        <w:t>根据《建设项目环境风险评价技术导则》（HJ169-2018）中关于风险评价等级的划分方法，</w:t>
      </w:r>
      <w:r>
        <w:rPr>
          <w:rFonts w:hint="eastAsia"/>
          <w:snapToGrid w:val="0"/>
          <w:szCs w:val="28"/>
          <w:lang w:bidi="ar"/>
        </w:rPr>
        <w:t>建设项目环境风险潜势综合等级取各要素等级的相对高值。因此，本项目环境风险潜势级别为“</w:t>
      </w:r>
      <w:r>
        <w:rPr>
          <w:lang w:bidi="ar"/>
        </w:rPr>
        <w:t>Ⅱ</w:t>
      </w:r>
      <w:r>
        <w:rPr>
          <w:rFonts w:hint="eastAsia"/>
          <w:snapToGrid w:val="0"/>
          <w:szCs w:val="28"/>
          <w:lang w:bidi="ar"/>
        </w:rPr>
        <w:t>”级。对照上表可知，本项目环境风险评价工作等级为“三级”。</w:t>
      </w:r>
    </w:p>
    <w:p w14:paraId="4B31C1D1">
      <w:pPr>
        <w:pStyle w:val="41"/>
      </w:pPr>
      <w:bookmarkStart w:id="119" w:name="_Toc152864156"/>
      <w:bookmarkStart w:id="120" w:name="_Toc81214031"/>
      <w:bookmarkStart w:id="121" w:name="_Toc80193036"/>
      <w:bookmarkStart w:id="122" w:name="_Toc80973463"/>
      <w:bookmarkStart w:id="123" w:name="_Toc79515407"/>
      <w:bookmarkStart w:id="124" w:name="_Toc77007749"/>
      <w:r>
        <w:rPr>
          <w:rFonts w:hint="eastAsia"/>
        </w:rPr>
        <w:t>评价范围</w:t>
      </w:r>
      <w:bookmarkEnd w:id="119"/>
      <w:bookmarkEnd w:id="120"/>
      <w:bookmarkEnd w:id="121"/>
      <w:bookmarkEnd w:id="122"/>
      <w:bookmarkEnd w:id="123"/>
      <w:bookmarkEnd w:id="124"/>
    </w:p>
    <w:p w14:paraId="6F733E7E">
      <w:pPr>
        <w:ind w:firstLine="480"/>
      </w:pPr>
      <w:r>
        <w:rPr>
          <w:rFonts w:hint="eastAsia"/>
        </w:rPr>
        <w:t>本项目各环境要素和环境风险评价范围见表2</w:t>
      </w:r>
      <w:r>
        <w:t>.7-1</w:t>
      </w:r>
      <w:r>
        <w:rPr>
          <w:rFonts w:hint="eastAsia"/>
        </w:rPr>
        <w:t>和图2</w:t>
      </w:r>
      <w:r>
        <w:t>.7-1</w:t>
      </w:r>
      <w:r>
        <w:rPr>
          <w:rFonts w:hint="eastAsia"/>
        </w:rPr>
        <w:t>。</w:t>
      </w:r>
    </w:p>
    <w:p w14:paraId="79703D2C">
      <w:pPr>
        <w:pStyle w:val="47"/>
        <w:spacing w:before="65"/>
      </w:pPr>
      <w:r>
        <w:rPr>
          <w:rFonts w:hint="eastAsia"/>
        </w:rPr>
        <w:t>表2.</w:t>
      </w:r>
      <w:r>
        <w:t xml:space="preserve">7-1   </w:t>
      </w:r>
      <w:r>
        <w:rPr>
          <w:rFonts w:hint="eastAsia"/>
        </w:rPr>
        <w:t>本项目评价等级及评价范围一览表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66"/>
        <w:gridCol w:w="510"/>
        <w:gridCol w:w="217"/>
        <w:gridCol w:w="829"/>
        <w:gridCol w:w="1103"/>
        <w:gridCol w:w="5305"/>
      </w:tblGrid>
      <w:tr w14:paraId="1BA2DA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tcMar>
              <w:left w:w="0" w:type="dxa"/>
              <w:right w:w="0" w:type="dxa"/>
            </w:tcMar>
            <w:vAlign w:val="center"/>
          </w:tcPr>
          <w:p w14:paraId="0DBEF01B">
            <w:pPr>
              <w:adjustRightInd w:val="0"/>
              <w:snapToGrid w:val="0"/>
              <w:spacing w:line="240" w:lineRule="auto"/>
              <w:ind w:firstLine="0" w:firstLineChars="0"/>
              <w:jc w:val="center"/>
              <w:rPr>
                <w:sz w:val="21"/>
                <w:szCs w:val="20"/>
              </w:rPr>
            </w:pPr>
            <w:r>
              <w:rPr>
                <w:sz w:val="21"/>
                <w:szCs w:val="20"/>
              </w:rPr>
              <w:t>序号</w:t>
            </w:r>
          </w:p>
        </w:tc>
        <w:tc>
          <w:tcPr>
            <w:tcW w:w="891" w:type="pct"/>
            <w:gridSpan w:val="3"/>
            <w:tcMar>
              <w:left w:w="0" w:type="dxa"/>
              <w:right w:w="0" w:type="dxa"/>
            </w:tcMar>
            <w:vAlign w:val="center"/>
          </w:tcPr>
          <w:p w14:paraId="6CB50739">
            <w:pPr>
              <w:adjustRightInd w:val="0"/>
              <w:snapToGrid w:val="0"/>
              <w:spacing w:line="240" w:lineRule="auto"/>
              <w:ind w:firstLine="0" w:firstLineChars="0"/>
              <w:jc w:val="center"/>
              <w:rPr>
                <w:sz w:val="21"/>
                <w:szCs w:val="20"/>
              </w:rPr>
            </w:pPr>
            <w:r>
              <w:rPr>
                <w:sz w:val="21"/>
                <w:szCs w:val="20"/>
              </w:rPr>
              <w:t>环境要素</w:t>
            </w:r>
          </w:p>
        </w:tc>
        <w:tc>
          <w:tcPr>
            <w:tcW w:w="632" w:type="pct"/>
            <w:tcMar>
              <w:left w:w="0" w:type="dxa"/>
              <w:right w:w="0" w:type="dxa"/>
            </w:tcMar>
            <w:vAlign w:val="center"/>
          </w:tcPr>
          <w:p w14:paraId="0F373A15">
            <w:pPr>
              <w:adjustRightInd w:val="0"/>
              <w:snapToGrid w:val="0"/>
              <w:spacing w:line="240" w:lineRule="auto"/>
              <w:ind w:firstLine="0" w:firstLineChars="0"/>
              <w:jc w:val="center"/>
              <w:rPr>
                <w:sz w:val="21"/>
                <w:szCs w:val="20"/>
              </w:rPr>
            </w:pPr>
            <w:r>
              <w:rPr>
                <w:sz w:val="21"/>
                <w:szCs w:val="20"/>
              </w:rPr>
              <w:t>评价等级</w:t>
            </w:r>
          </w:p>
        </w:tc>
        <w:tc>
          <w:tcPr>
            <w:tcW w:w="3038" w:type="pct"/>
            <w:tcMar>
              <w:left w:w="0" w:type="dxa"/>
              <w:right w:w="0" w:type="dxa"/>
            </w:tcMar>
            <w:vAlign w:val="center"/>
          </w:tcPr>
          <w:p w14:paraId="22C9DAEF">
            <w:pPr>
              <w:adjustRightInd w:val="0"/>
              <w:snapToGrid w:val="0"/>
              <w:spacing w:line="240" w:lineRule="auto"/>
              <w:ind w:firstLine="0" w:firstLineChars="0"/>
              <w:jc w:val="center"/>
              <w:rPr>
                <w:sz w:val="21"/>
                <w:szCs w:val="20"/>
              </w:rPr>
            </w:pPr>
            <w:r>
              <w:rPr>
                <w:sz w:val="21"/>
                <w:szCs w:val="20"/>
              </w:rPr>
              <w:t>评级范围</w:t>
            </w:r>
          </w:p>
        </w:tc>
      </w:tr>
      <w:tr w14:paraId="3E2B6A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tcMar>
              <w:left w:w="0" w:type="dxa"/>
              <w:right w:w="0" w:type="dxa"/>
            </w:tcMar>
            <w:vAlign w:val="center"/>
          </w:tcPr>
          <w:p w14:paraId="381DE9BB">
            <w:pPr>
              <w:numPr>
                <w:ilvl w:val="0"/>
                <w:numId w:val="12"/>
              </w:numPr>
              <w:overflowPunct w:val="0"/>
              <w:adjustRightInd w:val="0"/>
              <w:snapToGrid w:val="0"/>
              <w:spacing w:line="240" w:lineRule="auto"/>
              <w:ind w:firstLineChars="0"/>
              <w:jc w:val="center"/>
              <w:rPr>
                <w:sz w:val="21"/>
                <w:szCs w:val="20"/>
              </w:rPr>
            </w:pPr>
          </w:p>
        </w:tc>
        <w:tc>
          <w:tcPr>
            <w:tcW w:w="891" w:type="pct"/>
            <w:gridSpan w:val="3"/>
            <w:tcMar>
              <w:left w:w="0" w:type="dxa"/>
              <w:right w:w="0" w:type="dxa"/>
            </w:tcMar>
            <w:vAlign w:val="center"/>
          </w:tcPr>
          <w:p w14:paraId="72E65301">
            <w:pPr>
              <w:adjustRightInd w:val="0"/>
              <w:snapToGrid w:val="0"/>
              <w:spacing w:line="240" w:lineRule="auto"/>
              <w:ind w:firstLine="0" w:firstLineChars="0"/>
              <w:jc w:val="center"/>
              <w:rPr>
                <w:sz w:val="21"/>
                <w:szCs w:val="20"/>
              </w:rPr>
            </w:pPr>
            <w:r>
              <w:rPr>
                <w:sz w:val="21"/>
                <w:szCs w:val="20"/>
              </w:rPr>
              <w:t>大气环境</w:t>
            </w:r>
          </w:p>
        </w:tc>
        <w:tc>
          <w:tcPr>
            <w:tcW w:w="632" w:type="pct"/>
            <w:tcMar>
              <w:left w:w="0" w:type="dxa"/>
              <w:right w:w="0" w:type="dxa"/>
            </w:tcMar>
            <w:vAlign w:val="center"/>
          </w:tcPr>
          <w:p w14:paraId="6D4F4A9E">
            <w:pPr>
              <w:adjustRightInd w:val="0"/>
              <w:snapToGrid w:val="0"/>
              <w:spacing w:line="240" w:lineRule="auto"/>
              <w:ind w:firstLine="0" w:firstLineChars="0"/>
              <w:jc w:val="center"/>
              <w:rPr>
                <w:sz w:val="21"/>
                <w:szCs w:val="20"/>
              </w:rPr>
            </w:pPr>
            <w:r>
              <w:rPr>
                <w:rFonts w:hint="eastAsia"/>
                <w:sz w:val="21"/>
                <w:szCs w:val="20"/>
              </w:rPr>
              <w:t>一</w:t>
            </w:r>
            <w:r>
              <w:rPr>
                <w:sz w:val="21"/>
                <w:szCs w:val="20"/>
              </w:rPr>
              <w:t>级</w:t>
            </w:r>
          </w:p>
        </w:tc>
        <w:tc>
          <w:tcPr>
            <w:tcW w:w="3039" w:type="pct"/>
            <w:tcMar>
              <w:left w:w="0" w:type="dxa"/>
              <w:right w:w="0" w:type="dxa"/>
            </w:tcMar>
            <w:vAlign w:val="center"/>
          </w:tcPr>
          <w:p w14:paraId="0E797C47">
            <w:pPr>
              <w:adjustRightInd w:val="0"/>
              <w:snapToGrid w:val="0"/>
              <w:spacing w:line="240" w:lineRule="auto"/>
              <w:ind w:firstLine="0" w:firstLineChars="0"/>
              <w:jc w:val="center"/>
              <w:rPr>
                <w:sz w:val="21"/>
                <w:szCs w:val="20"/>
              </w:rPr>
            </w:pPr>
            <w:r>
              <w:rPr>
                <w:rFonts w:hint="eastAsia"/>
                <w:sz w:val="21"/>
                <w:szCs w:val="20"/>
              </w:rPr>
              <w:t>厂址为中心，自厂界外延2.5km的矩形区域（边长5km）。</w:t>
            </w:r>
          </w:p>
        </w:tc>
      </w:tr>
      <w:tr w14:paraId="5E1522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vMerge w:val="restart"/>
            <w:tcMar>
              <w:left w:w="0" w:type="dxa"/>
              <w:right w:w="0" w:type="dxa"/>
            </w:tcMar>
            <w:vAlign w:val="center"/>
          </w:tcPr>
          <w:p w14:paraId="05F5BD71">
            <w:pPr>
              <w:numPr>
                <w:ilvl w:val="0"/>
                <w:numId w:val="12"/>
              </w:numPr>
              <w:overflowPunct w:val="0"/>
              <w:adjustRightInd w:val="0"/>
              <w:snapToGrid w:val="0"/>
              <w:spacing w:line="240" w:lineRule="auto"/>
              <w:ind w:firstLineChars="0"/>
              <w:jc w:val="center"/>
              <w:rPr>
                <w:sz w:val="21"/>
                <w:szCs w:val="20"/>
              </w:rPr>
            </w:pPr>
          </w:p>
        </w:tc>
        <w:tc>
          <w:tcPr>
            <w:tcW w:w="292" w:type="pct"/>
            <w:vMerge w:val="restart"/>
            <w:tcMar>
              <w:left w:w="0" w:type="dxa"/>
              <w:right w:w="0" w:type="dxa"/>
            </w:tcMar>
            <w:vAlign w:val="center"/>
          </w:tcPr>
          <w:p w14:paraId="27B4D572">
            <w:pPr>
              <w:adjustRightInd w:val="0"/>
              <w:snapToGrid w:val="0"/>
              <w:spacing w:line="240" w:lineRule="auto"/>
              <w:ind w:firstLine="0" w:firstLineChars="0"/>
              <w:jc w:val="center"/>
              <w:rPr>
                <w:sz w:val="21"/>
                <w:szCs w:val="20"/>
              </w:rPr>
            </w:pPr>
            <w:r>
              <w:rPr>
                <w:sz w:val="21"/>
                <w:szCs w:val="20"/>
              </w:rPr>
              <w:t>水环境</w:t>
            </w:r>
          </w:p>
        </w:tc>
        <w:tc>
          <w:tcPr>
            <w:tcW w:w="599" w:type="pct"/>
            <w:gridSpan w:val="2"/>
            <w:tcMar>
              <w:left w:w="0" w:type="dxa"/>
              <w:right w:w="0" w:type="dxa"/>
            </w:tcMar>
            <w:vAlign w:val="center"/>
          </w:tcPr>
          <w:p w14:paraId="5A18C50C">
            <w:pPr>
              <w:adjustRightInd w:val="0"/>
              <w:snapToGrid w:val="0"/>
              <w:spacing w:line="240" w:lineRule="auto"/>
              <w:ind w:firstLine="0" w:firstLineChars="0"/>
              <w:jc w:val="center"/>
              <w:rPr>
                <w:sz w:val="21"/>
                <w:szCs w:val="20"/>
              </w:rPr>
            </w:pPr>
            <w:r>
              <w:rPr>
                <w:sz w:val="21"/>
                <w:szCs w:val="20"/>
              </w:rPr>
              <w:t>地表水</w:t>
            </w:r>
          </w:p>
        </w:tc>
        <w:tc>
          <w:tcPr>
            <w:tcW w:w="632" w:type="pct"/>
            <w:tcMar>
              <w:left w:w="0" w:type="dxa"/>
              <w:right w:w="0" w:type="dxa"/>
            </w:tcMar>
            <w:vAlign w:val="center"/>
          </w:tcPr>
          <w:p w14:paraId="357EC5CF">
            <w:pPr>
              <w:adjustRightInd w:val="0"/>
              <w:snapToGrid w:val="0"/>
              <w:spacing w:line="240" w:lineRule="auto"/>
              <w:ind w:firstLine="0" w:firstLineChars="0"/>
              <w:jc w:val="center"/>
              <w:rPr>
                <w:sz w:val="21"/>
                <w:szCs w:val="20"/>
              </w:rPr>
            </w:pPr>
            <w:r>
              <w:rPr>
                <w:rFonts w:hint="eastAsia"/>
                <w:sz w:val="21"/>
                <w:szCs w:val="20"/>
              </w:rPr>
              <w:t>三级B</w:t>
            </w:r>
          </w:p>
        </w:tc>
        <w:tc>
          <w:tcPr>
            <w:tcW w:w="3039" w:type="pct"/>
            <w:tcMar>
              <w:left w:w="0" w:type="dxa"/>
              <w:right w:w="0" w:type="dxa"/>
            </w:tcMar>
            <w:vAlign w:val="center"/>
          </w:tcPr>
          <w:p w14:paraId="6DAE775F">
            <w:pPr>
              <w:adjustRightInd w:val="0"/>
              <w:snapToGrid w:val="0"/>
              <w:spacing w:line="240" w:lineRule="auto"/>
              <w:ind w:firstLine="0" w:firstLineChars="0"/>
              <w:jc w:val="center"/>
              <w:rPr>
                <w:sz w:val="21"/>
                <w:szCs w:val="20"/>
              </w:rPr>
            </w:pPr>
            <w:r>
              <w:rPr>
                <w:rFonts w:hint="eastAsia"/>
                <w:sz w:val="21"/>
                <w:szCs w:val="20"/>
              </w:rPr>
              <w:t>分析依托园区污水处理厂的可行性</w:t>
            </w:r>
          </w:p>
        </w:tc>
      </w:tr>
      <w:tr w14:paraId="743168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vMerge w:val="continue"/>
            <w:tcMar>
              <w:left w:w="0" w:type="dxa"/>
              <w:right w:w="0" w:type="dxa"/>
            </w:tcMar>
            <w:vAlign w:val="center"/>
          </w:tcPr>
          <w:p w14:paraId="1660D9C2">
            <w:pPr>
              <w:numPr>
                <w:ilvl w:val="0"/>
                <w:numId w:val="12"/>
              </w:numPr>
              <w:overflowPunct w:val="0"/>
              <w:adjustRightInd w:val="0"/>
              <w:snapToGrid w:val="0"/>
              <w:spacing w:line="240" w:lineRule="auto"/>
              <w:ind w:firstLineChars="0"/>
              <w:jc w:val="center"/>
              <w:rPr>
                <w:sz w:val="21"/>
                <w:szCs w:val="20"/>
              </w:rPr>
            </w:pPr>
          </w:p>
        </w:tc>
        <w:tc>
          <w:tcPr>
            <w:tcW w:w="292" w:type="pct"/>
            <w:vMerge w:val="continue"/>
            <w:tcMar>
              <w:left w:w="0" w:type="dxa"/>
              <w:right w:w="0" w:type="dxa"/>
            </w:tcMar>
            <w:vAlign w:val="center"/>
          </w:tcPr>
          <w:p w14:paraId="0CCBD536">
            <w:pPr>
              <w:adjustRightInd w:val="0"/>
              <w:snapToGrid w:val="0"/>
              <w:spacing w:line="240" w:lineRule="auto"/>
              <w:ind w:firstLine="0" w:firstLineChars="0"/>
              <w:jc w:val="center"/>
              <w:rPr>
                <w:sz w:val="21"/>
                <w:szCs w:val="20"/>
              </w:rPr>
            </w:pPr>
          </w:p>
        </w:tc>
        <w:tc>
          <w:tcPr>
            <w:tcW w:w="599" w:type="pct"/>
            <w:gridSpan w:val="2"/>
            <w:tcMar>
              <w:left w:w="0" w:type="dxa"/>
              <w:right w:w="0" w:type="dxa"/>
            </w:tcMar>
            <w:vAlign w:val="center"/>
          </w:tcPr>
          <w:p w14:paraId="32DD94B8">
            <w:pPr>
              <w:adjustRightInd w:val="0"/>
              <w:snapToGrid w:val="0"/>
              <w:spacing w:line="240" w:lineRule="auto"/>
              <w:ind w:firstLine="0" w:firstLineChars="0"/>
              <w:jc w:val="center"/>
              <w:rPr>
                <w:sz w:val="21"/>
                <w:szCs w:val="20"/>
              </w:rPr>
            </w:pPr>
            <w:r>
              <w:rPr>
                <w:sz w:val="21"/>
                <w:szCs w:val="20"/>
              </w:rPr>
              <w:t>地下水</w:t>
            </w:r>
          </w:p>
        </w:tc>
        <w:tc>
          <w:tcPr>
            <w:tcW w:w="632" w:type="pct"/>
            <w:tcMar>
              <w:left w:w="0" w:type="dxa"/>
              <w:right w:w="0" w:type="dxa"/>
            </w:tcMar>
            <w:vAlign w:val="center"/>
          </w:tcPr>
          <w:p w14:paraId="30999888">
            <w:pPr>
              <w:adjustRightInd w:val="0"/>
              <w:snapToGrid w:val="0"/>
              <w:spacing w:line="240" w:lineRule="auto"/>
              <w:ind w:firstLine="0" w:firstLineChars="0"/>
              <w:jc w:val="center"/>
              <w:rPr>
                <w:sz w:val="21"/>
                <w:szCs w:val="20"/>
              </w:rPr>
            </w:pPr>
            <w:r>
              <w:rPr>
                <w:rFonts w:hint="eastAsia"/>
                <w:sz w:val="21"/>
                <w:szCs w:val="20"/>
              </w:rPr>
              <w:t>二</w:t>
            </w:r>
            <w:r>
              <w:rPr>
                <w:sz w:val="21"/>
                <w:szCs w:val="20"/>
              </w:rPr>
              <w:t>级</w:t>
            </w:r>
          </w:p>
        </w:tc>
        <w:tc>
          <w:tcPr>
            <w:tcW w:w="3039" w:type="pct"/>
            <w:tcMar>
              <w:left w:w="0" w:type="dxa"/>
              <w:right w:w="0" w:type="dxa"/>
            </w:tcMar>
            <w:vAlign w:val="center"/>
          </w:tcPr>
          <w:p w14:paraId="450F41EC">
            <w:pPr>
              <w:adjustRightInd w:val="0"/>
              <w:snapToGrid w:val="0"/>
              <w:spacing w:line="240" w:lineRule="auto"/>
              <w:ind w:firstLine="0" w:firstLineChars="0"/>
              <w:jc w:val="center"/>
              <w:rPr>
                <w:sz w:val="21"/>
                <w:szCs w:val="20"/>
              </w:rPr>
            </w:pPr>
            <w:r>
              <w:rPr>
                <w:rFonts w:hint="eastAsia"/>
                <w:sz w:val="21"/>
                <w:szCs w:val="20"/>
              </w:rPr>
              <w:t>以</w:t>
            </w:r>
            <w:r>
              <w:rPr>
                <w:sz w:val="21"/>
                <w:szCs w:val="20"/>
              </w:rPr>
              <w:t>厂址中心周围2km×3.2km的</w:t>
            </w:r>
            <w:r>
              <w:rPr>
                <w:rFonts w:hint="eastAsia"/>
                <w:sz w:val="21"/>
                <w:szCs w:val="20"/>
              </w:rPr>
              <w:t>矩形</w:t>
            </w:r>
            <w:r>
              <w:rPr>
                <w:sz w:val="21"/>
                <w:szCs w:val="20"/>
              </w:rPr>
              <w:t>范围</w:t>
            </w:r>
            <w:r>
              <w:rPr>
                <w:rFonts w:hint="eastAsia"/>
                <w:sz w:val="21"/>
                <w:szCs w:val="20"/>
              </w:rPr>
              <w:t>。</w:t>
            </w:r>
          </w:p>
        </w:tc>
      </w:tr>
      <w:tr w14:paraId="0711FC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tcMar>
              <w:left w:w="0" w:type="dxa"/>
              <w:right w:w="0" w:type="dxa"/>
            </w:tcMar>
            <w:vAlign w:val="center"/>
          </w:tcPr>
          <w:p w14:paraId="3912B5FC">
            <w:pPr>
              <w:numPr>
                <w:ilvl w:val="0"/>
                <w:numId w:val="12"/>
              </w:numPr>
              <w:overflowPunct w:val="0"/>
              <w:adjustRightInd w:val="0"/>
              <w:snapToGrid w:val="0"/>
              <w:spacing w:line="240" w:lineRule="auto"/>
              <w:ind w:firstLineChars="0"/>
              <w:jc w:val="center"/>
              <w:rPr>
                <w:sz w:val="21"/>
                <w:szCs w:val="20"/>
              </w:rPr>
            </w:pPr>
          </w:p>
        </w:tc>
        <w:tc>
          <w:tcPr>
            <w:tcW w:w="891" w:type="pct"/>
            <w:gridSpan w:val="3"/>
            <w:tcMar>
              <w:left w:w="0" w:type="dxa"/>
              <w:right w:w="0" w:type="dxa"/>
            </w:tcMar>
            <w:vAlign w:val="center"/>
          </w:tcPr>
          <w:p w14:paraId="4310B418">
            <w:pPr>
              <w:adjustRightInd w:val="0"/>
              <w:snapToGrid w:val="0"/>
              <w:spacing w:line="240" w:lineRule="auto"/>
              <w:ind w:firstLine="0" w:firstLineChars="0"/>
              <w:jc w:val="center"/>
              <w:rPr>
                <w:sz w:val="21"/>
                <w:szCs w:val="20"/>
              </w:rPr>
            </w:pPr>
            <w:r>
              <w:rPr>
                <w:sz w:val="21"/>
                <w:szCs w:val="20"/>
              </w:rPr>
              <w:t>声环境</w:t>
            </w:r>
          </w:p>
        </w:tc>
        <w:tc>
          <w:tcPr>
            <w:tcW w:w="632" w:type="pct"/>
            <w:tcMar>
              <w:left w:w="0" w:type="dxa"/>
              <w:right w:w="0" w:type="dxa"/>
            </w:tcMar>
            <w:vAlign w:val="center"/>
          </w:tcPr>
          <w:p w14:paraId="5A2AB7BC">
            <w:pPr>
              <w:adjustRightInd w:val="0"/>
              <w:snapToGrid w:val="0"/>
              <w:spacing w:line="240" w:lineRule="auto"/>
              <w:ind w:firstLine="0" w:firstLineChars="0"/>
              <w:jc w:val="center"/>
              <w:rPr>
                <w:sz w:val="21"/>
                <w:szCs w:val="20"/>
              </w:rPr>
            </w:pPr>
            <w:r>
              <w:rPr>
                <w:sz w:val="21"/>
                <w:szCs w:val="20"/>
              </w:rPr>
              <w:t>三级</w:t>
            </w:r>
          </w:p>
        </w:tc>
        <w:tc>
          <w:tcPr>
            <w:tcW w:w="3039" w:type="pct"/>
            <w:tcMar>
              <w:left w:w="0" w:type="dxa"/>
              <w:right w:w="0" w:type="dxa"/>
            </w:tcMar>
            <w:vAlign w:val="center"/>
          </w:tcPr>
          <w:p w14:paraId="6C8E5559">
            <w:pPr>
              <w:adjustRightInd w:val="0"/>
              <w:snapToGrid w:val="0"/>
              <w:spacing w:line="240" w:lineRule="auto"/>
              <w:ind w:firstLine="0" w:firstLineChars="0"/>
              <w:jc w:val="center"/>
              <w:rPr>
                <w:sz w:val="21"/>
                <w:szCs w:val="20"/>
              </w:rPr>
            </w:pPr>
            <w:r>
              <w:rPr>
                <w:sz w:val="21"/>
                <w:szCs w:val="20"/>
              </w:rPr>
              <w:t>建设项目厂界外10m范围</w:t>
            </w:r>
          </w:p>
        </w:tc>
      </w:tr>
      <w:tr w14:paraId="4099BE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tcMar>
              <w:left w:w="0" w:type="dxa"/>
              <w:right w:w="0" w:type="dxa"/>
            </w:tcMar>
            <w:vAlign w:val="center"/>
          </w:tcPr>
          <w:p w14:paraId="57A147B5">
            <w:pPr>
              <w:numPr>
                <w:ilvl w:val="0"/>
                <w:numId w:val="12"/>
              </w:numPr>
              <w:overflowPunct w:val="0"/>
              <w:adjustRightInd w:val="0"/>
              <w:snapToGrid w:val="0"/>
              <w:spacing w:line="240" w:lineRule="auto"/>
              <w:ind w:firstLineChars="0"/>
              <w:jc w:val="center"/>
              <w:rPr>
                <w:sz w:val="21"/>
                <w:szCs w:val="20"/>
              </w:rPr>
            </w:pPr>
          </w:p>
        </w:tc>
        <w:tc>
          <w:tcPr>
            <w:tcW w:w="891" w:type="pct"/>
            <w:gridSpan w:val="3"/>
            <w:tcMar>
              <w:left w:w="0" w:type="dxa"/>
              <w:right w:w="0" w:type="dxa"/>
            </w:tcMar>
            <w:vAlign w:val="center"/>
          </w:tcPr>
          <w:p w14:paraId="3721E39B">
            <w:pPr>
              <w:adjustRightInd w:val="0"/>
              <w:snapToGrid w:val="0"/>
              <w:spacing w:line="240" w:lineRule="auto"/>
              <w:ind w:firstLine="0" w:firstLineChars="0"/>
              <w:jc w:val="center"/>
              <w:rPr>
                <w:sz w:val="21"/>
                <w:szCs w:val="20"/>
              </w:rPr>
            </w:pPr>
            <w:r>
              <w:rPr>
                <w:sz w:val="21"/>
                <w:szCs w:val="20"/>
              </w:rPr>
              <w:t>生态环境</w:t>
            </w:r>
          </w:p>
        </w:tc>
        <w:tc>
          <w:tcPr>
            <w:tcW w:w="632" w:type="pct"/>
            <w:tcMar>
              <w:left w:w="0" w:type="dxa"/>
              <w:right w:w="0" w:type="dxa"/>
            </w:tcMar>
            <w:vAlign w:val="center"/>
          </w:tcPr>
          <w:p w14:paraId="036A0B7E">
            <w:pPr>
              <w:adjustRightInd w:val="0"/>
              <w:snapToGrid w:val="0"/>
              <w:spacing w:line="240" w:lineRule="auto"/>
              <w:ind w:firstLine="0" w:firstLineChars="0"/>
              <w:jc w:val="center"/>
              <w:rPr>
                <w:sz w:val="21"/>
                <w:szCs w:val="20"/>
              </w:rPr>
            </w:pPr>
            <w:r>
              <w:rPr>
                <w:sz w:val="21"/>
                <w:szCs w:val="20"/>
              </w:rPr>
              <w:t>三级</w:t>
            </w:r>
          </w:p>
        </w:tc>
        <w:tc>
          <w:tcPr>
            <w:tcW w:w="3039" w:type="pct"/>
            <w:tcMar>
              <w:left w:w="0" w:type="dxa"/>
              <w:right w:w="0" w:type="dxa"/>
            </w:tcMar>
            <w:vAlign w:val="center"/>
          </w:tcPr>
          <w:p w14:paraId="388AB885">
            <w:pPr>
              <w:adjustRightInd w:val="0"/>
              <w:snapToGrid w:val="0"/>
              <w:spacing w:line="240" w:lineRule="auto"/>
              <w:ind w:firstLine="0" w:firstLineChars="0"/>
              <w:jc w:val="center"/>
              <w:rPr>
                <w:sz w:val="21"/>
                <w:szCs w:val="20"/>
              </w:rPr>
            </w:pPr>
            <w:r>
              <w:rPr>
                <w:sz w:val="21"/>
                <w:szCs w:val="20"/>
              </w:rPr>
              <w:t>评价范围为厂址区域</w:t>
            </w:r>
            <w:r>
              <w:rPr>
                <w:rFonts w:hint="eastAsia"/>
                <w:sz w:val="21"/>
                <w:szCs w:val="20"/>
              </w:rPr>
              <w:t>及周边5</w:t>
            </w:r>
            <w:r>
              <w:rPr>
                <w:sz w:val="21"/>
                <w:szCs w:val="20"/>
              </w:rPr>
              <w:t>0</w:t>
            </w:r>
            <w:r>
              <w:rPr>
                <w:rFonts w:hint="eastAsia"/>
                <w:sz w:val="21"/>
                <w:szCs w:val="20"/>
              </w:rPr>
              <w:t>m</w:t>
            </w:r>
          </w:p>
        </w:tc>
      </w:tr>
      <w:tr w14:paraId="4F9513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tcMar>
              <w:left w:w="0" w:type="dxa"/>
              <w:right w:w="0" w:type="dxa"/>
            </w:tcMar>
            <w:vAlign w:val="center"/>
          </w:tcPr>
          <w:p w14:paraId="60940B04">
            <w:pPr>
              <w:numPr>
                <w:ilvl w:val="0"/>
                <w:numId w:val="12"/>
              </w:numPr>
              <w:overflowPunct w:val="0"/>
              <w:adjustRightInd w:val="0"/>
              <w:snapToGrid w:val="0"/>
              <w:spacing w:line="240" w:lineRule="auto"/>
              <w:ind w:firstLineChars="0"/>
              <w:jc w:val="center"/>
              <w:rPr>
                <w:sz w:val="21"/>
                <w:szCs w:val="20"/>
              </w:rPr>
            </w:pPr>
          </w:p>
        </w:tc>
        <w:tc>
          <w:tcPr>
            <w:tcW w:w="891" w:type="pct"/>
            <w:gridSpan w:val="3"/>
            <w:tcMar>
              <w:left w:w="0" w:type="dxa"/>
              <w:right w:w="0" w:type="dxa"/>
            </w:tcMar>
            <w:vAlign w:val="center"/>
          </w:tcPr>
          <w:p w14:paraId="6BE8AA20">
            <w:pPr>
              <w:adjustRightInd w:val="0"/>
              <w:snapToGrid w:val="0"/>
              <w:spacing w:line="240" w:lineRule="auto"/>
              <w:ind w:firstLine="0" w:firstLineChars="0"/>
              <w:jc w:val="center"/>
              <w:rPr>
                <w:sz w:val="21"/>
                <w:szCs w:val="20"/>
              </w:rPr>
            </w:pPr>
            <w:r>
              <w:rPr>
                <w:rFonts w:hint="eastAsia"/>
                <w:sz w:val="21"/>
                <w:szCs w:val="20"/>
              </w:rPr>
              <w:t>土壤环境</w:t>
            </w:r>
          </w:p>
        </w:tc>
        <w:tc>
          <w:tcPr>
            <w:tcW w:w="632" w:type="pct"/>
            <w:tcMar>
              <w:left w:w="0" w:type="dxa"/>
              <w:right w:w="0" w:type="dxa"/>
            </w:tcMar>
            <w:vAlign w:val="center"/>
          </w:tcPr>
          <w:p w14:paraId="670AEB0E">
            <w:pPr>
              <w:adjustRightInd w:val="0"/>
              <w:snapToGrid w:val="0"/>
              <w:spacing w:line="240" w:lineRule="auto"/>
              <w:ind w:firstLine="0" w:firstLineChars="0"/>
              <w:jc w:val="center"/>
              <w:rPr>
                <w:sz w:val="21"/>
                <w:szCs w:val="20"/>
              </w:rPr>
            </w:pPr>
            <w:r>
              <w:rPr>
                <w:rFonts w:hint="eastAsia"/>
                <w:sz w:val="21"/>
                <w:szCs w:val="20"/>
              </w:rPr>
              <w:t>二级</w:t>
            </w:r>
          </w:p>
        </w:tc>
        <w:tc>
          <w:tcPr>
            <w:tcW w:w="3039" w:type="pct"/>
            <w:tcMar>
              <w:left w:w="0" w:type="dxa"/>
              <w:right w:w="0" w:type="dxa"/>
            </w:tcMar>
            <w:vAlign w:val="center"/>
          </w:tcPr>
          <w:p w14:paraId="15245EB5">
            <w:pPr>
              <w:adjustRightInd w:val="0"/>
              <w:snapToGrid w:val="0"/>
              <w:spacing w:line="240" w:lineRule="auto"/>
              <w:ind w:firstLine="0" w:firstLineChars="0"/>
              <w:jc w:val="center"/>
              <w:rPr>
                <w:sz w:val="21"/>
                <w:szCs w:val="20"/>
              </w:rPr>
            </w:pPr>
            <w:r>
              <w:rPr>
                <w:rFonts w:hint="eastAsia"/>
                <w:sz w:val="21"/>
                <w:szCs w:val="20"/>
              </w:rPr>
              <w:t>厂址及厂界外扩0</w:t>
            </w:r>
            <w:r>
              <w:rPr>
                <w:sz w:val="21"/>
                <w:szCs w:val="20"/>
              </w:rPr>
              <w:t>.2</w:t>
            </w:r>
            <w:r>
              <w:rPr>
                <w:rFonts w:hint="eastAsia"/>
                <w:sz w:val="21"/>
                <w:szCs w:val="20"/>
              </w:rPr>
              <w:t>km范围</w:t>
            </w:r>
          </w:p>
        </w:tc>
      </w:tr>
      <w:tr w14:paraId="43F222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vMerge w:val="restart"/>
            <w:tcMar>
              <w:left w:w="0" w:type="dxa"/>
              <w:right w:w="0" w:type="dxa"/>
            </w:tcMar>
            <w:vAlign w:val="center"/>
          </w:tcPr>
          <w:p w14:paraId="09B63E0C">
            <w:pPr>
              <w:numPr>
                <w:ilvl w:val="0"/>
                <w:numId w:val="12"/>
              </w:numPr>
              <w:overflowPunct w:val="0"/>
              <w:adjustRightInd w:val="0"/>
              <w:snapToGrid w:val="0"/>
              <w:spacing w:line="240" w:lineRule="auto"/>
              <w:ind w:firstLineChars="0"/>
              <w:jc w:val="center"/>
              <w:rPr>
                <w:sz w:val="21"/>
                <w:szCs w:val="20"/>
              </w:rPr>
            </w:pPr>
          </w:p>
        </w:tc>
        <w:tc>
          <w:tcPr>
            <w:tcW w:w="416" w:type="pct"/>
            <w:gridSpan w:val="2"/>
            <w:vMerge w:val="restart"/>
            <w:tcMar>
              <w:left w:w="0" w:type="dxa"/>
              <w:right w:w="0" w:type="dxa"/>
            </w:tcMar>
            <w:vAlign w:val="center"/>
          </w:tcPr>
          <w:p w14:paraId="41CBFA4A">
            <w:pPr>
              <w:adjustRightInd w:val="0"/>
              <w:snapToGrid w:val="0"/>
              <w:spacing w:line="240" w:lineRule="auto"/>
              <w:ind w:firstLine="0" w:firstLineChars="0"/>
              <w:jc w:val="center"/>
              <w:rPr>
                <w:sz w:val="21"/>
                <w:szCs w:val="20"/>
              </w:rPr>
            </w:pPr>
            <w:r>
              <w:rPr>
                <w:sz w:val="21"/>
                <w:szCs w:val="20"/>
              </w:rPr>
              <w:t>环境风险</w:t>
            </w:r>
          </w:p>
        </w:tc>
        <w:tc>
          <w:tcPr>
            <w:tcW w:w="475" w:type="pct"/>
            <w:tcMar>
              <w:left w:w="0" w:type="dxa"/>
              <w:right w:w="0" w:type="dxa"/>
            </w:tcMar>
            <w:vAlign w:val="center"/>
          </w:tcPr>
          <w:p w14:paraId="3BFE8692">
            <w:pPr>
              <w:adjustRightInd w:val="0"/>
              <w:snapToGrid w:val="0"/>
              <w:spacing w:line="240" w:lineRule="auto"/>
              <w:ind w:firstLine="0" w:firstLineChars="0"/>
              <w:jc w:val="center"/>
              <w:rPr>
                <w:sz w:val="21"/>
                <w:szCs w:val="20"/>
              </w:rPr>
            </w:pPr>
            <w:r>
              <w:rPr>
                <w:rFonts w:hint="eastAsia"/>
                <w:sz w:val="21"/>
                <w:szCs w:val="20"/>
              </w:rPr>
              <w:t>大气</w:t>
            </w:r>
          </w:p>
        </w:tc>
        <w:tc>
          <w:tcPr>
            <w:tcW w:w="632" w:type="pct"/>
            <w:tcMar>
              <w:left w:w="0" w:type="dxa"/>
              <w:right w:w="0" w:type="dxa"/>
            </w:tcMar>
            <w:vAlign w:val="center"/>
          </w:tcPr>
          <w:p w14:paraId="4146AB17">
            <w:pPr>
              <w:adjustRightInd w:val="0"/>
              <w:snapToGrid w:val="0"/>
              <w:spacing w:line="240" w:lineRule="auto"/>
              <w:ind w:firstLine="0" w:firstLineChars="0"/>
              <w:jc w:val="center"/>
              <w:rPr>
                <w:sz w:val="21"/>
                <w:szCs w:val="20"/>
              </w:rPr>
            </w:pPr>
            <w:r>
              <w:rPr>
                <w:rFonts w:hint="eastAsia"/>
                <w:sz w:val="21"/>
                <w:szCs w:val="20"/>
              </w:rPr>
              <w:t>简单分析</w:t>
            </w:r>
          </w:p>
        </w:tc>
        <w:tc>
          <w:tcPr>
            <w:tcW w:w="3039" w:type="pct"/>
            <w:vMerge w:val="restart"/>
            <w:tcMar>
              <w:left w:w="0" w:type="dxa"/>
              <w:right w:w="0" w:type="dxa"/>
            </w:tcMar>
            <w:vAlign w:val="center"/>
          </w:tcPr>
          <w:p w14:paraId="5DA71417">
            <w:pPr>
              <w:adjustRightInd w:val="0"/>
              <w:snapToGrid w:val="0"/>
              <w:spacing w:line="240" w:lineRule="auto"/>
              <w:ind w:firstLine="0" w:firstLineChars="0"/>
              <w:jc w:val="center"/>
              <w:rPr>
                <w:sz w:val="21"/>
                <w:szCs w:val="20"/>
              </w:rPr>
            </w:pPr>
            <w:r>
              <w:rPr>
                <w:rFonts w:hint="eastAsia"/>
                <w:sz w:val="21"/>
                <w:szCs w:val="20"/>
              </w:rPr>
              <w:t>评价范围是距建设项目边界3km范围</w:t>
            </w:r>
          </w:p>
        </w:tc>
      </w:tr>
      <w:tr w14:paraId="61283E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vMerge w:val="continue"/>
            <w:tcMar>
              <w:left w:w="0" w:type="dxa"/>
              <w:right w:w="0" w:type="dxa"/>
            </w:tcMar>
            <w:vAlign w:val="center"/>
          </w:tcPr>
          <w:p w14:paraId="698963D3">
            <w:pPr>
              <w:numPr>
                <w:ilvl w:val="0"/>
                <w:numId w:val="12"/>
              </w:numPr>
              <w:overflowPunct w:val="0"/>
              <w:adjustRightInd w:val="0"/>
              <w:snapToGrid w:val="0"/>
              <w:spacing w:line="240" w:lineRule="auto"/>
              <w:ind w:firstLineChars="0"/>
              <w:jc w:val="center"/>
              <w:rPr>
                <w:sz w:val="21"/>
                <w:szCs w:val="20"/>
              </w:rPr>
            </w:pPr>
          </w:p>
        </w:tc>
        <w:tc>
          <w:tcPr>
            <w:tcW w:w="416" w:type="pct"/>
            <w:gridSpan w:val="2"/>
            <w:vMerge w:val="continue"/>
            <w:tcMar>
              <w:left w:w="0" w:type="dxa"/>
              <w:right w:w="0" w:type="dxa"/>
            </w:tcMar>
            <w:vAlign w:val="center"/>
          </w:tcPr>
          <w:p w14:paraId="0C190F34">
            <w:pPr>
              <w:adjustRightInd w:val="0"/>
              <w:snapToGrid w:val="0"/>
              <w:spacing w:line="240" w:lineRule="auto"/>
              <w:ind w:firstLine="0" w:firstLineChars="0"/>
              <w:jc w:val="center"/>
              <w:rPr>
                <w:sz w:val="21"/>
                <w:szCs w:val="20"/>
              </w:rPr>
            </w:pPr>
          </w:p>
        </w:tc>
        <w:tc>
          <w:tcPr>
            <w:tcW w:w="475" w:type="pct"/>
            <w:tcMar>
              <w:left w:w="0" w:type="dxa"/>
              <w:right w:w="0" w:type="dxa"/>
            </w:tcMar>
            <w:vAlign w:val="center"/>
          </w:tcPr>
          <w:p w14:paraId="695DABFE">
            <w:pPr>
              <w:adjustRightInd w:val="0"/>
              <w:snapToGrid w:val="0"/>
              <w:spacing w:line="240" w:lineRule="auto"/>
              <w:ind w:firstLine="0" w:firstLineChars="0"/>
              <w:jc w:val="center"/>
              <w:rPr>
                <w:sz w:val="21"/>
                <w:szCs w:val="20"/>
              </w:rPr>
            </w:pPr>
            <w:r>
              <w:rPr>
                <w:rFonts w:hint="eastAsia"/>
                <w:sz w:val="21"/>
                <w:szCs w:val="20"/>
              </w:rPr>
              <w:t>地表水</w:t>
            </w:r>
          </w:p>
        </w:tc>
        <w:tc>
          <w:tcPr>
            <w:tcW w:w="632" w:type="pct"/>
            <w:tcMar>
              <w:left w:w="0" w:type="dxa"/>
              <w:right w:w="0" w:type="dxa"/>
            </w:tcMar>
            <w:vAlign w:val="center"/>
          </w:tcPr>
          <w:p w14:paraId="35CC4985">
            <w:pPr>
              <w:adjustRightInd w:val="0"/>
              <w:snapToGrid w:val="0"/>
              <w:spacing w:line="240" w:lineRule="auto"/>
              <w:ind w:firstLine="0" w:firstLineChars="0"/>
              <w:jc w:val="center"/>
              <w:rPr>
                <w:sz w:val="21"/>
                <w:szCs w:val="20"/>
              </w:rPr>
            </w:pPr>
            <w:r>
              <w:rPr>
                <w:rFonts w:hint="eastAsia"/>
                <w:sz w:val="21"/>
                <w:szCs w:val="20"/>
              </w:rPr>
              <w:t>简单分析</w:t>
            </w:r>
          </w:p>
        </w:tc>
        <w:tc>
          <w:tcPr>
            <w:tcW w:w="3038" w:type="pct"/>
            <w:vMerge w:val="continue"/>
            <w:tcMar>
              <w:left w:w="0" w:type="dxa"/>
              <w:right w:w="0" w:type="dxa"/>
            </w:tcMar>
            <w:vAlign w:val="center"/>
          </w:tcPr>
          <w:p w14:paraId="029A81BE">
            <w:pPr>
              <w:adjustRightInd w:val="0"/>
              <w:snapToGrid w:val="0"/>
              <w:spacing w:line="240" w:lineRule="auto"/>
              <w:ind w:firstLine="0" w:firstLineChars="0"/>
              <w:jc w:val="center"/>
              <w:rPr>
                <w:sz w:val="21"/>
                <w:szCs w:val="20"/>
              </w:rPr>
            </w:pPr>
          </w:p>
        </w:tc>
      </w:tr>
      <w:tr w14:paraId="1AE9DC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9" w:type="pct"/>
            <w:vMerge w:val="continue"/>
            <w:tcMar>
              <w:left w:w="0" w:type="dxa"/>
              <w:right w:w="0" w:type="dxa"/>
            </w:tcMar>
            <w:vAlign w:val="center"/>
          </w:tcPr>
          <w:p w14:paraId="334D7BBE">
            <w:pPr>
              <w:numPr>
                <w:ilvl w:val="0"/>
                <w:numId w:val="12"/>
              </w:numPr>
              <w:overflowPunct w:val="0"/>
              <w:adjustRightInd w:val="0"/>
              <w:snapToGrid w:val="0"/>
              <w:spacing w:line="240" w:lineRule="auto"/>
              <w:ind w:firstLineChars="0"/>
              <w:jc w:val="center"/>
              <w:rPr>
                <w:sz w:val="21"/>
                <w:szCs w:val="20"/>
              </w:rPr>
            </w:pPr>
          </w:p>
        </w:tc>
        <w:tc>
          <w:tcPr>
            <w:tcW w:w="416" w:type="pct"/>
            <w:gridSpan w:val="2"/>
            <w:vMerge w:val="continue"/>
            <w:tcMar>
              <w:left w:w="0" w:type="dxa"/>
              <w:right w:w="0" w:type="dxa"/>
            </w:tcMar>
            <w:vAlign w:val="center"/>
          </w:tcPr>
          <w:p w14:paraId="7998E5F6">
            <w:pPr>
              <w:adjustRightInd w:val="0"/>
              <w:snapToGrid w:val="0"/>
              <w:spacing w:line="240" w:lineRule="auto"/>
              <w:ind w:firstLine="0" w:firstLineChars="0"/>
              <w:jc w:val="center"/>
              <w:rPr>
                <w:sz w:val="21"/>
                <w:szCs w:val="20"/>
              </w:rPr>
            </w:pPr>
          </w:p>
        </w:tc>
        <w:tc>
          <w:tcPr>
            <w:tcW w:w="475" w:type="pct"/>
            <w:tcMar>
              <w:left w:w="0" w:type="dxa"/>
              <w:right w:w="0" w:type="dxa"/>
            </w:tcMar>
            <w:vAlign w:val="center"/>
          </w:tcPr>
          <w:p w14:paraId="75080C25">
            <w:pPr>
              <w:adjustRightInd w:val="0"/>
              <w:snapToGrid w:val="0"/>
              <w:spacing w:line="240" w:lineRule="auto"/>
              <w:ind w:firstLine="0" w:firstLineChars="0"/>
              <w:jc w:val="center"/>
              <w:rPr>
                <w:sz w:val="21"/>
                <w:szCs w:val="20"/>
              </w:rPr>
            </w:pPr>
            <w:r>
              <w:rPr>
                <w:rFonts w:hint="eastAsia"/>
                <w:sz w:val="21"/>
                <w:szCs w:val="20"/>
              </w:rPr>
              <w:t>地下水</w:t>
            </w:r>
          </w:p>
        </w:tc>
        <w:tc>
          <w:tcPr>
            <w:tcW w:w="632" w:type="pct"/>
            <w:tcMar>
              <w:left w:w="0" w:type="dxa"/>
              <w:right w:w="0" w:type="dxa"/>
            </w:tcMar>
            <w:vAlign w:val="center"/>
          </w:tcPr>
          <w:p w14:paraId="6C8DE02A">
            <w:pPr>
              <w:adjustRightInd w:val="0"/>
              <w:snapToGrid w:val="0"/>
              <w:spacing w:line="240" w:lineRule="auto"/>
              <w:ind w:firstLine="0" w:firstLineChars="0"/>
              <w:jc w:val="center"/>
              <w:rPr>
                <w:sz w:val="21"/>
                <w:szCs w:val="20"/>
              </w:rPr>
            </w:pPr>
            <w:r>
              <w:rPr>
                <w:rFonts w:hint="eastAsia"/>
                <w:sz w:val="21"/>
                <w:szCs w:val="20"/>
              </w:rPr>
              <w:t>三级</w:t>
            </w:r>
          </w:p>
        </w:tc>
        <w:tc>
          <w:tcPr>
            <w:tcW w:w="3038" w:type="pct"/>
            <w:vMerge w:val="continue"/>
            <w:tcMar>
              <w:left w:w="0" w:type="dxa"/>
              <w:right w:w="0" w:type="dxa"/>
            </w:tcMar>
            <w:vAlign w:val="center"/>
          </w:tcPr>
          <w:p w14:paraId="317EE3B2">
            <w:pPr>
              <w:adjustRightInd w:val="0"/>
              <w:snapToGrid w:val="0"/>
              <w:spacing w:line="240" w:lineRule="auto"/>
              <w:ind w:firstLine="0" w:firstLineChars="0"/>
              <w:jc w:val="center"/>
              <w:rPr>
                <w:sz w:val="21"/>
                <w:szCs w:val="20"/>
              </w:rPr>
            </w:pPr>
          </w:p>
        </w:tc>
      </w:tr>
    </w:tbl>
    <w:p w14:paraId="13B14157">
      <w:pPr>
        <w:pStyle w:val="41"/>
      </w:pPr>
      <w:bookmarkStart w:id="125" w:name="_Toc152864157"/>
      <w:r>
        <w:rPr>
          <w:rFonts w:hint="eastAsia"/>
        </w:rPr>
        <w:t>环境保护目标</w:t>
      </w:r>
      <w:bookmarkEnd w:id="125"/>
    </w:p>
    <w:p w14:paraId="540D811C">
      <w:pPr>
        <w:ind w:firstLine="480"/>
      </w:pPr>
      <w:r>
        <w:rPr>
          <w:rFonts w:hint="eastAsia"/>
        </w:rPr>
        <w:t>本项目位于胡杨河经济技术开发区南园区规划用地范围内，周围无风景名胜区、自然保护区、国家森林公园、学校、医院等环境风险敏感点，也没有饮用水水源地等地下水环境敏感点。本项目涉及的环境保护目标见下表。</w:t>
      </w:r>
    </w:p>
    <w:p w14:paraId="2D13503F">
      <w:pPr>
        <w:pStyle w:val="47"/>
        <w:spacing w:before="65"/>
      </w:pPr>
      <w:r>
        <w:rPr>
          <w:rFonts w:hint="eastAsia"/>
        </w:rPr>
        <w:t>表2.</w:t>
      </w:r>
      <w:r>
        <w:t xml:space="preserve">8-1   </w:t>
      </w:r>
      <w:r>
        <w:rPr>
          <w:rFonts w:hint="eastAsia"/>
        </w:rPr>
        <w:t>本项目评价范围内环境保护目标一览表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713"/>
        <w:gridCol w:w="1675"/>
        <w:gridCol w:w="1055"/>
        <w:gridCol w:w="676"/>
        <w:gridCol w:w="1135"/>
        <w:gridCol w:w="1152"/>
      </w:tblGrid>
      <w:tr w14:paraId="3F71E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shd w:val="clear" w:color="auto" w:fill="auto"/>
            <w:tcMar>
              <w:left w:w="0" w:type="dxa"/>
              <w:right w:w="0" w:type="dxa"/>
            </w:tcMar>
            <w:vAlign w:val="center"/>
          </w:tcPr>
          <w:p w14:paraId="7231B440">
            <w:pPr>
              <w:pStyle w:val="90"/>
            </w:pPr>
            <w:r>
              <w:t>环境要素</w:t>
            </w:r>
          </w:p>
        </w:tc>
        <w:tc>
          <w:tcPr>
            <w:tcW w:w="981" w:type="pct"/>
            <w:shd w:val="clear" w:color="auto" w:fill="auto"/>
            <w:tcMar>
              <w:left w:w="0" w:type="dxa"/>
              <w:right w:w="0" w:type="dxa"/>
            </w:tcMar>
            <w:vAlign w:val="center"/>
          </w:tcPr>
          <w:p w14:paraId="1B09D1B6">
            <w:pPr>
              <w:pStyle w:val="90"/>
            </w:pPr>
            <w:r>
              <w:t>环境保护目标及名称</w:t>
            </w:r>
          </w:p>
        </w:tc>
        <w:tc>
          <w:tcPr>
            <w:tcW w:w="959" w:type="pct"/>
            <w:shd w:val="clear" w:color="auto" w:fill="auto"/>
            <w:tcMar>
              <w:left w:w="0" w:type="dxa"/>
              <w:right w:w="0" w:type="dxa"/>
            </w:tcMar>
            <w:vAlign w:val="center"/>
          </w:tcPr>
          <w:p w14:paraId="64C22863">
            <w:pPr>
              <w:pStyle w:val="90"/>
            </w:pPr>
            <w:r>
              <w:t>地理坐标</w:t>
            </w:r>
          </w:p>
        </w:tc>
        <w:tc>
          <w:tcPr>
            <w:tcW w:w="604" w:type="pct"/>
            <w:shd w:val="clear" w:color="auto" w:fill="auto"/>
            <w:tcMar>
              <w:left w:w="0" w:type="dxa"/>
              <w:right w:w="0" w:type="dxa"/>
            </w:tcMar>
            <w:vAlign w:val="center"/>
          </w:tcPr>
          <w:p w14:paraId="77312CC8">
            <w:pPr>
              <w:pStyle w:val="90"/>
            </w:pPr>
            <w:r>
              <w:t>相对厂址位置</w:t>
            </w:r>
          </w:p>
        </w:tc>
        <w:tc>
          <w:tcPr>
            <w:tcW w:w="387" w:type="pct"/>
            <w:shd w:val="clear" w:color="auto" w:fill="auto"/>
            <w:tcMar>
              <w:left w:w="0" w:type="dxa"/>
              <w:right w:w="0" w:type="dxa"/>
            </w:tcMar>
            <w:vAlign w:val="center"/>
          </w:tcPr>
          <w:p w14:paraId="6F392DD4">
            <w:pPr>
              <w:pStyle w:val="90"/>
            </w:pPr>
            <w:r>
              <w:t>距离</w:t>
            </w:r>
          </w:p>
        </w:tc>
        <w:tc>
          <w:tcPr>
            <w:tcW w:w="648" w:type="pct"/>
            <w:shd w:val="clear" w:color="auto" w:fill="auto"/>
            <w:tcMar>
              <w:left w:w="0" w:type="dxa"/>
              <w:right w:w="0" w:type="dxa"/>
            </w:tcMar>
            <w:vAlign w:val="center"/>
          </w:tcPr>
          <w:p w14:paraId="167DE264">
            <w:pPr>
              <w:pStyle w:val="90"/>
            </w:pPr>
            <w:r>
              <w:t>影响人数</w:t>
            </w:r>
          </w:p>
        </w:tc>
        <w:tc>
          <w:tcPr>
            <w:tcW w:w="659" w:type="pct"/>
            <w:shd w:val="clear" w:color="auto" w:fill="auto"/>
            <w:tcMar>
              <w:left w:w="0" w:type="dxa"/>
              <w:right w:w="0" w:type="dxa"/>
            </w:tcMar>
            <w:vAlign w:val="center"/>
          </w:tcPr>
          <w:p w14:paraId="3163BB29">
            <w:pPr>
              <w:pStyle w:val="90"/>
            </w:pPr>
            <w:r>
              <w:t>环境功能区</w:t>
            </w:r>
          </w:p>
        </w:tc>
      </w:tr>
      <w:tr w14:paraId="23330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shd w:val="clear" w:color="auto" w:fill="auto"/>
            <w:tcMar>
              <w:left w:w="0" w:type="dxa"/>
              <w:right w:w="0" w:type="dxa"/>
            </w:tcMar>
            <w:vAlign w:val="center"/>
          </w:tcPr>
          <w:p w14:paraId="676D062F">
            <w:pPr>
              <w:pStyle w:val="90"/>
            </w:pPr>
            <w:r>
              <w:t>环境空气</w:t>
            </w:r>
          </w:p>
        </w:tc>
        <w:tc>
          <w:tcPr>
            <w:tcW w:w="981" w:type="pct"/>
            <w:shd w:val="clear" w:color="auto" w:fill="auto"/>
            <w:tcMar>
              <w:left w:w="0" w:type="dxa"/>
              <w:right w:w="0" w:type="dxa"/>
            </w:tcMar>
            <w:vAlign w:val="center"/>
          </w:tcPr>
          <w:p w14:paraId="2417A053">
            <w:pPr>
              <w:pStyle w:val="90"/>
            </w:pPr>
            <w:r>
              <w:t>130团22连</w:t>
            </w:r>
          </w:p>
        </w:tc>
        <w:tc>
          <w:tcPr>
            <w:tcW w:w="959" w:type="pct"/>
            <w:shd w:val="clear" w:color="auto" w:fill="auto"/>
            <w:tcMar>
              <w:left w:w="0" w:type="dxa"/>
              <w:right w:w="0" w:type="dxa"/>
            </w:tcMar>
            <w:vAlign w:val="center"/>
          </w:tcPr>
          <w:p w14:paraId="457F7D17">
            <w:pPr>
              <w:pStyle w:val="90"/>
            </w:pPr>
            <w:r>
              <w:t>84°50′31.84″E</w:t>
            </w:r>
          </w:p>
          <w:p w14:paraId="5FE0AC7A">
            <w:pPr>
              <w:pStyle w:val="90"/>
            </w:pPr>
            <w:r>
              <w:t>44°48′30.51″N</w:t>
            </w:r>
          </w:p>
        </w:tc>
        <w:tc>
          <w:tcPr>
            <w:tcW w:w="604" w:type="pct"/>
            <w:shd w:val="clear" w:color="auto" w:fill="auto"/>
            <w:tcMar>
              <w:left w:w="0" w:type="dxa"/>
              <w:right w:w="0" w:type="dxa"/>
            </w:tcMar>
            <w:vAlign w:val="center"/>
          </w:tcPr>
          <w:p w14:paraId="2538BEB2">
            <w:pPr>
              <w:pStyle w:val="90"/>
            </w:pPr>
            <w:r>
              <w:t>西南偏西</w:t>
            </w:r>
          </w:p>
        </w:tc>
        <w:tc>
          <w:tcPr>
            <w:tcW w:w="387" w:type="pct"/>
            <w:shd w:val="clear" w:color="auto" w:fill="auto"/>
            <w:tcMar>
              <w:left w:w="0" w:type="dxa"/>
              <w:right w:w="0" w:type="dxa"/>
            </w:tcMar>
            <w:vAlign w:val="center"/>
          </w:tcPr>
          <w:p w14:paraId="2EECC53A">
            <w:pPr>
              <w:pStyle w:val="90"/>
            </w:pPr>
            <w:r>
              <w:t>1.8km</w:t>
            </w:r>
          </w:p>
        </w:tc>
        <w:tc>
          <w:tcPr>
            <w:tcW w:w="648" w:type="pct"/>
            <w:shd w:val="clear" w:color="auto" w:fill="auto"/>
            <w:tcMar>
              <w:left w:w="0" w:type="dxa"/>
              <w:right w:w="0" w:type="dxa"/>
            </w:tcMar>
            <w:vAlign w:val="center"/>
          </w:tcPr>
          <w:p w14:paraId="085DB70A">
            <w:pPr>
              <w:pStyle w:val="90"/>
            </w:pPr>
            <w:r>
              <w:t>居民</w:t>
            </w:r>
          </w:p>
          <w:p w14:paraId="7B96163D">
            <w:pPr>
              <w:pStyle w:val="90"/>
            </w:pPr>
            <w:r>
              <w:t>（225人）</w:t>
            </w:r>
          </w:p>
        </w:tc>
        <w:tc>
          <w:tcPr>
            <w:tcW w:w="659" w:type="pct"/>
            <w:shd w:val="clear" w:color="auto" w:fill="auto"/>
            <w:tcMar>
              <w:left w:w="0" w:type="dxa"/>
              <w:right w:w="0" w:type="dxa"/>
            </w:tcMar>
            <w:vAlign w:val="center"/>
          </w:tcPr>
          <w:p w14:paraId="6239D188">
            <w:pPr>
              <w:pStyle w:val="90"/>
            </w:pPr>
            <w:r>
              <w:t>二类区</w:t>
            </w:r>
          </w:p>
        </w:tc>
      </w:tr>
      <w:tr w14:paraId="20138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shd w:val="clear" w:color="auto" w:fill="auto"/>
            <w:tcMar>
              <w:left w:w="0" w:type="dxa"/>
              <w:right w:w="0" w:type="dxa"/>
            </w:tcMar>
            <w:vAlign w:val="center"/>
          </w:tcPr>
          <w:p w14:paraId="13B9D495">
            <w:pPr>
              <w:pStyle w:val="90"/>
            </w:pPr>
            <w:r>
              <w:t>地下水环境</w:t>
            </w:r>
          </w:p>
        </w:tc>
        <w:tc>
          <w:tcPr>
            <w:tcW w:w="3581" w:type="pct"/>
            <w:gridSpan w:val="5"/>
            <w:shd w:val="clear" w:color="auto" w:fill="auto"/>
            <w:tcMar>
              <w:left w:w="0" w:type="dxa"/>
              <w:right w:w="0" w:type="dxa"/>
            </w:tcMar>
            <w:vAlign w:val="center"/>
          </w:tcPr>
          <w:p w14:paraId="2FB05537">
            <w:pPr>
              <w:pStyle w:val="90"/>
            </w:pPr>
            <w:r>
              <w:t>以厂址中心周围3km×4km的矩形范围。</w:t>
            </w:r>
          </w:p>
        </w:tc>
        <w:tc>
          <w:tcPr>
            <w:tcW w:w="659" w:type="pct"/>
            <w:shd w:val="clear" w:color="auto" w:fill="auto"/>
            <w:tcMar>
              <w:left w:w="0" w:type="dxa"/>
              <w:right w:w="0" w:type="dxa"/>
            </w:tcMar>
            <w:vAlign w:val="center"/>
          </w:tcPr>
          <w:p w14:paraId="7B01449C">
            <w:pPr>
              <w:pStyle w:val="90"/>
            </w:pPr>
            <w:r>
              <w:t>地下水</w:t>
            </w:r>
            <w:r>
              <w:rPr>
                <w:rFonts w:hint="eastAsia" w:ascii="微软雅黑" w:hAnsi="微软雅黑" w:eastAsia="微软雅黑" w:cs="微软雅黑"/>
              </w:rPr>
              <w:t>Ⅲ</w:t>
            </w:r>
          </w:p>
        </w:tc>
      </w:tr>
      <w:tr w14:paraId="44479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shd w:val="clear" w:color="auto" w:fill="auto"/>
            <w:tcMar>
              <w:left w:w="0" w:type="dxa"/>
              <w:right w:w="0" w:type="dxa"/>
            </w:tcMar>
            <w:vAlign w:val="center"/>
          </w:tcPr>
          <w:p w14:paraId="21EC2F42">
            <w:pPr>
              <w:pStyle w:val="90"/>
            </w:pPr>
            <w:r>
              <w:t>声环境</w:t>
            </w:r>
          </w:p>
        </w:tc>
        <w:tc>
          <w:tcPr>
            <w:tcW w:w="3581" w:type="pct"/>
            <w:gridSpan w:val="5"/>
            <w:shd w:val="clear" w:color="auto" w:fill="auto"/>
            <w:tcMar>
              <w:left w:w="0" w:type="dxa"/>
              <w:right w:w="0" w:type="dxa"/>
            </w:tcMar>
            <w:vAlign w:val="center"/>
          </w:tcPr>
          <w:p w14:paraId="04A88514">
            <w:pPr>
              <w:pStyle w:val="90"/>
            </w:pPr>
            <w:r>
              <w:t>厂界四周声环境质量达标</w:t>
            </w:r>
          </w:p>
        </w:tc>
        <w:tc>
          <w:tcPr>
            <w:tcW w:w="659" w:type="pct"/>
            <w:shd w:val="clear" w:color="auto" w:fill="auto"/>
            <w:tcMar>
              <w:left w:w="0" w:type="dxa"/>
              <w:right w:w="0" w:type="dxa"/>
            </w:tcMar>
            <w:vAlign w:val="center"/>
          </w:tcPr>
          <w:p w14:paraId="64B0C1C3">
            <w:pPr>
              <w:pStyle w:val="90"/>
            </w:pPr>
            <w:r>
              <w:t>3类区</w:t>
            </w:r>
          </w:p>
        </w:tc>
      </w:tr>
      <w:tr w14:paraId="01279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shd w:val="clear" w:color="auto" w:fill="auto"/>
            <w:tcMar>
              <w:left w:w="0" w:type="dxa"/>
              <w:right w:w="0" w:type="dxa"/>
            </w:tcMar>
            <w:vAlign w:val="center"/>
          </w:tcPr>
          <w:p w14:paraId="2CF103CC">
            <w:pPr>
              <w:pStyle w:val="90"/>
            </w:pPr>
            <w:r>
              <w:t>土壤环境</w:t>
            </w:r>
          </w:p>
        </w:tc>
        <w:tc>
          <w:tcPr>
            <w:tcW w:w="3581" w:type="pct"/>
            <w:gridSpan w:val="5"/>
            <w:shd w:val="clear" w:color="auto" w:fill="auto"/>
            <w:tcMar>
              <w:left w:w="0" w:type="dxa"/>
              <w:right w:w="0" w:type="dxa"/>
            </w:tcMar>
            <w:vAlign w:val="center"/>
          </w:tcPr>
          <w:p w14:paraId="30A60EE1">
            <w:pPr>
              <w:pStyle w:val="90"/>
            </w:pPr>
            <w:r>
              <w:t>厂址及厂界外扩0.2km范围</w:t>
            </w:r>
          </w:p>
        </w:tc>
        <w:tc>
          <w:tcPr>
            <w:tcW w:w="659" w:type="pct"/>
            <w:shd w:val="clear" w:color="auto" w:fill="auto"/>
            <w:tcMar>
              <w:left w:w="0" w:type="dxa"/>
              <w:right w:w="0" w:type="dxa"/>
            </w:tcMar>
            <w:vAlign w:val="center"/>
          </w:tcPr>
          <w:p w14:paraId="1EDBEE0A">
            <w:pPr>
              <w:pStyle w:val="90"/>
            </w:pPr>
            <w:r>
              <w:rPr>
                <w:rFonts w:hint="eastAsia"/>
              </w:rPr>
              <w:t>建设</w:t>
            </w:r>
            <w:r>
              <w:t>用地</w:t>
            </w:r>
          </w:p>
        </w:tc>
      </w:tr>
    </w:tbl>
    <w:p w14:paraId="0F7CB03B">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3A6F264C">
      <w:pPr>
        <w:adjustRightInd w:val="0"/>
        <w:snapToGrid w:val="0"/>
        <w:ind w:firstLine="0" w:firstLineChars="0"/>
        <w:jc w:val="both"/>
      </w:pPr>
    </w:p>
    <w:p w14:paraId="79971092">
      <w:pPr>
        <w:ind w:firstLine="480"/>
        <w:sectPr>
          <w:footerReference r:id="rId14" w:type="default"/>
          <w:pgSz w:w="16838" w:h="11906" w:orient="landscape"/>
          <w:pgMar w:top="1418" w:right="1134" w:bottom="1418" w:left="1134" w:header="709" w:footer="634" w:gutter="0"/>
          <w:pgBorders>
            <w:top w:val="none" w:sz="0" w:space="0"/>
            <w:left w:val="none" w:sz="0" w:space="0"/>
            <w:bottom w:val="none" w:sz="0" w:space="0"/>
            <w:right w:val="none" w:sz="0" w:space="0"/>
          </w:pgBorders>
          <w:pgNumType w:fmt="numberInDash"/>
          <w:cols w:space="425" w:num="1"/>
          <w:docGrid w:type="linesAndChars" w:linePitch="326" w:charSpace="0"/>
        </w:sectPr>
      </w:pPr>
    </w:p>
    <w:p w14:paraId="5151C662">
      <w:pPr>
        <w:pStyle w:val="40"/>
      </w:pPr>
      <w:bookmarkStart w:id="126" w:name="_Toc152864158"/>
      <w:r>
        <w:rPr>
          <w:rFonts w:hint="eastAsia"/>
        </w:rPr>
        <w:t>工程分析</w:t>
      </w:r>
      <w:bookmarkEnd w:id="126"/>
    </w:p>
    <w:p w14:paraId="229864E0">
      <w:pPr>
        <w:pStyle w:val="41"/>
      </w:pPr>
      <w:bookmarkStart w:id="127" w:name="_Toc152864159"/>
      <w:r>
        <w:rPr>
          <w:rFonts w:hint="eastAsia"/>
        </w:rPr>
        <w:t>项目概况</w:t>
      </w:r>
      <w:bookmarkEnd w:id="127"/>
    </w:p>
    <w:p w14:paraId="172C9757">
      <w:pPr>
        <w:pStyle w:val="43"/>
      </w:pPr>
      <w:bookmarkStart w:id="128" w:name="_Toc82518727"/>
      <w:bookmarkStart w:id="129" w:name="_Toc77007753"/>
      <w:bookmarkStart w:id="130" w:name="_Toc80193051"/>
      <w:bookmarkStart w:id="131" w:name="_Toc81214045"/>
      <w:bookmarkStart w:id="132" w:name="_Toc79515422"/>
      <w:bookmarkStart w:id="133" w:name="_Toc152864160"/>
      <w:bookmarkStart w:id="134" w:name="_Toc80973477"/>
      <w:r>
        <w:rPr>
          <w:rFonts w:hint="eastAsia"/>
        </w:rPr>
        <w:t>项目基本情况</w:t>
      </w:r>
      <w:bookmarkEnd w:id="128"/>
      <w:bookmarkEnd w:id="129"/>
      <w:bookmarkEnd w:id="130"/>
      <w:bookmarkEnd w:id="131"/>
      <w:bookmarkEnd w:id="132"/>
      <w:bookmarkEnd w:id="133"/>
      <w:bookmarkEnd w:id="134"/>
    </w:p>
    <w:p w14:paraId="33863CA2">
      <w:pPr>
        <w:ind w:firstLine="480"/>
      </w:pPr>
      <w:r>
        <w:rPr>
          <w:rFonts w:hint="eastAsia"/>
        </w:rPr>
        <w:t>项目名称：新疆翱巡能源科技有限公司8万吨/年润滑油、2万吨/年润滑脂生产项目</w:t>
      </w:r>
    </w:p>
    <w:p w14:paraId="3C38D021">
      <w:pPr>
        <w:ind w:firstLine="480"/>
      </w:pPr>
      <w:r>
        <w:rPr>
          <w:rFonts w:hint="eastAsia"/>
        </w:rPr>
        <w:t>建设单位：新疆翱巡能源科技有限公司</w:t>
      </w:r>
    </w:p>
    <w:p w14:paraId="2BE850D3">
      <w:pPr>
        <w:ind w:firstLine="480"/>
      </w:pPr>
      <w:r>
        <w:rPr>
          <w:rFonts w:hint="eastAsia"/>
        </w:rPr>
        <w:t>建设地点：本项目位于胡杨河经济技术开发区南园区内，项目区北面为克拉玛依玖虹水泥有限公司，东面为新疆盛发橡胶科技有限公司，南面为未利用空地，西面为南园区边界，中心地理坐标为：北纬</w:t>
      </w:r>
      <w:r>
        <w:t>44°48'48.63"</w:t>
      </w:r>
      <w:r>
        <w:rPr>
          <w:rFonts w:hint="eastAsia"/>
        </w:rPr>
        <w:t>，东经</w:t>
      </w:r>
      <w:r>
        <w:t>84°51'34.56"</w:t>
      </w:r>
      <w:r>
        <w:rPr>
          <w:rFonts w:hint="eastAsia"/>
        </w:rPr>
        <w:t>。</w:t>
      </w:r>
    </w:p>
    <w:p w14:paraId="3AB4B66E">
      <w:pPr>
        <w:ind w:firstLine="480"/>
      </w:pPr>
      <w:r>
        <w:rPr>
          <w:rFonts w:hint="eastAsia"/>
        </w:rPr>
        <w:t>建设性质：新建</w:t>
      </w:r>
    </w:p>
    <w:p w14:paraId="58136E58">
      <w:pPr>
        <w:ind w:firstLine="480"/>
      </w:pPr>
      <w:r>
        <w:rPr>
          <w:rFonts w:hint="eastAsia"/>
        </w:rPr>
        <w:t>建设规模：年产8万吨润滑油和2万吨润滑脂</w:t>
      </w:r>
    </w:p>
    <w:p w14:paraId="45BDC9F1">
      <w:pPr>
        <w:ind w:firstLine="480"/>
      </w:pPr>
      <w:r>
        <w:rPr>
          <w:rFonts w:hint="eastAsia"/>
        </w:rPr>
        <w:t>占地面积：</w:t>
      </w:r>
      <w:r>
        <w:t>66171.6</w:t>
      </w:r>
      <w:r>
        <w:rPr>
          <w:rFonts w:hint="eastAsia"/>
        </w:rPr>
        <w:t>m</w:t>
      </w:r>
      <w:r>
        <w:rPr>
          <w:rFonts w:hint="eastAsia"/>
          <w:vertAlign w:val="superscript"/>
        </w:rPr>
        <w:t>2</w:t>
      </w:r>
    </w:p>
    <w:p w14:paraId="7C8A4BB3">
      <w:pPr>
        <w:ind w:firstLine="480"/>
      </w:pPr>
      <w:r>
        <w:rPr>
          <w:rFonts w:hint="eastAsia"/>
        </w:rPr>
        <w:t>工作制度：年工作3</w:t>
      </w:r>
      <w:r>
        <w:t>00</w:t>
      </w:r>
      <w:r>
        <w:rPr>
          <w:rFonts w:hint="eastAsia"/>
        </w:rPr>
        <w:t>天（</w:t>
      </w:r>
      <w:r>
        <w:t>7200</w:t>
      </w:r>
      <w:r>
        <w:rPr>
          <w:rFonts w:hint="eastAsia"/>
        </w:rPr>
        <w:t>h），生产车间为三班二运转工作制连续生产；管理及维修为常白班制，实行每周五天工作制，每天工作8小时。</w:t>
      </w:r>
    </w:p>
    <w:p w14:paraId="3DDC6E51">
      <w:pPr>
        <w:ind w:firstLine="480"/>
      </w:pPr>
      <w:r>
        <w:rPr>
          <w:rFonts w:hint="eastAsia"/>
        </w:rPr>
        <w:t>劳动定员：</w:t>
      </w:r>
      <w:r>
        <w:t>100</w:t>
      </w:r>
      <w:r>
        <w:rPr>
          <w:rFonts w:hint="eastAsia"/>
        </w:rPr>
        <w:t>人。</w:t>
      </w:r>
    </w:p>
    <w:p w14:paraId="7AFC6217">
      <w:pPr>
        <w:ind w:firstLine="480"/>
      </w:pPr>
      <w:r>
        <w:rPr>
          <w:rFonts w:hint="eastAsia"/>
        </w:rPr>
        <w:t>投资总额：</w:t>
      </w:r>
      <w:r>
        <w:t>15000</w:t>
      </w:r>
      <w:r>
        <w:rPr>
          <w:rFonts w:hint="eastAsia"/>
        </w:rPr>
        <w:t>万元，其中环保投资为</w:t>
      </w:r>
      <w:r>
        <w:t>1365.5</w:t>
      </w:r>
      <w:r>
        <w:rPr>
          <w:rFonts w:hint="eastAsia"/>
        </w:rPr>
        <w:t>万元，占工程总投资的</w:t>
      </w:r>
      <w:r>
        <w:t>9.1</w:t>
      </w:r>
      <w:r>
        <w:rPr>
          <w:rFonts w:hint="eastAsia"/>
        </w:rPr>
        <w:t>%。</w:t>
      </w:r>
    </w:p>
    <w:p w14:paraId="67861457">
      <w:pPr>
        <w:pStyle w:val="43"/>
      </w:pPr>
      <w:bookmarkStart w:id="135" w:name="_Toc77007754"/>
      <w:bookmarkStart w:id="136" w:name="_Toc80973478"/>
      <w:bookmarkStart w:id="137" w:name="_Toc152864161"/>
      <w:bookmarkStart w:id="138" w:name="_Toc79515423"/>
      <w:bookmarkStart w:id="139" w:name="_Toc82518728"/>
      <w:bookmarkStart w:id="140" w:name="_Toc81214046"/>
      <w:bookmarkStart w:id="141" w:name="_Toc80193052"/>
      <w:r>
        <w:rPr>
          <w:rFonts w:hint="eastAsia"/>
        </w:rPr>
        <w:t>工程组成</w:t>
      </w:r>
      <w:bookmarkEnd w:id="135"/>
      <w:bookmarkEnd w:id="136"/>
      <w:bookmarkEnd w:id="137"/>
      <w:bookmarkEnd w:id="138"/>
      <w:bookmarkEnd w:id="139"/>
      <w:bookmarkEnd w:id="140"/>
      <w:bookmarkEnd w:id="141"/>
    </w:p>
    <w:p w14:paraId="774E84E8">
      <w:pPr>
        <w:ind w:firstLine="480"/>
        <w:rPr>
          <w:rFonts w:hint="eastAsia"/>
          <w:lang w:eastAsia="zh-CN"/>
        </w:rPr>
      </w:pPr>
      <w:r>
        <w:rPr>
          <w:rFonts w:hint="eastAsia"/>
        </w:rPr>
        <w:t>本项目分两期建设，一期建设办公楼、宿舍楼、食堂、公辅车间、消防水罐、循环水池、润滑油生产车间、1</w:t>
      </w:r>
      <w:r>
        <w:t>#</w:t>
      </w:r>
      <w:r>
        <w:rPr>
          <w:rFonts w:hint="eastAsia"/>
        </w:rPr>
        <w:t>储罐区、应急事故池、污水处理站、危废库房等，形成年产8万吨润滑油生产线1条；二期建设润滑脂车间、添加剂库房、综合仓库、成品堆场、2</w:t>
      </w:r>
      <w:r>
        <w:t>#</w:t>
      </w:r>
      <w:r>
        <w:rPr>
          <w:rFonts w:hint="eastAsia"/>
        </w:rPr>
        <w:t>储罐区等，形成年产2万吨润滑脂生产线1条</w:t>
      </w:r>
      <w:r>
        <w:rPr>
          <w:rFonts w:hint="eastAsia"/>
          <w:lang w:eastAsia="zh-CN"/>
        </w:rPr>
        <w:t>。</w:t>
      </w:r>
    </w:p>
    <w:p w14:paraId="1783B938">
      <w:pPr>
        <w:ind w:firstLine="480"/>
        <w:rPr>
          <w:rFonts w:hint="eastAsia"/>
        </w:rPr>
        <w:sectPr>
          <w:footerReference r:id="rId15"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r>
        <w:rPr>
          <w:rFonts w:hint="eastAsia"/>
          <w:lang w:val="en-US" w:eastAsia="zh-CN"/>
        </w:rPr>
        <w:t>本项目于2024年3月21日取得环评批复并开工建设，目前一期建设内容基本建成，建设单位在组织自查过程中发现已建成内容与批复的环境影响报告书中不一致，对照关于印发《污染影响类建设项目重大变动清单（试行）》的通知（环办环评函〔2020〕688号）并经论证分析后，确定本项目属于重大变动，根据《中华人民共和国环境影响评价法》第二十四条规定，建设单位应当重新报批建设项目的环境影响评价文件，本项目原环评与实际</w:t>
      </w:r>
      <w:r>
        <w:rPr>
          <w:rFonts w:hint="eastAsia"/>
        </w:rPr>
        <w:t>建设内容</w:t>
      </w:r>
      <w:r>
        <w:rPr>
          <w:rFonts w:hint="eastAsia"/>
          <w:lang w:val="en-US" w:eastAsia="zh-CN"/>
        </w:rPr>
        <w:t>对比具体</w:t>
      </w:r>
      <w:r>
        <w:rPr>
          <w:rFonts w:hint="eastAsia"/>
        </w:rPr>
        <w:t>见表3</w:t>
      </w:r>
      <w:r>
        <w:t>.2-1</w:t>
      </w:r>
      <w:r>
        <w:rPr>
          <w:rFonts w:hint="eastAsia"/>
        </w:rPr>
        <w:t>。</w:t>
      </w:r>
    </w:p>
    <w:p w14:paraId="53E377BF">
      <w:pPr>
        <w:pStyle w:val="47"/>
        <w:spacing w:before="65"/>
      </w:pPr>
      <w:r>
        <w:rPr>
          <w:rFonts w:hint="eastAsia"/>
        </w:rPr>
        <w:t>表3</w:t>
      </w:r>
      <w:r>
        <w:t xml:space="preserve">.2-1   </w:t>
      </w:r>
      <w:r>
        <w:rPr>
          <w:rFonts w:hint="eastAsia"/>
        </w:rPr>
        <w:t>本项目工程组成情况一览表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50"/>
        <w:gridCol w:w="500"/>
        <w:gridCol w:w="230"/>
        <w:gridCol w:w="869"/>
        <w:gridCol w:w="4949"/>
        <w:gridCol w:w="5777"/>
        <w:gridCol w:w="984"/>
      </w:tblGrid>
      <w:tr w14:paraId="0909D7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11" w:type="pct"/>
            <w:gridSpan w:val="2"/>
            <w:tcMar>
              <w:left w:w="0" w:type="dxa"/>
              <w:right w:w="0" w:type="dxa"/>
            </w:tcMar>
            <w:vAlign w:val="center"/>
          </w:tcPr>
          <w:p w14:paraId="4B401383">
            <w:pPr>
              <w:adjustRightInd w:val="0"/>
              <w:snapToGrid w:val="0"/>
              <w:spacing w:line="240" w:lineRule="auto"/>
              <w:ind w:firstLine="0" w:firstLineChars="0"/>
              <w:jc w:val="center"/>
              <w:rPr>
                <w:b/>
                <w:bCs/>
                <w:sz w:val="21"/>
                <w:szCs w:val="20"/>
              </w:rPr>
            </w:pPr>
            <w:r>
              <w:rPr>
                <w:rFonts w:hint="eastAsia"/>
                <w:b/>
                <w:bCs/>
                <w:sz w:val="21"/>
                <w:szCs w:val="20"/>
              </w:rPr>
              <w:t>工程分类</w:t>
            </w:r>
          </w:p>
        </w:tc>
        <w:tc>
          <w:tcPr>
            <w:tcW w:w="402" w:type="pct"/>
            <w:gridSpan w:val="2"/>
            <w:tcMar>
              <w:left w:w="0" w:type="dxa"/>
              <w:right w:w="0" w:type="dxa"/>
            </w:tcMar>
            <w:vAlign w:val="center"/>
          </w:tcPr>
          <w:p w14:paraId="5A4C0F97">
            <w:pPr>
              <w:adjustRightInd w:val="0"/>
              <w:snapToGrid w:val="0"/>
              <w:spacing w:line="240" w:lineRule="auto"/>
              <w:ind w:firstLine="0" w:firstLineChars="0"/>
              <w:jc w:val="center"/>
              <w:rPr>
                <w:b/>
                <w:bCs/>
                <w:sz w:val="21"/>
                <w:szCs w:val="20"/>
              </w:rPr>
            </w:pPr>
            <w:r>
              <w:rPr>
                <w:b/>
                <w:bCs/>
                <w:sz w:val="21"/>
                <w:szCs w:val="20"/>
              </w:rPr>
              <w:t>建设名称</w:t>
            </w:r>
          </w:p>
        </w:tc>
        <w:tc>
          <w:tcPr>
            <w:tcW w:w="1811" w:type="pct"/>
            <w:tcMar>
              <w:left w:w="0" w:type="dxa"/>
              <w:right w:w="0" w:type="dxa"/>
            </w:tcMar>
            <w:vAlign w:val="center"/>
          </w:tcPr>
          <w:p w14:paraId="093C4B5C">
            <w:pPr>
              <w:adjustRightInd w:val="0"/>
              <w:snapToGrid w:val="0"/>
              <w:spacing w:line="240" w:lineRule="auto"/>
              <w:ind w:firstLine="0" w:firstLineChars="0"/>
              <w:jc w:val="center"/>
              <w:rPr>
                <w:b/>
                <w:bCs/>
                <w:sz w:val="21"/>
                <w:szCs w:val="20"/>
              </w:rPr>
            </w:pPr>
            <w:r>
              <w:rPr>
                <w:rFonts w:hint="eastAsia"/>
                <w:b/>
                <w:bCs/>
                <w:sz w:val="21"/>
                <w:szCs w:val="20"/>
                <w:lang w:val="en-US" w:eastAsia="zh-CN"/>
              </w:rPr>
              <w:t>原环评报告</w:t>
            </w:r>
            <w:r>
              <w:rPr>
                <w:b/>
                <w:bCs/>
                <w:sz w:val="21"/>
                <w:szCs w:val="20"/>
              </w:rPr>
              <w:t>建设内容及规模</w:t>
            </w:r>
          </w:p>
        </w:tc>
        <w:tc>
          <w:tcPr>
            <w:tcW w:w="2114" w:type="pct"/>
            <w:tcMar>
              <w:left w:w="0" w:type="dxa"/>
              <w:right w:w="0" w:type="dxa"/>
            </w:tcMar>
            <w:vAlign w:val="center"/>
          </w:tcPr>
          <w:p w14:paraId="6088A88E">
            <w:pPr>
              <w:adjustRightInd w:val="0"/>
              <w:snapToGrid w:val="0"/>
              <w:spacing w:line="240" w:lineRule="auto"/>
              <w:ind w:firstLine="0" w:firstLineChars="0"/>
              <w:jc w:val="center"/>
              <w:rPr>
                <w:rFonts w:hint="default" w:eastAsia="宋体"/>
                <w:b/>
                <w:bCs/>
                <w:sz w:val="21"/>
                <w:szCs w:val="20"/>
                <w:lang w:val="en-US" w:eastAsia="zh-CN"/>
              </w:rPr>
            </w:pPr>
            <w:r>
              <w:rPr>
                <w:rFonts w:hint="eastAsia"/>
                <w:b/>
                <w:bCs/>
                <w:sz w:val="21"/>
                <w:szCs w:val="20"/>
                <w:lang w:val="en-US" w:eastAsia="zh-CN"/>
              </w:rPr>
              <w:t>变动后</w:t>
            </w:r>
            <w:r>
              <w:rPr>
                <w:b/>
                <w:bCs/>
                <w:sz w:val="21"/>
                <w:szCs w:val="20"/>
              </w:rPr>
              <w:t>建设内容及规模</w:t>
            </w:r>
          </w:p>
        </w:tc>
        <w:tc>
          <w:tcPr>
            <w:tcW w:w="360" w:type="pct"/>
            <w:tcMar>
              <w:left w:w="0" w:type="dxa"/>
              <w:right w:w="0" w:type="dxa"/>
            </w:tcMar>
            <w:vAlign w:val="center"/>
          </w:tcPr>
          <w:p w14:paraId="26D2B7A9">
            <w:pPr>
              <w:adjustRightInd w:val="0"/>
              <w:snapToGrid w:val="0"/>
              <w:spacing w:line="240" w:lineRule="auto"/>
              <w:ind w:firstLine="0" w:firstLineChars="0"/>
              <w:jc w:val="center"/>
              <w:rPr>
                <w:rFonts w:hint="default" w:eastAsia="宋体"/>
                <w:b/>
                <w:bCs/>
                <w:sz w:val="21"/>
                <w:szCs w:val="20"/>
                <w:lang w:val="en-US" w:eastAsia="zh-CN"/>
              </w:rPr>
            </w:pPr>
            <w:r>
              <w:rPr>
                <w:rFonts w:hint="eastAsia"/>
                <w:b/>
                <w:bCs/>
                <w:sz w:val="21"/>
                <w:szCs w:val="20"/>
                <w:lang w:val="en-US" w:eastAsia="zh-CN"/>
              </w:rPr>
              <w:t>建设情况</w:t>
            </w:r>
          </w:p>
        </w:tc>
      </w:tr>
      <w:tr w14:paraId="3B9C3C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restart"/>
            <w:tcMar>
              <w:left w:w="0" w:type="dxa"/>
              <w:right w:w="0" w:type="dxa"/>
            </w:tcMar>
            <w:vAlign w:val="center"/>
          </w:tcPr>
          <w:p w14:paraId="17E672B4">
            <w:pPr>
              <w:adjustRightInd w:val="0"/>
              <w:snapToGrid w:val="0"/>
              <w:spacing w:line="240" w:lineRule="auto"/>
              <w:ind w:firstLine="0" w:firstLineChars="0"/>
              <w:jc w:val="center"/>
              <w:rPr>
                <w:sz w:val="21"/>
                <w:szCs w:val="20"/>
              </w:rPr>
            </w:pPr>
            <w:r>
              <w:rPr>
                <w:sz w:val="21"/>
                <w:szCs w:val="20"/>
              </w:rPr>
              <w:t>主体工程</w:t>
            </w:r>
          </w:p>
        </w:tc>
        <w:tc>
          <w:tcPr>
            <w:tcW w:w="183" w:type="pct"/>
            <w:vAlign w:val="center"/>
          </w:tcPr>
          <w:p w14:paraId="29A03CE0">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277D1302">
            <w:pPr>
              <w:adjustRightInd w:val="0"/>
              <w:snapToGrid w:val="0"/>
              <w:spacing w:line="240" w:lineRule="auto"/>
              <w:ind w:firstLine="0" w:firstLineChars="0"/>
              <w:jc w:val="center"/>
              <w:rPr>
                <w:sz w:val="21"/>
                <w:szCs w:val="20"/>
              </w:rPr>
            </w:pPr>
            <w:r>
              <w:rPr>
                <w:rFonts w:hint="eastAsia"/>
                <w:sz w:val="21"/>
                <w:szCs w:val="20"/>
              </w:rPr>
              <w:t>润滑油生产车间</w:t>
            </w:r>
          </w:p>
        </w:tc>
        <w:tc>
          <w:tcPr>
            <w:tcW w:w="1811" w:type="pct"/>
            <w:tcMar>
              <w:left w:w="0" w:type="dxa"/>
              <w:right w:w="0" w:type="dxa"/>
            </w:tcMar>
            <w:vAlign w:val="center"/>
          </w:tcPr>
          <w:p w14:paraId="21F50A69">
            <w:pPr>
              <w:adjustRightInd w:val="0"/>
              <w:snapToGrid w:val="0"/>
              <w:spacing w:line="240" w:lineRule="auto"/>
              <w:ind w:firstLine="0" w:firstLineChars="0"/>
              <w:rPr>
                <w:sz w:val="21"/>
                <w:szCs w:val="20"/>
              </w:rPr>
            </w:pPr>
            <w:r>
              <w:rPr>
                <w:rFonts w:hint="eastAsia"/>
                <w:sz w:val="21"/>
                <w:szCs w:val="20"/>
              </w:rPr>
              <w:t>1F，长1</w:t>
            </w:r>
            <w:r>
              <w:rPr>
                <w:sz w:val="21"/>
                <w:szCs w:val="20"/>
              </w:rPr>
              <w:t>09.3</w:t>
            </w:r>
            <w:r>
              <w:rPr>
                <w:rFonts w:hint="eastAsia"/>
                <w:sz w:val="21"/>
                <w:szCs w:val="20"/>
              </w:rPr>
              <w:t>m、宽4</w:t>
            </w:r>
            <w:r>
              <w:rPr>
                <w:sz w:val="21"/>
                <w:szCs w:val="20"/>
              </w:rPr>
              <w:t>8.7</w:t>
            </w:r>
            <w:r>
              <w:rPr>
                <w:rFonts w:hint="eastAsia"/>
                <w:sz w:val="21"/>
                <w:szCs w:val="20"/>
              </w:rPr>
              <w:t>m、高1</w:t>
            </w:r>
            <w:r>
              <w:rPr>
                <w:sz w:val="21"/>
                <w:szCs w:val="20"/>
              </w:rPr>
              <w:t>1.15</w:t>
            </w:r>
            <w:r>
              <w:rPr>
                <w:rFonts w:hint="eastAsia"/>
                <w:sz w:val="21"/>
                <w:szCs w:val="20"/>
              </w:rPr>
              <w:t>m。共设置2个分区，安装加温白土锅4个、过滤机2个、加碱油罐2个、洗油沉淀罐4个等主要生产设备及输送泵、循环泵等辅助设备。形成年产8万吨润滑油生产线1条。</w:t>
            </w:r>
          </w:p>
        </w:tc>
        <w:tc>
          <w:tcPr>
            <w:tcW w:w="2114" w:type="pct"/>
            <w:tcMar>
              <w:left w:w="0" w:type="dxa"/>
              <w:right w:w="0" w:type="dxa"/>
            </w:tcMar>
            <w:vAlign w:val="center"/>
          </w:tcPr>
          <w:p w14:paraId="4456D565">
            <w:pPr>
              <w:adjustRightInd w:val="0"/>
              <w:snapToGrid w:val="0"/>
              <w:spacing w:line="240" w:lineRule="auto"/>
              <w:ind w:firstLine="0" w:firstLineChars="0"/>
              <w:rPr>
                <w:rFonts w:hint="default" w:eastAsia="宋体"/>
                <w:sz w:val="21"/>
                <w:szCs w:val="20"/>
                <w:lang w:val="en-US" w:eastAsia="zh-CN"/>
              </w:rPr>
            </w:pPr>
            <w:r>
              <w:rPr>
                <w:rFonts w:hint="eastAsia"/>
                <w:sz w:val="21"/>
                <w:szCs w:val="20"/>
                <w:lang w:val="en-US" w:eastAsia="zh-CN"/>
              </w:rPr>
              <w:t>车间位置、占地面积及楼层等不变，设备包括新增加温白土锅2个，共6个；新增过滤机1台，共3台；原料缓冲罐不变，共2个；新增洗油沉淀罐36个，共40个；新增沥青中转罐3台，配套输送泵、循环泵等，</w:t>
            </w:r>
            <w:r>
              <w:rPr>
                <w:rFonts w:hint="eastAsia"/>
                <w:sz w:val="21"/>
                <w:szCs w:val="20"/>
              </w:rPr>
              <w:t>形成年产8万吨润滑油生产线1条。</w:t>
            </w:r>
          </w:p>
        </w:tc>
        <w:tc>
          <w:tcPr>
            <w:tcW w:w="360" w:type="pct"/>
            <w:tcMar>
              <w:left w:w="0" w:type="dxa"/>
              <w:right w:w="0" w:type="dxa"/>
            </w:tcMar>
            <w:vAlign w:val="center"/>
          </w:tcPr>
          <w:p w14:paraId="12F6A168">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已建成</w:t>
            </w:r>
          </w:p>
        </w:tc>
      </w:tr>
      <w:tr w14:paraId="531F4B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149DCCD2">
            <w:pPr>
              <w:adjustRightInd w:val="0"/>
              <w:snapToGrid w:val="0"/>
              <w:spacing w:line="240" w:lineRule="auto"/>
              <w:ind w:firstLine="0" w:firstLineChars="0"/>
              <w:jc w:val="center"/>
              <w:rPr>
                <w:sz w:val="21"/>
                <w:szCs w:val="20"/>
              </w:rPr>
            </w:pPr>
          </w:p>
        </w:tc>
        <w:tc>
          <w:tcPr>
            <w:tcW w:w="183" w:type="pct"/>
            <w:vAlign w:val="center"/>
          </w:tcPr>
          <w:p w14:paraId="168641DC">
            <w:pPr>
              <w:adjustRightInd w:val="0"/>
              <w:snapToGrid w:val="0"/>
              <w:spacing w:line="240" w:lineRule="auto"/>
              <w:ind w:firstLine="0" w:firstLineChars="0"/>
              <w:jc w:val="center"/>
              <w:rPr>
                <w:sz w:val="21"/>
                <w:szCs w:val="20"/>
              </w:rPr>
            </w:pPr>
            <w:r>
              <w:rPr>
                <w:rFonts w:hint="eastAsia"/>
                <w:sz w:val="21"/>
                <w:szCs w:val="20"/>
              </w:rPr>
              <w:t>二期</w:t>
            </w:r>
          </w:p>
        </w:tc>
        <w:tc>
          <w:tcPr>
            <w:tcW w:w="402" w:type="pct"/>
            <w:gridSpan w:val="2"/>
            <w:tcMar>
              <w:left w:w="0" w:type="dxa"/>
              <w:right w:w="0" w:type="dxa"/>
            </w:tcMar>
            <w:vAlign w:val="center"/>
          </w:tcPr>
          <w:p w14:paraId="08930CDD">
            <w:pPr>
              <w:adjustRightInd w:val="0"/>
              <w:snapToGrid w:val="0"/>
              <w:spacing w:line="240" w:lineRule="auto"/>
              <w:ind w:firstLine="0" w:firstLineChars="0"/>
              <w:jc w:val="center"/>
              <w:rPr>
                <w:sz w:val="21"/>
                <w:szCs w:val="20"/>
              </w:rPr>
            </w:pPr>
            <w:r>
              <w:rPr>
                <w:rFonts w:hint="eastAsia"/>
                <w:sz w:val="21"/>
                <w:szCs w:val="20"/>
              </w:rPr>
              <w:t>润滑脂生产车间</w:t>
            </w:r>
          </w:p>
        </w:tc>
        <w:tc>
          <w:tcPr>
            <w:tcW w:w="1811" w:type="pct"/>
            <w:tcMar>
              <w:left w:w="0" w:type="dxa"/>
              <w:right w:w="0" w:type="dxa"/>
            </w:tcMar>
            <w:vAlign w:val="center"/>
          </w:tcPr>
          <w:p w14:paraId="223A2BF5">
            <w:pPr>
              <w:adjustRightInd w:val="0"/>
              <w:snapToGrid w:val="0"/>
              <w:spacing w:line="240" w:lineRule="auto"/>
              <w:ind w:firstLine="0" w:firstLineChars="0"/>
              <w:rPr>
                <w:sz w:val="21"/>
                <w:szCs w:val="20"/>
              </w:rPr>
            </w:pPr>
            <w:r>
              <w:rPr>
                <w:rFonts w:hint="eastAsia"/>
                <w:sz w:val="21"/>
                <w:szCs w:val="20"/>
              </w:rPr>
              <w:t>1F，占地面积为2</w:t>
            </w:r>
            <w:r>
              <w:rPr>
                <w:sz w:val="21"/>
                <w:szCs w:val="20"/>
              </w:rPr>
              <w:t>604.0</w:t>
            </w:r>
            <w:r>
              <w:rPr>
                <w:rFonts w:hint="eastAsia"/>
                <w:sz w:val="21"/>
                <w:szCs w:val="20"/>
              </w:rPr>
              <w:t>m</w:t>
            </w:r>
            <w:r>
              <w:rPr>
                <w:sz w:val="21"/>
                <w:szCs w:val="20"/>
                <w:vertAlign w:val="superscript"/>
              </w:rPr>
              <w:t>2</w:t>
            </w:r>
            <w:r>
              <w:rPr>
                <w:rFonts w:hint="eastAsia"/>
                <w:sz w:val="21"/>
                <w:szCs w:val="20"/>
              </w:rPr>
              <w:t>，高度为1</w:t>
            </w:r>
            <w:r>
              <w:rPr>
                <w:sz w:val="21"/>
                <w:szCs w:val="20"/>
              </w:rPr>
              <w:t>4.3</w:t>
            </w:r>
            <w:r>
              <w:rPr>
                <w:rFonts w:hint="eastAsia"/>
                <w:sz w:val="21"/>
                <w:szCs w:val="20"/>
              </w:rPr>
              <w:t>m，设置P</w:t>
            </w:r>
            <w:r>
              <w:rPr>
                <w:sz w:val="21"/>
                <w:szCs w:val="20"/>
              </w:rPr>
              <w:t>5</w:t>
            </w:r>
            <w:r>
              <w:rPr>
                <w:rFonts w:hint="eastAsia"/>
                <w:sz w:val="21"/>
                <w:szCs w:val="20"/>
              </w:rPr>
              <w:t>型皂化釜7台、调和釜8台等主要生产设备，并配备换热器、皂液泵等辅助设备。形成年产2万吨润滑脂生产线1条。</w:t>
            </w:r>
          </w:p>
        </w:tc>
        <w:tc>
          <w:tcPr>
            <w:tcW w:w="2114" w:type="pct"/>
            <w:tcMar>
              <w:left w:w="0" w:type="dxa"/>
              <w:right w:w="0" w:type="dxa"/>
            </w:tcMar>
            <w:vAlign w:val="center"/>
          </w:tcPr>
          <w:p w14:paraId="5E4E4766">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维持原环评报告建设内容及规模不发生变动</w:t>
            </w:r>
          </w:p>
        </w:tc>
        <w:tc>
          <w:tcPr>
            <w:tcW w:w="360" w:type="pct"/>
            <w:tcMar>
              <w:left w:w="0" w:type="dxa"/>
              <w:right w:w="0" w:type="dxa"/>
            </w:tcMar>
            <w:vAlign w:val="center"/>
          </w:tcPr>
          <w:p w14:paraId="3707CB2F">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未建成</w:t>
            </w:r>
          </w:p>
        </w:tc>
      </w:tr>
      <w:tr w14:paraId="557995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restart"/>
            <w:tcMar>
              <w:left w:w="0" w:type="dxa"/>
              <w:right w:w="0" w:type="dxa"/>
            </w:tcMar>
            <w:vAlign w:val="center"/>
          </w:tcPr>
          <w:p w14:paraId="15E087AF">
            <w:pPr>
              <w:adjustRightInd w:val="0"/>
              <w:snapToGrid w:val="0"/>
              <w:spacing w:line="240" w:lineRule="auto"/>
              <w:ind w:firstLine="0" w:firstLineChars="0"/>
              <w:jc w:val="center"/>
              <w:rPr>
                <w:sz w:val="21"/>
                <w:szCs w:val="20"/>
              </w:rPr>
            </w:pPr>
            <w:r>
              <w:rPr>
                <w:sz w:val="21"/>
                <w:szCs w:val="20"/>
              </w:rPr>
              <w:t>辅助工程</w:t>
            </w:r>
          </w:p>
        </w:tc>
        <w:tc>
          <w:tcPr>
            <w:tcW w:w="183" w:type="pct"/>
            <w:vAlign w:val="center"/>
          </w:tcPr>
          <w:p w14:paraId="69A35B6F">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4CAB669F">
            <w:pPr>
              <w:adjustRightInd w:val="0"/>
              <w:snapToGrid w:val="0"/>
              <w:spacing w:line="240" w:lineRule="auto"/>
              <w:ind w:firstLine="0" w:firstLineChars="0"/>
              <w:jc w:val="center"/>
              <w:rPr>
                <w:sz w:val="21"/>
                <w:szCs w:val="20"/>
              </w:rPr>
            </w:pPr>
            <w:r>
              <w:rPr>
                <w:sz w:val="21"/>
                <w:szCs w:val="20"/>
              </w:rPr>
              <w:t>办公室</w:t>
            </w:r>
          </w:p>
        </w:tc>
        <w:tc>
          <w:tcPr>
            <w:tcW w:w="1811" w:type="pct"/>
            <w:tcMar>
              <w:left w:w="0" w:type="dxa"/>
              <w:right w:w="0" w:type="dxa"/>
            </w:tcMar>
            <w:vAlign w:val="center"/>
          </w:tcPr>
          <w:p w14:paraId="3DA74434">
            <w:pPr>
              <w:adjustRightInd w:val="0"/>
              <w:snapToGrid w:val="0"/>
              <w:spacing w:line="240" w:lineRule="auto"/>
              <w:ind w:firstLine="0" w:firstLineChars="0"/>
              <w:rPr>
                <w:sz w:val="21"/>
                <w:szCs w:val="20"/>
              </w:rPr>
            </w:pPr>
            <w:r>
              <w:rPr>
                <w:rFonts w:hint="eastAsia"/>
                <w:sz w:val="21"/>
                <w:szCs w:val="20"/>
              </w:rPr>
              <w:t>新建办公楼1座，1F，占地面积为8</w:t>
            </w:r>
            <w:r>
              <w:rPr>
                <w:sz w:val="21"/>
                <w:szCs w:val="20"/>
              </w:rPr>
              <w:t>20.6</w:t>
            </w:r>
            <w:r>
              <w:rPr>
                <w:rFonts w:hint="eastAsia"/>
                <w:sz w:val="21"/>
                <w:szCs w:val="20"/>
              </w:rPr>
              <w:t>m</w:t>
            </w:r>
            <w:r>
              <w:rPr>
                <w:sz w:val="21"/>
                <w:szCs w:val="20"/>
                <w:vertAlign w:val="superscript"/>
              </w:rPr>
              <w:t>2</w:t>
            </w:r>
            <w:r>
              <w:rPr>
                <w:rFonts w:hint="eastAsia"/>
                <w:sz w:val="21"/>
                <w:szCs w:val="20"/>
              </w:rPr>
              <w:t>，位于整个厂区的西南角，主要为员工办公使用</w:t>
            </w:r>
            <w:r>
              <w:rPr>
                <w:sz w:val="21"/>
                <w:szCs w:val="20"/>
              </w:rPr>
              <w:t>。</w:t>
            </w:r>
          </w:p>
        </w:tc>
        <w:tc>
          <w:tcPr>
            <w:tcW w:w="2114" w:type="pct"/>
            <w:tcMar>
              <w:left w:w="0" w:type="dxa"/>
              <w:right w:w="0" w:type="dxa"/>
            </w:tcMar>
            <w:vAlign w:val="center"/>
          </w:tcPr>
          <w:p w14:paraId="047F4A27">
            <w:pPr>
              <w:adjustRightInd w:val="0"/>
              <w:snapToGrid w:val="0"/>
              <w:spacing w:line="240" w:lineRule="auto"/>
              <w:ind w:firstLine="0" w:firstLineChars="0"/>
              <w:jc w:val="center"/>
              <w:rPr>
                <w:rFonts w:hint="default" w:eastAsia="宋体"/>
                <w:sz w:val="21"/>
                <w:szCs w:val="20"/>
                <w:vertAlign w:val="baseline"/>
                <w:lang w:val="en-US" w:eastAsia="zh-CN"/>
              </w:rPr>
            </w:pPr>
            <w:r>
              <w:rPr>
                <w:rFonts w:hint="eastAsia"/>
                <w:sz w:val="21"/>
                <w:szCs w:val="20"/>
                <w:lang w:val="en-US" w:eastAsia="zh-CN"/>
              </w:rPr>
              <w:t>办公楼位置、数量及楼层不变，占地面积为851.5m</w:t>
            </w:r>
            <w:r>
              <w:rPr>
                <w:rFonts w:hint="eastAsia"/>
                <w:sz w:val="21"/>
                <w:szCs w:val="20"/>
                <w:vertAlign w:val="superscript"/>
                <w:lang w:val="en-US" w:eastAsia="zh-CN"/>
              </w:rPr>
              <w:t>2</w:t>
            </w:r>
            <w:r>
              <w:rPr>
                <w:rFonts w:hint="eastAsia"/>
                <w:sz w:val="21"/>
                <w:szCs w:val="20"/>
                <w:vertAlign w:val="baseline"/>
                <w:lang w:val="en-US" w:eastAsia="zh-CN"/>
              </w:rPr>
              <w:t>，主要为员工办公用途</w:t>
            </w:r>
          </w:p>
        </w:tc>
        <w:tc>
          <w:tcPr>
            <w:tcW w:w="360" w:type="pct"/>
            <w:tcMar>
              <w:left w:w="0" w:type="dxa"/>
              <w:right w:w="0" w:type="dxa"/>
            </w:tcMar>
            <w:vAlign w:val="center"/>
          </w:tcPr>
          <w:p w14:paraId="044F2519">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已建成</w:t>
            </w:r>
          </w:p>
        </w:tc>
      </w:tr>
      <w:tr w14:paraId="6210FE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6CA7BB78">
            <w:pPr>
              <w:adjustRightInd w:val="0"/>
              <w:snapToGrid w:val="0"/>
              <w:spacing w:line="240" w:lineRule="auto"/>
              <w:ind w:firstLine="0" w:firstLineChars="0"/>
              <w:jc w:val="center"/>
              <w:rPr>
                <w:sz w:val="21"/>
                <w:szCs w:val="20"/>
              </w:rPr>
            </w:pPr>
          </w:p>
        </w:tc>
        <w:tc>
          <w:tcPr>
            <w:tcW w:w="183" w:type="pct"/>
            <w:vAlign w:val="center"/>
          </w:tcPr>
          <w:p w14:paraId="0D15250D">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35E69AE7">
            <w:pPr>
              <w:adjustRightInd w:val="0"/>
              <w:snapToGrid w:val="0"/>
              <w:spacing w:line="240" w:lineRule="auto"/>
              <w:ind w:firstLine="0" w:firstLineChars="0"/>
              <w:jc w:val="center"/>
              <w:rPr>
                <w:sz w:val="21"/>
                <w:szCs w:val="20"/>
              </w:rPr>
            </w:pPr>
            <w:r>
              <w:rPr>
                <w:rFonts w:hint="eastAsia"/>
                <w:sz w:val="21"/>
                <w:szCs w:val="20"/>
              </w:rPr>
              <w:t>倒班宿舍</w:t>
            </w:r>
          </w:p>
        </w:tc>
        <w:tc>
          <w:tcPr>
            <w:tcW w:w="1811" w:type="pct"/>
            <w:tcMar>
              <w:left w:w="0" w:type="dxa"/>
              <w:right w:w="0" w:type="dxa"/>
            </w:tcMar>
            <w:vAlign w:val="center"/>
          </w:tcPr>
          <w:p w14:paraId="5F6AEDE2">
            <w:pPr>
              <w:adjustRightInd w:val="0"/>
              <w:snapToGrid w:val="0"/>
              <w:spacing w:line="240" w:lineRule="auto"/>
              <w:ind w:firstLine="0" w:firstLineChars="0"/>
              <w:rPr>
                <w:sz w:val="21"/>
                <w:szCs w:val="20"/>
              </w:rPr>
            </w:pPr>
            <w:r>
              <w:rPr>
                <w:rFonts w:hint="eastAsia"/>
                <w:sz w:val="21"/>
                <w:szCs w:val="20"/>
              </w:rPr>
              <w:t>新建倒班宿舍1座，1F，占地面积为6</w:t>
            </w:r>
            <w:r>
              <w:rPr>
                <w:sz w:val="21"/>
                <w:szCs w:val="20"/>
              </w:rPr>
              <w:t>09.0</w:t>
            </w:r>
            <w:r>
              <w:rPr>
                <w:rFonts w:hint="eastAsia"/>
                <w:sz w:val="21"/>
                <w:szCs w:val="20"/>
              </w:rPr>
              <w:t>m，高度为4</w:t>
            </w:r>
            <w:r>
              <w:rPr>
                <w:sz w:val="21"/>
                <w:szCs w:val="20"/>
              </w:rPr>
              <w:t>.8</w:t>
            </w:r>
            <w:r>
              <w:rPr>
                <w:rFonts w:hint="eastAsia"/>
                <w:sz w:val="21"/>
                <w:szCs w:val="20"/>
              </w:rPr>
              <w:t>m，主要为倒班工作人员提供休息场所。</w:t>
            </w:r>
          </w:p>
        </w:tc>
        <w:tc>
          <w:tcPr>
            <w:tcW w:w="2114" w:type="pct"/>
            <w:tcMar>
              <w:left w:w="0" w:type="dxa"/>
              <w:right w:w="0" w:type="dxa"/>
            </w:tcMar>
            <w:vAlign w:val="center"/>
          </w:tcPr>
          <w:p w14:paraId="591DAF3E">
            <w:pPr>
              <w:adjustRightInd w:val="0"/>
              <w:snapToGrid w:val="0"/>
              <w:spacing w:line="240" w:lineRule="auto"/>
              <w:ind w:firstLine="0" w:firstLineChars="0"/>
              <w:jc w:val="center"/>
              <w:rPr>
                <w:rFonts w:hint="eastAsia"/>
                <w:sz w:val="21"/>
                <w:szCs w:val="20"/>
              </w:rPr>
            </w:pPr>
            <w:r>
              <w:rPr>
                <w:rFonts w:hint="eastAsia"/>
                <w:sz w:val="21"/>
                <w:szCs w:val="20"/>
                <w:lang w:val="en-US" w:eastAsia="zh-CN"/>
              </w:rPr>
              <w:t>维持原环评报告建设内容及规模不发生变动</w:t>
            </w:r>
          </w:p>
        </w:tc>
        <w:tc>
          <w:tcPr>
            <w:tcW w:w="360" w:type="pct"/>
            <w:tcMar>
              <w:left w:w="0" w:type="dxa"/>
              <w:right w:w="0" w:type="dxa"/>
            </w:tcMar>
            <w:vAlign w:val="center"/>
          </w:tcPr>
          <w:p w14:paraId="51E3602A">
            <w:pPr>
              <w:adjustRightInd w:val="0"/>
              <w:snapToGrid w:val="0"/>
              <w:spacing w:line="240" w:lineRule="auto"/>
              <w:ind w:firstLine="0" w:firstLineChars="0"/>
              <w:jc w:val="center"/>
              <w:rPr>
                <w:rFonts w:hint="eastAsia"/>
                <w:sz w:val="21"/>
                <w:szCs w:val="20"/>
              </w:rPr>
            </w:pPr>
            <w:r>
              <w:rPr>
                <w:rFonts w:hint="eastAsia"/>
                <w:sz w:val="21"/>
                <w:szCs w:val="20"/>
                <w:lang w:val="en-US" w:eastAsia="zh-CN"/>
              </w:rPr>
              <w:t>已建成</w:t>
            </w:r>
          </w:p>
        </w:tc>
      </w:tr>
      <w:tr w14:paraId="24DC6F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05980A54">
            <w:pPr>
              <w:adjustRightInd w:val="0"/>
              <w:snapToGrid w:val="0"/>
              <w:spacing w:line="240" w:lineRule="auto"/>
              <w:ind w:firstLine="0" w:firstLineChars="0"/>
              <w:jc w:val="center"/>
              <w:rPr>
                <w:sz w:val="21"/>
                <w:szCs w:val="20"/>
              </w:rPr>
            </w:pPr>
          </w:p>
        </w:tc>
        <w:tc>
          <w:tcPr>
            <w:tcW w:w="183" w:type="pct"/>
            <w:vAlign w:val="center"/>
          </w:tcPr>
          <w:p w14:paraId="49A6A10F">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3D25D199">
            <w:pPr>
              <w:adjustRightInd w:val="0"/>
              <w:snapToGrid w:val="0"/>
              <w:spacing w:line="240" w:lineRule="auto"/>
              <w:ind w:firstLine="0" w:firstLineChars="0"/>
              <w:jc w:val="center"/>
              <w:rPr>
                <w:sz w:val="21"/>
                <w:szCs w:val="20"/>
              </w:rPr>
            </w:pPr>
            <w:r>
              <w:rPr>
                <w:rFonts w:hint="eastAsia"/>
                <w:sz w:val="21"/>
                <w:szCs w:val="20"/>
              </w:rPr>
              <w:t>公辅车间</w:t>
            </w:r>
          </w:p>
        </w:tc>
        <w:tc>
          <w:tcPr>
            <w:tcW w:w="1811" w:type="pct"/>
            <w:tcMar>
              <w:left w:w="0" w:type="dxa"/>
              <w:right w:w="0" w:type="dxa"/>
            </w:tcMar>
            <w:vAlign w:val="center"/>
          </w:tcPr>
          <w:p w14:paraId="76E5F76D">
            <w:pPr>
              <w:adjustRightInd w:val="0"/>
              <w:snapToGrid w:val="0"/>
              <w:spacing w:line="240" w:lineRule="auto"/>
              <w:ind w:firstLine="0" w:firstLineChars="0"/>
              <w:rPr>
                <w:sz w:val="21"/>
                <w:szCs w:val="20"/>
              </w:rPr>
            </w:pPr>
            <w:r>
              <w:rPr>
                <w:rFonts w:hint="eastAsia"/>
                <w:sz w:val="21"/>
                <w:szCs w:val="20"/>
              </w:rPr>
              <w:t>占地面积6</w:t>
            </w:r>
            <w:r>
              <w:rPr>
                <w:sz w:val="21"/>
                <w:szCs w:val="20"/>
              </w:rPr>
              <w:t>00</w:t>
            </w:r>
            <w:r>
              <w:rPr>
                <w:rFonts w:hint="eastAsia"/>
                <w:sz w:val="21"/>
                <w:szCs w:val="20"/>
              </w:rPr>
              <w:t>m</w:t>
            </w:r>
            <w:r>
              <w:rPr>
                <w:sz w:val="21"/>
                <w:szCs w:val="20"/>
                <w:vertAlign w:val="superscript"/>
              </w:rPr>
              <w:t>2</w:t>
            </w:r>
            <w:r>
              <w:rPr>
                <w:rFonts w:hint="eastAsia"/>
                <w:sz w:val="21"/>
                <w:szCs w:val="20"/>
              </w:rPr>
              <w:t>，1F，高度为7</w:t>
            </w:r>
            <w:r>
              <w:rPr>
                <w:sz w:val="21"/>
                <w:szCs w:val="20"/>
              </w:rPr>
              <w:t>.0</w:t>
            </w:r>
            <w:r>
              <w:rPr>
                <w:rFonts w:hint="eastAsia"/>
                <w:sz w:val="21"/>
                <w:szCs w:val="20"/>
              </w:rPr>
              <w:t>m。</w:t>
            </w:r>
          </w:p>
        </w:tc>
        <w:tc>
          <w:tcPr>
            <w:tcW w:w="2114" w:type="pct"/>
            <w:tcMar>
              <w:left w:w="0" w:type="dxa"/>
              <w:right w:w="0" w:type="dxa"/>
            </w:tcMar>
            <w:vAlign w:val="center"/>
          </w:tcPr>
          <w:p w14:paraId="2F3B1394">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占地面积、楼层数不变，层高为5.3m。</w:t>
            </w:r>
          </w:p>
        </w:tc>
        <w:tc>
          <w:tcPr>
            <w:tcW w:w="360" w:type="pct"/>
            <w:tcMar>
              <w:left w:w="0" w:type="dxa"/>
              <w:right w:w="0" w:type="dxa"/>
            </w:tcMar>
            <w:vAlign w:val="center"/>
          </w:tcPr>
          <w:p w14:paraId="4118C60E">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已建成</w:t>
            </w:r>
          </w:p>
        </w:tc>
      </w:tr>
      <w:tr w14:paraId="51CAE4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2C878D94">
            <w:pPr>
              <w:adjustRightInd w:val="0"/>
              <w:snapToGrid w:val="0"/>
              <w:spacing w:line="240" w:lineRule="auto"/>
              <w:ind w:firstLine="0" w:firstLineChars="0"/>
              <w:jc w:val="center"/>
              <w:rPr>
                <w:sz w:val="21"/>
                <w:szCs w:val="20"/>
              </w:rPr>
            </w:pPr>
          </w:p>
        </w:tc>
        <w:tc>
          <w:tcPr>
            <w:tcW w:w="183" w:type="pct"/>
            <w:vAlign w:val="center"/>
          </w:tcPr>
          <w:p w14:paraId="313BFB01">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720CEAC3">
            <w:pPr>
              <w:adjustRightInd w:val="0"/>
              <w:snapToGrid w:val="0"/>
              <w:spacing w:line="240" w:lineRule="auto"/>
              <w:ind w:firstLine="0" w:firstLineChars="0"/>
              <w:jc w:val="center"/>
              <w:rPr>
                <w:sz w:val="21"/>
                <w:szCs w:val="20"/>
              </w:rPr>
            </w:pPr>
            <w:r>
              <w:rPr>
                <w:rFonts w:hint="eastAsia"/>
                <w:sz w:val="21"/>
                <w:szCs w:val="20"/>
              </w:rPr>
              <w:t>箱变室</w:t>
            </w:r>
          </w:p>
        </w:tc>
        <w:tc>
          <w:tcPr>
            <w:tcW w:w="1811" w:type="pct"/>
            <w:tcMar>
              <w:left w:w="0" w:type="dxa"/>
              <w:right w:w="0" w:type="dxa"/>
            </w:tcMar>
            <w:vAlign w:val="center"/>
          </w:tcPr>
          <w:p w14:paraId="7F695A76">
            <w:pPr>
              <w:adjustRightInd w:val="0"/>
              <w:snapToGrid w:val="0"/>
              <w:spacing w:line="240" w:lineRule="auto"/>
              <w:ind w:firstLine="0" w:firstLineChars="0"/>
              <w:rPr>
                <w:sz w:val="21"/>
                <w:szCs w:val="20"/>
              </w:rPr>
            </w:pPr>
            <w:r>
              <w:rPr>
                <w:rFonts w:hint="eastAsia"/>
                <w:sz w:val="21"/>
                <w:szCs w:val="20"/>
              </w:rPr>
              <w:t>自园区1</w:t>
            </w:r>
            <w:r>
              <w:rPr>
                <w:sz w:val="21"/>
                <w:szCs w:val="20"/>
              </w:rPr>
              <w:t>0</w:t>
            </w:r>
            <w:r>
              <w:rPr>
                <w:rFonts w:hint="eastAsia"/>
                <w:sz w:val="21"/>
                <w:szCs w:val="20"/>
              </w:rPr>
              <w:t>kV供电线路接入，厂区新建箱变室1处</w:t>
            </w:r>
            <w:r>
              <w:rPr>
                <w:sz w:val="21"/>
                <w:szCs w:val="20"/>
              </w:rPr>
              <w:t>，建筑面积10</w:t>
            </w:r>
            <w:r>
              <w:rPr>
                <w:rFonts w:hint="eastAsia"/>
                <w:sz w:val="21"/>
                <w:szCs w:val="20"/>
              </w:rPr>
              <w:t>m</w:t>
            </w:r>
            <w:r>
              <w:rPr>
                <w:sz w:val="21"/>
                <w:szCs w:val="20"/>
                <w:vertAlign w:val="superscript"/>
              </w:rPr>
              <w:t>2</w:t>
            </w:r>
            <w:r>
              <w:rPr>
                <w:rFonts w:hint="eastAsia"/>
                <w:sz w:val="21"/>
                <w:szCs w:val="20"/>
              </w:rPr>
              <w:t>，共设置4台</w:t>
            </w:r>
            <w:r>
              <w:rPr>
                <w:sz w:val="21"/>
                <w:szCs w:val="20"/>
              </w:rPr>
              <w:t>变压器</w:t>
            </w:r>
            <w:r>
              <w:rPr>
                <w:rFonts w:hint="eastAsia"/>
                <w:sz w:val="21"/>
                <w:szCs w:val="20"/>
              </w:rPr>
              <w:t>为厂区供电。</w:t>
            </w:r>
          </w:p>
        </w:tc>
        <w:tc>
          <w:tcPr>
            <w:tcW w:w="2114" w:type="pct"/>
            <w:tcMar>
              <w:left w:w="0" w:type="dxa"/>
              <w:right w:w="0" w:type="dxa"/>
            </w:tcMar>
            <w:vAlign w:val="center"/>
          </w:tcPr>
          <w:p w14:paraId="0412F7AC">
            <w:pPr>
              <w:adjustRightInd w:val="0"/>
              <w:snapToGrid w:val="0"/>
              <w:spacing w:line="240" w:lineRule="auto"/>
              <w:ind w:firstLine="0" w:firstLineChars="0"/>
              <w:jc w:val="center"/>
              <w:rPr>
                <w:rFonts w:hint="eastAsia"/>
                <w:sz w:val="21"/>
                <w:szCs w:val="20"/>
              </w:rPr>
            </w:pPr>
            <w:r>
              <w:rPr>
                <w:rFonts w:hint="eastAsia"/>
                <w:sz w:val="21"/>
                <w:szCs w:val="20"/>
                <w:lang w:val="en-US" w:eastAsia="zh-CN"/>
              </w:rPr>
              <w:t>维持原环评报告建设内容及规模不发生变动</w:t>
            </w:r>
          </w:p>
        </w:tc>
        <w:tc>
          <w:tcPr>
            <w:tcW w:w="360" w:type="pct"/>
            <w:tcMar>
              <w:left w:w="0" w:type="dxa"/>
              <w:right w:w="0" w:type="dxa"/>
            </w:tcMar>
            <w:vAlign w:val="center"/>
          </w:tcPr>
          <w:p w14:paraId="109F2711">
            <w:pPr>
              <w:adjustRightInd w:val="0"/>
              <w:snapToGrid w:val="0"/>
              <w:spacing w:line="240" w:lineRule="auto"/>
              <w:ind w:firstLine="0" w:firstLineChars="0"/>
              <w:jc w:val="center"/>
              <w:rPr>
                <w:rFonts w:hint="eastAsia"/>
                <w:sz w:val="21"/>
                <w:szCs w:val="20"/>
              </w:rPr>
            </w:pPr>
            <w:r>
              <w:rPr>
                <w:rFonts w:hint="eastAsia"/>
                <w:sz w:val="21"/>
                <w:szCs w:val="20"/>
                <w:lang w:val="en-US" w:eastAsia="zh-CN"/>
              </w:rPr>
              <w:t>已建成</w:t>
            </w:r>
          </w:p>
        </w:tc>
      </w:tr>
      <w:tr w14:paraId="00F80B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restart"/>
            <w:tcMar>
              <w:left w:w="0" w:type="dxa"/>
              <w:right w:w="0" w:type="dxa"/>
            </w:tcMar>
            <w:vAlign w:val="center"/>
          </w:tcPr>
          <w:p w14:paraId="37F4A0E7">
            <w:pPr>
              <w:adjustRightInd w:val="0"/>
              <w:snapToGrid w:val="0"/>
              <w:spacing w:line="240" w:lineRule="auto"/>
              <w:ind w:firstLine="0" w:firstLineChars="0"/>
              <w:jc w:val="center"/>
              <w:rPr>
                <w:sz w:val="21"/>
                <w:szCs w:val="20"/>
              </w:rPr>
            </w:pPr>
            <w:r>
              <w:rPr>
                <w:sz w:val="21"/>
                <w:szCs w:val="20"/>
              </w:rPr>
              <w:t>储运工程</w:t>
            </w:r>
          </w:p>
        </w:tc>
        <w:tc>
          <w:tcPr>
            <w:tcW w:w="183" w:type="pct"/>
            <w:vAlign w:val="center"/>
          </w:tcPr>
          <w:p w14:paraId="05D2B2FF">
            <w:pPr>
              <w:adjustRightInd w:val="0"/>
              <w:snapToGrid w:val="0"/>
              <w:spacing w:line="240" w:lineRule="auto"/>
              <w:ind w:firstLine="0" w:firstLineChars="0"/>
              <w:jc w:val="center"/>
              <w:rPr>
                <w:sz w:val="21"/>
                <w:szCs w:val="20"/>
              </w:rPr>
            </w:pPr>
            <w:r>
              <w:rPr>
                <w:rFonts w:hint="eastAsia"/>
                <w:sz w:val="21"/>
                <w:szCs w:val="20"/>
              </w:rPr>
              <w:t>二期</w:t>
            </w:r>
          </w:p>
        </w:tc>
        <w:tc>
          <w:tcPr>
            <w:tcW w:w="402" w:type="pct"/>
            <w:gridSpan w:val="2"/>
            <w:tcMar>
              <w:left w:w="0" w:type="dxa"/>
              <w:right w:w="0" w:type="dxa"/>
            </w:tcMar>
            <w:vAlign w:val="center"/>
          </w:tcPr>
          <w:p w14:paraId="4F052102">
            <w:pPr>
              <w:adjustRightInd w:val="0"/>
              <w:snapToGrid w:val="0"/>
              <w:spacing w:line="240" w:lineRule="auto"/>
              <w:ind w:firstLine="0" w:firstLineChars="0"/>
              <w:jc w:val="center"/>
              <w:rPr>
                <w:sz w:val="21"/>
                <w:szCs w:val="20"/>
              </w:rPr>
            </w:pPr>
            <w:r>
              <w:rPr>
                <w:rFonts w:hint="eastAsia"/>
                <w:sz w:val="21"/>
                <w:szCs w:val="20"/>
              </w:rPr>
              <w:t>添加剂仓库</w:t>
            </w:r>
          </w:p>
        </w:tc>
        <w:tc>
          <w:tcPr>
            <w:tcW w:w="1811" w:type="pct"/>
            <w:tcMar>
              <w:left w:w="0" w:type="dxa"/>
              <w:right w:w="0" w:type="dxa"/>
            </w:tcMar>
            <w:vAlign w:val="center"/>
          </w:tcPr>
          <w:p w14:paraId="6721ECFE">
            <w:pPr>
              <w:adjustRightInd w:val="0"/>
              <w:snapToGrid w:val="0"/>
              <w:spacing w:line="240" w:lineRule="auto"/>
              <w:ind w:firstLine="0" w:firstLineChars="0"/>
              <w:rPr>
                <w:sz w:val="21"/>
                <w:szCs w:val="20"/>
              </w:rPr>
            </w:pPr>
            <w:r>
              <w:rPr>
                <w:rFonts w:hint="eastAsia"/>
                <w:sz w:val="21"/>
                <w:szCs w:val="20"/>
              </w:rPr>
              <w:t>占地面积5</w:t>
            </w:r>
            <w:r>
              <w:rPr>
                <w:sz w:val="21"/>
                <w:szCs w:val="20"/>
              </w:rPr>
              <w:t>88</w:t>
            </w:r>
            <w:r>
              <w:rPr>
                <w:rFonts w:hint="eastAsia"/>
                <w:sz w:val="21"/>
                <w:szCs w:val="20"/>
              </w:rPr>
              <w:t>m</w:t>
            </w:r>
            <w:r>
              <w:rPr>
                <w:sz w:val="21"/>
                <w:szCs w:val="20"/>
                <w:vertAlign w:val="superscript"/>
              </w:rPr>
              <w:t>2</w:t>
            </w:r>
            <w:r>
              <w:rPr>
                <w:rFonts w:hint="eastAsia"/>
                <w:sz w:val="21"/>
                <w:szCs w:val="20"/>
              </w:rPr>
              <w:t>，1F，高度为7</w:t>
            </w:r>
            <w:r>
              <w:rPr>
                <w:sz w:val="21"/>
                <w:szCs w:val="20"/>
              </w:rPr>
              <w:t>.0</w:t>
            </w:r>
            <w:r>
              <w:rPr>
                <w:rFonts w:hint="eastAsia"/>
                <w:sz w:val="21"/>
                <w:szCs w:val="20"/>
              </w:rPr>
              <w:t>m。</w:t>
            </w:r>
          </w:p>
        </w:tc>
        <w:tc>
          <w:tcPr>
            <w:tcW w:w="2114" w:type="pct"/>
            <w:tcMar>
              <w:left w:w="0" w:type="dxa"/>
              <w:right w:w="0" w:type="dxa"/>
            </w:tcMar>
            <w:vAlign w:val="center"/>
          </w:tcPr>
          <w:p w14:paraId="14829E7C">
            <w:pPr>
              <w:adjustRightInd w:val="0"/>
              <w:snapToGrid w:val="0"/>
              <w:spacing w:line="240" w:lineRule="auto"/>
              <w:ind w:firstLine="0" w:firstLineChars="0"/>
              <w:jc w:val="center"/>
              <w:rPr>
                <w:rFonts w:hint="eastAsia"/>
                <w:sz w:val="21"/>
                <w:szCs w:val="20"/>
              </w:rPr>
            </w:pPr>
            <w:r>
              <w:rPr>
                <w:rFonts w:hint="eastAsia"/>
                <w:sz w:val="21"/>
                <w:szCs w:val="20"/>
                <w:lang w:val="en-US" w:eastAsia="zh-CN"/>
              </w:rPr>
              <w:t>维持原环评报告建设内容及规模不发生变动</w:t>
            </w:r>
          </w:p>
        </w:tc>
        <w:tc>
          <w:tcPr>
            <w:tcW w:w="360" w:type="pct"/>
            <w:tcMar>
              <w:left w:w="0" w:type="dxa"/>
              <w:right w:w="0" w:type="dxa"/>
            </w:tcMar>
            <w:vAlign w:val="center"/>
          </w:tcPr>
          <w:p w14:paraId="5B931B09">
            <w:pPr>
              <w:adjustRightInd w:val="0"/>
              <w:snapToGrid w:val="0"/>
              <w:spacing w:line="240" w:lineRule="auto"/>
              <w:ind w:firstLine="0" w:firstLineChars="0"/>
              <w:jc w:val="center"/>
              <w:rPr>
                <w:rFonts w:hint="eastAsia"/>
                <w:sz w:val="21"/>
                <w:szCs w:val="20"/>
              </w:rPr>
            </w:pPr>
            <w:r>
              <w:rPr>
                <w:rFonts w:hint="eastAsia"/>
                <w:sz w:val="21"/>
                <w:szCs w:val="20"/>
                <w:lang w:val="en-US" w:eastAsia="zh-CN"/>
              </w:rPr>
              <w:t>未建成</w:t>
            </w:r>
          </w:p>
        </w:tc>
      </w:tr>
      <w:tr w14:paraId="146B12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60BBC83E">
            <w:pPr>
              <w:adjustRightInd w:val="0"/>
              <w:snapToGrid w:val="0"/>
              <w:spacing w:line="240" w:lineRule="auto"/>
              <w:ind w:firstLine="0" w:firstLineChars="0"/>
              <w:jc w:val="center"/>
              <w:rPr>
                <w:sz w:val="21"/>
                <w:szCs w:val="20"/>
              </w:rPr>
            </w:pPr>
          </w:p>
        </w:tc>
        <w:tc>
          <w:tcPr>
            <w:tcW w:w="183" w:type="pct"/>
            <w:vAlign w:val="center"/>
          </w:tcPr>
          <w:p w14:paraId="7956F411">
            <w:pPr>
              <w:adjustRightInd w:val="0"/>
              <w:snapToGrid w:val="0"/>
              <w:spacing w:line="240" w:lineRule="auto"/>
              <w:ind w:firstLine="0" w:firstLineChars="0"/>
              <w:jc w:val="center"/>
              <w:rPr>
                <w:sz w:val="21"/>
                <w:szCs w:val="20"/>
              </w:rPr>
            </w:pPr>
            <w:r>
              <w:rPr>
                <w:rFonts w:hint="eastAsia"/>
                <w:sz w:val="21"/>
                <w:szCs w:val="20"/>
              </w:rPr>
              <w:t>二期</w:t>
            </w:r>
          </w:p>
        </w:tc>
        <w:tc>
          <w:tcPr>
            <w:tcW w:w="402" w:type="pct"/>
            <w:gridSpan w:val="2"/>
            <w:tcMar>
              <w:left w:w="0" w:type="dxa"/>
              <w:right w:w="0" w:type="dxa"/>
            </w:tcMar>
            <w:vAlign w:val="center"/>
          </w:tcPr>
          <w:p w14:paraId="32CEA5E1">
            <w:pPr>
              <w:adjustRightInd w:val="0"/>
              <w:snapToGrid w:val="0"/>
              <w:spacing w:line="240" w:lineRule="auto"/>
              <w:ind w:firstLine="0" w:firstLineChars="0"/>
              <w:jc w:val="center"/>
              <w:rPr>
                <w:sz w:val="21"/>
                <w:szCs w:val="20"/>
              </w:rPr>
            </w:pPr>
            <w:r>
              <w:rPr>
                <w:rFonts w:hint="eastAsia"/>
                <w:sz w:val="21"/>
                <w:szCs w:val="20"/>
              </w:rPr>
              <w:t>综合仓库</w:t>
            </w:r>
          </w:p>
        </w:tc>
        <w:tc>
          <w:tcPr>
            <w:tcW w:w="1811" w:type="pct"/>
            <w:tcMar>
              <w:left w:w="0" w:type="dxa"/>
              <w:right w:w="0" w:type="dxa"/>
            </w:tcMar>
            <w:vAlign w:val="center"/>
          </w:tcPr>
          <w:p w14:paraId="50B95786">
            <w:pPr>
              <w:adjustRightInd w:val="0"/>
              <w:snapToGrid w:val="0"/>
              <w:spacing w:line="240" w:lineRule="auto"/>
              <w:ind w:firstLine="0" w:firstLineChars="0"/>
              <w:rPr>
                <w:sz w:val="21"/>
                <w:szCs w:val="20"/>
              </w:rPr>
            </w:pPr>
            <w:r>
              <w:rPr>
                <w:rFonts w:hint="eastAsia"/>
                <w:sz w:val="21"/>
                <w:szCs w:val="20"/>
              </w:rPr>
              <w:t>占地面积</w:t>
            </w:r>
            <w:r>
              <w:rPr>
                <w:sz w:val="21"/>
                <w:szCs w:val="20"/>
              </w:rPr>
              <w:t>1050</w:t>
            </w:r>
            <w:r>
              <w:rPr>
                <w:rFonts w:hint="eastAsia"/>
                <w:sz w:val="21"/>
                <w:szCs w:val="20"/>
              </w:rPr>
              <w:t>m</w:t>
            </w:r>
            <w:r>
              <w:rPr>
                <w:sz w:val="21"/>
                <w:szCs w:val="20"/>
                <w:vertAlign w:val="superscript"/>
              </w:rPr>
              <w:t>2</w:t>
            </w:r>
            <w:r>
              <w:rPr>
                <w:rFonts w:hint="eastAsia"/>
                <w:sz w:val="21"/>
                <w:szCs w:val="20"/>
              </w:rPr>
              <w:t>，1F，高度为7</w:t>
            </w:r>
            <w:r>
              <w:rPr>
                <w:sz w:val="21"/>
                <w:szCs w:val="20"/>
              </w:rPr>
              <w:t>.0</w:t>
            </w:r>
            <w:r>
              <w:rPr>
                <w:rFonts w:hint="eastAsia"/>
                <w:sz w:val="21"/>
                <w:szCs w:val="20"/>
              </w:rPr>
              <w:t>m。</w:t>
            </w:r>
          </w:p>
        </w:tc>
        <w:tc>
          <w:tcPr>
            <w:tcW w:w="2114" w:type="pct"/>
            <w:tcMar>
              <w:left w:w="0" w:type="dxa"/>
              <w:right w:w="0" w:type="dxa"/>
            </w:tcMar>
            <w:vAlign w:val="center"/>
          </w:tcPr>
          <w:p w14:paraId="7ACB0B8F">
            <w:pPr>
              <w:adjustRightInd w:val="0"/>
              <w:snapToGrid w:val="0"/>
              <w:spacing w:line="240" w:lineRule="auto"/>
              <w:ind w:firstLine="0" w:firstLineChars="0"/>
              <w:jc w:val="center"/>
              <w:rPr>
                <w:rFonts w:hint="eastAsia"/>
                <w:sz w:val="21"/>
                <w:szCs w:val="20"/>
              </w:rPr>
            </w:pPr>
            <w:r>
              <w:rPr>
                <w:rFonts w:hint="eastAsia"/>
                <w:sz w:val="21"/>
                <w:szCs w:val="20"/>
                <w:lang w:val="en-US" w:eastAsia="zh-CN"/>
              </w:rPr>
              <w:t>维持原环评报告建设内容及规模不发生变动</w:t>
            </w:r>
          </w:p>
        </w:tc>
        <w:tc>
          <w:tcPr>
            <w:tcW w:w="360" w:type="pct"/>
            <w:tcMar>
              <w:left w:w="0" w:type="dxa"/>
              <w:right w:w="0" w:type="dxa"/>
            </w:tcMar>
            <w:vAlign w:val="center"/>
          </w:tcPr>
          <w:p w14:paraId="289D5CA4">
            <w:pPr>
              <w:adjustRightInd w:val="0"/>
              <w:snapToGrid w:val="0"/>
              <w:spacing w:line="240" w:lineRule="auto"/>
              <w:ind w:firstLine="0" w:firstLineChars="0"/>
              <w:jc w:val="center"/>
              <w:rPr>
                <w:rFonts w:hint="eastAsia"/>
                <w:sz w:val="21"/>
                <w:szCs w:val="20"/>
              </w:rPr>
            </w:pPr>
            <w:r>
              <w:rPr>
                <w:rFonts w:hint="eastAsia"/>
                <w:sz w:val="21"/>
                <w:szCs w:val="20"/>
                <w:lang w:val="en-US" w:eastAsia="zh-CN"/>
              </w:rPr>
              <w:t>未建成</w:t>
            </w:r>
          </w:p>
        </w:tc>
      </w:tr>
      <w:tr w14:paraId="49A3A1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22EAAF47">
            <w:pPr>
              <w:adjustRightInd w:val="0"/>
              <w:snapToGrid w:val="0"/>
              <w:spacing w:line="240" w:lineRule="auto"/>
              <w:ind w:firstLine="0" w:firstLineChars="0"/>
              <w:jc w:val="center"/>
              <w:rPr>
                <w:sz w:val="21"/>
                <w:szCs w:val="20"/>
              </w:rPr>
            </w:pPr>
          </w:p>
        </w:tc>
        <w:tc>
          <w:tcPr>
            <w:tcW w:w="585" w:type="pct"/>
            <w:gridSpan w:val="3"/>
            <w:vAlign w:val="center"/>
          </w:tcPr>
          <w:p w14:paraId="12614C9B">
            <w:pPr>
              <w:adjustRightInd w:val="0"/>
              <w:snapToGrid w:val="0"/>
              <w:spacing w:line="240" w:lineRule="auto"/>
              <w:ind w:firstLine="0" w:firstLineChars="0"/>
              <w:jc w:val="center"/>
              <w:rPr>
                <w:sz w:val="21"/>
                <w:szCs w:val="20"/>
              </w:rPr>
            </w:pPr>
            <w:r>
              <w:rPr>
                <w:rFonts w:hint="eastAsia"/>
                <w:sz w:val="21"/>
                <w:szCs w:val="20"/>
              </w:rPr>
              <w:t>1</w:t>
            </w:r>
            <w:r>
              <w:rPr>
                <w:sz w:val="21"/>
                <w:szCs w:val="20"/>
              </w:rPr>
              <w:t>#</w:t>
            </w:r>
            <w:r>
              <w:rPr>
                <w:rFonts w:hint="eastAsia"/>
                <w:sz w:val="21"/>
                <w:szCs w:val="20"/>
              </w:rPr>
              <w:t>储罐区</w:t>
            </w:r>
          </w:p>
        </w:tc>
        <w:tc>
          <w:tcPr>
            <w:tcW w:w="1811" w:type="pct"/>
            <w:tcMar>
              <w:left w:w="0" w:type="dxa"/>
              <w:right w:w="0" w:type="dxa"/>
            </w:tcMar>
            <w:vAlign w:val="center"/>
          </w:tcPr>
          <w:p w14:paraId="50401F20">
            <w:pPr>
              <w:adjustRightInd w:val="0"/>
              <w:snapToGrid w:val="0"/>
              <w:spacing w:line="240" w:lineRule="auto"/>
              <w:ind w:firstLine="0" w:firstLineChars="0"/>
              <w:rPr>
                <w:sz w:val="21"/>
                <w:szCs w:val="20"/>
              </w:rPr>
            </w:pPr>
            <w:r>
              <w:rPr>
                <w:rFonts w:hint="eastAsia"/>
                <w:sz w:val="21"/>
                <w:szCs w:val="20"/>
              </w:rPr>
              <w:t>位于厂区中部，长9</w:t>
            </w:r>
            <w:r>
              <w:rPr>
                <w:sz w:val="21"/>
                <w:szCs w:val="20"/>
              </w:rPr>
              <w:t>6.1</w:t>
            </w:r>
            <w:r>
              <w:rPr>
                <w:rFonts w:hint="eastAsia"/>
                <w:sz w:val="21"/>
                <w:szCs w:val="20"/>
              </w:rPr>
              <w:t>m宽7</w:t>
            </w:r>
            <w:r>
              <w:rPr>
                <w:sz w:val="21"/>
                <w:szCs w:val="20"/>
              </w:rPr>
              <w:t>8.6</w:t>
            </w:r>
            <w:r>
              <w:rPr>
                <w:rFonts w:hint="eastAsia"/>
                <w:sz w:val="21"/>
                <w:szCs w:val="20"/>
              </w:rPr>
              <w:t>m，共设置</w:t>
            </w:r>
            <w:r>
              <w:rPr>
                <w:sz w:val="21"/>
                <w:szCs w:val="20"/>
              </w:rPr>
              <w:t>8</w:t>
            </w:r>
            <w:r>
              <w:rPr>
                <w:rFonts w:hint="eastAsia"/>
                <w:sz w:val="21"/>
                <w:szCs w:val="20"/>
              </w:rPr>
              <w:t>个储罐，每个储罐容积为1</w:t>
            </w:r>
            <w:r>
              <w:rPr>
                <w:sz w:val="21"/>
                <w:szCs w:val="20"/>
              </w:rPr>
              <w:t>000</w:t>
            </w:r>
            <w:r>
              <w:rPr>
                <w:rFonts w:hint="eastAsia"/>
                <w:sz w:val="21"/>
                <w:szCs w:val="20"/>
              </w:rPr>
              <w:t>m</w:t>
            </w:r>
            <w:r>
              <w:rPr>
                <w:sz w:val="21"/>
                <w:szCs w:val="20"/>
                <w:vertAlign w:val="superscript"/>
              </w:rPr>
              <w:t>3</w:t>
            </w:r>
            <w:r>
              <w:rPr>
                <w:rFonts w:hint="eastAsia"/>
                <w:sz w:val="21"/>
                <w:szCs w:val="20"/>
              </w:rPr>
              <w:t>，均为固定顶罐。其中原料储罐、产品储罐各4个。</w:t>
            </w:r>
          </w:p>
        </w:tc>
        <w:tc>
          <w:tcPr>
            <w:tcW w:w="2114" w:type="pct"/>
            <w:tcMar>
              <w:left w:w="0" w:type="dxa"/>
              <w:right w:w="0" w:type="dxa"/>
            </w:tcMar>
            <w:vAlign w:val="center"/>
          </w:tcPr>
          <w:p w14:paraId="26AB8062">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罐区位置不变，占地面积不变，共设计20个储罐，均为固定顶罐，储罐容积不变，其中8个为一期建设内容（</w:t>
            </w:r>
            <w:r>
              <w:rPr>
                <w:rFonts w:hint="eastAsia"/>
                <w:sz w:val="21"/>
                <w:szCs w:val="20"/>
              </w:rPr>
              <w:t>原料储罐、产品储罐各4个</w:t>
            </w:r>
            <w:r>
              <w:rPr>
                <w:rFonts w:hint="eastAsia"/>
                <w:sz w:val="21"/>
                <w:szCs w:val="20"/>
                <w:lang w:val="en-US" w:eastAsia="zh-CN"/>
              </w:rPr>
              <w:t>），12个为二期建设内容。</w:t>
            </w:r>
          </w:p>
        </w:tc>
        <w:tc>
          <w:tcPr>
            <w:tcW w:w="360" w:type="pct"/>
            <w:tcMar>
              <w:left w:w="0" w:type="dxa"/>
              <w:right w:w="0" w:type="dxa"/>
            </w:tcMar>
            <w:vAlign w:val="center"/>
          </w:tcPr>
          <w:p w14:paraId="55EBDBBC">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一期8个储罐已建成。</w:t>
            </w:r>
          </w:p>
        </w:tc>
      </w:tr>
      <w:tr w14:paraId="1C660A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70DF1BD2">
            <w:pPr>
              <w:adjustRightInd w:val="0"/>
              <w:snapToGrid w:val="0"/>
              <w:spacing w:line="240" w:lineRule="auto"/>
              <w:ind w:firstLine="0" w:firstLineChars="0"/>
              <w:jc w:val="center"/>
              <w:rPr>
                <w:sz w:val="21"/>
                <w:szCs w:val="20"/>
              </w:rPr>
            </w:pPr>
          </w:p>
        </w:tc>
        <w:tc>
          <w:tcPr>
            <w:tcW w:w="585" w:type="pct"/>
            <w:gridSpan w:val="3"/>
            <w:vAlign w:val="center"/>
          </w:tcPr>
          <w:p w14:paraId="3CD9225E">
            <w:pPr>
              <w:adjustRightInd w:val="0"/>
              <w:snapToGrid w:val="0"/>
              <w:spacing w:line="240" w:lineRule="auto"/>
              <w:ind w:firstLine="0" w:firstLineChars="0"/>
              <w:jc w:val="center"/>
              <w:rPr>
                <w:sz w:val="21"/>
                <w:szCs w:val="20"/>
              </w:rPr>
            </w:pPr>
            <w:r>
              <w:rPr>
                <w:rFonts w:hint="eastAsia"/>
                <w:sz w:val="21"/>
                <w:szCs w:val="20"/>
              </w:rPr>
              <w:t>2</w:t>
            </w:r>
            <w:r>
              <w:rPr>
                <w:sz w:val="21"/>
                <w:szCs w:val="20"/>
              </w:rPr>
              <w:t>#</w:t>
            </w:r>
            <w:r>
              <w:rPr>
                <w:rFonts w:hint="eastAsia"/>
                <w:sz w:val="21"/>
                <w:szCs w:val="20"/>
              </w:rPr>
              <w:t>储罐区</w:t>
            </w:r>
          </w:p>
        </w:tc>
        <w:tc>
          <w:tcPr>
            <w:tcW w:w="1811" w:type="pct"/>
            <w:tcMar>
              <w:left w:w="0" w:type="dxa"/>
              <w:right w:w="0" w:type="dxa"/>
            </w:tcMar>
            <w:vAlign w:val="center"/>
          </w:tcPr>
          <w:p w14:paraId="4736BA39">
            <w:pPr>
              <w:adjustRightInd w:val="0"/>
              <w:snapToGrid w:val="0"/>
              <w:spacing w:line="240" w:lineRule="auto"/>
              <w:ind w:firstLine="0" w:firstLineChars="0"/>
              <w:rPr>
                <w:bCs/>
                <w:sz w:val="21"/>
                <w:szCs w:val="20"/>
              </w:rPr>
            </w:pPr>
            <w:r>
              <w:rPr>
                <w:rFonts w:hint="eastAsia"/>
                <w:bCs/>
                <w:sz w:val="21"/>
                <w:szCs w:val="20"/>
              </w:rPr>
              <w:t>位于厂区北部，润滑脂车间西面，综合仓库南面，占地面积3</w:t>
            </w:r>
            <w:r>
              <w:rPr>
                <w:bCs/>
                <w:sz w:val="21"/>
                <w:szCs w:val="20"/>
              </w:rPr>
              <w:t>364.0</w:t>
            </w:r>
            <w:r>
              <w:rPr>
                <w:rFonts w:hint="eastAsia"/>
                <w:bCs/>
                <w:sz w:val="21"/>
                <w:szCs w:val="20"/>
              </w:rPr>
              <w:t>m</w:t>
            </w:r>
            <w:r>
              <w:rPr>
                <w:bCs/>
                <w:sz w:val="21"/>
                <w:szCs w:val="20"/>
                <w:vertAlign w:val="superscript"/>
              </w:rPr>
              <w:t>2</w:t>
            </w:r>
            <w:r>
              <w:rPr>
                <w:rFonts w:hint="eastAsia"/>
                <w:bCs/>
                <w:sz w:val="21"/>
                <w:szCs w:val="20"/>
              </w:rPr>
              <w:t>，为边长5</w:t>
            </w:r>
            <w:r>
              <w:rPr>
                <w:bCs/>
                <w:sz w:val="21"/>
                <w:szCs w:val="20"/>
              </w:rPr>
              <w:t>8.6</w:t>
            </w:r>
            <w:r>
              <w:rPr>
                <w:rFonts w:hint="eastAsia"/>
                <w:bCs/>
                <w:sz w:val="21"/>
                <w:szCs w:val="20"/>
              </w:rPr>
              <w:t>m的矩形，共设置</w:t>
            </w:r>
            <w:r>
              <w:rPr>
                <w:bCs/>
                <w:sz w:val="21"/>
                <w:szCs w:val="20"/>
              </w:rPr>
              <w:t>21</w:t>
            </w:r>
            <w:r>
              <w:rPr>
                <w:rFonts w:hint="eastAsia"/>
                <w:bCs/>
                <w:sz w:val="21"/>
                <w:szCs w:val="20"/>
              </w:rPr>
              <w:t>个储罐，</w:t>
            </w:r>
            <w:r>
              <w:rPr>
                <w:rFonts w:hint="eastAsia"/>
                <w:sz w:val="21"/>
                <w:szCs w:val="20"/>
              </w:rPr>
              <w:t>每个储罐容积为1</w:t>
            </w:r>
            <w:r>
              <w:rPr>
                <w:sz w:val="21"/>
                <w:szCs w:val="20"/>
              </w:rPr>
              <w:t>000</w:t>
            </w:r>
            <w:r>
              <w:rPr>
                <w:rFonts w:hint="eastAsia"/>
                <w:sz w:val="21"/>
                <w:szCs w:val="20"/>
              </w:rPr>
              <w:t>m</w:t>
            </w:r>
            <w:r>
              <w:rPr>
                <w:sz w:val="21"/>
                <w:szCs w:val="20"/>
                <w:vertAlign w:val="superscript"/>
              </w:rPr>
              <w:t>3</w:t>
            </w:r>
            <w:r>
              <w:rPr>
                <w:rFonts w:hint="eastAsia"/>
                <w:sz w:val="21"/>
                <w:szCs w:val="20"/>
              </w:rPr>
              <w:t>，均为固定顶罐。其中原料储罐1</w:t>
            </w:r>
            <w:r>
              <w:rPr>
                <w:sz w:val="21"/>
                <w:szCs w:val="20"/>
              </w:rPr>
              <w:t>1</w:t>
            </w:r>
            <w:r>
              <w:rPr>
                <w:rFonts w:hint="eastAsia"/>
                <w:sz w:val="21"/>
                <w:szCs w:val="20"/>
              </w:rPr>
              <w:t>个，产品储罐1</w:t>
            </w:r>
            <w:r>
              <w:rPr>
                <w:sz w:val="21"/>
                <w:szCs w:val="20"/>
              </w:rPr>
              <w:t>0</w:t>
            </w:r>
            <w:r>
              <w:rPr>
                <w:rFonts w:hint="eastAsia"/>
                <w:sz w:val="21"/>
                <w:szCs w:val="20"/>
              </w:rPr>
              <w:t>个。</w:t>
            </w:r>
          </w:p>
        </w:tc>
        <w:tc>
          <w:tcPr>
            <w:tcW w:w="2114" w:type="pct"/>
            <w:shd w:val="clear" w:color="auto" w:fill="auto"/>
            <w:tcMar>
              <w:left w:w="0" w:type="dxa"/>
              <w:right w:w="0" w:type="dxa"/>
            </w:tcMar>
            <w:vAlign w:val="center"/>
          </w:tcPr>
          <w:p w14:paraId="45F6E232">
            <w:pPr>
              <w:adjustRightInd w:val="0"/>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sz w:val="21"/>
                <w:szCs w:val="20"/>
                <w:lang w:val="en-US" w:eastAsia="zh-CN"/>
              </w:rPr>
              <w:t>罐区位置不变，占地面积不变，共设计9个储罐，均为固定顶罐，储罐容积不变，均为二期建设内容。</w:t>
            </w:r>
          </w:p>
        </w:tc>
        <w:tc>
          <w:tcPr>
            <w:tcW w:w="360" w:type="pct"/>
            <w:shd w:val="clear" w:color="auto" w:fill="auto"/>
            <w:tcMar>
              <w:left w:w="0" w:type="dxa"/>
              <w:right w:w="0" w:type="dxa"/>
            </w:tcMar>
            <w:vAlign w:val="center"/>
          </w:tcPr>
          <w:p w14:paraId="66C34515">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未建成</w:t>
            </w:r>
          </w:p>
        </w:tc>
      </w:tr>
      <w:tr w14:paraId="310EA9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7C69F999">
            <w:pPr>
              <w:adjustRightInd w:val="0"/>
              <w:snapToGrid w:val="0"/>
              <w:spacing w:line="240" w:lineRule="auto"/>
              <w:ind w:firstLine="0" w:firstLineChars="0"/>
              <w:jc w:val="center"/>
              <w:rPr>
                <w:sz w:val="21"/>
                <w:szCs w:val="20"/>
              </w:rPr>
            </w:pPr>
          </w:p>
        </w:tc>
        <w:tc>
          <w:tcPr>
            <w:tcW w:w="183" w:type="pct"/>
            <w:vAlign w:val="center"/>
          </w:tcPr>
          <w:p w14:paraId="51019909">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3C08C955">
            <w:pPr>
              <w:adjustRightInd w:val="0"/>
              <w:snapToGrid w:val="0"/>
              <w:spacing w:line="240" w:lineRule="auto"/>
              <w:ind w:firstLine="0" w:firstLineChars="0"/>
              <w:jc w:val="center"/>
              <w:rPr>
                <w:sz w:val="21"/>
                <w:szCs w:val="20"/>
              </w:rPr>
            </w:pPr>
            <w:r>
              <w:rPr>
                <w:rFonts w:hint="eastAsia"/>
                <w:sz w:val="21"/>
                <w:szCs w:val="20"/>
              </w:rPr>
              <w:t>硫酸储罐</w:t>
            </w:r>
          </w:p>
        </w:tc>
        <w:tc>
          <w:tcPr>
            <w:tcW w:w="1811" w:type="pct"/>
            <w:tcMar>
              <w:left w:w="0" w:type="dxa"/>
              <w:right w:w="0" w:type="dxa"/>
            </w:tcMar>
            <w:vAlign w:val="center"/>
          </w:tcPr>
          <w:p w14:paraId="2EF2E8D5">
            <w:pPr>
              <w:adjustRightInd w:val="0"/>
              <w:snapToGrid w:val="0"/>
              <w:spacing w:line="240" w:lineRule="auto"/>
              <w:ind w:firstLine="0" w:firstLineChars="0"/>
              <w:rPr>
                <w:bCs/>
                <w:sz w:val="21"/>
                <w:szCs w:val="20"/>
              </w:rPr>
            </w:pPr>
            <w:r>
              <w:rPr>
                <w:rFonts w:hint="eastAsia"/>
                <w:bCs/>
                <w:sz w:val="21"/>
                <w:szCs w:val="20"/>
              </w:rPr>
              <w:t>本项目在润滑油辅料仓库设置硫酸储罐1个，容积6</w:t>
            </w:r>
            <w:r>
              <w:rPr>
                <w:bCs/>
                <w:sz w:val="21"/>
                <w:szCs w:val="20"/>
              </w:rPr>
              <w:t>0</w:t>
            </w:r>
            <w:r>
              <w:rPr>
                <w:rFonts w:hint="eastAsia"/>
                <w:bCs/>
                <w:sz w:val="21"/>
                <w:szCs w:val="20"/>
              </w:rPr>
              <w:t>m</w:t>
            </w:r>
            <w:r>
              <w:rPr>
                <w:bCs/>
                <w:sz w:val="21"/>
                <w:szCs w:val="20"/>
                <w:vertAlign w:val="superscript"/>
              </w:rPr>
              <w:t>3</w:t>
            </w:r>
            <w:r>
              <w:rPr>
                <w:rFonts w:hint="eastAsia"/>
                <w:bCs/>
                <w:sz w:val="21"/>
                <w:szCs w:val="20"/>
              </w:rPr>
              <w:t>。</w:t>
            </w:r>
          </w:p>
        </w:tc>
        <w:tc>
          <w:tcPr>
            <w:tcW w:w="2114" w:type="pct"/>
            <w:shd w:val="clear" w:color="auto" w:fill="auto"/>
            <w:tcMar>
              <w:left w:w="0" w:type="dxa"/>
              <w:right w:w="0" w:type="dxa"/>
            </w:tcMar>
            <w:vAlign w:val="center"/>
          </w:tcPr>
          <w:p w14:paraId="7A3C34B4">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72225C21">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48278A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6B607780">
            <w:pPr>
              <w:adjustRightInd w:val="0"/>
              <w:snapToGrid w:val="0"/>
              <w:spacing w:line="240" w:lineRule="auto"/>
              <w:ind w:firstLine="0" w:firstLineChars="0"/>
              <w:jc w:val="center"/>
              <w:rPr>
                <w:sz w:val="21"/>
                <w:szCs w:val="20"/>
              </w:rPr>
            </w:pPr>
          </w:p>
        </w:tc>
        <w:tc>
          <w:tcPr>
            <w:tcW w:w="183" w:type="pct"/>
            <w:vAlign w:val="center"/>
          </w:tcPr>
          <w:p w14:paraId="3CBA7CBB">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6A66E8DB">
            <w:pPr>
              <w:adjustRightInd w:val="0"/>
              <w:snapToGrid w:val="0"/>
              <w:spacing w:line="240" w:lineRule="auto"/>
              <w:ind w:firstLine="0" w:firstLineChars="0"/>
              <w:jc w:val="center"/>
              <w:rPr>
                <w:sz w:val="21"/>
                <w:szCs w:val="20"/>
              </w:rPr>
            </w:pPr>
            <w:r>
              <w:rPr>
                <w:rFonts w:hint="eastAsia"/>
                <w:sz w:val="21"/>
                <w:szCs w:val="20"/>
              </w:rPr>
              <w:t>氨水储罐</w:t>
            </w:r>
          </w:p>
        </w:tc>
        <w:tc>
          <w:tcPr>
            <w:tcW w:w="1811" w:type="pct"/>
            <w:tcMar>
              <w:left w:w="0" w:type="dxa"/>
              <w:right w:w="0" w:type="dxa"/>
            </w:tcMar>
            <w:vAlign w:val="center"/>
          </w:tcPr>
          <w:p w14:paraId="066701AB">
            <w:pPr>
              <w:adjustRightInd w:val="0"/>
              <w:snapToGrid w:val="0"/>
              <w:spacing w:line="240" w:lineRule="auto"/>
              <w:ind w:firstLine="0" w:firstLineChars="0"/>
              <w:rPr>
                <w:bCs/>
                <w:sz w:val="21"/>
                <w:szCs w:val="20"/>
              </w:rPr>
            </w:pPr>
            <w:r>
              <w:rPr>
                <w:rFonts w:hint="eastAsia"/>
                <w:bCs/>
                <w:sz w:val="21"/>
                <w:szCs w:val="20"/>
              </w:rPr>
              <w:t>本项目在润滑油辅料仓库设置氨水罐区，并设置卧式储罐</w:t>
            </w:r>
            <w:r>
              <w:rPr>
                <w:bCs/>
                <w:sz w:val="21"/>
                <w:szCs w:val="20"/>
              </w:rPr>
              <w:t>4</w:t>
            </w:r>
            <w:r>
              <w:rPr>
                <w:rFonts w:hint="eastAsia"/>
                <w:bCs/>
                <w:sz w:val="21"/>
                <w:szCs w:val="20"/>
              </w:rPr>
              <w:t>个，每个容积</w:t>
            </w:r>
            <w:r>
              <w:rPr>
                <w:bCs/>
                <w:sz w:val="21"/>
                <w:szCs w:val="20"/>
              </w:rPr>
              <w:t>10</w:t>
            </w:r>
            <w:r>
              <w:rPr>
                <w:rFonts w:hint="eastAsia"/>
                <w:bCs/>
                <w:sz w:val="21"/>
                <w:szCs w:val="20"/>
              </w:rPr>
              <w:t>m</w:t>
            </w:r>
            <w:r>
              <w:rPr>
                <w:bCs/>
                <w:sz w:val="21"/>
                <w:szCs w:val="20"/>
                <w:vertAlign w:val="superscript"/>
              </w:rPr>
              <w:t>3</w:t>
            </w:r>
            <w:r>
              <w:rPr>
                <w:rFonts w:hint="eastAsia"/>
                <w:bCs/>
                <w:sz w:val="21"/>
                <w:szCs w:val="20"/>
              </w:rPr>
              <w:t>。</w:t>
            </w:r>
          </w:p>
        </w:tc>
        <w:tc>
          <w:tcPr>
            <w:tcW w:w="2114" w:type="pct"/>
            <w:shd w:val="clear" w:color="auto" w:fill="auto"/>
            <w:tcMar>
              <w:left w:w="0" w:type="dxa"/>
              <w:right w:w="0" w:type="dxa"/>
            </w:tcMar>
            <w:vAlign w:val="center"/>
          </w:tcPr>
          <w:p w14:paraId="79FFD1EA">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726435F1">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57D775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43EEEDDE">
            <w:pPr>
              <w:adjustRightInd w:val="0"/>
              <w:snapToGrid w:val="0"/>
              <w:spacing w:line="240" w:lineRule="auto"/>
              <w:ind w:firstLine="0" w:firstLineChars="0"/>
              <w:jc w:val="center"/>
              <w:rPr>
                <w:sz w:val="21"/>
                <w:szCs w:val="20"/>
              </w:rPr>
            </w:pPr>
          </w:p>
        </w:tc>
        <w:tc>
          <w:tcPr>
            <w:tcW w:w="183" w:type="pct"/>
            <w:vAlign w:val="center"/>
          </w:tcPr>
          <w:p w14:paraId="0A6E294B">
            <w:pPr>
              <w:adjustRightInd w:val="0"/>
              <w:snapToGrid w:val="0"/>
              <w:spacing w:line="240" w:lineRule="auto"/>
              <w:ind w:firstLine="0" w:firstLineChars="0"/>
              <w:jc w:val="center"/>
              <w:rPr>
                <w:sz w:val="21"/>
                <w:szCs w:val="20"/>
              </w:rPr>
            </w:pPr>
            <w:r>
              <w:rPr>
                <w:rFonts w:hint="eastAsia"/>
                <w:sz w:val="21"/>
                <w:szCs w:val="20"/>
              </w:rPr>
              <w:t>二期</w:t>
            </w:r>
          </w:p>
        </w:tc>
        <w:tc>
          <w:tcPr>
            <w:tcW w:w="402" w:type="pct"/>
            <w:gridSpan w:val="2"/>
            <w:tcMar>
              <w:left w:w="0" w:type="dxa"/>
              <w:right w:w="0" w:type="dxa"/>
            </w:tcMar>
            <w:vAlign w:val="center"/>
          </w:tcPr>
          <w:p w14:paraId="7DD279DA">
            <w:pPr>
              <w:adjustRightInd w:val="0"/>
              <w:snapToGrid w:val="0"/>
              <w:spacing w:line="240" w:lineRule="auto"/>
              <w:ind w:firstLine="0" w:firstLineChars="0"/>
              <w:jc w:val="center"/>
              <w:rPr>
                <w:sz w:val="21"/>
                <w:szCs w:val="20"/>
              </w:rPr>
            </w:pPr>
            <w:r>
              <w:rPr>
                <w:rFonts w:hint="eastAsia"/>
                <w:sz w:val="21"/>
                <w:szCs w:val="20"/>
              </w:rPr>
              <w:t>堆场</w:t>
            </w:r>
          </w:p>
        </w:tc>
        <w:tc>
          <w:tcPr>
            <w:tcW w:w="1811" w:type="pct"/>
            <w:tcMar>
              <w:left w:w="0" w:type="dxa"/>
              <w:right w:w="0" w:type="dxa"/>
            </w:tcMar>
            <w:vAlign w:val="center"/>
          </w:tcPr>
          <w:p w14:paraId="733DCEC3">
            <w:pPr>
              <w:adjustRightInd w:val="0"/>
              <w:snapToGrid w:val="0"/>
              <w:spacing w:line="240" w:lineRule="auto"/>
              <w:ind w:firstLine="0" w:firstLineChars="0"/>
              <w:rPr>
                <w:bCs/>
                <w:sz w:val="21"/>
                <w:szCs w:val="20"/>
              </w:rPr>
            </w:pPr>
            <w:r>
              <w:rPr>
                <w:rFonts w:hint="eastAsia"/>
                <w:bCs/>
                <w:sz w:val="21"/>
                <w:szCs w:val="20"/>
              </w:rPr>
              <w:t>占地面积为4</w:t>
            </w:r>
            <w:r>
              <w:rPr>
                <w:bCs/>
                <w:sz w:val="21"/>
                <w:szCs w:val="20"/>
              </w:rPr>
              <w:t>067</w:t>
            </w:r>
            <w:r>
              <w:rPr>
                <w:rFonts w:hint="eastAsia"/>
                <w:bCs/>
                <w:sz w:val="21"/>
                <w:szCs w:val="20"/>
              </w:rPr>
              <w:t>m</w:t>
            </w:r>
            <w:r>
              <w:rPr>
                <w:bCs/>
                <w:sz w:val="21"/>
                <w:szCs w:val="20"/>
                <w:vertAlign w:val="superscript"/>
              </w:rPr>
              <w:t>2</w:t>
            </w:r>
          </w:p>
        </w:tc>
        <w:tc>
          <w:tcPr>
            <w:tcW w:w="2114" w:type="pct"/>
            <w:shd w:val="clear" w:color="auto" w:fill="auto"/>
            <w:tcMar>
              <w:left w:w="0" w:type="dxa"/>
              <w:right w:w="0" w:type="dxa"/>
            </w:tcMar>
            <w:vAlign w:val="center"/>
          </w:tcPr>
          <w:p w14:paraId="17162694">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4D0D90DA">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未建成</w:t>
            </w:r>
          </w:p>
        </w:tc>
      </w:tr>
      <w:tr w14:paraId="21FF04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2BA5DD89">
            <w:pPr>
              <w:adjustRightInd w:val="0"/>
              <w:snapToGrid w:val="0"/>
              <w:spacing w:line="240" w:lineRule="auto"/>
              <w:ind w:firstLine="0" w:firstLineChars="0"/>
              <w:jc w:val="center"/>
              <w:rPr>
                <w:sz w:val="21"/>
                <w:szCs w:val="20"/>
              </w:rPr>
            </w:pPr>
          </w:p>
        </w:tc>
        <w:tc>
          <w:tcPr>
            <w:tcW w:w="183" w:type="pct"/>
            <w:vAlign w:val="center"/>
          </w:tcPr>
          <w:p w14:paraId="4DB2BF6B">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62ACADCD">
            <w:pPr>
              <w:adjustRightInd w:val="0"/>
              <w:snapToGrid w:val="0"/>
              <w:spacing w:line="240" w:lineRule="auto"/>
              <w:ind w:firstLine="0" w:firstLineChars="0"/>
              <w:jc w:val="center"/>
              <w:rPr>
                <w:sz w:val="21"/>
                <w:szCs w:val="20"/>
              </w:rPr>
            </w:pPr>
            <w:r>
              <w:rPr>
                <w:rFonts w:hint="eastAsia"/>
                <w:sz w:val="21"/>
                <w:szCs w:val="20"/>
              </w:rPr>
              <w:t>装卸区</w:t>
            </w:r>
          </w:p>
        </w:tc>
        <w:tc>
          <w:tcPr>
            <w:tcW w:w="1811" w:type="pct"/>
            <w:tcMar>
              <w:left w:w="0" w:type="dxa"/>
              <w:right w:w="0" w:type="dxa"/>
            </w:tcMar>
            <w:vAlign w:val="center"/>
          </w:tcPr>
          <w:p w14:paraId="49F9786E">
            <w:pPr>
              <w:adjustRightInd w:val="0"/>
              <w:snapToGrid w:val="0"/>
              <w:spacing w:line="240" w:lineRule="auto"/>
              <w:ind w:firstLine="0" w:firstLineChars="0"/>
              <w:rPr>
                <w:bCs/>
                <w:sz w:val="21"/>
                <w:szCs w:val="20"/>
              </w:rPr>
            </w:pPr>
            <w:r>
              <w:rPr>
                <w:rFonts w:hint="eastAsia"/>
                <w:bCs/>
                <w:sz w:val="21"/>
                <w:szCs w:val="20"/>
              </w:rPr>
              <w:t>位于1</w:t>
            </w:r>
            <w:r>
              <w:rPr>
                <w:bCs/>
                <w:sz w:val="21"/>
                <w:szCs w:val="20"/>
              </w:rPr>
              <w:t>#</w:t>
            </w:r>
            <w:r>
              <w:rPr>
                <w:rFonts w:hint="eastAsia"/>
                <w:bCs/>
                <w:sz w:val="21"/>
                <w:szCs w:val="20"/>
              </w:rPr>
              <w:t>罐区南侧和办公楼北侧中间区域，占地面积为4</w:t>
            </w:r>
            <w:r>
              <w:rPr>
                <w:bCs/>
                <w:sz w:val="21"/>
                <w:szCs w:val="20"/>
              </w:rPr>
              <w:t>898.0</w:t>
            </w:r>
            <w:r>
              <w:rPr>
                <w:rFonts w:hint="eastAsia"/>
                <w:bCs/>
                <w:sz w:val="21"/>
                <w:szCs w:val="20"/>
              </w:rPr>
              <w:t>m</w:t>
            </w:r>
            <w:r>
              <w:rPr>
                <w:bCs/>
                <w:sz w:val="21"/>
                <w:szCs w:val="20"/>
                <w:vertAlign w:val="superscript"/>
              </w:rPr>
              <w:t>2</w:t>
            </w:r>
            <w:r>
              <w:rPr>
                <w:rFonts w:hint="eastAsia"/>
                <w:bCs/>
                <w:sz w:val="21"/>
                <w:szCs w:val="20"/>
              </w:rPr>
              <w:t>，全部是硬化场地。设置装车泵棚、罐区泵棚各1座，卸油槽3个，装车鹤位4处。</w:t>
            </w:r>
          </w:p>
        </w:tc>
        <w:tc>
          <w:tcPr>
            <w:tcW w:w="2114" w:type="pct"/>
            <w:shd w:val="clear" w:color="auto" w:fill="auto"/>
            <w:tcMar>
              <w:left w:w="0" w:type="dxa"/>
              <w:right w:w="0" w:type="dxa"/>
            </w:tcMar>
            <w:vAlign w:val="center"/>
          </w:tcPr>
          <w:p w14:paraId="4D627395">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41139AA1">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336A56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restart"/>
            <w:tcMar>
              <w:left w:w="0" w:type="dxa"/>
              <w:right w:w="0" w:type="dxa"/>
            </w:tcMar>
            <w:vAlign w:val="center"/>
          </w:tcPr>
          <w:p w14:paraId="75A1C68B">
            <w:pPr>
              <w:adjustRightInd w:val="0"/>
              <w:snapToGrid w:val="0"/>
              <w:spacing w:line="240" w:lineRule="auto"/>
              <w:ind w:firstLine="0" w:firstLineChars="0"/>
              <w:jc w:val="center"/>
              <w:rPr>
                <w:sz w:val="21"/>
                <w:szCs w:val="20"/>
              </w:rPr>
            </w:pPr>
            <w:r>
              <w:rPr>
                <w:sz w:val="21"/>
                <w:szCs w:val="20"/>
              </w:rPr>
              <w:t>公用工程</w:t>
            </w:r>
          </w:p>
        </w:tc>
        <w:tc>
          <w:tcPr>
            <w:tcW w:w="183" w:type="pct"/>
            <w:vAlign w:val="center"/>
          </w:tcPr>
          <w:p w14:paraId="65CA803B">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239027EA">
            <w:pPr>
              <w:adjustRightInd w:val="0"/>
              <w:snapToGrid w:val="0"/>
              <w:spacing w:line="240" w:lineRule="auto"/>
              <w:ind w:firstLine="0" w:firstLineChars="0"/>
              <w:jc w:val="center"/>
              <w:rPr>
                <w:sz w:val="21"/>
                <w:szCs w:val="20"/>
              </w:rPr>
            </w:pPr>
            <w:r>
              <w:rPr>
                <w:sz w:val="21"/>
                <w:szCs w:val="20"/>
              </w:rPr>
              <w:t>供水</w:t>
            </w:r>
          </w:p>
        </w:tc>
        <w:tc>
          <w:tcPr>
            <w:tcW w:w="1811" w:type="pct"/>
            <w:tcMar>
              <w:left w:w="0" w:type="dxa"/>
              <w:right w:w="0" w:type="dxa"/>
            </w:tcMar>
            <w:vAlign w:val="center"/>
          </w:tcPr>
          <w:p w14:paraId="6508D7CA">
            <w:pPr>
              <w:adjustRightInd w:val="0"/>
              <w:snapToGrid w:val="0"/>
              <w:spacing w:line="240" w:lineRule="auto"/>
              <w:ind w:firstLine="0" w:firstLineChars="0"/>
              <w:rPr>
                <w:sz w:val="21"/>
                <w:szCs w:val="20"/>
              </w:rPr>
            </w:pPr>
            <w:r>
              <w:rPr>
                <w:rFonts w:hint="eastAsia"/>
                <w:sz w:val="21"/>
                <w:szCs w:val="20"/>
              </w:rPr>
              <w:t>项目生产、生活用水均由园区供水管网接入，供水水压为0</w:t>
            </w:r>
            <w:r>
              <w:rPr>
                <w:sz w:val="21"/>
                <w:szCs w:val="20"/>
              </w:rPr>
              <w:t>.3</w:t>
            </w:r>
            <w:r>
              <w:rPr>
                <w:rFonts w:hint="eastAsia"/>
                <w:sz w:val="21"/>
                <w:szCs w:val="20"/>
              </w:rPr>
              <w:t>MPa，给水管网为生产、消防合一制系统，给水总干管DN200。</w:t>
            </w:r>
          </w:p>
        </w:tc>
        <w:tc>
          <w:tcPr>
            <w:tcW w:w="2114" w:type="pct"/>
            <w:shd w:val="clear" w:color="auto" w:fill="auto"/>
            <w:tcMar>
              <w:left w:w="0" w:type="dxa"/>
              <w:right w:w="0" w:type="dxa"/>
            </w:tcMar>
            <w:vAlign w:val="center"/>
          </w:tcPr>
          <w:p w14:paraId="044CA3FD">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11D472F5">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7108F1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28" w:type="pct"/>
            <w:vMerge w:val="continue"/>
            <w:tcMar>
              <w:left w:w="0" w:type="dxa"/>
              <w:right w:w="0" w:type="dxa"/>
            </w:tcMar>
            <w:vAlign w:val="center"/>
          </w:tcPr>
          <w:p w14:paraId="16192B2C">
            <w:pPr>
              <w:adjustRightInd w:val="0"/>
              <w:snapToGrid w:val="0"/>
              <w:spacing w:line="240" w:lineRule="auto"/>
              <w:ind w:firstLine="0" w:firstLineChars="0"/>
              <w:jc w:val="center"/>
              <w:rPr>
                <w:sz w:val="21"/>
                <w:szCs w:val="20"/>
              </w:rPr>
            </w:pPr>
          </w:p>
        </w:tc>
        <w:tc>
          <w:tcPr>
            <w:tcW w:w="183" w:type="pct"/>
            <w:vAlign w:val="center"/>
          </w:tcPr>
          <w:p w14:paraId="72FC27B6">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restart"/>
            <w:tcMar>
              <w:left w:w="0" w:type="dxa"/>
              <w:right w:w="0" w:type="dxa"/>
            </w:tcMar>
            <w:vAlign w:val="center"/>
          </w:tcPr>
          <w:p w14:paraId="6FD81564">
            <w:pPr>
              <w:adjustRightInd w:val="0"/>
              <w:snapToGrid w:val="0"/>
              <w:spacing w:line="240" w:lineRule="auto"/>
              <w:ind w:firstLine="0" w:firstLineChars="0"/>
              <w:jc w:val="center"/>
              <w:rPr>
                <w:snapToGrid w:val="0"/>
                <w:sz w:val="21"/>
                <w:szCs w:val="20"/>
              </w:rPr>
            </w:pPr>
            <w:r>
              <w:rPr>
                <w:snapToGrid w:val="0"/>
                <w:sz w:val="21"/>
                <w:szCs w:val="20"/>
              </w:rPr>
              <w:t>排水</w:t>
            </w:r>
          </w:p>
        </w:tc>
        <w:tc>
          <w:tcPr>
            <w:tcW w:w="318" w:type="pct"/>
            <w:tcMar>
              <w:left w:w="0" w:type="dxa"/>
              <w:right w:w="0" w:type="dxa"/>
            </w:tcMar>
            <w:vAlign w:val="center"/>
          </w:tcPr>
          <w:p w14:paraId="546703ED">
            <w:pPr>
              <w:adjustRightInd w:val="0"/>
              <w:snapToGrid w:val="0"/>
              <w:spacing w:line="240" w:lineRule="auto"/>
              <w:ind w:firstLine="0" w:firstLineChars="0"/>
              <w:jc w:val="center"/>
              <w:rPr>
                <w:snapToGrid w:val="0"/>
                <w:sz w:val="21"/>
                <w:szCs w:val="20"/>
              </w:rPr>
            </w:pPr>
            <w:r>
              <w:rPr>
                <w:rFonts w:hint="eastAsia"/>
                <w:snapToGrid w:val="0"/>
                <w:sz w:val="21"/>
                <w:szCs w:val="20"/>
              </w:rPr>
              <w:t>生产废水</w:t>
            </w:r>
          </w:p>
        </w:tc>
        <w:tc>
          <w:tcPr>
            <w:tcW w:w="1811" w:type="pct"/>
            <w:tcMar>
              <w:left w:w="0" w:type="dxa"/>
              <w:right w:w="0" w:type="dxa"/>
            </w:tcMar>
            <w:vAlign w:val="center"/>
          </w:tcPr>
          <w:p w14:paraId="6E5D35EE">
            <w:pPr>
              <w:adjustRightInd w:val="0"/>
              <w:snapToGrid w:val="0"/>
              <w:spacing w:line="240" w:lineRule="auto"/>
              <w:ind w:firstLine="0" w:firstLineChars="0"/>
              <w:rPr>
                <w:snapToGrid w:val="0"/>
                <w:sz w:val="21"/>
                <w:szCs w:val="20"/>
              </w:rPr>
            </w:pPr>
            <w:r>
              <w:rPr>
                <w:rFonts w:hint="eastAsia"/>
                <w:snapToGrid w:val="0"/>
                <w:sz w:val="21"/>
                <w:szCs w:val="20"/>
              </w:rPr>
              <w:t>本项目生产废水主要是减线油罐区的定期排污，管道收集后排入厂区污水处理站，经处理后，依托园区污水处理厂处理。</w:t>
            </w:r>
          </w:p>
        </w:tc>
        <w:tc>
          <w:tcPr>
            <w:tcW w:w="2114" w:type="pct"/>
            <w:shd w:val="clear" w:color="auto" w:fill="auto"/>
            <w:tcMar>
              <w:left w:w="0" w:type="dxa"/>
              <w:right w:w="0" w:type="dxa"/>
            </w:tcMar>
            <w:vAlign w:val="center"/>
          </w:tcPr>
          <w:p w14:paraId="4D86A671">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17673312">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1D8A22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28" w:type="pct"/>
            <w:vMerge w:val="continue"/>
            <w:tcMar>
              <w:left w:w="0" w:type="dxa"/>
              <w:right w:w="0" w:type="dxa"/>
            </w:tcMar>
            <w:vAlign w:val="center"/>
          </w:tcPr>
          <w:p w14:paraId="51F51397">
            <w:pPr>
              <w:adjustRightInd w:val="0"/>
              <w:snapToGrid w:val="0"/>
              <w:spacing w:line="240" w:lineRule="auto"/>
              <w:ind w:firstLine="0" w:firstLineChars="0"/>
              <w:jc w:val="center"/>
              <w:rPr>
                <w:sz w:val="21"/>
                <w:szCs w:val="20"/>
              </w:rPr>
            </w:pPr>
          </w:p>
        </w:tc>
        <w:tc>
          <w:tcPr>
            <w:tcW w:w="183" w:type="pct"/>
            <w:vAlign w:val="center"/>
          </w:tcPr>
          <w:p w14:paraId="070C4AE5">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continue"/>
            <w:tcMar>
              <w:left w:w="0" w:type="dxa"/>
              <w:right w:w="0" w:type="dxa"/>
            </w:tcMar>
            <w:vAlign w:val="center"/>
          </w:tcPr>
          <w:p w14:paraId="1994F081">
            <w:pPr>
              <w:adjustRightInd w:val="0"/>
              <w:snapToGrid w:val="0"/>
              <w:spacing w:line="240" w:lineRule="auto"/>
              <w:ind w:firstLine="0" w:firstLineChars="0"/>
              <w:jc w:val="center"/>
              <w:rPr>
                <w:snapToGrid w:val="0"/>
                <w:sz w:val="21"/>
                <w:szCs w:val="20"/>
              </w:rPr>
            </w:pPr>
          </w:p>
        </w:tc>
        <w:tc>
          <w:tcPr>
            <w:tcW w:w="318" w:type="pct"/>
            <w:tcMar>
              <w:left w:w="0" w:type="dxa"/>
              <w:right w:w="0" w:type="dxa"/>
            </w:tcMar>
            <w:vAlign w:val="center"/>
          </w:tcPr>
          <w:p w14:paraId="59757DD3">
            <w:pPr>
              <w:adjustRightInd w:val="0"/>
              <w:snapToGrid w:val="0"/>
              <w:spacing w:line="240" w:lineRule="auto"/>
              <w:ind w:firstLine="0" w:firstLineChars="0"/>
              <w:jc w:val="center"/>
              <w:rPr>
                <w:snapToGrid w:val="0"/>
                <w:sz w:val="21"/>
                <w:szCs w:val="20"/>
              </w:rPr>
            </w:pPr>
            <w:r>
              <w:rPr>
                <w:rFonts w:hint="eastAsia"/>
                <w:snapToGrid w:val="0"/>
                <w:sz w:val="21"/>
                <w:szCs w:val="20"/>
              </w:rPr>
              <w:t>生活污水</w:t>
            </w:r>
          </w:p>
        </w:tc>
        <w:tc>
          <w:tcPr>
            <w:tcW w:w="1811" w:type="pct"/>
            <w:tcMar>
              <w:left w:w="0" w:type="dxa"/>
              <w:right w:w="0" w:type="dxa"/>
            </w:tcMar>
            <w:vAlign w:val="center"/>
          </w:tcPr>
          <w:p w14:paraId="00A1A22E">
            <w:pPr>
              <w:adjustRightInd w:val="0"/>
              <w:snapToGrid w:val="0"/>
              <w:spacing w:line="240" w:lineRule="auto"/>
              <w:ind w:firstLine="0" w:firstLineChars="0"/>
              <w:rPr>
                <w:snapToGrid w:val="0"/>
                <w:sz w:val="21"/>
                <w:szCs w:val="20"/>
              </w:rPr>
            </w:pPr>
            <w:r>
              <w:rPr>
                <w:rFonts w:hint="eastAsia"/>
                <w:snapToGrid w:val="0"/>
                <w:sz w:val="21"/>
                <w:szCs w:val="20"/>
              </w:rPr>
              <w:t>生活污水依托园区已有排污设施，排入园区管网。</w:t>
            </w:r>
          </w:p>
        </w:tc>
        <w:tc>
          <w:tcPr>
            <w:tcW w:w="2114" w:type="pct"/>
            <w:shd w:val="clear" w:color="auto" w:fill="auto"/>
            <w:tcMar>
              <w:left w:w="0" w:type="dxa"/>
              <w:right w:w="0" w:type="dxa"/>
            </w:tcMar>
            <w:vAlign w:val="center"/>
          </w:tcPr>
          <w:p w14:paraId="6D2FBC44">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446697F4">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3F120C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70C67842">
            <w:pPr>
              <w:adjustRightInd w:val="0"/>
              <w:snapToGrid w:val="0"/>
              <w:spacing w:line="240" w:lineRule="auto"/>
              <w:ind w:firstLine="0" w:firstLineChars="0"/>
              <w:jc w:val="center"/>
              <w:rPr>
                <w:sz w:val="21"/>
                <w:szCs w:val="20"/>
              </w:rPr>
            </w:pPr>
          </w:p>
        </w:tc>
        <w:tc>
          <w:tcPr>
            <w:tcW w:w="183" w:type="pct"/>
            <w:vAlign w:val="center"/>
          </w:tcPr>
          <w:p w14:paraId="33496730">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3837E558">
            <w:pPr>
              <w:adjustRightInd w:val="0"/>
              <w:snapToGrid w:val="0"/>
              <w:spacing w:line="240" w:lineRule="auto"/>
              <w:ind w:firstLine="0" w:firstLineChars="0"/>
              <w:jc w:val="center"/>
              <w:rPr>
                <w:sz w:val="21"/>
                <w:szCs w:val="20"/>
              </w:rPr>
            </w:pPr>
            <w:r>
              <w:rPr>
                <w:sz w:val="21"/>
                <w:szCs w:val="20"/>
              </w:rPr>
              <w:t>供电</w:t>
            </w:r>
          </w:p>
        </w:tc>
        <w:tc>
          <w:tcPr>
            <w:tcW w:w="1811" w:type="pct"/>
            <w:tcMar>
              <w:left w:w="0" w:type="dxa"/>
              <w:right w:w="0" w:type="dxa"/>
            </w:tcMar>
            <w:vAlign w:val="center"/>
          </w:tcPr>
          <w:p w14:paraId="7D08E6A0">
            <w:pPr>
              <w:adjustRightInd w:val="0"/>
              <w:snapToGrid w:val="0"/>
              <w:spacing w:line="240" w:lineRule="auto"/>
              <w:ind w:firstLine="0" w:firstLineChars="0"/>
              <w:rPr>
                <w:sz w:val="21"/>
                <w:szCs w:val="20"/>
              </w:rPr>
            </w:pPr>
            <w:r>
              <w:rPr>
                <w:rFonts w:hint="eastAsia"/>
                <w:sz w:val="21"/>
                <w:szCs w:val="20"/>
              </w:rPr>
              <w:t>依托</w:t>
            </w:r>
            <w:r>
              <w:rPr>
                <w:sz w:val="21"/>
                <w:szCs w:val="20"/>
              </w:rPr>
              <w:t>园区电网，</w:t>
            </w:r>
            <w:r>
              <w:rPr>
                <w:rFonts w:hint="eastAsia"/>
                <w:sz w:val="21"/>
                <w:szCs w:val="20"/>
              </w:rPr>
              <w:t>并新建箱变室</w:t>
            </w:r>
            <w:r>
              <w:rPr>
                <w:sz w:val="21"/>
                <w:szCs w:val="20"/>
              </w:rPr>
              <w:t>。</w:t>
            </w:r>
          </w:p>
        </w:tc>
        <w:tc>
          <w:tcPr>
            <w:tcW w:w="2114" w:type="pct"/>
            <w:shd w:val="clear" w:color="auto" w:fill="auto"/>
            <w:tcMar>
              <w:left w:w="0" w:type="dxa"/>
              <w:right w:w="0" w:type="dxa"/>
            </w:tcMar>
            <w:vAlign w:val="center"/>
          </w:tcPr>
          <w:p w14:paraId="719C881F">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6696B5D4">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594793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158982E4">
            <w:pPr>
              <w:adjustRightInd w:val="0"/>
              <w:snapToGrid w:val="0"/>
              <w:spacing w:line="240" w:lineRule="auto"/>
              <w:ind w:firstLine="0" w:firstLineChars="0"/>
              <w:jc w:val="center"/>
              <w:rPr>
                <w:sz w:val="21"/>
                <w:szCs w:val="20"/>
              </w:rPr>
            </w:pPr>
          </w:p>
        </w:tc>
        <w:tc>
          <w:tcPr>
            <w:tcW w:w="183" w:type="pct"/>
            <w:vMerge w:val="restart"/>
            <w:vAlign w:val="center"/>
          </w:tcPr>
          <w:p w14:paraId="340DEE53">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vMerge w:val="restart"/>
            <w:tcMar>
              <w:left w:w="0" w:type="dxa"/>
              <w:right w:w="0" w:type="dxa"/>
            </w:tcMar>
            <w:vAlign w:val="center"/>
          </w:tcPr>
          <w:p w14:paraId="730B8DE8">
            <w:pPr>
              <w:adjustRightInd w:val="0"/>
              <w:snapToGrid w:val="0"/>
              <w:spacing w:line="240" w:lineRule="auto"/>
              <w:ind w:firstLine="0" w:firstLineChars="0"/>
              <w:jc w:val="center"/>
              <w:rPr>
                <w:sz w:val="21"/>
                <w:szCs w:val="20"/>
              </w:rPr>
            </w:pPr>
            <w:r>
              <w:rPr>
                <w:sz w:val="21"/>
                <w:szCs w:val="20"/>
              </w:rPr>
              <w:t>供热</w:t>
            </w:r>
          </w:p>
        </w:tc>
        <w:tc>
          <w:tcPr>
            <w:tcW w:w="1811" w:type="pct"/>
            <w:tcMar>
              <w:left w:w="0" w:type="dxa"/>
              <w:right w:w="0" w:type="dxa"/>
            </w:tcMar>
            <w:vAlign w:val="center"/>
          </w:tcPr>
          <w:p w14:paraId="329BF95A">
            <w:pPr>
              <w:adjustRightInd w:val="0"/>
              <w:snapToGrid w:val="0"/>
              <w:spacing w:line="240" w:lineRule="auto"/>
              <w:ind w:firstLine="0" w:firstLineChars="0"/>
              <w:rPr>
                <w:sz w:val="21"/>
                <w:szCs w:val="20"/>
              </w:rPr>
            </w:pPr>
            <w:r>
              <w:rPr>
                <w:rFonts w:hint="eastAsia"/>
                <w:sz w:val="21"/>
                <w:szCs w:val="20"/>
              </w:rPr>
              <w:t>设置1台天然气导热油炉为生产装置供热。</w:t>
            </w:r>
          </w:p>
        </w:tc>
        <w:tc>
          <w:tcPr>
            <w:tcW w:w="2114" w:type="pct"/>
            <w:shd w:val="clear" w:color="auto" w:fill="auto"/>
            <w:tcMar>
              <w:left w:w="0" w:type="dxa"/>
              <w:right w:w="0" w:type="dxa"/>
            </w:tcMar>
            <w:vAlign w:val="center"/>
          </w:tcPr>
          <w:p w14:paraId="13045D7A">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3ACD93E6">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4A783D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66E968C3">
            <w:pPr>
              <w:adjustRightInd w:val="0"/>
              <w:snapToGrid w:val="0"/>
              <w:spacing w:line="240" w:lineRule="auto"/>
              <w:ind w:firstLine="0" w:firstLineChars="0"/>
              <w:jc w:val="center"/>
              <w:rPr>
                <w:sz w:val="21"/>
                <w:szCs w:val="20"/>
              </w:rPr>
            </w:pPr>
          </w:p>
        </w:tc>
        <w:tc>
          <w:tcPr>
            <w:tcW w:w="183" w:type="pct"/>
            <w:vMerge w:val="continue"/>
            <w:vAlign w:val="center"/>
          </w:tcPr>
          <w:p w14:paraId="1E6BF53F">
            <w:pPr>
              <w:adjustRightInd w:val="0"/>
              <w:snapToGrid w:val="0"/>
              <w:spacing w:line="240" w:lineRule="auto"/>
              <w:ind w:firstLine="0" w:firstLineChars="0"/>
              <w:jc w:val="center"/>
              <w:rPr>
                <w:sz w:val="21"/>
                <w:szCs w:val="20"/>
              </w:rPr>
            </w:pPr>
          </w:p>
        </w:tc>
        <w:tc>
          <w:tcPr>
            <w:tcW w:w="402" w:type="pct"/>
            <w:gridSpan w:val="2"/>
            <w:vMerge w:val="continue"/>
            <w:tcMar>
              <w:left w:w="0" w:type="dxa"/>
              <w:right w:w="0" w:type="dxa"/>
            </w:tcMar>
            <w:vAlign w:val="center"/>
          </w:tcPr>
          <w:p w14:paraId="3056678C">
            <w:pPr>
              <w:adjustRightInd w:val="0"/>
              <w:snapToGrid w:val="0"/>
              <w:spacing w:line="240" w:lineRule="auto"/>
              <w:ind w:firstLine="0" w:firstLineChars="0"/>
              <w:jc w:val="center"/>
              <w:rPr>
                <w:sz w:val="21"/>
                <w:szCs w:val="20"/>
              </w:rPr>
            </w:pPr>
          </w:p>
        </w:tc>
        <w:tc>
          <w:tcPr>
            <w:tcW w:w="1811" w:type="pct"/>
            <w:tcMar>
              <w:left w:w="0" w:type="dxa"/>
              <w:right w:w="0" w:type="dxa"/>
            </w:tcMar>
            <w:vAlign w:val="center"/>
          </w:tcPr>
          <w:p w14:paraId="7B7E2588">
            <w:pPr>
              <w:adjustRightInd w:val="0"/>
              <w:snapToGrid w:val="0"/>
              <w:spacing w:line="240" w:lineRule="auto"/>
              <w:ind w:firstLine="0" w:firstLineChars="0"/>
              <w:rPr>
                <w:bCs/>
                <w:sz w:val="21"/>
                <w:szCs w:val="20"/>
              </w:rPr>
            </w:pPr>
            <w:r>
              <w:rPr>
                <w:rFonts w:hint="eastAsia"/>
                <w:bCs/>
                <w:sz w:val="21"/>
                <w:szCs w:val="20"/>
              </w:rPr>
              <w:t>办公室及倒班宿舍采用电采暖。</w:t>
            </w:r>
          </w:p>
        </w:tc>
        <w:tc>
          <w:tcPr>
            <w:tcW w:w="2114" w:type="pct"/>
            <w:shd w:val="clear" w:color="auto" w:fill="auto"/>
            <w:tcMar>
              <w:left w:w="0" w:type="dxa"/>
              <w:right w:w="0" w:type="dxa"/>
            </w:tcMar>
            <w:vAlign w:val="center"/>
          </w:tcPr>
          <w:p w14:paraId="0F9285DC">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2D05224C">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289420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7BCC799F">
            <w:pPr>
              <w:adjustRightInd w:val="0"/>
              <w:snapToGrid w:val="0"/>
              <w:spacing w:line="240" w:lineRule="auto"/>
              <w:ind w:firstLine="0" w:firstLineChars="0"/>
              <w:jc w:val="center"/>
              <w:rPr>
                <w:sz w:val="21"/>
                <w:szCs w:val="20"/>
              </w:rPr>
            </w:pPr>
          </w:p>
        </w:tc>
        <w:tc>
          <w:tcPr>
            <w:tcW w:w="183" w:type="pct"/>
            <w:vAlign w:val="center"/>
          </w:tcPr>
          <w:p w14:paraId="25317FEB">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7FA61E19">
            <w:pPr>
              <w:adjustRightInd w:val="0"/>
              <w:snapToGrid w:val="0"/>
              <w:spacing w:line="240" w:lineRule="auto"/>
              <w:ind w:firstLine="0" w:firstLineChars="0"/>
              <w:jc w:val="center"/>
              <w:rPr>
                <w:sz w:val="21"/>
                <w:szCs w:val="20"/>
              </w:rPr>
            </w:pPr>
            <w:r>
              <w:rPr>
                <w:rFonts w:hint="eastAsia"/>
                <w:sz w:val="21"/>
                <w:szCs w:val="20"/>
              </w:rPr>
              <w:t>循环水站</w:t>
            </w:r>
          </w:p>
        </w:tc>
        <w:tc>
          <w:tcPr>
            <w:tcW w:w="1811" w:type="pct"/>
            <w:tcMar>
              <w:left w:w="0" w:type="dxa"/>
              <w:right w:w="0" w:type="dxa"/>
            </w:tcMar>
            <w:vAlign w:val="center"/>
          </w:tcPr>
          <w:p w14:paraId="499D907F">
            <w:pPr>
              <w:adjustRightInd w:val="0"/>
              <w:snapToGrid w:val="0"/>
              <w:spacing w:line="240" w:lineRule="auto"/>
              <w:ind w:firstLine="0" w:firstLineChars="0"/>
              <w:rPr>
                <w:bCs/>
                <w:sz w:val="21"/>
                <w:szCs w:val="20"/>
              </w:rPr>
            </w:pPr>
            <w:r>
              <w:rPr>
                <w:rFonts w:hint="eastAsia"/>
                <w:bCs/>
                <w:sz w:val="21"/>
                <w:szCs w:val="20"/>
              </w:rPr>
              <w:t>本项目循环水通过新建循环水站供给，设置循环水池1座，玻璃钢小型冷却塔1座，位于公辅车间东北侧。</w:t>
            </w:r>
          </w:p>
        </w:tc>
        <w:tc>
          <w:tcPr>
            <w:tcW w:w="2114" w:type="pct"/>
            <w:shd w:val="clear" w:color="auto" w:fill="auto"/>
            <w:tcMar>
              <w:left w:w="0" w:type="dxa"/>
              <w:right w:w="0" w:type="dxa"/>
            </w:tcMar>
            <w:vAlign w:val="center"/>
          </w:tcPr>
          <w:p w14:paraId="710482AA">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19E56E76">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3E9E4C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restart"/>
            <w:tcMar>
              <w:left w:w="0" w:type="dxa"/>
              <w:right w:w="0" w:type="dxa"/>
            </w:tcMar>
            <w:vAlign w:val="center"/>
          </w:tcPr>
          <w:p w14:paraId="129236FC">
            <w:pPr>
              <w:adjustRightInd w:val="0"/>
              <w:snapToGrid w:val="0"/>
              <w:spacing w:line="240" w:lineRule="auto"/>
              <w:ind w:firstLine="0" w:firstLineChars="0"/>
              <w:jc w:val="center"/>
              <w:rPr>
                <w:sz w:val="21"/>
                <w:szCs w:val="20"/>
              </w:rPr>
            </w:pPr>
            <w:r>
              <w:rPr>
                <w:sz w:val="21"/>
                <w:szCs w:val="20"/>
              </w:rPr>
              <w:t>环保工程</w:t>
            </w:r>
          </w:p>
        </w:tc>
        <w:tc>
          <w:tcPr>
            <w:tcW w:w="183" w:type="pct"/>
            <w:vAlign w:val="center"/>
          </w:tcPr>
          <w:p w14:paraId="0F707065">
            <w:pPr>
              <w:adjustRightInd w:val="0"/>
              <w:snapToGrid w:val="0"/>
              <w:spacing w:line="240" w:lineRule="auto"/>
              <w:ind w:firstLine="0" w:firstLineChars="0"/>
              <w:jc w:val="center"/>
              <w:rPr>
                <w:sz w:val="21"/>
                <w:szCs w:val="20"/>
              </w:rPr>
            </w:pPr>
            <w:r>
              <w:rPr>
                <w:rFonts w:hint="eastAsia"/>
                <w:sz w:val="21"/>
                <w:szCs w:val="20"/>
              </w:rPr>
              <w:t>一期</w:t>
            </w:r>
          </w:p>
        </w:tc>
        <w:tc>
          <w:tcPr>
            <w:tcW w:w="84" w:type="pct"/>
            <w:tcMar>
              <w:left w:w="0" w:type="dxa"/>
              <w:right w:w="0" w:type="dxa"/>
            </w:tcMar>
            <w:vAlign w:val="center"/>
          </w:tcPr>
          <w:p w14:paraId="71DAE05B">
            <w:pPr>
              <w:adjustRightInd w:val="0"/>
              <w:snapToGrid w:val="0"/>
              <w:spacing w:line="240" w:lineRule="auto"/>
              <w:ind w:firstLine="0" w:firstLineChars="0"/>
              <w:jc w:val="center"/>
              <w:rPr>
                <w:sz w:val="21"/>
                <w:szCs w:val="20"/>
              </w:rPr>
            </w:pPr>
            <w:r>
              <w:rPr>
                <w:sz w:val="21"/>
                <w:szCs w:val="20"/>
              </w:rPr>
              <w:t>废气</w:t>
            </w:r>
          </w:p>
        </w:tc>
        <w:tc>
          <w:tcPr>
            <w:tcW w:w="318" w:type="pct"/>
            <w:tcMar>
              <w:left w:w="0" w:type="dxa"/>
              <w:right w:w="0" w:type="dxa"/>
            </w:tcMar>
            <w:vAlign w:val="center"/>
          </w:tcPr>
          <w:p w14:paraId="5EC34424">
            <w:pPr>
              <w:adjustRightInd w:val="0"/>
              <w:snapToGrid w:val="0"/>
              <w:spacing w:line="240" w:lineRule="auto"/>
              <w:ind w:firstLine="0" w:firstLineChars="0"/>
              <w:jc w:val="center"/>
              <w:rPr>
                <w:sz w:val="21"/>
                <w:szCs w:val="20"/>
              </w:rPr>
            </w:pPr>
            <w:r>
              <w:rPr>
                <w:rFonts w:hint="eastAsia"/>
                <w:sz w:val="21"/>
                <w:szCs w:val="20"/>
              </w:rPr>
              <w:t>储罐呼吸、装卸废气</w:t>
            </w:r>
          </w:p>
        </w:tc>
        <w:tc>
          <w:tcPr>
            <w:tcW w:w="1811" w:type="pct"/>
            <w:tcMar>
              <w:left w:w="0" w:type="dxa"/>
              <w:right w:w="0" w:type="dxa"/>
            </w:tcMar>
            <w:vAlign w:val="center"/>
          </w:tcPr>
          <w:p w14:paraId="76E3506E">
            <w:pPr>
              <w:adjustRightInd w:val="0"/>
              <w:snapToGrid w:val="0"/>
              <w:spacing w:line="240" w:lineRule="auto"/>
              <w:ind w:firstLine="0" w:firstLineChars="0"/>
              <w:rPr>
                <w:sz w:val="21"/>
                <w:szCs w:val="20"/>
              </w:rPr>
            </w:pPr>
            <w:r>
              <w:rPr>
                <w:rFonts w:hint="eastAsia"/>
                <w:sz w:val="21"/>
                <w:szCs w:val="20"/>
              </w:rPr>
              <w:t>1</w:t>
            </w:r>
            <w:r>
              <w:rPr>
                <w:sz w:val="21"/>
                <w:szCs w:val="20"/>
              </w:rPr>
              <w:t>#</w:t>
            </w:r>
            <w:r>
              <w:rPr>
                <w:rFonts w:hint="eastAsia"/>
                <w:sz w:val="21"/>
                <w:szCs w:val="20"/>
              </w:rPr>
              <w:t>储罐区南侧设置油气回收装置1套，采用冷凝+吸附的回收工艺，风机风量为</w:t>
            </w:r>
            <w:r>
              <w:rPr>
                <w:rFonts w:hint="eastAsia"/>
                <w:sz w:val="21"/>
                <w:szCs w:val="20"/>
                <w:lang w:val="en-US" w:eastAsia="zh-CN"/>
              </w:rPr>
              <w:t>10</w:t>
            </w:r>
            <w:r>
              <w:rPr>
                <w:sz w:val="21"/>
                <w:szCs w:val="20"/>
              </w:rPr>
              <w:t>000Nm</w:t>
            </w:r>
            <w:r>
              <w:rPr>
                <w:sz w:val="21"/>
                <w:szCs w:val="20"/>
                <w:vertAlign w:val="superscript"/>
              </w:rPr>
              <w:t>3</w:t>
            </w:r>
            <w:r>
              <w:rPr>
                <w:sz w:val="21"/>
                <w:szCs w:val="20"/>
              </w:rPr>
              <w:t>/h</w:t>
            </w:r>
            <w:r>
              <w:rPr>
                <w:rFonts w:hint="eastAsia"/>
                <w:sz w:val="21"/>
                <w:szCs w:val="20"/>
              </w:rPr>
              <w:t>。装卸时采取油气平衡方式。</w:t>
            </w:r>
          </w:p>
        </w:tc>
        <w:tc>
          <w:tcPr>
            <w:tcW w:w="2114" w:type="pct"/>
            <w:shd w:val="clear" w:color="auto" w:fill="auto"/>
            <w:tcMar>
              <w:left w:w="0" w:type="dxa"/>
              <w:right w:w="0" w:type="dxa"/>
            </w:tcMar>
            <w:vAlign w:val="center"/>
          </w:tcPr>
          <w:p w14:paraId="0E9D36AE">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6BB698C6">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0B4D3E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3" w:hRule="atLeast"/>
          <w:jc w:val="center"/>
        </w:trPr>
        <w:tc>
          <w:tcPr>
            <w:tcW w:w="128" w:type="pct"/>
            <w:vMerge w:val="continue"/>
            <w:tcMar>
              <w:left w:w="0" w:type="dxa"/>
              <w:right w:w="0" w:type="dxa"/>
            </w:tcMar>
            <w:vAlign w:val="center"/>
          </w:tcPr>
          <w:p w14:paraId="18607A96">
            <w:pPr>
              <w:adjustRightInd w:val="0"/>
              <w:snapToGrid w:val="0"/>
              <w:spacing w:line="240" w:lineRule="auto"/>
              <w:ind w:firstLine="0" w:firstLineChars="0"/>
              <w:jc w:val="center"/>
              <w:rPr>
                <w:sz w:val="21"/>
                <w:szCs w:val="20"/>
              </w:rPr>
            </w:pPr>
          </w:p>
        </w:tc>
        <w:tc>
          <w:tcPr>
            <w:tcW w:w="183" w:type="pct"/>
            <w:vAlign w:val="center"/>
          </w:tcPr>
          <w:p w14:paraId="3D56BD41">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restart"/>
            <w:tcMar>
              <w:left w:w="0" w:type="dxa"/>
              <w:right w:w="0" w:type="dxa"/>
            </w:tcMar>
            <w:vAlign w:val="center"/>
          </w:tcPr>
          <w:p w14:paraId="6F6176EC">
            <w:pPr>
              <w:adjustRightInd w:val="0"/>
              <w:snapToGrid w:val="0"/>
              <w:spacing w:line="240" w:lineRule="auto"/>
              <w:ind w:firstLine="0" w:firstLineChars="0"/>
              <w:jc w:val="center"/>
              <w:rPr>
                <w:sz w:val="21"/>
                <w:szCs w:val="20"/>
              </w:rPr>
            </w:pPr>
            <w:r>
              <w:rPr>
                <w:sz w:val="21"/>
                <w:szCs w:val="20"/>
              </w:rPr>
              <w:t>废水</w:t>
            </w:r>
          </w:p>
        </w:tc>
        <w:tc>
          <w:tcPr>
            <w:tcW w:w="318" w:type="pct"/>
            <w:tcMar>
              <w:left w:w="0" w:type="dxa"/>
              <w:right w:w="0" w:type="dxa"/>
            </w:tcMar>
            <w:vAlign w:val="center"/>
          </w:tcPr>
          <w:p w14:paraId="18F681AE">
            <w:pPr>
              <w:adjustRightInd w:val="0"/>
              <w:snapToGrid w:val="0"/>
              <w:spacing w:line="240" w:lineRule="auto"/>
              <w:ind w:firstLine="0" w:firstLineChars="0"/>
              <w:jc w:val="center"/>
              <w:rPr>
                <w:sz w:val="21"/>
                <w:szCs w:val="20"/>
              </w:rPr>
            </w:pPr>
            <w:r>
              <w:rPr>
                <w:rFonts w:hint="eastAsia"/>
                <w:sz w:val="21"/>
                <w:szCs w:val="20"/>
              </w:rPr>
              <w:t>污水处理站</w:t>
            </w:r>
          </w:p>
        </w:tc>
        <w:tc>
          <w:tcPr>
            <w:tcW w:w="1811" w:type="pct"/>
            <w:tcMar>
              <w:left w:w="0" w:type="dxa"/>
              <w:right w:w="0" w:type="dxa"/>
            </w:tcMar>
            <w:vAlign w:val="center"/>
          </w:tcPr>
          <w:p w14:paraId="4D761F82">
            <w:pPr>
              <w:adjustRightInd w:val="0"/>
              <w:snapToGrid w:val="0"/>
              <w:spacing w:line="240" w:lineRule="auto"/>
              <w:ind w:firstLine="0" w:firstLineChars="0"/>
              <w:rPr>
                <w:sz w:val="21"/>
                <w:szCs w:val="20"/>
              </w:rPr>
            </w:pPr>
            <w:r>
              <w:rPr>
                <w:rFonts w:hint="eastAsia"/>
                <w:sz w:val="21"/>
                <w:szCs w:val="20"/>
              </w:rPr>
              <w:t>项目新建污水处理站1座，主要用于处理生产废水。</w:t>
            </w:r>
          </w:p>
        </w:tc>
        <w:tc>
          <w:tcPr>
            <w:tcW w:w="2114" w:type="pct"/>
            <w:shd w:val="clear" w:color="auto" w:fill="auto"/>
            <w:tcMar>
              <w:left w:w="0" w:type="dxa"/>
              <w:right w:w="0" w:type="dxa"/>
            </w:tcMar>
            <w:vAlign w:val="center"/>
          </w:tcPr>
          <w:p w14:paraId="10D33DD9">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0053A2E6">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01451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128" w:type="pct"/>
            <w:vMerge w:val="continue"/>
            <w:tcMar>
              <w:left w:w="0" w:type="dxa"/>
              <w:right w:w="0" w:type="dxa"/>
            </w:tcMar>
            <w:vAlign w:val="center"/>
          </w:tcPr>
          <w:p w14:paraId="37897B37">
            <w:pPr>
              <w:adjustRightInd w:val="0"/>
              <w:snapToGrid w:val="0"/>
              <w:spacing w:line="240" w:lineRule="auto"/>
              <w:ind w:firstLine="0" w:firstLineChars="0"/>
              <w:jc w:val="center"/>
              <w:rPr>
                <w:sz w:val="21"/>
                <w:szCs w:val="20"/>
              </w:rPr>
            </w:pPr>
          </w:p>
        </w:tc>
        <w:tc>
          <w:tcPr>
            <w:tcW w:w="183" w:type="pct"/>
            <w:vAlign w:val="center"/>
          </w:tcPr>
          <w:p w14:paraId="5C7A38AE">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continue"/>
            <w:tcMar>
              <w:left w:w="0" w:type="dxa"/>
              <w:right w:w="0" w:type="dxa"/>
            </w:tcMar>
            <w:vAlign w:val="center"/>
          </w:tcPr>
          <w:p w14:paraId="5F2E8852">
            <w:pPr>
              <w:adjustRightInd w:val="0"/>
              <w:snapToGrid w:val="0"/>
              <w:spacing w:line="240" w:lineRule="auto"/>
              <w:ind w:firstLine="0" w:firstLineChars="0"/>
              <w:jc w:val="center"/>
              <w:rPr>
                <w:sz w:val="21"/>
                <w:szCs w:val="20"/>
              </w:rPr>
            </w:pPr>
          </w:p>
        </w:tc>
        <w:tc>
          <w:tcPr>
            <w:tcW w:w="318" w:type="pct"/>
            <w:tcMar>
              <w:left w:w="0" w:type="dxa"/>
              <w:right w:w="0" w:type="dxa"/>
            </w:tcMar>
            <w:vAlign w:val="center"/>
          </w:tcPr>
          <w:p w14:paraId="557DD17A">
            <w:pPr>
              <w:adjustRightInd w:val="0"/>
              <w:snapToGrid w:val="0"/>
              <w:spacing w:line="240" w:lineRule="auto"/>
              <w:ind w:firstLine="0" w:firstLineChars="0"/>
              <w:jc w:val="center"/>
              <w:rPr>
                <w:sz w:val="21"/>
                <w:szCs w:val="20"/>
              </w:rPr>
            </w:pPr>
            <w:r>
              <w:rPr>
                <w:rFonts w:hint="eastAsia"/>
                <w:sz w:val="21"/>
                <w:szCs w:val="20"/>
              </w:rPr>
              <w:t>生活污水</w:t>
            </w:r>
          </w:p>
        </w:tc>
        <w:tc>
          <w:tcPr>
            <w:tcW w:w="1811" w:type="pct"/>
            <w:tcMar>
              <w:left w:w="0" w:type="dxa"/>
              <w:right w:w="0" w:type="dxa"/>
            </w:tcMar>
            <w:vAlign w:val="center"/>
          </w:tcPr>
          <w:p w14:paraId="165E029F">
            <w:pPr>
              <w:adjustRightInd w:val="0"/>
              <w:snapToGrid w:val="0"/>
              <w:spacing w:line="240" w:lineRule="auto"/>
              <w:ind w:firstLine="0" w:firstLineChars="0"/>
              <w:rPr>
                <w:sz w:val="21"/>
                <w:szCs w:val="20"/>
              </w:rPr>
            </w:pPr>
            <w:r>
              <w:rPr>
                <w:rFonts w:hint="eastAsia"/>
                <w:snapToGrid w:val="0"/>
                <w:sz w:val="21"/>
                <w:szCs w:val="20"/>
              </w:rPr>
              <w:t>生活污水依托园区已有排污设施，排入园区管网。</w:t>
            </w:r>
          </w:p>
        </w:tc>
        <w:tc>
          <w:tcPr>
            <w:tcW w:w="2114" w:type="pct"/>
            <w:shd w:val="clear" w:color="auto" w:fill="auto"/>
            <w:tcMar>
              <w:left w:w="0" w:type="dxa"/>
              <w:right w:w="0" w:type="dxa"/>
            </w:tcMar>
            <w:vAlign w:val="center"/>
          </w:tcPr>
          <w:p w14:paraId="6547B06B">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2B38B8DF">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2B79F0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2C03D238">
            <w:pPr>
              <w:adjustRightInd w:val="0"/>
              <w:snapToGrid w:val="0"/>
              <w:spacing w:line="240" w:lineRule="auto"/>
              <w:ind w:firstLine="0" w:firstLineChars="0"/>
              <w:jc w:val="center"/>
              <w:rPr>
                <w:sz w:val="21"/>
                <w:szCs w:val="20"/>
              </w:rPr>
            </w:pPr>
          </w:p>
        </w:tc>
        <w:tc>
          <w:tcPr>
            <w:tcW w:w="183" w:type="pct"/>
            <w:vAlign w:val="center"/>
          </w:tcPr>
          <w:p w14:paraId="514E41D9">
            <w:pPr>
              <w:adjustRightInd w:val="0"/>
              <w:snapToGrid w:val="0"/>
              <w:spacing w:line="240" w:lineRule="auto"/>
              <w:ind w:firstLine="0" w:firstLineChars="0"/>
              <w:jc w:val="center"/>
              <w:rPr>
                <w:sz w:val="21"/>
                <w:szCs w:val="20"/>
              </w:rPr>
            </w:pPr>
            <w:r>
              <w:rPr>
                <w:rFonts w:hint="eastAsia"/>
                <w:sz w:val="21"/>
                <w:szCs w:val="20"/>
              </w:rPr>
              <w:t>一期</w:t>
            </w:r>
          </w:p>
        </w:tc>
        <w:tc>
          <w:tcPr>
            <w:tcW w:w="402" w:type="pct"/>
            <w:gridSpan w:val="2"/>
            <w:tcMar>
              <w:left w:w="0" w:type="dxa"/>
              <w:right w:w="0" w:type="dxa"/>
            </w:tcMar>
            <w:vAlign w:val="center"/>
          </w:tcPr>
          <w:p w14:paraId="27DDF95B">
            <w:pPr>
              <w:adjustRightInd w:val="0"/>
              <w:snapToGrid w:val="0"/>
              <w:spacing w:line="240" w:lineRule="auto"/>
              <w:ind w:firstLine="0" w:firstLineChars="0"/>
              <w:jc w:val="center"/>
              <w:rPr>
                <w:sz w:val="21"/>
                <w:szCs w:val="20"/>
              </w:rPr>
            </w:pPr>
            <w:r>
              <w:rPr>
                <w:sz w:val="21"/>
                <w:szCs w:val="20"/>
              </w:rPr>
              <w:t>噪声</w:t>
            </w:r>
          </w:p>
        </w:tc>
        <w:tc>
          <w:tcPr>
            <w:tcW w:w="1811" w:type="pct"/>
            <w:tcMar>
              <w:left w:w="0" w:type="dxa"/>
              <w:right w:w="0" w:type="dxa"/>
            </w:tcMar>
            <w:vAlign w:val="center"/>
          </w:tcPr>
          <w:p w14:paraId="7F331DEE">
            <w:pPr>
              <w:adjustRightInd w:val="0"/>
              <w:snapToGrid w:val="0"/>
              <w:spacing w:line="240" w:lineRule="auto"/>
              <w:ind w:firstLine="0" w:firstLineChars="0"/>
              <w:rPr>
                <w:sz w:val="21"/>
                <w:szCs w:val="20"/>
              </w:rPr>
            </w:pPr>
            <w:r>
              <w:rPr>
                <w:rFonts w:hint="eastAsia"/>
                <w:sz w:val="21"/>
                <w:szCs w:val="20"/>
              </w:rPr>
              <w:t>采取</w:t>
            </w:r>
            <w:r>
              <w:rPr>
                <w:sz w:val="21"/>
                <w:szCs w:val="20"/>
              </w:rPr>
              <w:t>基础减震、隔声罩、车间隔声等措施。</w:t>
            </w:r>
          </w:p>
        </w:tc>
        <w:tc>
          <w:tcPr>
            <w:tcW w:w="2114" w:type="pct"/>
            <w:shd w:val="clear" w:color="auto" w:fill="auto"/>
            <w:tcMar>
              <w:left w:w="0" w:type="dxa"/>
              <w:right w:w="0" w:type="dxa"/>
            </w:tcMar>
            <w:vAlign w:val="center"/>
          </w:tcPr>
          <w:p w14:paraId="34E21D17">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3C8EDE93">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616A5A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140A601C">
            <w:pPr>
              <w:adjustRightInd w:val="0"/>
              <w:snapToGrid w:val="0"/>
              <w:spacing w:line="240" w:lineRule="auto"/>
              <w:ind w:firstLine="0" w:firstLineChars="0"/>
              <w:jc w:val="center"/>
              <w:rPr>
                <w:sz w:val="21"/>
                <w:szCs w:val="20"/>
              </w:rPr>
            </w:pPr>
          </w:p>
        </w:tc>
        <w:tc>
          <w:tcPr>
            <w:tcW w:w="183" w:type="pct"/>
            <w:vAlign w:val="center"/>
          </w:tcPr>
          <w:p w14:paraId="7AC8C09B">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restart"/>
            <w:tcMar>
              <w:left w:w="0" w:type="dxa"/>
              <w:right w:w="0" w:type="dxa"/>
            </w:tcMar>
            <w:vAlign w:val="center"/>
          </w:tcPr>
          <w:p w14:paraId="7A7E931A">
            <w:pPr>
              <w:adjustRightInd w:val="0"/>
              <w:snapToGrid w:val="0"/>
              <w:spacing w:line="240" w:lineRule="auto"/>
              <w:ind w:firstLine="0" w:firstLineChars="0"/>
              <w:jc w:val="center"/>
              <w:rPr>
                <w:sz w:val="21"/>
                <w:szCs w:val="20"/>
              </w:rPr>
            </w:pPr>
            <w:r>
              <w:rPr>
                <w:sz w:val="21"/>
                <w:szCs w:val="20"/>
              </w:rPr>
              <w:t>固废</w:t>
            </w:r>
          </w:p>
        </w:tc>
        <w:tc>
          <w:tcPr>
            <w:tcW w:w="318" w:type="pct"/>
            <w:tcMar>
              <w:left w:w="0" w:type="dxa"/>
              <w:right w:w="0" w:type="dxa"/>
            </w:tcMar>
            <w:vAlign w:val="center"/>
          </w:tcPr>
          <w:p w14:paraId="5B3B7B78">
            <w:pPr>
              <w:adjustRightInd w:val="0"/>
              <w:snapToGrid w:val="0"/>
              <w:spacing w:line="240" w:lineRule="auto"/>
              <w:ind w:firstLine="0" w:firstLineChars="0"/>
              <w:jc w:val="center"/>
              <w:rPr>
                <w:sz w:val="21"/>
                <w:szCs w:val="20"/>
              </w:rPr>
            </w:pPr>
            <w:r>
              <w:rPr>
                <w:sz w:val="21"/>
                <w:szCs w:val="20"/>
              </w:rPr>
              <w:t>生活垃圾</w:t>
            </w:r>
          </w:p>
        </w:tc>
        <w:tc>
          <w:tcPr>
            <w:tcW w:w="1811" w:type="pct"/>
            <w:tcMar>
              <w:left w:w="0" w:type="dxa"/>
              <w:right w:w="0" w:type="dxa"/>
            </w:tcMar>
            <w:vAlign w:val="center"/>
          </w:tcPr>
          <w:p w14:paraId="752CA4E7">
            <w:pPr>
              <w:adjustRightInd w:val="0"/>
              <w:snapToGrid w:val="0"/>
              <w:spacing w:line="240" w:lineRule="auto"/>
              <w:ind w:firstLine="0" w:firstLineChars="0"/>
              <w:rPr>
                <w:sz w:val="21"/>
                <w:szCs w:val="20"/>
              </w:rPr>
            </w:pPr>
            <w:r>
              <w:rPr>
                <w:rFonts w:hint="eastAsia"/>
                <w:sz w:val="21"/>
                <w:szCs w:val="20"/>
              </w:rPr>
              <w:t>厂区已有垃圾桶若干，集中收集后依托</w:t>
            </w:r>
            <w:r>
              <w:rPr>
                <w:sz w:val="21"/>
                <w:szCs w:val="20"/>
              </w:rPr>
              <w:t>当地环卫部门定期清运。</w:t>
            </w:r>
          </w:p>
        </w:tc>
        <w:tc>
          <w:tcPr>
            <w:tcW w:w="2114" w:type="pct"/>
            <w:shd w:val="clear" w:color="auto" w:fill="auto"/>
            <w:tcMar>
              <w:left w:w="0" w:type="dxa"/>
              <w:right w:w="0" w:type="dxa"/>
            </w:tcMar>
            <w:vAlign w:val="center"/>
          </w:tcPr>
          <w:p w14:paraId="5ACEF5FE">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6EA8E46E">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04EC67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28" w:type="pct"/>
            <w:vMerge w:val="continue"/>
            <w:tcMar>
              <w:left w:w="0" w:type="dxa"/>
              <w:right w:w="0" w:type="dxa"/>
            </w:tcMar>
            <w:vAlign w:val="center"/>
          </w:tcPr>
          <w:p w14:paraId="02C0A443">
            <w:pPr>
              <w:adjustRightInd w:val="0"/>
              <w:snapToGrid w:val="0"/>
              <w:spacing w:line="240" w:lineRule="auto"/>
              <w:ind w:firstLine="0" w:firstLineChars="0"/>
              <w:jc w:val="center"/>
              <w:rPr>
                <w:sz w:val="21"/>
                <w:szCs w:val="20"/>
              </w:rPr>
            </w:pPr>
          </w:p>
        </w:tc>
        <w:tc>
          <w:tcPr>
            <w:tcW w:w="183" w:type="pct"/>
            <w:vAlign w:val="center"/>
          </w:tcPr>
          <w:p w14:paraId="2CDDABEC">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continue"/>
            <w:tcMar>
              <w:left w:w="0" w:type="dxa"/>
              <w:right w:w="0" w:type="dxa"/>
            </w:tcMar>
            <w:vAlign w:val="center"/>
          </w:tcPr>
          <w:p w14:paraId="35D1016E">
            <w:pPr>
              <w:adjustRightInd w:val="0"/>
              <w:snapToGrid w:val="0"/>
              <w:spacing w:line="240" w:lineRule="auto"/>
              <w:ind w:firstLine="0" w:firstLineChars="0"/>
              <w:jc w:val="center"/>
              <w:rPr>
                <w:sz w:val="21"/>
                <w:szCs w:val="20"/>
              </w:rPr>
            </w:pPr>
          </w:p>
        </w:tc>
        <w:tc>
          <w:tcPr>
            <w:tcW w:w="318" w:type="pct"/>
            <w:tcMar>
              <w:left w:w="0" w:type="dxa"/>
              <w:right w:w="0" w:type="dxa"/>
            </w:tcMar>
            <w:vAlign w:val="center"/>
          </w:tcPr>
          <w:p w14:paraId="6D5E7B72">
            <w:pPr>
              <w:pStyle w:val="90"/>
              <w:rPr>
                <w:highlight w:val="none"/>
              </w:rPr>
            </w:pPr>
            <w:r>
              <w:rPr>
                <w:rFonts w:hint="eastAsia"/>
                <w:highlight w:val="none"/>
              </w:rPr>
              <w:t>危废库</w:t>
            </w:r>
          </w:p>
        </w:tc>
        <w:tc>
          <w:tcPr>
            <w:tcW w:w="1811" w:type="pct"/>
            <w:tcMar>
              <w:left w:w="0" w:type="dxa"/>
              <w:right w:w="0" w:type="dxa"/>
            </w:tcMar>
            <w:vAlign w:val="center"/>
          </w:tcPr>
          <w:p w14:paraId="2086FB46">
            <w:pPr>
              <w:pStyle w:val="90"/>
              <w:rPr>
                <w:highlight w:val="none"/>
              </w:rPr>
            </w:pPr>
            <w:r>
              <w:rPr>
                <w:rFonts w:hint="eastAsia"/>
                <w:highlight w:val="none"/>
              </w:rPr>
              <w:t>位于厂区西北区域，长9</w:t>
            </w:r>
            <w:r>
              <w:rPr>
                <w:highlight w:val="none"/>
              </w:rPr>
              <w:t>.0</w:t>
            </w:r>
            <w:r>
              <w:rPr>
                <w:rFonts w:hint="eastAsia"/>
                <w:highlight w:val="none"/>
              </w:rPr>
              <w:t>m、宽4</w:t>
            </w:r>
            <w:r>
              <w:rPr>
                <w:highlight w:val="none"/>
              </w:rPr>
              <w:t>.0</w:t>
            </w:r>
            <w:r>
              <w:rPr>
                <w:rFonts w:hint="eastAsia"/>
                <w:highlight w:val="none"/>
              </w:rPr>
              <w:t>m、高3</w:t>
            </w:r>
            <w:r>
              <w:rPr>
                <w:highlight w:val="none"/>
              </w:rPr>
              <w:t>.95</w:t>
            </w:r>
            <w:r>
              <w:rPr>
                <w:rFonts w:hint="eastAsia"/>
                <w:highlight w:val="none"/>
              </w:rPr>
              <w:t>m，为丙类库房，主要用于本项目危险废物的分类暂存。</w:t>
            </w:r>
          </w:p>
        </w:tc>
        <w:tc>
          <w:tcPr>
            <w:tcW w:w="2114" w:type="pct"/>
            <w:shd w:val="clear" w:color="auto" w:fill="auto"/>
            <w:tcMar>
              <w:left w:w="0" w:type="dxa"/>
              <w:right w:w="0" w:type="dxa"/>
            </w:tcMar>
            <w:vAlign w:val="center"/>
          </w:tcPr>
          <w:p w14:paraId="60ACF849">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085EA12B">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02FC16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3AA97AA1">
            <w:pPr>
              <w:adjustRightInd w:val="0"/>
              <w:snapToGrid w:val="0"/>
              <w:spacing w:line="240" w:lineRule="auto"/>
              <w:ind w:firstLine="0" w:firstLineChars="0"/>
              <w:jc w:val="center"/>
              <w:rPr>
                <w:sz w:val="21"/>
                <w:szCs w:val="20"/>
              </w:rPr>
            </w:pPr>
          </w:p>
        </w:tc>
        <w:tc>
          <w:tcPr>
            <w:tcW w:w="183" w:type="pct"/>
            <w:vAlign w:val="center"/>
          </w:tcPr>
          <w:p w14:paraId="472DB01D">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restart"/>
            <w:tcMar>
              <w:left w:w="0" w:type="dxa"/>
              <w:right w:w="0" w:type="dxa"/>
            </w:tcMar>
            <w:vAlign w:val="center"/>
          </w:tcPr>
          <w:p w14:paraId="368FFDF6">
            <w:pPr>
              <w:adjustRightInd w:val="0"/>
              <w:snapToGrid w:val="0"/>
              <w:spacing w:line="240" w:lineRule="auto"/>
              <w:ind w:firstLine="0" w:firstLineChars="0"/>
              <w:jc w:val="center"/>
              <w:rPr>
                <w:sz w:val="21"/>
                <w:szCs w:val="20"/>
              </w:rPr>
            </w:pPr>
            <w:r>
              <w:rPr>
                <w:rFonts w:hint="eastAsia"/>
                <w:sz w:val="21"/>
                <w:szCs w:val="20"/>
              </w:rPr>
              <w:t>环境风险</w:t>
            </w:r>
          </w:p>
        </w:tc>
        <w:tc>
          <w:tcPr>
            <w:tcW w:w="318" w:type="pct"/>
            <w:tcMar>
              <w:left w:w="0" w:type="dxa"/>
              <w:right w:w="0" w:type="dxa"/>
            </w:tcMar>
            <w:vAlign w:val="center"/>
          </w:tcPr>
          <w:p w14:paraId="3BF2A776">
            <w:pPr>
              <w:adjustRightInd w:val="0"/>
              <w:snapToGrid w:val="0"/>
              <w:spacing w:line="240" w:lineRule="auto"/>
              <w:ind w:firstLine="0" w:firstLineChars="0"/>
              <w:jc w:val="center"/>
              <w:rPr>
                <w:sz w:val="21"/>
                <w:szCs w:val="20"/>
                <w:highlight w:val="none"/>
              </w:rPr>
            </w:pPr>
            <w:r>
              <w:rPr>
                <w:rFonts w:hint="eastAsia"/>
                <w:sz w:val="21"/>
                <w:szCs w:val="20"/>
                <w:highlight w:val="none"/>
              </w:rPr>
              <w:t>应急事故水池</w:t>
            </w:r>
          </w:p>
        </w:tc>
        <w:tc>
          <w:tcPr>
            <w:tcW w:w="1811" w:type="pct"/>
            <w:tcMar>
              <w:left w:w="0" w:type="dxa"/>
              <w:right w:w="0" w:type="dxa"/>
            </w:tcMar>
            <w:vAlign w:val="center"/>
          </w:tcPr>
          <w:p w14:paraId="573E3472">
            <w:pPr>
              <w:adjustRightInd w:val="0"/>
              <w:snapToGrid w:val="0"/>
              <w:spacing w:line="240" w:lineRule="auto"/>
              <w:ind w:firstLine="0" w:firstLineChars="0"/>
              <w:rPr>
                <w:sz w:val="21"/>
                <w:szCs w:val="20"/>
                <w:highlight w:val="none"/>
              </w:rPr>
            </w:pPr>
            <w:r>
              <w:rPr>
                <w:rFonts w:hint="eastAsia"/>
                <w:sz w:val="21"/>
                <w:szCs w:val="20"/>
                <w:highlight w:val="none"/>
              </w:rPr>
              <w:t>位于厂区西面中部，呈南北走向，长2</w:t>
            </w:r>
            <w:r>
              <w:rPr>
                <w:sz w:val="21"/>
                <w:szCs w:val="20"/>
                <w:highlight w:val="none"/>
              </w:rPr>
              <w:t>3.40</w:t>
            </w:r>
            <w:r>
              <w:rPr>
                <w:rFonts w:hint="eastAsia"/>
                <w:sz w:val="21"/>
                <w:szCs w:val="20"/>
                <w:highlight w:val="none"/>
              </w:rPr>
              <w:t>m、宽12</w:t>
            </w:r>
            <w:r>
              <w:rPr>
                <w:sz w:val="21"/>
                <w:szCs w:val="20"/>
                <w:highlight w:val="none"/>
              </w:rPr>
              <w:t>.0</w:t>
            </w:r>
            <w:r>
              <w:rPr>
                <w:rFonts w:hint="eastAsia"/>
                <w:sz w:val="21"/>
                <w:szCs w:val="20"/>
                <w:highlight w:val="none"/>
              </w:rPr>
              <w:t>m，有效容积为7</w:t>
            </w:r>
            <w:r>
              <w:rPr>
                <w:sz w:val="21"/>
                <w:szCs w:val="20"/>
                <w:highlight w:val="none"/>
              </w:rPr>
              <w:t>50</w:t>
            </w:r>
            <w:r>
              <w:rPr>
                <w:rFonts w:hint="eastAsia"/>
                <w:sz w:val="21"/>
                <w:szCs w:val="20"/>
                <w:highlight w:val="none"/>
              </w:rPr>
              <w:t>m</w:t>
            </w:r>
            <w:r>
              <w:rPr>
                <w:sz w:val="21"/>
                <w:szCs w:val="20"/>
                <w:highlight w:val="none"/>
                <w:vertAlign w:val="superscript"/>
              </w:rPr>
              <w:t>3</w:t>
            </w:r>
            <w:r>
              <w:rPr>
                <w:rFonts w:hint="eastAsia"/>
                <w:sz w:val="21"/>
                <w:szCs w:val="20"/>
                <w:highlight w:val="none"/>
              </w:rPr>
              <w:t>。</w:t>
            </w:r>
          </w:p>
        </w:tc>
        <w:tc>
          <w:tcPr>
            <w:tcW w:w="2114" w:type="pct"/>
            <w:shd w:val="clear" w:color="auto" w:fill="auto"/>
            <w:tcMar>
              <w:left w:w="0" w:type="dxa"/>
              <w:right w:w="0" w:type="dxa"/>
            </w:tcMar>
            <w:vAlign w:val="center"/>
          </w:tcPr>
          <w:p w14:paraId="5946BAC9">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27A7A3A1">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r w14:paraId="3EFBD6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28" w:type="pct"/>
            <w:vMerge w:val="continue"/>
            <w:tcMar>
              <w:left w:w="0" w:type="dxa"/>
              <w:right w:w="0" w:type="dxa"/>
            </w:tcMar>
            <w:vAlign w:val="center"/>
          </w:tcPr>
          <w:p w14:paraId="02ABD029">
            <w:pPr>
              <w:adjustRightInd w:val="0"/>
              <w:snapToGrid w:val="0"/>
              <w:spacing w:line="240" w:lineRule="auto"/>
              <w:ind w:firstLine="0" w:firstLineChars="0"/>
              <w:jc w:val="center"/>
              <w:rPr>
                <w:sz w:val="21"/>
                <w:szCs w:val="20"/>
              </w:rPr>
            </w:pPr>
          </w:p>
        </w:tc>
        <w:tc>
          <w:tcPr>
            <w:tcW w:w="183" w:type="pct"/>
            <w:vAlign w:val="center"/>
          </w:tcPr>
          <w:p w14:paraId="41CE7E94">
            <w:pPr>
              <w:adjustRightInd w:val="0"/>
              <w:snapToGrid w:val="0"/>
              <w:spacing w:line="240" w:lineRule="auto"/>
              <w:ind w:firstLine="0" w:firstLineChars="0"/>
              <w:jc w:val="center"/>
              <w:rPr>
                <w:sz w:val="21"/>
                <w:szCs w:val="20"/>
              </w:rPr>
            </w:pPr>
            <w:r>
              <w:rPr>
                <w:rFonts w:hint="eastAsia"/>
                <w:sz w:val="21"/>
                <w:szCs w:val="20"/>
              </w:rPr>
              <w:t>一期</w:t>
            </w:r>
          </w:p>
        </w:tc>
        <w:tc>
          <w:tcPr>
            <w:tcW w:w="84" w:type="pct"/>
            <w:vMerge w:val="continue"/>
            <w:tcMar>
              <w:left w:w="0" w:type="dxa"/>
              <w:right w:w="0" w:type="dxa"/>
            </w:tcMar>
            <w:vAlign w:val="center"/>
          </w:tcPr>
          <w:p w14:paraId="609906EA">
            <w:pPr>
              <w:adjustRightInd w:val="0"/>
              <w:snapToGrid w:val="0"/>
              <w:spacing w:line="240" w:lineRule="auto"/>
              <w:ind w:firstLine="0" w:firstLineChars="0"/>
              <w:jc w:val="center"/>
              <w:rPr>
                <w:sz w:val="21"/>
                <w:szCs w:val="20"/>
              </w:rPr>
            </w:pPr>
          </w:p>
        </w:tc>
        <w:tc>
          <w:tcPr>
            <w:tcW w:w="318" w:type="pct"/>
            <w:tcMar>
              <w:left w:w="0" w:type="dxa"/>
              <w:right w:w="0" w:type="dxa"/>
            </w:tcMar>
            <w:vAlign w:val="center"/>
          </w:tcPr>
          <w:p w14:paraId="0438EF6D">
            <w:pPr>
              <w:adjustRightInd w:val="0"/>
              <w:snapToGrid w:val="0"/>
              <w:spacing w:line="240" w:lineRule="auto"/>
              <w:ind w:firstLine="0" w:firstLineChars="0"/>
              <w:jc w:val="center"/>
              <w:rPr>
                <w:sz w:val="21"/>
                <w:szCs w:val="20"/>
                <w:highlight w:val="none"/>
              </w:rPr>
            </w:pPr>
            <w:r>
              <w:rPr>
                <w:rFonts w:hint="eastAsia"/>
                <w:sz w:val="21"/>
                <w:szCs w:val="20"/>
                <w:highlight w:val="none"/>
              </w:rPr>
              <w:t>消防水罐</w:t>
            </w:r>
          </w:p>
        </w:tc>
        <w:tc>
          <w:tcPr>
            <w:tcW w:w="1811" w:type="pct"/>
            <w:tcMar>
              <w:left w:w="0" w:type="dxa"/>
              <w:right w:w="0" w:type="dxa"/>
            </w:tcMar>
            <w:vAlign w:val="center"/>
          </w:tcPr>
          <w:p w14:paraId="712249C2">
            <w:pPr>
              <w:adjustRightInd w:val="0"/>
              <w:snapToGrid w:val="0"/>
              <w:spacing w:line="240" w:lineRule="auto"/>
              <w:ind w:firstLine="0" w:firstLineChars="0"/>
              <w:rPr>
                <w:sz w:val="21"/>
                <w:szCs w:val="20"/>
                <w:highlight w:val="none"/>
              </w:rPr>
            </w:pPr>
            <w:r>
              <w:rPr>
                <w:rFonts w:hint="eastAsia"/>
                <w:sz w:val="21"/>
                <w:szCs w:val="20"/>
                <w:highlight w:val="none"/>
              </w:rPr>
              <w:t>位于厂区东南角，公辅车间东侧，共设置2个储水罐，总容积为</w:t>
            </w:r>
            <w:r>
              <w:rPr>
                <w:sz w:val="21"/>
                <w:szCs w:val="20"/>
                <w:highlight w:val="none"/>
              </w:rPr>
              <w:t>907</w:t>
            </w:r>
            <w:r>
              <w:rPr>
                <w:rFonts w:hint="eastAsia"/>
                <w:sz w:val="21"/>
                <w:szCs w:val="20"/>
                <w:highlight w:val="none"/>
              </w:rPr>
              <w:t>m</w:t>
            </w:r>
            <w:r>
              <w:rPr>
                <w:sz w:val="21"/>
                <w:szCs w:val="20"/>
                <w:highlight w:val="none"/>
                <w:vertAlign w:val="superscript"/>
              </w:rPr>
              <w:t>3</w:t>
            </w:r>
            <w:r>
              <w:rPr>
                <w:rFonts w:hint="eastAsia"/>
                <w:sz w:val="21"/>
                <w:szCs w:val="20"/>
                <w:highlight w:val="none"/>
              </w:rPr>
              <w:t>。</w:t>
            </w:r>
          </w:p>
        </w:tc>
        <w:tc>
          <w:tcPr>
            <w:tcW w:w="2114" w:type="pct"/>
            <w:shd w:val="clear" w:color="auto" w:fill="auto"/>
            <w:tcMar>
              <w:left w:w="0" w:type="dxa"/>
              <w:right w:w="0" w:type="dxa"/>
            </w:tcMar>
            <w:vAlign w:val="center"/>
          </w:tcPr>
          <w:p w14:paraId="382BDBC9">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维持原环评报告建设内容及规模不发生变动</w:t>
            </w:r>
          </w:p>
        </w:tc>
        <w:tc>
          <w:tcPr>
            <w:tcW w:w="360" w:type="pct"/>
            <w:shd w:val="clear" w:color="auto" w:fill="auto"/>
            <w:tcMar>
              <w:left w:w="0" w:type="dxa"/>
              <w:right w:w="0" w:type="dxa"/>
            </w:tcMar>
            <w:vAlign w:val="center"/>
          </w:tcPr>
          <w:p w14:paraId="772CA860">
            <w:pPr>
              <w:adjustRightInd w:val="0"/>
              <w:snapToGrid w:val="0"/>
              <w:spacing w:line="240" w:lineRule="auto"/>
              <w:ind w:firstLine="0" w:firstLineChars="0"/>
              <w:jc w:val="center"/>
              <w:rPr>
                <w:rFonts w:hint="eastAsia" w:ascii="Times New Roman" w:hAnsi="Times New Roman" w:eastAsia="宋体" w:cs="Times New Roman"/>
                <w:kern w:val="2"/>
                <w:sz w:val="21"/>
                <w:szCs w:val="20"/>
                <w:lang w:val="en-US" w:eastAsia="zh-CN" w:bidi="ar-SA"/>
              </w:rPr>
            </w:pPr>
            <w:r>
              <w:rPr>
                <w:rFonts w:hint="eastAsia"/>
                <w:sz w:val="21"/>
                <w:szCs w:val="20"/>
                <w:lang w:val="en-US" w:eastAsia="zh-CN"/>
              </w:rPr>
              <w:t>已建成</w:t>
            </w:r>
          </w:p>
        </w:tc>
      </w:tr>
    </w:tbl>
    <w:p w14:paraId="1DB7EE28">
      <w:pPr>
        <w:bidi w:val="0"/>
        <w:sectPr>
          <w:footerReference r:id="rId16" w:type="default"/>
          <w:pgSz w:w="16838" w:h="11906" w:orient="landscape"/>
          <w:pgMar w:top="1440" w:right="1587" w:bottom="1440" w:left="1587"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bookmarkStart w:id="142" w:name="_Toc152864162"/>
      <w:bookmarkStart w:id="143" w:name="_Toc81214047"/>
      <w:bookmarkStart w:id="144" w:name="_Toc80973479"/>
      <w:bookmarkStart w:id="145" w:name="_Toc77007755"/>
      <w:bookmarkStart w:id="146" w:name="_Toc79515424"/>
      <w:bookmarkStart w:id="147" w:name="_Toc82518729"/>
      <w:bookmarkStart w:id="148" w:name="_Toc80193053"/>
    </w:p>
    <w:p w14:paraId="18AB0863">
      <w:pPr>
        <w:pStyle w:val="43"/>
      </w:pPr>
      <w:r>
        <w:rPr>
          <w:rFonts w:hint="eastAsia"/>
        </w:rPr>
        <w:t>原辅材料</w:t>
      </w:r>
      <w:bookmarkEnd w:id="142"/>
      <w:bookmarkEnd w:id="143"/>
      <w:bookmarkEnd w:id="144"/>
      <w:bookmarkEnd w:id="145"/>
      <w:bookmarkEnd w:id="146"/>
      <w:bookmarkEnd w:id="147"/>
      <w:bookmarkEnd w:id="148"/>
    </w:p>
    <w:p w14:paraId="2279C13F">
      <w:pPr>
        <w:ind w:firstLine="480"/>
      </w:pPr>
      <w:r>
        <w:rPr>
          <w:rFonts w:hint="eastAsia"/>
        </w:rPr>
        <w:t>（1）原料来源、种类及年用量</w:t>
      </w:r>
    </w:p>
    <w:p w14:paraId="6FA7EBF1">
      <w:pPr>
        <w:ind w:firstLine="480"/>
      </w:pPr>
      <w:r>
        <w:rPr>
          <w:rFonts w:hint="eastAsia"/>
        </w:rPr>
        <w:t>本项目分两期建设，一期主要以新疆佳宇恒能源科技有限公司生产的减二线、减三线油为原料，采用“溶剂精制-白土精制”的生产工艺，年产8万吨润滑油；二期以一期润滑油为原料，采用“氢氧化锂皂化反应”生产2万吨润滑脂。</w:t>
      </w:r>
    </w:p>
    <w:p w14:paraId="6DC9A02A">
      <w:pPr>
        <w:ind w:firstLine="480"/>
        <w:rPr>
          <w:rFonts w:hint="eastAsia"/>
          <w:lang w:eastAsia="zh-CN"/>
        </w:rPr>
      </w:pPr>
      <w:r>
        <w:rPr>
          <w:rFonts w:hint="eastAsia"/>
        </w:rPr>
        <w:t>一期辅料包括浓硫酸、氨水和白土；二期辅料主要为1</w:t>
      </w:r>
      <w:r>
        <w:t>2-</w:t>
      </w:r>
      <w:r>
        <w:rPr>
          <w:rFonts w:hint="eastAsia"/>
        </w:rPr>
        <w:t>羟基硬脂酸、硬脂酸和单水氢氧化锂</w:t>
      </w:r>
      <w:r>
        <w:rPr>
          <w:rFonts w:hint="eastAsia"/>
          <w:lang w:eastAsia="zh-CN"/>
        </w:rPr>
        <w:t>。</w:t>
      </w:r>
    </w:p>
    <w:p w14:paraId="4E79B240">
      <w:pPr>
        <w:ind w:firstLine="480"/>
        <w:rPr>
          <w:b/>
          <w:bCs/>
        </w:rPr>
      </w:pPr>
      <w:r>
        <w:rPr>
          <w:rFonts w:hint="eastAsia"/>
          <w:b/>
          <w:bCs/>
          <w:lang w:val="en-US" w:eastAsia="zh-CN"/>
        </w:rPr>
        <w:t>经核实，本项目变动后的98%浓硫酸用量增加，新增氢氧化钠辅料，</w:t>
      </w:r>
      <w:r>
        <w:rPr>
          <w:rFonts w:hint="eastAsia"/>
          <w:b/>
          <w:bCs/>
        </w:rPr>
        <w:t>具体见表3</w:t>
      </w:r>
      <w:r>
        <w:rPr>
          <w:b/>
          <w:bCs/>
        </w:rPr>
        <w:t>.1-2</w:t>
      </w:r>
      <w:r>
        <w:rPr>
          <w:rFonts w:hint="eastAsia"/>
          <w:b/>
          <w:bCs/>
        </w:rPr>
        <w:t>。</w:t>
      </w:r>
    </w:p>
    <w:p w14:paraId="75F83E51">
      <w:pPr>
        <w:pStyle w:val="47"/>
        <w:spacing w:before="65"/>
      </w:pPr>
      <w:r>
        <w:rPr>
          <w:rFonts w:hint="eastAsia"/>
        </w:rPr>
        <w:t>表3</w:t>
      </w:r>
      <w:r>
        <w:t xml:space="preserve">.1-2   </w:t>
      </w:r>
      <w:r>
        <w:rPr>
          <w:rFonts w:hint="eastAsia"/>
        </w:rPr>
        <w:t>本项目原辅料用量一览表</w:t>
      </w:r>
    </w:p>
    <w:tbl>
      <w:tblPr>
        <w:tblStyle w:val="30"/>
        <w:tblW w:w="87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971"/>
        <w:gridCol w:w="1013"/>
        <w:gridCol w:w="745"/>
        <w:gridCol w:w="677"/>
        <w:gridCol w:w="2803"/>
        <w:gridCol w:w="1122"/>
      </w:tblGrid>
      <w:tr w14:paraId="28035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3963CBAB">
            <w:pPr>
              <w:adjustRightInd w:val="0"/>
              <w:snapToGrid w:val="0"/>
              <w:spacing w:line="240" w:lineRule="auto"/>
              <w:ind w:firstLine="0" w:firstLineChars="0"/>
              <w:jc w:val="center"/>
              <w:rPr>
                <w:sz w:val="21"/>
                <w:szCs w:val="21"/>
              </w:rPr>
            </w:pPr>
            <w:r>
              <w:rPr>
                <w:sz w:val="21"/>
                <w:szCs w:val="21"/>
              </w:rPr>
              <w:t>序号</w:t>
            </w:r>
          </w:p>
        </w:tc>
        <w:tc>
          <w:tcPr>
            <w:tcW w:w="1971" w:type="dxa"/>
            <w:shd w:val="clear" w:color="auto" w:fill="auto"/>
            <w:tcMar>
              <w:left w:w="0" w:type="dxa"/>
              <w:right w:w="0" w:type="dxa"/>
            </w:tcMar>
            <w:vAlign w:val="center"/>
          </w:tcPr>
          <w:p w14:paraId="4882A352">
            <w:pPr>
              <w:adjustRightInd w:val="0"/>
              <w:snapToGrid w:val="0"/>
              <w:spacing w:line="240" w:lineRule="auto"/>
              <w:ind w:firstLine="0" w:firstLineChars="0"/>
              <w:jc w:val="center"/>
              <w:rPr>
                <w:sz w:val="21"/>
                <w:szCs w:val="21"/>
              </w:rPr>
            </w:pPr>
            <w:r>
              <w:rPr>
                <w:sz w:val="21"/>
                <w:szCs w:val="21"/>
              </w:rPr>
              <w:t>物料名称</w:t>
            </w:r>
          </w:p>
        </w:tc>
        <w:tc>
          <w:tcPr>
            <w:tcW w:w="1013" w:type="dxa"/>
            <w:shd w:val="clear" w:color="auto" w:fill="auto"/>
            <w:tcMar>
              <w:left w:w="0" w:type="dxa"/>
              <w:right w:w="0" w:type="dxa"/>
            </w:tcMar>
            <w:vAlign w:val="center"/>
          </w:tcPr>
          <w:p w14:paraId="1BE40A76">
            <w:pPr>
              <w:adjustRightInd w:val="0"/>
              <w:snapToGrid w:val="0"/>
              <w:spacing w:line="240" w:lineRule="auto"/>
              <w:ind w:firstLine="0" w:firstLineChars="0"/>
              <w:jc w:val="center"/>
              <w:rPr>
                <w:sz w:val="21"/>
                <w:szCs w:val="21"/>
              </w:rPr>
            </w:pPr>
            <w:r>
              <w:rPr>
                <w:rFonts w:hint="eastAsia"/>
                <w:sz w:val="21"/>
                <w:szCs w:val="21"/>
                <w:lang w:val="en-US" w:eastAsia="zh-CN"/>
              </w:rPr>
              <w:t>原环评</w:t>
            </w:r>
            <w:r>
              <w:rPr>
                <w:rFonts w:hint="eastAsia"/>
                <w:sz w:val="21"/>
                <w:szCs w:val="21"/>
              </w:rPr>
              <w:t>使用量</w:t>
            </w:r>
          </w:p>
        </w:tc>
        <w:tc>
          <w:tcPr>
            <w:tcW w:w="745" w:type="dxa"/>
            <w:tcMar>
              <w:left w:w="0" w:type="dxa"/>
              <w:right w:w="0" w:type="dxa"/>
            </w:tcMar>
            <w:vAlign w:val="center"/>
          </w:tcPr>
          <w:p w14:paraId="01E7AB6F">
            <w:pPr>
              <w:adjustRightInd w:val="0"/>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变动后使用量</w:t>
            </w:r>
          </w:p>
        </w:tc>
        <w:tc>
          <w:tcPr>
            <w:tcW w:w="677" w:type="dxa"/>
            <w:tcMar>
              <w:left w:w="0" w:type="dxa"/>
              <w:right w:w="0" w:type="dxa"/>
            </w:tcMar>
            <w:vAlign w:val="center"/>
          </w:tcPr>
          <w:p w14:paraId="3814C8AC">
            <w:pPr>
              <w:adjustRightInd w:val="0"/>
              <w:snapToGrid w:val="0"/>
              <w:spacing w:line="240" w:lineRule="auto"/>
              <w:ind w:firstLine="0" w:firstLineChars="0"/>
              <w:jc w:val="center"/>
              <w:rPr>
                <w:sz w:val="21"/>
                <w:szCs w:val="21"/>
              </w:rPr>
            </w:pPr>
            <w:r>
              <w:rPr>
                <w:rFonts w:hint="eastAsia"/>
                <w:sz w:val="21"/>
                <w:szCs w:val="21"/>
              </w:rPr>
              <w:t>状态</w:t>
            </w:r>
          </w:p>
        </w:tc>
        <w:tc>
          <w:tcPr>
            <w:tcW w:w="2803" w:type="dxa"/>
            <w:shd w:val="clear" w:color="auto" w:fill="auto"/>
            <w:tcMar>
              <w:left w:w="0" w:type="dxa"/>
              <w:right w:w="0" w:type="dxa"/>
            </w:tcMar>
            <w:vAlign w:val="center"/>
          </w:tcPr>
          <w:p w14:paraId="79452FB5">
            <w:pPr>
              <w:adjustRightInd w:val="0"/>
              <w:snapToGrid w:val="0"/>
              <w:spacing w:line="240" w:lineRule="auto"/>
              <w:ind w:firstLine="0" w:firstLineChars="0"/>
              <w:jc w:val="center"/>
              <w:rPr>
                <w:sz w:val="21"/>
                <w:szCs w:val="21"/>
              </w:rPr>
            </w:pPr>
            <w:r>
              <w:rPr>
                <w:sz w:val="21"/>
                <w:szCs w:val="21"/>
              </w:rPr>
              <w:t>来源</w:t>
            </w:r>
          </w:p>
        </w:tc>
        <w:tc>
          <w:tcPr>
            <w:tcW w:w="1122" w:type="dxa"/>
            <w:vAlign w:val="center"/>
          </w:tcPr>
          <w:p w14:paraId="63354D58">
            <w:pPr>
              <w:adjustRightInd w:val="0"/>
              <w:snapToGrid w:val="0"/>
              <w:spacing w:line="240" w:lineRule="auto"/>
              <w:ind w:firstLine="0" w:firstLineChars="0"/>
              <w:jc w:val="center"/>
              <w:rPr>
                <w:sz w:val="21"/>
                <w:szCs w:val="21"/>
              </w:rPr>
            </w:pPr>
            <w:r>
              <w:rPr>
                <w:rFonts w:hint="eastAsia"/>
                <w:sz w:val="21"/>
                <w:szCs w:val="21"/>
              </w:rPr>
              <w:t>备注</w:t>
            </w:r>
          </w:p>
        </w:tc>
      </w:tr>
      <w:tr w14:paraId="42747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015030D9">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70C15783">
            <w:pPr>
              <w:adjustRightInd w:val="0"/>
              <w:snapToGrid w:val="0"/>
              <w:spacing w:line="240" w:lineRule="auto"/>
              <w:ind w:firstLine="0" w:firstLineChars="0"/>
              <w:jc w:val="center"/>
              <w:rPr>
                <w:sz w:val="21"/>
                <w:szCs w:val="21"/>
              </w:rPr>
            </w:pPr>
            <w:r>
              <w:rPr>
                <w:rFonts w:hint="eastAsia"/>
                <w:sz w:val="21"/>
                <w:szCs w:val="21"/>
              </w:rPr>
              <w:t>减线油</w:t>
            </w:r>
          </w:p>
        </w:tc>
        <w:tc>
          <w:tcPr>
            <w:tcW w:w="1013" w:type="dxa"/>
            <w:shd w:val="clear" w:color="auto" w:fill="auto"/>
            <w:tcMar>
              <w:left w:w="0" w:type="dxa"/>
              <w:right w:w="0" w:type="dxa"/>
            </w:tcMar>
            <w:vAlign w:val="center"/>
          </w:tcPr>
          <w:p w14:paraId="1F44B433">
            <w:pPr>
              <w:adjustRightInd w:val="0"/>
              <w:snapToGrid w:val="0"/>
              <w:spacing w:line="240" w:lineRule="auto"/>
              <w:ind w:firstLine="0" w:firstLineChars="0"/>
              <w:jc w:val="center"/>
              <w:rPr>
                <w:sz w:val="21"/>
                <w:szCs w:val="21"/>
              </w:rPr>
            </w:pPr>
            <w:r>
              <w:rPr>
                <w:sz w:val="21"/>
                <w:szCs w:val="21"/>
              </w:rPr>
              <w:t>79640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17EF88BD">
            <w:pPr>
              <w:adjustRightInd w:val="0"/>
              <w:snapToGrid w:val="0"/>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79640</w:t>
            </w:r>
            <w:r>
              <w:rPr>
                <w:rFonts w:hint="eastAsia"/>
                <w:sz w:val="21"/>
                <w:szCs w:val="21"/>
              </w:rPr>
              <w:t>t</w:t>
            </w:r>
            <w:r>
              <w:rPr>
                <w:sz w:val="21"/>
                <w:szCs w:val="21"/>
              </w:rPr>
              <w:t>/a</w:t>
            </w:r>
          </w:p>
        </w:tc>
        <w:tc>
          <w:tcPr>
            <w:tcW w:w="677" w:type="dxa"/>
            <w:tcMar>
              <w:left w:w="0" w:type="dxa"/>
              <w:right w:w="0" w:type="dxa"/>
            </w:tcMar>
            <w:vAlign w:val="center"/>
          </w:tcPr>
          <w:p w14:paraId="70CAA913">
            <w:pPr>
              <w:adjustRightInd w:val="0"/>
              <w:snapToGrid w:val="0"/>
              <w:spacing w:line="240" w:lineRule="auto"/>
              <w:ind w:firstLine="0" w:firstLineChars="0"/>
              <w:jc w:val="center"/>
              <w:rPr>
                <w:sz w:val="21"/>
                <w:szCs w:val="21"/>
              </w:rPr>
            </w:pPr>
            <w:r>
              <w:rPr>
                <w:rFonts w:hint="eastAsia"/>
                <w:sz w:val="21"/>
                <w:szCs w:val="21"/>
              </w:rPr>
              <w:t>液体</w:t>
            </w:r>
          </w:p>
        </w:tc>
        <w:tc>
          <w:tcPr>
            <w:tcW w:w="2803" w:type="dxa"/>
            <w:shd w:val="clear" w:color="auto" w:fill="auto"/>
            <w:tcMar>
              <w:left w:w="0" w:type="dxa"/>
              <w:right w:w="0" w:type="dxa"/>
            </w:tcMar>
            <w:vAlign w:val="center"/>
          </w:tcPr>
          <w:p w14:paraId="3BBC5DF9">
            <w:pPr>
              <w:adjustRightInd w:val="0"/>
              <w:snapToGrid w:val="0"/>
              <w:spacing w:line="240" w:lineRule="auto"/>
              <w:ind w:firstLine="0" w:firstLineChars="0"/>
              <w:jc w:val="center"/>
              <w:rPr>
                <w:sz w:val="21"/>
                <w:szCs w:val="21"/>
              </w:rPr>
            </w:pPr>
            <w:r>
              <w:rPr>
                <w:rFonts w:hint="eastAsia"/>
                <w:sz w:val="21"/>
                <w:szCs w:val="21"/>
              </w:rPr>
              <w:t>外购，厂区设置罐区，采用1</w:t>
            </w:r>
            <w:r>
              <w:rPr>
                <w:sz w:val="21"/>
                <w:szCs w:val="21"/>
              </w:rPr>
              <w:t>000</w:t>
            </w:r>
            <w:r>
              <w:rPr>
                <w:rFonts w:hint="eastAsia"/>
                <w:sz w:val="21"/>
                <w:szCs w:val="21"/>
              </w:rPr>
              <w:t>m</w:t>
            </w:r>
            <w:r>
              <w:rPr>
                <w:sz w:val="21"/>
                <w:szCs w:val="21"/>
                <w:vertAlign w:val="superscript"/>
              </w:rPr>
              <w:t>3</w:t>
            </w:r>
            <w:r>
              <w:rPr>
                <w:rFonts w:hint="eastAsia"/>
                <w:sz w:val="21"/>
                <w:szCs w:val="21"/>
              </w:rPr>
              <w:t>容积的固定顶罐</w:t>
            </w:r>
            <w:r>
              <w:rPr>
                <w:sz w:val="21"/>
                <w:szCs w:val="21"/>
              </w:rPr>
              <w:t>4</w:t>
            </w:r>
            <w:r>
              <w:rPr>
                <w:rFonts w:hint="eastAsia"/>
                <w:sz w:val="21"/>
                <w:szCs w:val="21"/>
              </w:rPr>
              <w:t>个暂存。</w:t>
            </w:r>
          </w:p>
        </w:tc>
        <w:tc>
          <w:tcPr>
            <w:tcW w:w="1122" w:type="dxa"/>
            <w:vMerge w:val="restart"/>
            <w:vAlign w:val="center"/>
          </w:tcPr>
          <w:p w14:paraId="63ED04E4">
            <w:pPr>
              <w:adjustRightInd w:val="0"/>
              <w:snapToGrid w:val="0"/>
              <w:spacing w:line="240" w:lineRule="auto"/>
              <w:ind w:firstLine="0" w:firstLineChars="0"/>
              <w:jc w:val="center"/>
              <w:rPr>
                <w:sz w:val="21"/>
                <w:szCs w:val="21"/>
              </w:rPr>
            </w:pPr>
            <w:r>
              <w:rPr>
                <w:rFonts w:hint="eastAsia"/>
                <w:sz w:val="21"/>
                <w:szCs w:val="21"/>
              </w:rPr>
              <w:t>一期原辅料</w:t>
            </w:r>
          </w:p>
        </w:tc>
      </w:tr>
      <w:tr w14:paraId="2B447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6F2AF996">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356B8C1B">
            <w:pPr>
              <w:adjustRightInd w:val="0"/>
              <w:snapToGrid w:val="0"/>
              <w:spacing w:line="240" w:lineRule="auto"/>
              <w:ind w:firstLine="0" w:firstLineChars="0"/>
              <w:jc w:val="center"/>
              <w:rPr>
                <w:sz w:val="21"/>
                <w:szCs w:val="21"/>
              </w:rPr>
            </w:pPr>
            <w:r>
              <w:rPr>
                <w:rFonts w:hint="eastAsia"/>
                <w:sz w:val="21"/>
                <w:szCs w:val="21"/>
              </w:rPr>
              <w:t>9</w:t>
            </w:r>
            <w:r>
              <w:rPr>
                <w:sz w:val="21"/>
                <w:szCs w:val="21"/>
              </w:rPr>
              <w:t>8%</w:t>
            </w:r>
            <w:r>
              <w:rPr>
                <w:rFonts w:hint="eastAsia"/>
                <w:sz w:val="21"/>
                <w:szCs w:val="21"/>
              </w:rPr>
              <w:t>浓硫酸</w:t>
            </w:r>
          </w:p>
        </w:tc>
        <w:tc>
          <w:tcPr>
            <w:tcW w:w="1013" w:type="dxa"/>
            <w:shd w:val="clear" w:color="auto" w:fill="auto"/>
            <w:tcMar>
              <w:left w:w="0" w:type="dxa"/>
              <w:right w:w="0" w:type="dxa"/>
            </w:tcMar>
            <w:vAlign w:val="center"/>
          </w:tcPr>
          <w:p w14:paraId="4A71934E">
            <w:pPr>
              <w:adjustRightInd w:val="0"/>
              <w:snapToGrid w:val="0"/>
              <w:spacing w:line="240" w:lineRule="auto"/>
              <w:ind w:firstLine="0" w:firstLineChars="0"/>
              <w:jc w:val="center"/>
              <w:rPr>
                <w:sz w:val="21"/>
                <w:szCs w:val="21"/>
              </w:rPr>
            </w:pPr>
            <w:r>
              <w:rPr>
                <w:sz w:val="21"/>
                <w:szCs w:val="21"/>
              </w:rPr>
              <w:t>80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3B927EA1">
            <w:pPr>
              <w:adjustRightInd w:val="0"/>
              <w:snapToGrid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5000</w:t>
            </w:r>
            <w:r>
              <w:rPr>
                <w:rFonts w:hint="eastAsia"/>
                <w:sz w:val="21"/>
                <w:szCs w:val="21"/>
              </w:rPr>
              <w:t>t</w:t>
            </w:r>
            <w:r>
              <w:rPr>
                <w:sz w:val="21"/>
                <w:szCs w:val="21"/>
              </w:rPr>
              <w:t>/a</w:t>
            </w:r>
          </w:p>
        </w:tc>
        <w:tc>
          <w:tcPr>
            <w:tcW w:w="677" w:type="dxa"/>
            <w:tcMar>
              <w:left w:w="0" w:type="dxa"/>
              <w:right w:w="0" w:type="dxa"/>
            </w:tcMar>
            <w:vAlign w:val="center"/>
          </w:tcPr>
          <w:p w14:paraId="6481237C">
            <w:pPr>
              <w:adjustRightInd w:val="0"/>
              <w:snapToGrid w:val="0"/>
              <w:spacing w:line="240" w:lineRule="auto"/>
              <w:ind w:firstLine="0" w:firstLineChars="0"/>
              <w:jc w:val="center"/>
              <w:rPr>
                <w:sz w:val="21"/>
                <w:szCs w:val="21"/>
              </w:rPr>
            </w:pPr>
            <w:r>
              <w:rPr>
                <w:rFonts w:hint="eastAsia"/>
                <w:sz w:val="21"/>
                <w:szCs w:val="21"/>
              </w:rPr>
              <w:t>液体</w:t>
            </w:r>
          </w:p>
        </w:tc>
        <w:tc>
          <w:tcPr>
            <w:tcW w:w="2803" w:type="dxa"/>
            <w:shd w:val="clear" w:color="auto" w:fill="auto"/>
            <w:tcMar>
              <w:left w:w="0" w:type="dxa"/>
              <w:right w:w="0" w:type="dxa"/>
            </w:tcMar>
            <w:vAlign w:val="center"/>
          </w:tcPr>
          <w:p w14:paraId="07C0FC0E">
            <w:pPr>
              <w:adjustRightInd w:val="0"/>
              <w:snapToGrid w:val="0"/>
              <w:spacing w:line="240" w:lineRule="auto"/>
              <w:ind w:firstLine="0" w:firstLineChars="0"/>
              <w:jc w:val="center"/>
              <w:rPr>
                <w:sz w:val="21"/>
                <w:szCs w:val="21"/>
              </w:rPr>
            </w:pPr>
            <w:r>
              <w:rPr>
                <w:rFonts w:hint="eastAsia"/>
                <w:sz w:val="21"/>
                <w:szCs w:val="21"/>
              </w:rPr>
              <w:t>外购，在润滑油生产车间设置6</w:t>
            </w:r>
            <w:r>
              <w:rPr>
                <w:sz w:val="21"/>
                <w:szCs w:val="21"/>
              </w:rPr>
              <w:t>0</w:t>
            </w:r>
            <w:r>
              <w:rPr>
                <w:rFonts w:hint="eastAsia"/>
                <w:sz w:val="21"/>
                <w:szCs w:val="21"/>
              </w:rPr>
              <w:t>m</w:t>
            </w:r>
            <w:r>
              <w:rPr>
                <w:sz w:val="21"/>
                <w:szCs w:val="21"/>
                <w:vertAlign w:val="superscript"/>
              </w:rPr>
              <w:t>3</w:t>
            </w:r>
            <w:r>
              <w:rPr>
                <w:rFonts w:hint="eastAsia"/>
                <w:sz w:val="21"/>
                <w:szCs w:val="21"/>
              </w:rPr>
              <w:t>容积的卧式储罐1个暂存</w:t>
            </w:r>
          </w:p>
        </w:tc>
        <w:tc>
          <w:tcPr>
            <w:tcW w:w="1122" w:type="dxa"/>
            <w:vMerge w:val="continue"/>
            <w:vAlign w:val="center"/>
          </w:tcPr>
          <w:p w14:paraId="2E7BCAC9">
            <w:pPr>
              <w:adjustRightInd w:val="0"/>
              <w:snapToGrid w:val="0"/>
              <w:spacing w:line="240" w:lineRule="auto"/>
              <w:ind w:firstLine="0" w:firstLineChars="0"/>
              <w:jc w:val="center"/>
              <w:rPr>
                <w:sz w:val="21"/>
                <w:szCs w:val="21"/>
              </w:rPr>
            </w:pPr>
          </w:p>
        </w:tc>
      </w:tr>
      <w:tr w14:paraId="34B2D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0664D7AD">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1D1E249A">
            <w:pPr>
              <w:adjustRightInd w:val="0"/>
              <w:snapToGrid w:val="0"/>
              <w:spacing w:line="240" w:lineRule="auto"/>
              <w:ind w:firstLine="0" w:firstLineChars="0"/>
              <w:jc w:val="center"/>
              <w:rPr>
                <w:sz w:val="21"/>
                <w:szCs w:val="21"/>
              </w:rPr>
            </w:pPr>
            <w:r>
              <w:rPr>
                <w:rFonts w:hint="eastAsia"/>
                <w:sz w:val="21"/>
                <w:szCs w:val="21"/>
              </w:rPr>
              <w:t>氨水（5</w:t>
            </w:r>
            <w:r>
              <w:rPr>
                <w:sz w:val="21"/>
                <w:szCs w:val="21"/>
              </w:rPr>
              <w:t>%</w:t>
            </w:r>
            <w:r>
              <w:rPr>
                <w:rFonts w:hint="eastAsia"/>
                <w:sz w:val="21"/>
                <w:szCs w:val="21"/>
              </w:rPr>
              <w:t>）</w:t>
            </w:r>
          </w:p>
        </w:tc>
        <w:tc>
          <w:tcPr>
            <w:tcW w:w="1013" w:type="dxa"/>
            <w:shd w:val="clear" w:color="auto" w:fill="auto"/>
            <w:tcMar>
              <w:left w:w="0" w:type="dxa"/>
              <w:right w:w="0" w:type="dxa"/>
            </w:tcMar>
            <w:vAlign w:val="center"/>
          </w:tcPr>
          <w:p w14:paraId="4BB8D38A">
            <w:pPr>
              <w:adjustRightInd w:val="0"/>
              <w:snapToGrid w:val="0"/>
              <w:spacing w:line="240" w:lineRule="auto"/>
              <w:ind w:firstLine="0" w:firstLineChars="0"/>
              <w:jc w:val="center"/>
              <w:rPr>
                <w:sz w:val="21"/>
                <w:szCs w:val="21"/>
              </w:rPr>
            </w:pPr>
            <w:r>
              <w:rPr>
                <w:sz w:val="21"/>
                <w:szCs w:val="21"/>
              </w:rPr>
              <w:t>40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18F9D8C6">
            <w:pPr>
              <w:adjustRightInd w:val="0"/>
              <w:snapToGrid w:val="0"/>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40</w:t>
            </w:r>
            <w:r>
              <w:rPr>
                <w:rFonts w:hint="eastAsia"/>
                <w:sz w:val="21"/>
                <w:szCs w:val="21"/>
              </w:rPr>
              <w:t>t</w:t>
            </w:r>
            <w:r>
              <w:rPr>
                <w:sz w:val="21"/>
                <w:szCs w:val="21"/>
              </w:rPr>
              <w:t>/a</w:t>
            </w:r>
          </w:p>
        </w:tc>
        <w:tc>
          <w:tcPr>
            <w:tcW w:w="677" w:type="dxa"/>
            <w:tcMar>
              <w:left w:w="0" w:type="dxa"/>
              <w:right w:w="0" w:type="dxa"/>
            </w:tcMar>
            <w:vAlign w:val="center"/>
          </w:tcPr>
          <w:p w14:paraId="296FD2B7">
            <w:pPr>
              <w:adjustRightInd w:val="0"/>
              <w:snapToGrid w:val="0"/>
              <w:spacing w:line="240" w:lineRule="auto"/>
              <w:ind w:firstLine="0" w:firstLineChars="0"/>
              <w:jc w:val="center"/>
              <w:rPr>
                <w:sz w:val="21"/>
                <w:szCs w:val="21"/>
              </w:rPr>
            </w:pPr>
            <w:r>
              <w:rPr>
                <w:rFonts w:hint="eastAsia"/>
                <w:sz w:val="21"/>
                <w:szCs w:val="21"/>
              </w:rPr>
              <w:t>液体</w:t>
            </w:r>
          </w:p>
        </w:tc>
        <w:tc>
          <w:tcPr>
            <w:tcW w:w="2803" w:type="dxa"/>
            <w:shd w:val="clear" w:color="auto" w:fill="auto"/>
            <w:tcMar>
              <w:left w:w="0" w:type="dxa"/>
              <w:right w:w="0" w:type="dxa"/>
            </w:tcMar>
            <w:vAlign w:val="center"/>
          </w:tcPr>
          <w:p w14:paraId="6BB23617">
            <w:pPr>
              <w:adjustRightInd w:val="0"/>
              <w:snapToGrid w:val="0"/>
              <w:spacing w:line="240" w:lineRule="auto"/>
              <w:ind w:firstLine="0" w:firstLineChars="0"/>
              <w:jc w:val="center"/>
              <w:rPr>
                <w:sz w:val="21"/>
                <w:szCs w:val="21"/>
              </w:rPr>
            </w:pPr>
            <w:r>
              <w:rPr>
                <w:rFonts w:hint="eastAsia"/>
                <w:sz w:val="21"/>
                <w:szCs w:val="21"/>
              </w:rPr>
              <w:t>外购5kg</w:t>
            </w:r>
            <w:r>
              <w:rPr>
                <w:sz w:val="21"/>
                <w:szCs w:val="21"/>
              </w:rPr>
              <w:t>/</w:t>
            </w:r>
            <w:r>
              <w:rPr>
                <w:rFonts w:hint="eastAsia"/>
                <w:sz w:val="21"/>
                <w:szCs w:val="21"/>
              </w:rPr>
              <w:t>桶成品，厂区辅料仓库设置氨水罐区，并设置</w:t>
            </w:r>
            <w:r>
              <w:rPr>
                <w:sz w:val="21"/>
                <w:szCs w:val="21"/>
              </w:rPr>
              <w:t>10</w:t>
            </w:r>
            <w:r>
              <w:rPr>
                <w:rFonts w:hint="eastAsia"/>
                <w:sz w:val="21"/>
                <w:szCs w:val="21"/>
              </w:rPr>
              <w:t>m</w:t>
            </w:r>
            <w:r>
              <w:rPr>
                <w:sz w:val="21"/>
                <w:szCs w:val="21"/>
                <w:vertAlign w:val="superscript"/>
              </w:rPr>
              <w:t>3</w:t>
            </w:r>
            <w:r>
              <w:rPr>
                <w:rFonts w:hint="eastAsia"/>
                <w:sz w:val="21"/>
                <w:szCs w:val="21"/>
              </w:rPr>
              <w:t>卧式储罐4个暂存。</w:t>
            </w:r>
          </w:p>
        </w:tc>
        <w:tc>
          <w:tcPr>
            <w:tcW w:w="1122" w:type="dxa"/>
            <w:vMerge w:val="continue"/>
            <w:vAlign w:val="center"/>
          </w:tcPr>
          <w:p w14:paraId="7EB592B7">
            <w:pPr>
              <w:adjustRightInd w:val="0"/>
              <w:snapToGrid w:val="0"/>
              <w:spacing w:line="240" w:lineRule="auto"/>
              <w:ind w:firstLine="0" w:firstLineChars="0"/>
              <w:jc w:val="center"/>
              <w:rPr>
                <w:sz w:val="21"/>
                <w:szCs w:val="21"/>
              </w:rPr>
            </w:pPr>
          </w:p>
        </w:tc>
      </w:tr>
      <w:tr w14:paraId="7F8C0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441E69E0">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34A95318">
            <w:pPr>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氢氧化钠（片碱）</w:t>
            </w:r>
          </w:p>
        </w:tc>
        <w:tc>
          <w:tcPr>
            <w:tcW w:w="1013" w:type="dxa"/>
            <w:shd w:val="clear" w:color="auto" w:fill="auto"/>
            <w:tcMar>
              <w:left w:w="0" w:type="dxa"/>
              <w:right w:w="0" w:type="dxa"/>
            </w:tcMar>
            <w:vAlign w:val="center"/>
          </w:tcPr>
          <w:p w14:paraId="1828F81B">
            <w:pPr>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745" w:type="dxa"/>
            <w:shd w:val="clear" w:color="auto" w:fill="auto"/>
            <w:tcMar>
              <w:left w:w="0" w:type="dxa"/>
              <w:right w:w="0" w:type="dxa"/>
            </w:tcMar>
            <w:vAlign w:val="center"/>
          </w:tcPr>
          <w:p w14:paraId="2FE03CCE">
            <w:pPr>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200t/a</w:t>
            </w:r>
          </w:p>
        </w:tc>
        <w:tc>
          <w:tcPr>
            <w:tcW w:w="677" w:type="dxa"/>
            <w:shd w:val="clear" w:color="auto" w:fill="auto"/>
            <w:tcMar>
              <w:left w:w="0" w:type="dxa"/>
              <w:right w:w="0" w:type="dxa"/>
            </w:tcMar>
            <w:vAlign w:val="center"/>
          </w:tcPr>
          <w:p w14:paraId="77133E75">
            <w:pPr>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固体</w:t>
            </w:r>
          </w:p>
        </w:tc>
        <w:tc>
          <w:tcPr>
            <w:tcW w:w="2803" w:type="dxa"/>
            <w:shd w:val="clear" w:color="auto" w:fill="auto"/>
            <w:tcMar>
              <w:left w:w="0" w:type="dxa"/>
              <w:right w:w="0" w:type="dxa"/>
            </w:tcMar>
            <w:vAlign w:val="center"/>
          </w:tcPr>
          <w:p w14:paraId="2747494B">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外购25kg/袋，在库房暂存。</w:t>
            </w:r>
          </w:p>
        </w:tc>
        <w:tc>
          <w:tcPr>
            <w:tcW w:w="1122" w:type="dxa"/>
            <w:vMerge w:val="continue"/>
            <w:vAlign w:val="center"/>
          </w:tcPr>
          <w:p w14:paraId="71BBE1AD">
            <w:pPr>
              <w:adjustRightInd w:val="0"/>
              <w:snapToGrid w:val="0"/>
              <w:spacing w:line="240" w:lineRule="auto"/>
              <w:ind w:firstLine="0" w:firstLineChars="0"/>
              <w:jc w:val="center"/>
              <w:rPr>
                <w:sz w:val="21"/>
                <w:szCs w:val="21"/>
              </w:rPr>
            </w:pPr>
          </w:p>
        </w:tc>
      </w:tr>
      <w:tr w14:paraId="1AFE6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0363F195">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5035B653">
            <w:pPr>
              <w:adjustRightInd w:val="0"/>
              <w:snapToGrid w:val="0"/>
              <w:spacing w:line="240" w:lineRule="auto"/>
              <w:ind w:firstLine="0" w:firstLineChars="0"/>
              <w:jc w:val="center"/>
              <w:rPr>
                <w:sz w:val="21"/>
                <w:szCs w:val="21"/>
              </w:rPr>
            </w:pPr>
            <w:r>
              <w:rPr>
                <w:rFonts w:hint="eastAsia"/>
                <w:sz w:val="21"/>
                <w:szCs w:val="21"/>
              </w:rPr>
              <w:t>白土</w:t>
            </w:r>
          </w:p>
        </w:tc>
        <w:tc>
          <w:tcPr>
            <w:tcW w:w="1013" w:type="dxa"/>
            <w:shd w:val="clear" w:color="auto" w:fill="auto"/>
            <w:tcMar>
              <w:left w:w="0" w:type="dxa"/>
              <w:right w:w="0" w:type="dxa"/>
            </w:tcMar>
            <w:vAlign w:val="center"/>
          </w:tcPr>
          <w:p w14:paraId="65EC5F5F">
            <w:pPr>
              <w:adjustRightInd w:val="0"/>
              <w:snapToGrid w:val="0"/>
              <w:spacing w:line="240" w:lineRule="auto"/>
              <w:ind w:firstLine="0" w:firstLineChars="0"/>
              <w:jc w:val="center"/>
              <w:rPr>
                <w:sz w:val="21"/>
                <w:szCs w:val="21"/>
              </w:rPr>
            </w:pPr>
            <w:r>
              <w:rPr>
                <w:sz w:val="21"/>
                <w:szCs w:val="21"/>
              </w:rPr>
              <w:t>240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687A009D">
            <w:pPr>
              <w:adjustRightInd w:val="0"/>
              <w:snapToGrid w:val="0"/>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240</w:t>
            </w:r>
            <w:r>
              <w:rPr>
                <w:rFonts w:hint="eastAsia"/>
                <w:sz w:val="21"/>
                <w:szCs w:val="21"/>
              </w:rPr>
              <w:t>t</w:t>
            </w:r>
            <w:r>
              <w:rPr>
                <w:sz w:val="21"/>
                <w:szCs w:val="21"/>
              </w:rPr>
              <w:t>/a</w:t>
            </w:r>
          </w:p>
        </w:tc>
        <w:tc>
          <w:tcPr>
            <w:tcW w:w="677" w:type="dxa"/>
            <w:tcMar>
              <w:left w:w="0" w:type="dxa"/>
              <w:right w:w="0" w:type="dxa"/>
            </w:tcMar>
            <w:vAlign w:val="center"/>
          </w:tcPr>
          <w:p w14:paraId="5C72C6D0">
            <w:pPr>
              <w:adjustRightInd w:val="0"/>
              <w:snapToGrid w:val="0"/>
              <w:spacing w:line="240" w:lineRule="auto"/>
              <w:ind w:firstLine="0" w:firstLineChars="0"/>
              <w:jc w:val="center"/>
              <w:rPr>
                <w:sz w:val="21"/>
                <w:szCs w:val="21"/>
              </w:rPr>
            </w:pPr>
            <w:r>
              <w:rPr>
                <w:rFonts w:hint="eastAsia"/>
                <w:sz w:val="21"/>
                <w:szCs w:val="21"/>
              </w:rPr>
              <w:t>固体</w:t>
            </w:r>
          </w:p>
        </w:tc>
        <w:tc>
          <w:tcPr>
            <w:tcW w:w="2803" w:type="dxa"/>
            <w:shd w:val="clear" w:color="auto" w:fill="auto"/>
            <w:tcMar>
              <w:left w:w="0" w:type="dxa"/>
              <w:right w:w="0" w:type="dxa"/>
            </w:tcMar>
            <w:vAlign w:val="center"/>
          </w:tcPr>
          <w:p w14:paraId="3B9FC1B1">
            <w:pPr>
              <w:adjustRightInd w:val="0"/>
              <w:snapToGrid w:val="0"/>
              <w:spacing w:line="240" w:lineRule="auto"/>
              <w:ind w:firstLine="0" w:firstLineChars="0"/>
              <w:jc w:val="center"/>
              <w:rPr>
                <w:sz w:val="21"/>
                <w:szCs w:val="21"/>
              </w:rPr>
            </w:pPr>
            <w:r>
              <w:rPr>
                <w:rFonts w:hint="eastAsia"/>
                <w:sz w:val="21"/>
                <w:szCs w:val="21"/>
              </w:rPr>
              <w:t>外购，袋装储存</w:t>
            </w:r>
          </w:p>
        </w:tc>
        <w:tc>
          <w:tcPr>
            <w:tcW w:w="1122" w:type="dxa"/>
            <w:vMerge w:val="continue"/>
            <w:vAlign w:val="center"/>
          </w:tcPr>
          <w:p w14:paraId="109040EB">
            <w:pPr>
              <w:adjustRightInd w:val="0"/>
              <w:snapToGrid w:val="0"/>
              <w:spacing w:line="240" w:lineRule="auto"/>
              <w:ind w:firstLine="0" w:firstLineChars="0"/>
              <w:jc w:val="center"/>
              <w:rPr>
                <w:sz w:val="21"/>
                <w:szCs w:val="21"/>
              </w:rPr>
            </w:pPr>
          </w:p>
        </w:tc>
      </w:tr>
      <w:tr w14:paraId="10492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2F60857B">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2C09DAEF">
            <w:pPr>
              <w:adjustRightInd w:val="0"/>
              <w:snapToGrid w:val="0"/>
              <w:spacing w:line="240" w:lineRule="auto"/>
              <w:ind w:firstLine="0" w:firstLineChars="0"/>
              <w:jc w:val="center"/>
              <w:rPr>
                <w:sz w:val="21"/>
                <w:szCs w:val="21"/>
              </w:rPr>
            </w:pPr>
            <w:r>
              <w:rPr>
                <w:rFonts w:hint="eastAsia"/>
                <w:sz w:val="21"/>
                <w:szCs w:val="21"/>
              </w:rPr>
              <w:t>1</w:t>
            </w:r>
            <w:r>
              <w:rPr>
                <w:sz w:val="21"/>
                <w:szCs w:val="21"/>
              </w:rPr>
              <w:t>2-羟基硬脂酸</w:t>
            </w:r>
          </w:p>
        </w:tc>
        <w:tc>
          <w:tcPr>
            <w:tcW w:w="1013" w:type="dxa"/>
            <w:shd w:val="clear" w:color="auto" w:fill="auto"/>
            <w:tcMar>
              <w:left w:w="0" w:type="dxa"/>
              <w:right w:w="0" w:type="dxa"/>
            </w:tcMar>
            <w:vAlign w:val="center"/>
          </w:tcPr>
          <w:p w14:paraId="34415382">
            <w:pPr>
              <w:adjustRightInd w:val="0"/>
              <w:snapToGrid w:val="0"/>
              <w:spacing w:line="240" w:lineRule="auto"/>
              <w:ind w:firstLine="0" w:firstLineChars="0"/>
              <w:jc w:val="center"/>
              <w:rPr>
                <w:sz w:val="21"/>
                <w:szCs w:val="21"/>
              </w:rPr>
            </w:pPr>
            <w:r>
              <w:rPr>
                <w:rFonts w:hint="eastAsia"/>
                <w:sz w:val="21"/>
                <w:szCs w:val="21"/>
              </w:rPr>
              <w:t>2</w:t>
            </w:r>
            <w:r>
              <w:rPr>
                <w:sz w:val="21"/>
                <w:szCs w:val="21"/>
              </w:rPr>
              <w:t>00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247B6585">
            <w:pPr>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2</w:t>
            </w:r>
            <w:r>
              <w:rPr>
                <w:sz w:val="21"/>
                <w:szCs w:val="21"/>
              </w:rPr>
              <w:t>00</w:t>
            </w:r>
            <w:r>
              <w:rPr>
                <w:rFonts w:hint="eastAsia"/>
                <w:sz w:val="21"/>
                <w:szCs w:val="21"/>
              </w:rPr>
              <w:t>t</w:t>
            </w:r>
            <w:r>
              <w:rPr>
                <w:sz w:val="21"/>
                <w:szCs w:val="21"/>
              </w:rPr>
              <w:t>/a</w:t>
            </w:r>
          </w:p>
        </w:tc>
        <w:tc>
          <w:tcPr>
            <w:tcW w:w="677" w:type="dxa"/>
            <w:tcMar>
              <w:left w:w="0" w:type="dxa"/>
              <w:right w:w="0" w:type="dxa"/>
            </w:tcMar>
            <w:vAlign w:val="center"/>
          </w:tcPr>
          <w:p w14:paraId="72294873">
            <w:pPr>
              <w:adjustRightInd w:val="0"/>
              <w:snapToGrid w:val="0"/>
              <w:spacing w:line="240" w:lineRule="auto"/>
              <w:ind w:firstLine="0" w:firstLineChars="0"/>
              <w:jc w:val="center"/>
              <w:rPr>
                <w:sz w:val="21"/>
                <w:szCs w:val="21"/>
              </w:rPr>
            </w:pPr>
            <w:r>
              <w:rPr>
                <w:rFonts w:hint="eastAsia"/>
                <w:sz w:val="21"/>
                <w:szCs w:val="21"/>
              </w:rPr>
              <w:t>固体</w:t>
            </w:r>
          </w:p>
        </w:tc>
        <w:tc>
          <w:tcPr>
            <w:tcW w:w="2803" w:type="dxa"/>
            <w:shd w:val="clear" w:color="auto" w:fill="auto"/>
            <w:tcMar>
              <w:left w:w="0" w:type="dxa"/>
              <w:right w:w="0" w:type="dxa"/>
            </w:tcMar>
            <w:vAlign w:val="center"/>
          </w:tcPr>
          <w:p w14:paraId="39EF890D">
            <w:pPr>
              <w:adjustRightInd w:val="0"/>
              <w:snapToGrid w:val="0"/>
              <w:spacing w:line="240" w:lineRule="auto"/>
              <w:ind w:firstLine="0" w:firstLineChars="0"/>
              <w:jc w:val="center"/>
              <w:rPr>
                <w:sz w:val="21"/>
                <w:szCs w:val="21"/>
              </w:rPr>
            </w:pPr>
            <w:r>
              <w:rPr>
                <w:rFonts w:hint="eastAsia"/>
                <w:sz w:val="21"/>
                <w:szCs w:val="21"/>
              </w:rPr>
              <w:t>外购，桶装储存</w:t>
            </w:r>
          </w:p>
        </w:tc>
        <w:tc>
          <w:tcPr>
            <w:tcW w:w="1122" w:type="dxa"/>
            <w:vMerge w:val="restart"/>
            <w:vAlign w:val="center"/>
          </w:tcPr>
          <w:p w14:paraId="281CF87F">
            <w:pPr>
              <w:adjustRightInd w:val="0"/>
              <w:snapToGrid w:val="0"/>
              <w:spacing w:line="240" w:lineRule="auto"/>
              <w:ind w:firstLine="0" w:firstLineChars="0"/>
              <w:jc w:val="center"/>
              <w:rPr>
                <w:sz w:val="21"/>
                <w:szCs w:val="21"/>
              </w:rPr>
            </w:pPr>
            <w:r>
              <w:rPr>
                <w:rFonts w:hint="eastAsia"/>
                <w:sz w:val="21"/>
                <w:szCs w:val="21"/>
              </w:rPr>
              <w:t>二期辅料</w:t>
            </w:r>
          </w:p>
        </w:tc>
      </w:tr>
      <w:tr w14:paraId="1AAC1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42408E0B">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3FD7D8E7">
            <w:pPr>
              <w:adjustRightInd w:val="0"/>
              <w:snapToGrid w:val="0"/>
              <w:spacing w:line="240" w:lineRule="auto"/>
              <w:ind w:firstLine="0" w:firstLineChars="0"/>
              <w:jc w:val="center"/>
              <w:rPr>
                <w:sz w:val="21"/>
                <w:szCs w:val="21"/>
              </w:rPr>
            </w:pPr>
            <w:r>
              <w:rPr>
                <w:rFonts w:hint="eastAsia"/>
                <w:sz w:val="21"/>
                <w:szCs w:val="21"/>
              </w:rPr>
              <w:t>硬脂酸</w:t>
            </w:r>
          </w:p>
        </w:tc>
        <w:tc>
          <w:tcPr>
            <w:tcW w:w="1013" w:type="dxa"/>
            <w:shd w:val="clear" w:color="auto" w:fill="auto"/>
            <w:tcMar>
              <w:left w:w="0" w:type="dxa"/>
              <w:right w:w="0" w:type="dxa"/>
            </w:tcMar>
            <w:vAlign w:val="center"/>
          </w:tcPr>
          <w:p w14:paraId="51EA26C4">
            <w:pPr>
              <w:adjustRightInd w:val="0"/>
              <w:snapToGrid w:val="0"/>
              <w:spacing w:line="240" w:lineRule="auto"/>
              <w:ind w:firstLine="0" w:firstLineChars="0"/>
              <w:jc w:val="center"/>
              <w:rPr>
                <w:sz w:val="21"/>
                <w:szCs w:val="21"/>
              </w:rPr>
            </w:pPr>
            <w:r>
              <w:rPr>
                <w:rFonts w:hint="eastAsia"/>
                <w:sz w:val="21"/>
                <w:szCs w:val="21"/>
              </w:rPr>
              <w:t>2</w:t>
            </w:r>
            <w:r>
              <w:rPr>
                <w:sz w:val="21"/>
                <w:szCs w:val="21"/>
              </w:rPr>
              <w:t>00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143E9702">
            <w:pPr>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2</w:t>
            </w:r>
            <w:r>
              <w:rPr>
                <w:sz w:val="21"/>
                <w:szCs w:val="21"/>
              </w:rPr>
              <w:t>00</w:t>
            </w:r>
            <w:r>
              <w:rPr>
                <w:rFonts w:hint="eastAsia"/>
                <w:sz w:val="21"/>
                <w:szCs w:val="21"/>
              </w:rPr>
              <w:t>t</w:t>
            </w:r>
            <w:r>
              <w:rPr>
                <w:sz w:val="21"/>
                <w:szCs w:val="21"/>
              </w:rPr>
              <w:t>/a</w:t>
            </w:r>
          </w:p>
        </w:tc>
        <w:tc>
          <w:tcPr>
            <w:tcW w:w="677" w:type="dxa"/>
            <w:tcMar>
              <w:left w:w="0" w:type="dxa"/>
              <w:right w:w="0" w:type="dxa"/>
            </w:tcMar>
            <w:vAlign w:val="center"/>
          </w:tcPr>
          <w:p w14:paraId="05B741D8">
            <w:pPr>
              <w:adjustRightInd w:val="0"/>
              <w:snapToGrid w:val="0"/>
              <w:spacing w:line="240" w:lineRule="auto"/>
              <w:ind w:firstLine="0" w:firstLineChars="0"/>
              <w:jc w:val="center"/>
              <w:rPr>
                <w:sz w:val="21"/>
                <w:szCs w:val="21"/>
              </w:rPr>
            </w:pPr>
            <w:r>
              <w:rPr>
                <w:rFonts w:hint="eastAsia"/>
                <w:sz w:val="21"/>
                <w:szCs w:val="21"/>
              </w:rPr>
              <w:t>固体</w:t>
            </w:r>
          </w:p>
        </w:tc>
        <w:tc>
          <w:tcPr>
            <w:tcW w:w="2803" w:type="dxa"/>
            <w:shd w:val="clear" w:color="auto" w:fill="auto"/>
            <w:tcMar>
              <w:left w:w="0" w:type="dxa"/>
              <w:right w:w="0" w:type="dxa"/>
            </w:tcMar>
            <w:vAlign w:val="center"/>
          </w:tcPr>
          <w:p w14:paraId="5389A2D9">
            <w:pPr>
              <w:adjustRightInd w:val="0"/>
              <w:snapToGrid w:val="0"/>
              <w:spacing w:line="240" w:lineRule="auto"/>
              <w:ind w:firstLine="0" w:firstLineChars="0"/>
              <w:jc w:val="center"/>
              <w:rPr>
                <w:sz w:val="21"/>
                <w:szCs w:val="21"/>
              </w:rPr>
            </w:pPr>
            <w:r>
              <w:rPr>
                <w:rFonts w:hint="eastAsia"/>
                <w:sz w:val="21"/>
                <w:szCs w:val="21"/>
              </w:rPr>
              <w:t>外购，袋装储存</w:t>
            </w:r>
          </w:p>
        </w:tc>
        <w:tc>
          <w:tcPr>
            <w:tcW w:w="1122" w:type="dxa"/>
            <w:vMerge w:val="continue"/>
            <w:vAlign w:val="center"/>
          </w:tcPr>
          <w:p w14:paraId="129DC08A">
            <w:pPr>
              <w:adjustRightInd w:val="0"/>
              <w:snapToGrid w:val="0"/>
              <w:spacing w:line="240" w:lineRule="auto"/>
              <w:ind w:firstLine="0" w:firstLineChars="0"/>
              <w:jc w:val="center"/>
              <w:rPr>
                <w:sz w:val="21"/>
                <w:szCs w:val="21"/>
              </w:rPr>
            </w:pPr>
          </w:p>
        </w:tc>
      </w:tr>
      <w:tr w14:paraId="6EB16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shd w:val="clear" w:color="auto" w:fill="auto"/>
            <w:tcMar>
              <w:left w:w="0" w:type="dxa"/>
              <w:right w:w="0" w:type="dxa"/>
            </w:tcMar>
            <w:vAlign w:val="center"/>
          </w:tcPr>
          <w:p w14:paraId="46B75F5B">
            <w:pPr>
              <w:numPr>
                <w:ilvl w:val="0"/>
                <w:numId w:val="13"/>
              </w:numPr>
              <w:adjustRightInd w:val="0"/>
              <w:snapToGrid w:val="0"/>
              <w:spacing w:line="240" w:lineRule="auto"/>
              <w:ind w:firstLineChars="0"/>
              <w:jc w:val="center"/>
              <w:rPr>
                <w:sz w:val="21"/>
                <w:szCs w:val="21"/>
              </w:rPr>
            </w:pPr>
          </w:p>
        </w:tc>
        <w:tc>
          <w:tcPr>
            <w:tcW w:w="1971" w:type="dxa"/>
            <w:shd w:val="clear" w:color="auto" w:fill="auto"/>
            <w:tcMar>
              <w:left w:w="0" w:type="dxa"/>
              <w:right w:w="0" w:type="dxa"/>
            </w:tcMar>
            <w:vAlign w:val="center"/>
          </w:tcPr>
          <w:p w14:paraId="598AD968">
            <w:pPr>
              <w:adjustRightInd w:val="0"/>
              <w:snapToGrid w:val="0"/>
              <w:spacing w:line="240" w:lineRule="auto"/>
              <w:ind w:firstLine="0" w:firstLineChars="0"/>
              <w:jc w:val="center"/>
              <w:rPr>
                <w:sz w:val="21"/>
                <w:szCs w:val="21"/>
              </w:rPr>
            </w:pPr>
            <w:r>
              <w:rPr>
                <w:rFonts w:hint="eastAsia"/>
                <w:sz w:val="21"/>
                <w:szCs w:val="21"/>
              </w:rPr>
              <w:t>单水氢氧化锂</w:t>
            </w:r>
          </w:p>
        </w:tc>
        <w:tc>
          <w:tcPr>
            <w:tcW w:w="1013" w:type="dxa"/>
            <w:shd w:val="clear" w:color="auto" w:fill="auto"/>
            <w:tcMar>
              <w:left w:w="0" w:type="dxa"/>
              <w:right w:w="0" w:type="dxa"/>
            </w:tcMar>
            <w:vAlign w:val="center"/>
          </w:tcPr>
          <w:p w14:paraId="5D2EC2F7">
            <w:pPr>
              <w:adjustRightInd w:val="0"/>
              <w:snapToGrid w:val="0"/>
              <w:spacing w:line="240" w:lineRule="auto"/>
              <w:ind w:firstLine="0" w:firstLineChars="0"/>
              <w:jc w:val="center"/>
              <w:rPr>
                <w:sz w:val="21"/>
                <w:szCs w:val="21"/>
              </w:rPr>
            </w:pPr>
            <w:r>
              <w:rPr>
                <w:rFonts w:hint="eastAsia"/>
                <w:sz w:val="21"/>
                <w:szCs w:val="21"/>
              </w:rPr>
              <w:t>5</w:t>
            </w:r>
            <w:r>
              <w:rPr>
                <w:sz w:val="21"/>
                <w:szCs w:val="21"/>
              </w:rPr>
              <w:t>0</w:t>
            </w:r>
            <w:r>
              <w:rPr>
                <w:rFonts w:hint="eastAsia"/>
                <w:sz w:val="21"/>
                <w:szCs w:val="21"/>
              </w:rPr>
              <w:t>t</w:t>
            </w:r>
            <w:r>
              <w:rPr>
                <w:sz w:val="21"/>
                <w:szCs w:val="21"/>
              </w:rPr>
              <w:t>/a</w:t>
            </w:r>
          </w:p>
        </w:tc>
        <w:tc>
          <w:tcPr>
            <w:tcW w:w="745" w:type="dxa"/>
            <w:shd w:val="clear" w:color="auto" w:fill="auto"/>
            <w:tcMar>
              <w:left w:w="0" w:type="dxa"/>
              <w:right w:w="0" w:type="dxa"/>
            </w:tcMar>
            <w:vAlign w:val="center"/>
          </w:tcPr>
          <w:p w14:paraId="33DB69E4">
            <w:pPr>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5</w:t>
            </w:r>
            <w:r>
              <w:rPr>
                <w:sz w:val="21"/>
                <w:szCs w:val="21"/>
              </w:rPr>
              <w:t>0</w:t>
            </w:r>
            <w:r>
              <w:rPr>
                <w:rFonts w:hint="eastAsia"/>
                <w:sz w:val="21"/>
                <w:szCs w:val="21"/>
              </w:rPr>
              <w:t>t</w:t>
            </w:r>
            <w:r>
              <w:rPr>
                <w:sz w:val="21"/>
                <w:szCs w:val="21"/>
              </w:rPr>
              <w:t>/a</w:t>
            </w:r>
          </w:p>
        </w:tc>
        <w:tc>
          <w:tcPr>
            <w:tcW w:w="677" w:type="dxa"/>
            <w:tcMar>
              <w:left w:w="0" w:type="dxa"/>
              <w:right w:w="0" w:type="dxa"/>
            </w:tcMar>
            <w:vAlign w:val="center"/>
          </w:tcPr>
          <w:p w14:paraId="0009A315">
            <w:pPr>
              <w:adjustRightInd w:val="0"/>
              <w:snapToGrid w:val="0"/>
              <w:spacing w:line="240" w:lineRule="auto"/>
              <w:ind w:firstLine="0" w:firstLineChars="0"/>
              <w:jc w:val="center"/>
              <w:rPr>
                <w:sz w:val="21"/>
                <w:szCs w:val="21"/>
              </w:rPr>
            </w:pPr>
            <w:r>
              <w:rPr>
                <w:rFonts w:hint="eastAsia"/>
                <w:sz w:val="21"/>
                <w:szCs w:val="21"/>
              </w:rPr>
              <w:t>固体</w:t>
            </w:r>
          </w:p>
        </w:tc>
        <w:tc>
          <w:tcPr>
            <w:tcW w:w="2803" w:type="dxa"/>
            <w:shd w:val="clear" w:color="auto" w:fill="auto"/>
            <w:tcMar>
              <w:left w:w="0" w:type="dxa"/>
              <w:right w:w="0" w:type="dxa"/>
            </w:tcMar>
            <w:vAlign w:val="center"/>
          </w:tcPr>
          <w:p w14:paraId="6D063839">
            <w:pPr>
              <w:adjustRightInd w:val="0"/>
              <w:snapToGrid w:val="0"/>
              <w:spacing w:line="240" w:lineRule="auto"/>
              <w:ind w:firstLine="0" w:firstLineChars="0"/>
              <w:jc w:val="center"/>
              <w:rPr>
                <w:sz w:val="21"/>
                <w:szCs w:val="21"/>
              </w:rPr>
            </w:pPr>
            <w:r>
              <w:rPr>
                <w:rFonts w:hint="eastAsia"/>
                <w:sz w:val="21"/>
                <w:szCs w:val="21"/>
              </w:rPr>
              <w:t>外购，袋装储存</w:t>
            </w:r>
          </w:p>
        </w:tc>
        <w:tc>
          <w:tcPr>
            <w:tcW w:w="1122" w:type="dxa"/>
            <w:vMerge w:val="continue"/>
            <w:vAlign w:val="center"/>
          </w:tcPr>
          <w:p w14:paraId="784E4F95">
            <w:pPr>
              <w:adjustRightInd w:val="0"/>
              <w:snapToGrid w:val="0"/>
              <w:spacing w:line="240" w:lineRule="auto"/>
              <w:ind w:firstLine="0" w:firstLineChars="0"/>
              <w:jc w:val="center"/>
              <w:rPr>
                <w:sz w:val="21"/>
                <w:szCs w:val="21"/>
              </w:rPr>
            </w:pPr>
          </w:p>
        </w:tc>
      </w:tr>
    </w:tbl>
    <w:p w14:paraId="2905865B">
      <w:pPr>
        <w:adjustRightInd w:val="0"/>
        <w:snapToGrid w:val="0"/>
        <w:spacing w:line="240" w:lineRule="auto"/>
        <w:ind w:firstLine="422"/>
        <w:rPr>
          <w:rFonts w:ascii="黑体" w:hAnsi="黑体" w:eastAsia="黑体"/>
          <w:b/>
          <w:i/>
          <w:sz w:val="21"/>
          <w:szCs w:val="21"/>
        </w:rPr>
      </w:pPr>
      <w:r>
        <w:rPr>
          <w:rFonts w:hint="eastAsia" w:ascii="黑体" w:hAnsi="黑体" w:eastAsia="黑体"/>
          <w:b/>
          <w:i/>
          <w:sz w:val="21"/>
          <w:szCs w:val="21"/>
        </w:rPr>
        <w:t>注：二期原料是一期的产品，其中2万吨润滑油作为二期原料。</w:t>
      </w:r>
    </w:p>
    <w:p w14:paraId="3BC0EE83">
      <w:pPr>
        <w:ind w:firstLine="480"/>
      </w:pPr>
      <w:r>
        <w:rPr>
          <w:rFonts w:hint="eastAsia"/>
        </w:rPr>
        <w:t>本项目所用的原辅料成分情况说明如下：</w:t>
      </w:r>
    </w:p>
    <w:p w14:paraId="1452D3AA">
      <w:pPr>
        <w:ind w:firstLine="480"/>
      </w:pPr>
      <w:r>
        <w:rPr>
          <w:rFonts w:hint="eastAsia" w:ascii="宋体" w:hAnsi="宋体" w:cs="宋体"/>
        </w:rPr>
        <w:t>①</w:t>
      </w:r>
      <w:r>
        <w:rPr>
          <w:rFonts w:hint="eastAsia"/>
        </w:rPr>
        <w:t>原料减线油</w:t>
      </w:r>
    </w:p>
    <w:p w14:paraId="7A7D2570">
      <w:pPr>
        <w:ind w:firstLine="480"/>
      </w:pPr>
      <w:r>
        <w:rPr>
          <w:rFonts w:hint="eastAsia"/>
        </w:rPr>
        <w:t>减线油是指原油减压蒸馏塔产出的油。依据沸点的不同主要分为一线到四线，沸点越来越高。与一般的基础油相比，减线油属于非标油，他们通过溶剂脱沥青 、溶剂脱蜡、溶剂精制、加氢精制或酸碱精制、白土精制等工艺，除去或降低形成游离碳的物质、低粘度指数的物质、氧化安定性差的物质、石蜡以及影响成品油颜色的化学物质等组分，得到合格的润滑油基础油。</w:t>
      </w:r>
    </w:p>
    <w:p w14:paraId="2D360DDD">
      <w:pPr>
        <w:ind w:firstLine="480"/>
      </w:pPr>
      <w:r>
        <w:rPr>
          <w:rFonts w:hint="eastAsia" w:ascii="宋体" w:hAnsi="宋体" w:cs="宋体"/>
        </w:rPr>
        <w:t>②</w:t>
      </w:r>
      <w:r>
        <w:t>12-</w:t>
      </w:r>
      <w:r>
        <w:rPr>
          <w:rFonts w:hint="eastAsia"/>
        </w:rPr>
        <w:t>羟基硬脂酸</w:t>
      </w:r>
    </w:p>
    <w:p w14:paraId="47B5FD04">
      <w:pPr>
        <w:ind w:firstLine="480"/>
      </w:pPr>
      <w:r>
        <w:rPr>
          <w:rFonts w:hint="eastAsia"/>
        </w:rPr>
        <w:t>12-羟基硬脂酸是一种片状或针状结晶的化学物质，分子式为C</w:t>
      </w:r>
      <w:r>
        <w:rPr>
          <w:rFonts w:hint="eastAsia"/>
          <w:vertAlign w:val="subscript"/>
        </w:rPr>
        <w:t>18</w:t>
      </w:r>
      <w:r>
        <w:rPr>
          <w:rFonts w:hint="eastAsia"/>
        </w:rPr>
        <w:t>H</w:t>
      </w:r>
      <w:r>
        <w:rPr>
          <w:rFonts w:hint="eastAsia"/>
          <w:vertAlign w:val="subscript"/>
        </w:rPr>
        <w:t>36</w:t>
      </w:r>
      <w:r>
        <w:rPr>
          <w:rFonts w:hint="eastAsia"/>
        </w:rPr>
        <w:t>O</w:t>
      </w:r>
      <w:r>
        <w:rPr>
          <w:rFonts w:hint="eastAsia"/>
          <w:vertAlign w:val="subscript"/>
        </w:rPr>
        <w:t>3</w:t>
      </w:r>
      <w:r>
        <w:rPr>
          <w:rFonts w:hint="eastAsia"/>
        </w:rPr>
        <w:t>，工业级产品质量标准见表3</w:t>
      </w:r>
      <w:r>
        <w:t>.1-3</w:t>
      </w:r>
      <w:r>
        <w:rPr>
          <w:rFonts w:hint="eastAsia"/>
        </w:rPr>
        <w:t>。</w:t>
      </w:r>
    </w:p>
    <w:p w14:paraId="0CD7B170">
      <w:pPr>
        <w:pStyle w:val="47"/>
        <w:spacing w:before="65"/>
      </w:pPr>
      <w:r>
        <w:rPr>
          <w:rFonts w:hint="eastAsia"/>
        </w:rPr>
        <w:t>表3</w:t>
      </w:r>
      <w:r>
        <w:t xml:space="preserve">.1-3   </w:t>
      </w:r>
      <w:r>
        <w:rPr>
          <w:lang w:val="en-US"/>
        </w:rPr>
        <w:t>12-羟基硬脂酸</w:t>
      </w:r>
      <w:r>
        <w:rPr>
          <w:rFonts w:hint="eastAsia"/>
        </w:rPr>
        <w:t>主要成分一览表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0"/>
        <w:gridCol w:w="4380"/>
      </w:tblGrid>
      <w:tr w14:paraId="050EA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2090E1CF">
            <w:pPr>
              <w:adjustRightInd w:val="0"/>
              <w:snapToGrid w:val="0"/>
              <w:spacing w:line="240" w:lineRule="auto"/>
              <w:ind w:firstLine="0" w:firstLineChars="0"/>
              <w:jc w:val="center"/>
              <w:rPr>
                <w:sz w:val="21"/>
                <w:szCs w:val="21"/>
              </w:rPr>
            </w:pPr>
            <w:r>
              <w:rPr>
                <w:rFonts w:hint="eastAsia"/>
                <w:sz w:val="21"/>
                <w:szCs w:val="21"/>
              </w:rPr>
              <w:t>名称</w:t>
            </w:r>
          </w:p>
        </w:tc>
        <w:tc>
          <w:tcPr>
            <w:tcW w:w="4473" w:type="dxa"/>
            <w:shd w:val="clear" w:color="auto" w:fill="auto"/>
            <w:tcMar>
              <w:left w:w="0" w:type="dxa"/>
              <w:right w:w="0" w:type="dxa"/>
            </w:tcMar>
            <w:vAlign w:val="center"/>
          </w:tcPr>
          <w:p w14:paraId="7CA25A24">
            <w:pPr>
              <w:adjustRightInd w:val="0"/>
              <w:snapToGrid w:val="0"/>
              <w:spacing w:line="240" w:lineRule="auto"/>
              <w:ind w:firstLine="0" w:firstLineChars="0"/>
              <w:jc w:val="center"/>
              <w:rPr>
                <w:sz w:val="21"/>
                <w:szCs w:val="21"/>
              </w:rPr>
            </w:pPr>
            <w:r>
              <w:rPr>
                <w:rFonts w:hint="eastAsia"/>
                <w:sz w:val="21"/>
                <w:szCs w:val="21"/>
              </w:rPr>
              <w:t>含量</w:t>
            </w:r>
          </w:p>
        </w:tc>
      </w:tr>
      <w:tr w14:paraId="0A316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109EB9ED">
            <w:pPr>
              <w:adjustRightInd w:val="0"/>
              <w:snapToGrid w:val="0"/>
              <w:spacing w:line="240" w:lineRule="auto"/>
              <w:ind w:firstLine="0" w:firstLineChars="0"/>
              <w:jc w:val="center"/>
              <w:rPr>
                <w:sz w:val="21"/>
                <w:szCs w:val="21"/>
              </w:rPr>
            </w:pPr>
            <w:r>
              <w:rPr>
                <w:rFonts w:hint="eastAsia"/>
                <w:sz w:val="21"/>
                <w:szCs w:val="21"/>
              </w:rPr>
              <w:t>酸值</w:t>
            </w:r>
          </w:p>
        </w:tc>
        <w:tc>
          <w:tcPr>
            <w:tcW w:w="4473" w:type="dxa"/>
            <w:shd w:val="clear" w:color="auto" w:fill="auto"/>
            <w:tcMar>
              <w:left w:w="0" w:type="dxa"/>
              <w:right w:w="0" w:type="dxa"/>
            </w:tcMar>
            <w:vAlign w:val="center"/>
          </w:tcPr>
          <w:p w14:paraId="63796B40">
            <w:pPr>
              <w:adjustRightInd w:val="0"/>
              <w:snapToGrid w:val="0"/>
              <w:spacing w:line="240" w:lineRule="auto"/>
              <w:ind w:firstLine="0" w:firstLineChars="0"/>
              <w:jc w:val="center"/>
              <w:rPr>
                <w:sz w:val="21"/>
                <w:szCs w:val="21"/>
              </w:rPr>
            </w:pPr>
            <w:r>
              <w:rPr>
                <w:sz w:val="21"/>
                <w:szCs w:val="21"/>
              </w:rPr>
              <w:t>172</w:t>
            </w:r>
            <w:r>
              <w:rPr>
                <w:rFonts w:hint="eastAsia"/>
                <w:sz w:val="21"/>
                <w:szCs w:val="21"/>
              </w:rPr>
              <w:t>～1</w:t>
            </w:r>
            <w:r>
              <w:rPr>
                <w:sz w:val="21"/>
                <w:szCs w:val="21"/>
              </w:rPr>
              <w:t>85</w:t>
            </w:r>
            <w:r>
              <w:rPr>
                <w:rFonts w:hint="eastAsia"/>
                <w:sz w:val="21"/>
                <w:szCs w:val="21"/>
              </w:rPr>
              <w:t>mgKOH</w:t>
            </w:r>
            <w:r>
              <w:rPr>
                <w:sz w:val="21"/>
                <w:szCs w:val="21"/>
              </w:rPr>
              <w:t>/g</w:t>
            </w:r>
          </w:p>
        </w:tc>
      </w:tr>
      <w:tr w14:paraId="1307C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05663780">
            <w:pPr>
              <w:adjustRightInd w:val="0"/>
              <w:snapToGrid w:val="0"/>
              <w:spacing w:line="240" w:lineRule="auto"/>
              <w:ind w:firstLine="0" w:firstLineChars="0"/>
              <w:jc w:val="center"/>
              <w:rPr>
                <w:sz w:val="21"/>
                <w:szCs w:val="21"/>
              </w:rPr>
            </w:pPr>
            <w:r>
              <w:rPr>
                <w:rFonts w:hint="eastAsia"/>
                <w:sz w:val="21"/>
                <w:szCs w:val="21"/>
              </w:rPr>
              <w:t>碘值</w:t>
            </w:r>
          </w:p>
        </w:tc>
        <w:tc>
          <w:tcPr>
            <w:tcW w:w="4473" w:type="dxa"/>
            <w:shd w:val="clear" w:color="auto" w:fill="auto"/>
            <w:tcMar>
              <w:left w:w="0" w:type="dxa"/>
              <w:right w:w="0" w:type="dxa"/>
            </w:tcMar>
            <w:vAlign w:val="center"/>
          </w:tcPr>
          <w:p w14:paraId="1BECC26D">
            <w:pPr>
              <w:adjustRightInd w:val="0"/>
              <w:snapToGrid w:val="0"/>
              <w:spacing w:line="240" w:lineRule="auto"/>
              <w:ind w:firstLine="0" w:firstLineChars="0"/>
              <w:jc w:val="center"/>
              <w:rPr>
                <w:sz w:val="21"/>
                <w:szCs w:val="21"/>
              </w:rPr>
            </w:pPr>
            <w:r>
              <w:rPr>
                <w:rFonts w:hint="eastAsia"/>
                <w:sz w:val="21"/>
                <w:szCs w:val="21"/>
              </w:rPr>
              <w:t>≤3gI</w:t>
            </w:r>
            <w:r>
              <w:rPr>
                <w:sz w:val="21"/>
                <w:szCs w:val="21"/>
                <w:vertAlign w:val="subscript"/>
              </w:rPr>
              <w:t>2</w:t>
            </w:r>
            <w:r>
              <w:rPr>
                <w:sz w:val="21"/>
                <w:szCs w:val="21"/>
              </w:rPr>
              <w:t>/100</w:t>
            </w:r>
            <w:r>
              <w:rPr>
                <w:rFonts w:hint="eastAsia"/>
                <w:sz w:val="21"/>
                <w:szCs w:val="21"/>
              </w:rPr>
              <w:t>g</w:t>
            </w:r>
          </w:p>
        </w:tc>
      </w:tr>
      <w:tr w14:paraId="71112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22C5BDC1">
            <w:pPr>
              <w:adjustRightInd w:val="0"/>
              <w:snapToGrid w:val="0"/>
              <w:spacing w:line="240" w:lineRule="auto"/>
              <w:ind w:firstLine="0" w:firstLineChars="0"/>
              <w:jc w:val="center"/>
              <w:rPr>
                <w:sz w:val="21"/>
                <w:szCs w:val="21"/>
              </w:rPr>
            </w:pPr>
            <w:r>
              <w:rPr>
                <w:rFonts w:hint="eastAsia"/>
                <w:sz w:val="21"/>
                <w:szCs w:val="21"/>
              </w:rPr>
              <w:t>羟值</w:t>
            </w:r>
          </w:p>
        </w:tc>
        <w:tc>
          <w:tcPr>
            <w:tcW w:w="4473" w:type="dxa"/>
            <w:shd w:val="clear" w:color="auto" w:fill="auto"/>
            <w:tcMar>
              <w:left w:w="0" w:type="dxa"/>
              <w:right w:w="0" w:type="dxa"/>
            </w:tcMar>
            <w:vAlign w:val="center"/>
          </w:tcPr>
          <w:p w14:paraId="25E0C49C">
            <w:pPr>
              <w:adjustRightInd w:val="0"/>
              <w:snapToGrid w:val="0"/>
              <w:spacing w:line="240" w:lineRule="auto"/>
              <w:ind w:firstLine="0" w:firstLineChars="0"/>
              <w:jc w:val="center"/>
              <w:rPr>
                <w:sz w:val="21"/>
                <w:szCs w:val="21"/>
              </w:rPr>
            </w:pPr>
            <w:r>
              <w:rPr>
                <w:rFonts w:hint="eastAsia"/>
                <w:sz w:val="21"/>
                <w:szCs w:val="21"/>
              </w:rPr>
              <w:t>≥1</w:t>
            </w:r>
            <w:r>
              <w:rPr>
                <w:sz w:val="21"/>
                <w:szCs w:val="21"/>
              </w:rPr>
              <w:t>48</w:t>
            </w:r>
            <w:r>
              <w:rPr>
                <w:rFonts w:hint="eastAsia"/>
                <w:sz w:val="21"/>
                <w:szCs w:val="21"/>
              </w:rPr>
              <w:t>mgKOH</w:t>
            </w:r>
            <w:r>
              <w:rPr>
                <w:sz w:val="21"/>
                <w:szCs w:val="21"/>
              </w:rPr>
              <w:t>/</w:t>
            </w:r>
            <w:r>
              <w:rPr>
                <w:rFonts w:hint="eastAsia"/>
                <w:sz w:val="21"/>
                <w:szCs w:val="21"/>
              </w:rPr>
              <w:t>g</w:t>
            </w:r>
          </w:p>
        </w:tc>
      </w:tr>
      <w:tr w14:paraId="7B3BE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51B445F7">
            <w:pPr>
              <w:adjustRightInd w:val="0"/>
              <w:snapToGrid w:val="0"/>
              <w:spacing w:line="240" w:lineRule="auto"/>
              <w:ind w:firstLine="0" w:firstLineChars="0"/>
              <w:jc w:val="center"/>
              <w:rPr>
                <w:sz w:val="21"/>
                <w:szCs w:val="21"/>
              </w:rPr>
            </w:pPr>
            <w:r>
              <w:rPr>
                <w:rFonts w:hint="eastAsia"/>
                <w:sz w:val="21"/>
                <w:szCs w:val="21"/>
              </w:rPr>
              <w:t>皂化值</w:t>
            </w:r>
          </w:p>
        </w:tc>
        <w:tc>
          <w:tcPr>
            <w:tcW w:w="4473" w:type="dxa"/>
            <w:shd w:val="clear" w:color="auto" w:fill="auto"/>
            <w:tcMar>
              <w:left w:w="0" w:type="dxa"/>
              <w:right w:w="0" w:type="dxa"/>
            </w:tcMar>
            <w:vAlign w:val="center"/>
          </w:tcPr>
          <w:p w14:paraId="0320B6A5">
            <w:pPr>
              <w:adjustRightInd w:val="0"/>
              <w:snapToGrid w:val="0"/>
              <w:spacing w:line="240" w:lineRule="auto"/>
              <w:ind w:firstLine="0" w:firstLineChars="0"/>
              <w:jc w:val="center"/>
              <w:rPr>
                <w:sz w:val="21"/>
                <w:szCs w:val="21"/>
              </w:rPr>
            </w:pPr>
            <w:r>
              <w:rPr>
                <w:sz w:val="21"/>
                <w:szCs w:val="21"/>
              </w:rPr>
              <w:t>178</w:t>
            </w:r>
            <w:r>
              <w:rPr>
                <w:rFonts w:hint="eastAsia"/>
                <w:sz w:val="21"/>
                <w:szCs w:val="21"/>
              </w:rPr>
              <w:t>～1</w:t>
            </w:r>
            <w:r>
              <w:rPr>
                <w:sz w:val="21"/>
                <w:szCs w:val="21"/>
              </w:rPr>
              <w:t>88</w:t>
            </w:r>
            <w:r>
              <w:rPr>
                <w:rFonts w:hint="eastAsia"/>
                <w:sz w:val="21"/>
                <w:szCs w:val="21"/>
              </w:rPr>
              <w:t>mg</w:t>
            </w:r>
            <w:r>
              <w:rPr>
                <w:sz w:val="21"/>
                <w:szCs w:val="21"/>
              </w:rPr>
              <w:t>/</w:t>
            </w:r>
            <w:r>
              <w:rPr>
                <w:rFonts w:hint="eastAsia"/>
                <w:sz w:val="21"/>
                <w:szCs w:val="21"/>
              </w:rPr>
              <w:t>KOH</w:t>
            </w:r>
            <w:r>
              <w:rPr>
                <w:sz w:val="21"/>
                <w:szCs w:val="21"/>
              </w:rPr>
              <w:t>/g</w:t>
            </w:r>
          </w:p>
        </w:tc>
      </w:tr>
      <w:tr w14:paraId="23445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08563351">
            <w:pPr>
              <w:adjustRightInd w:val="0"/>
              <w:snapToGrid w:val="0"/>
              <w:spacing w:line="240" w:lineRule="auto"/>
              <w:ind w:firstLine="0" w:firstLineChars="0"/>
              <w:jc w:val="center"/>
              <w:rPr>
                <w:sz w:val="21"/>
                <w:szCs w:val="21"/>
              </w:rPr>
            </w:pPr>
            <w:r>
              <w:rPr>
                <w:rFonts w:hint="eastAsia"/>
                <w:sz w:val="21"/>
                <w:szCs w:val="21"/>
              </w:rPr>
              <w:t>水分</w:t>
            </w:r>
          </w:p>
        </w:tc>
        <w:tc>
          <w:tcPr>
            <w:tcW w:w="4473" w:type="dxa"/>
            <w:shd w:val="clear" w:color="auto" w:fill="auto"/>
            <w:tcMar>
              <w:left w:w="0" w:type="dxa"/>
              <w:right w:w="0" w:type="dxa"/>
            </w:tcMar>
            <w:vAlign w:val="center"/>
          </w:tcPr>
          <w:p w14:paraId="31E196E2">
            <w:pPr>
              <w:adjustRightInd w:val="0"/>
              <w:snapToGrid w:val="0"/>
              <w:spacing w:line="240" w:lineRule="auto"/>
              <w:ind w:firstLine="0" w:firstLineChars="0"/>
              <w:jc w:val="center"/>
              <w:rPr>
                <w:sz w:val="21"/>
                <w:szCs w:val="21"/>
              </w:rPr>
            </w:pPr>
            <w:r>
              <w:rPr>
                <w:rFonts w:hint="eastAsia"/>
                <w:sz w:val="21"/>
                <w:szCs w:val="21"/>
              </w:rPr>
              <w:t>≤</w:t>
            </w:r>
            <w:r>
              <w:rPr>
                <w:sz w:val="21"/>
                <w:szCs w:val="21"/>
              </w:rPr>
              <w:t>2</w:t>
            </w:r>
            <w:r>
              <w:rPr>
                <w:rFonts w:hint="eastAsia"/>
                <w:sz w:val="21"/>
                <w:szCs w:val="21"/>
              </w:rPr>
              <w:t>%</w:t>
            </w:r>
          </w:p>
        </w:tc>
      </w:tr>
      <w:tr w14:paraId="47CE9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778967DB">
            <w:pPr>
              <w:adjustRightInd w:val="0"/>
              <w:snapToGrid w:val="0"/>
              <w:spacing w:line="240" w:lineRule="auto"/>
              <w:ind w:firstLine="0" w:firstLineChars="0"/>
              <w:jc w:val="center"/>
              <w:rPr>
                <w:sz w:val="21"/>
                <w:szCs w:val="21"/>
              </w:rPr>
            </w:pPr>
            <w:r>
              <w:rPr>
                <w:rFonts w:hint="eastAsia"/>
                <w:sz w:val="21"/>
                <w:szCs w:val="21"/>
              </w:rPr>
              <w:t>熔点</w:t>
            </w:r>
          </w:p>
        </w:tc>
        <w:tc>
          <w:tcPr>
            <w:tcW w:w="4473" w:type="dxa"/>
            <w:shd w:val="clear" w:color="auto" w:fill="auto"/>
            <w:tcMar>
              <w:left w:w="0" w:type="dxa"/>
              <w:right w:w="0" w:type="dxa"/>
            </w:tcMar>
            <w:vAlign w:val="center"/>
          </w:tcPr>
          <w:p w14:paraId="2D7AE7DE">
            <w:pPr>
              <w:adjustRightInd w:val="0"/>
              <w:snapToGrid w:val="0"/>
              <w:spacing w:line="240" w:lineRule="auto"/>
              <w:ind w:firstLine="0" w:firstLineChars="0"/>
              <w:jc w:val="center"/>
              <w:rPr>
                <w:sz w:val="21"/>
                <w:szCs w:val="21"/>
              </w:rPr>
            </w:pPr>
            <w:r>
              <w:rPr>
                <w:rFonts w:hint="eastAsia"/>
                <w:sz w:val="21"/>
                <w:szCs w:val="21"/>
              </w:rPr>
              <w:t>≥7</w:t>
            </w:r>
            <w:r>
              <w:rPr>
                <w:sz w:val="21"/>
                <w:szCs w:val="21"/>
              </w:rPr>
              <w:t>3</w:t>
            </w:r>
            <w:r>
              <w:rPr>
                <w:rFonts w:hint="eastAsia"/>
                <w:sz w:val="21"/>
                <w:szCs w:val="21"/>
              </w:rPr>
              <w:t>℃</w:t>
            </w:r>
          </w:p>
        </w:tc>
      </w:tr>
    </w:tbl>
    <w:p w14:paraId="5DF211FD">
      <w:pPr>
        <w:ind w:firstLine="480"/>
      </w:pPr>
      <w:r>
        <w:rPr>
          <w:rFonts w:hint="eastAsia" w:ascii="宋体" w:hAnsi="宋体" w:cs="宋体"/>
        </w:rPr>
        <w:t>③</w:t>
      </w:r>
      <w:r>
        <w:rPr>
          <w:rFonts w:hint="eastAsia"/>
        </w:rPr>
        <w:t>硬脂酸</w:t>
      </w:r>
    </w:p>
    <w:p w14:paraId="3F1D99FD">
      <w:pPr>
        <w:ind w:firstLine="480"/>
      </w:pPr>
      <w:r>
        <w:rPr>
          <w:rFonts w:hint="eastAsia"/>
        </w:rPr>
        <w:t>化学式为C</w:t>
      </w:r>
      <w:r>
        <w:rPr>
          <w:rFonts w:hint="eastAsia"/>
          <w:vertAlign w:val="subscript"/>
        </w:rPr>
        <w:t>18</w:t>
      </w:r>
      <w:r>
        <w:rPr>
          <w:rFonts w:hint="eastAsia"/>
        </w:rPr>
        <w:t>H</w:t>
      </w:r>
      <w:r>
        <w:rPr>
          <w:rFonts w:hint="eastAsia"/>
          <w:vertAlign w:val="subscript"/>
        </w:rPr>
        <w:t>36</w:t>
      </w:r>
      <w:r>
        <w:rPr>
          <w:rFonts w:hint="eastAsia"/>
        </w:rPr>
        <w:t>O</w:t>
      </w:r>
      <w:r>
        <w:rPr>
          <w:rFonts w:hint="eastAsia"/>
          <w:vertAlign w:val="subscript"/>
        </w:rPr>
        <w:t>2</w:t>
      </w:r>
      <w:r>
        <w:rPr>
          <w:rFonts w:hint="eastAsia"/>
        </w:rPr>
        <w:t>，分子量为284.48，是一种化合物，即十八烷酸，外观为</w:t>
      </w:r>
      <w:r>
        <w:t>白色蜡状透明固体或微黄色蜡状固体</w:t>
      </w:r>
      <w:r>
        <w:rPr>
          <w:rFonts w:hint="eastAsia"/>
        </w:rPr>
        <w:t>。广泛用于制化妆品、塑料耐寒增塑剂、脱模剂、稳定剂、表面活性剂、橡胶硫化促进剂、防水剂、抛光剂、金属皂、金属矿物浮选剂、软化剂、医药品及其他有机化学品，工业级硬脂酸执行《工业硬脂酸》（GB</w:t>
      </w:r>
      <w:r>
        <w:t>/</w:t>
      </w:r>
      <w:r>
        <w:rPr>
          <w:rFonts w:hint="eastAsia"/>
        </w:rPr>
        <w:t>T</w:t>
      </w:r>
      <w:r>
        <w:t>9103-2013</w:t>
      </w:r>
      <w:r>
        <w:rPr>
          <w:rFonts w:hint="eastAsia"/>
        </w:rPr>
        <w:t>）质量标准，具体见表3</w:t>
      </w:r>
      <w:r>
        <w:t>.1-4</w:t>
      </w:r>
      <w:r>
        <w:rPr>
          <w:rFonts w:hint="eastAsia"/>
        </w:rPr>
        <w:t>。</w:t>
      </w:r>
    </w:p>
    <w:p w14:paraId="61B31CC2">
      <w:pPr>
        <w:pStyle w:val="47"/>
        <w:spacing w:before="65"/>
      </w:pPr>
      <w:r>
        <w:rPr>
          <w:rFonts w:hint="eastAsia"/>
        </w:rPr>
        <w:t>表3</w:t>
      </w:r>
      <w:r>
        <w:t xml:space="preserve">.1-4   </w:t>
      </w:r>
      <w:r>
        <w:rPr>
          <w:rFonts w:hint="eastAsia"/>
        </w:rPr>
        <w:t>硬脂酸主要成分一览表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1"/>
        <w:gridCol w:w="4379"/>
      </w:tblGrid>
      <w:tr w14:paraId="72AA1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66468931">
            <w:pPr>
              <w:adjustRightInd w:val="0"/>
              <w:snapToGrid w:val="0"/>
              <w:spacing w:line="240" w:lineRule="auto"/>
              <w:ind w:firstLine="0" w:firstLineChars="0"/>
              <w:jc w:val="center"/>
              <w:rPr>
                <w:sz w:val="21"/>
                <w:szCs w:val="21"/>
              </w:rPr>
            </w:pPr>
            <w:r>
              <w:rPr>
                <w:rFonts w:hint="eastAsia"/>
                <w:sz w:val="21"/>
                <w:szCs w:val="21"/>
              </w:rPr>
              <w:t>名称</w:t>
            </w:r>
          </w:p>
        </w:tc>
        <w:tc>
          <w:tcPr>
            <w:tcW w:w="4473" w:type="dxa"/>
            <w:shd w:val="clear" w:color="auto" w:fill="auto"/>
            <w:tcMar>
              <w:left w:w="0" w:type="dxa"/>
              <w:right w:w="0" w:type="dxa"/>
            </w:tcMar>
            <w:vAlign w:val="center"/>
          </w:tcPr>
          <w:p w14:paraId="14EC614D">
            <w:pPr>
              <w:adjustRightInd w:val="0"/>
              <w:snapToGrid w:val="0"/>
              <w:spacing w:line="240" w:lineRule="auto"/>
              <w:ind w:firstLine="0" w:firstLineChars="0"/>
              <w:jc w:val="center"/>
              <w:rPr>
                <w:sz w:val="21"/>
                <w:szCs w:val="21"/>
              </w:rPr>
            </w:pPr>
            <w:r>
              <w:rPr>
                <w:rFonts w:hint="eastAsia"/>
                <w:sz w:val="21"/>
                <w:szCs w:val="21"/>
              </w:rPr>
              <w:t>含量（1</w:t>
            </w:r>
            <w:r>
              <w:rPr>
                <w:sz w:val="21"/>
                <w:szCs w:val="21"/>
              </w:rPr>
              <w:t>850</w:t>
            </w:r>
            <w:r>
              <w:rPr>
                <w:rFonts w:hint="eastAsia"/>
                <w:sz w:val="21"/>
                <w:szCs w:val="21"/>
              </w:rPr>
              <w:t>型-合格品）</w:t>
            </w:r>
          </w:p>
        </w:tc>
      </w:tr>
      <w:tr w14:paraId="75FB3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51A02C95">
            <w:pPr>
              <w:adjustRightInd w:val="0"/>
              <w:snapToGrid w:val="0"/>
              <w:spacing w:line="240" w:lineRule="auto"/>
              <w:ind w:firstLine="0" w:firstLineChars="0"/>
              <w:jc w:val="center"/>
              <w:rPr>
                <w:sz w:val="21"/>
                <w:szCs w:val="21"/>
              </w:rPr>
            </w:pPr>
            <w:r>
              <w:rPr>
                <w:rFonts w:hint="eastAsia"/>
                <w:sz w:val="21"/>
                <w:szCs w:val="21"/>
              </w:rPr>
              <w:t>含量</w:t>
            </w:r>
          </w:p>
        </w:tc>
        <w:tc>
          <w:tcPr>
            <w:tcW w:w="4473" w:type="dxa"/>
            <w:shd w:val="clear" w:color="auto" w:fill="auto"/>
            <w:tcMar>
              <w:left w:w="0" w:type="dxa"/>
              <w:right w:w="0" w:type="dxa"/>
            </w:tcMar>
            <w:vAlign w:val="center"/>
          </w:tcPr>
          <w:p w14:paraId="77A944C4">
            <w:pPr>
              <w:adjustRightInd w:val="0"/>
              <w:snapToGrid w:val="0"/>
              <w:spacing w:line="240" w:lineRule="auto"/>
              <w:ind w:firstLine="0" w:firstLineChars="0"/>
              <w:jc w:val="center"/>
              <w:rPr>
                <w:sz w:val="21"/>
                <w:szCs w:val="21"/>
              </w:rPr>
            </w:pPr>
            <w:r>
              <w:rPr>
                <w:sz w:val="21"/>
                <w:szCs w:val="21"/>
              </w:rPr>
              <w:t>46</w:t>
            </w:r>
            <w:r>
              <w:rPr>
                <w:rFonts w:hint="eastAsia"/>
                <w:sz w:val="21"/>
                <w:szCs w:val="21"/>
              </w:rPr>
              <w:t>～5</w:t>
            </w:r>
            <w:r>
              <w:rPr>
                <w:sz w:val="21"/>
                <w:szCs w:val="21"/>
              </w:rPr>
              <w:t>8</w:t>
            </w:r>
            <w:r>
              <w:rPr>
                <w:rFonts w:hint="eastAsia"/>
                <w:sz w:val="21"/>
                <w:szCs w:val="21"/>
              </w:rPr>
              <w:t>%</w:t>
            </w:r>
          </w:p>
        </w:tc>
      </w:tr>
      <w:tr w14:paraId="09D70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1F37464B">
            <w:pPr>
              <w:adjustRightInd w:val="0"/>
              <w:snapToGrid w:val="0"/>
              <w:spacing w:line="240" w:lineRule="auto"/>
              <w:ind w:firstLine="0" w:firstLineChars="0"/>
              <w:jc w:val="center"/>
              <w:rPr>
                <w:sz w:val="21"/>
                <w:szCs w:val="21"/>
              </w:rPr>
            </w:pPr>
            <w:r>
              <w:rPr>
                <w:rFonts w:hint="eastAsia"/>
                <w:sz w:val="21"/>
                <w:szCs w:val="21"/>
              </w:rPr>
              <w:t>皂化值</w:t>
            </w:r>
          </w:p>
        </w:tc>
        <w:tc>
          <w:tcPr>
            <w:tcW w:w="4473" w:type="dxa"/>
            <w:shd w:val="clear" w:color="auto" w:fill="auto"/>
            <w:tcMar>
              <w:left w:w="0" w:type="dxa"/>
              <w:right w:w="0" w:type="dxa"/>
            </w:tcMar>
            <w:vAlign w:val="center"/>
          </w:tcPr>
          <w:p w14:paraId="66A577B4">
            <w:pPr>
              <w:adjustRightInd w:val="0"/>
              <w:snapToGrid w:val="0"/>
              <w:spacing w:line="240" w:lineRule="auto"/>
              <w:ind w:firstLine="0" w:firstLineChars="0"/>
              <w:jc w:val="center"/>
              <w:rPr>
                <w:sz w:val="21"/>
                <w:szCs w:val="21"/>
              </w:rPr>
            </w:pPr>
            <w:r>
              <w:rPr>
                <w:sz w:val="21"/>
                <w:szCs w:val="21"/>
              </w:rPr>
              <w:t>203</w:t>
            </w:r>
            <w:r>
              <w:rPr>
                <w:rFonts w:hint="eastAsia"/>
                <w:sz w:val="21"/>
                <w:szCs w:val="21"/>
              </w:rPr>
              <w:t>～2</w:t>
            </w:r>
            <w:r>
              <w:rPr>
                <w:sz w:val="21"/>
                <w:szCs w:val="21"/>
              </w:rPr>
              <w:t>12</w:t>
            </w:r>
            <w:r>
              <w:rPr>
                <w:rFonts w:hint="eastAsia"/>
                <w:sz w:val="21"/>
                <w:szCs w:val="21"/>
              </w:rPr>
              <w:t>mgKOH</w:t>
            </w:r>
            <w:r>
              <w:rPr>
                <w:sz w:val="21"/>
                <w:szCs w:val="21"/>
              </w:rPr>
              <w:t>/</w:t>
            </w:r>
            <w:r>
              <w:rPr>
                <w:rFonts w:hint="eastAsia"/>
                <w:sz w:val="21"/>
                <w:szCs w:val="21"/>
              </w:rPr>
              <w:t>g</w:t>
            </w:r>
          </w:p>
        </w:tc>
      </w:tr>
      <w:tr w14:paraId="03E81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0A6FBFBB">
            <w:pPr>
              <w:adjustRightInd w:val="0"/>
              <w:snapToGrid w:val="0"/>
              <w:spacing w:line="240" w:lineRule="auto"/>
              <w:ind w:firstLine="0" w:firstLineChars="0"/>
              <w:jc w:val="center"/>
              <w:rPr>
                <w:sz w:val="21"/>
                <w:szCs w:val="21"/>
              </w:rPr>
            </w:pPr>
            <w:r>
              <w:rPr>
                <w:rFonts w:hint="eastAsia"/>
                <w:sz w:val="21"/>
                <w:szCs w:val="21"/>
              </w:rPr>
              <w:t>酸值</w:t>
            </w:r>
          </w:p>
        </w:tc>
        <w:tc>
          <w:tcPr>
            <w:tcW w:w="4473" w:type="dxa"/>
            <w:shd w:val="clear" w:color="auto" w:fill="auto"/>
            <w:tcMar>
              <w:left w:w="0" w:type="dxa"/>
              <w:right w:w="0" w:type="dxa"/>
            </w:tcMar>
            <w:vAlign w:val="center"/>
          </w:tcPr>
          <w:p w14:paraId="483A0603">
            <w:pPr>
              <w:adjustRightInd w:val="0"/>
              <w:snapToGrid w:val="0"/>
              <w:spacing w:line="240" w:lineRule="auto"/>
              <w:ind w:firstLine="0" w:firstLineChars="0"/>
              <w:jc w:val="center"/>
              <w:rPr>
                <w:sz w:val="21"/>
                <w:szCs w:val="21"/>
              </w:rPr>
            </w:pPr>
            <w:r>
              <w:rPr>
                <w:sz w:val="21"/>
                <w:szCs w:val="21"/>
              </w:rPr>
              <w:t>202</w:t>
            </w:r>
            <w:r>
              <w:rPr>
                <w:rFonts w:hint="eastAsia"/>
                <w:sz w:val="21"/>
                <w:szCs w:val="21"/>
              </w:rPr>
              <w:t>～2</w:t>
            </w:r>
            <w:r>
              <w:rPr>
                <w:sz w:val="21"/>
                <w:szCs w:val="21"/>
              </w:rPr>
              <w:t xml:space="preserve">11 </w:t>
            </w:r>
            <w:r>
              <w:rPr>
                <w:rFonts w:hint="eastAsia"/>
                <w:sz w:val="21"/>
                <w:szCs w:val="21"/>
              </w:rPr>
              <w:t>，mgKOH</w:t>
            </w:r>
            <w:r>
              <w:rPr>
                <w:sz w:val="21"/>
                <w:szCs w:val="21"/>
              </w:rPr>
              <w:t>/</w:t>
            </w:r>
            <w:r>
              <w:rPr>
                <w:rFonts w:hint="eastAsia"/>
                <w:sz w:val="21"/>
                <w:szCs w:val="21"/>
              </w:rPr>
              <w:t>g</w:t>
            </w:r>
          </w:p>
        </w:tc>
      </w:tr>
      <w:tr w14:paraId="0FFB3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2E5DCAA5">
            <w:pPr>
              <w:adjustRightInd w:val="0"/>
              <w:snapToGrid w:val="0"/>
              <w:spacing w:line="240" w:lineRule="auto"/>
              <w:ind w:firstLine="0" w:firstLineChars="0"/>
              <w:jc w:val="center"/>
              <w:rPr>
                <w:sz w:val="21"/>
                <w:szCs w:val="21"/>
              </w:rPr>
            </w:pPr>
            <w:r>
              <w:rPr>
                <w:rFonts w:hint="eastAsia"/>
                <w:sz w:val="21"/>
                <w:szCs w:val="21"/>
              </w:rPr>
              <w:t>碘值</w:t>
            </w:r>
          </w:p>
        </w:tc>
        <w:tc>
          <w:tcPr>
            <w:tcW w:w="4473" w:type="dxa"/>
            <w:shd w:val="clear" w:color="auto" w:fill="auto"/>
            <w:tcMar>
              <w:left w:w="0" w:type="dxa"/>
              <w:right w:w="0" w:type="dxa"/>
            </w:tcMar>
            <w:vAlign w:val="center"/>
          </w:tcPr>
          <w:p w14:paraId="089BA811">
            <w:pPr>
              <w:adjustRightInd w:val="0"/>
              <w:snapToGrid w:val="0"/>
              <w:spacing w:line="240" w:lineRule="auto"/>
              <w:ind w:firstLine="0" w:firstLineChars="0"/>
              <w:jc w:val="center"/>
              <w:rPr>
                <w:sz w:val="21"/>
                <w:szCs w:val="21"/>
              </w:rPr>
            </w:pPr>
            <w:r>
              <w:rPr>
                <w:sz w:val="21"/>
                <w:szCs w:val="21"/>
              </w:rPr>
              <w:t>2.0</w:t>
            </w:r>
            <w:r>
              <w:rPr>
                <w:rFonts w:hint="eastAsia"/>
                <w:sz w:val="21"/>
                <w:szCs w:val="21"/>
              </w:rPr>
              <w:t>gI</w:t>
            </w:r>
            <w:r>
              <w:rPr>
                <w:sz w:val="21"/>
                <w:szCs w:val="21"/>
                <w:vertAlign w:val="subscript"/>
              </w:rPr>
              <w:t>2</w:t>
            </w:r>
            <w:r>
              <w:rPr>
                <w:sz w:val="21"/>
                <w:szCs w:val="21"/>
              </w:rPr>
              <w:t>/100</w:t>
            </w:r>
            <w:r>
              <w:rPr>
                <w:rFonts w:hint="eastAsia"/>
                <w:sz w:val="21"/>
                <w:szCs w:val="21"/>
              </w:rPr>
              <w:t>g</w:t>
            </w:r>
          </w:p>
        </w:tc>
      </w:tr>
      <w:tr w14:paraId="46E1E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660F7FDC">
            <w:pPr>
              <w:adjustRightInd w:val="0"/>
              <w:snapToGrid w:val="0"/>
              <w:spacing w:line="240" w:lineRule="auto"/>
              <w:ind w:firstLine="0" w:firstLineChars="0"/>
              <w:jc w:val="center"/>
              <w:rPr>
                <w:sz w:val="21"/>
                <w:szCs w:val="21"/>
              </w:rPr>
            </w:pPr>
            <w:r>
              <w:rPr>
                <w:rFonts w:hint="eastAsia"/>
                <w:sz w:val="21"/>
                <w:szCs w:val="21"/>
              </w:rPr>
              <w:t>色泽</w:t>
            </w:r>
          </w:p>
        </w:tc>
        <w:tc>
          <w:tcPr>
            <w:tcW w:w="4473" w:type="dxa"/>
            <w:shd w:val="clear" w:color="auto" w:fill="auto"/>
            <w:tcMar>
              <w:left w:w="0" w:type="dxa"/>
              <w:right w:w="0" w:type="dxa"/>
            </w:tcMar>
            <w:vAlign w:val="center"/>
          </w:tcPr>
          <w:p w14:paraId="1117C4BB">
            <w:pPr>
              <w:adjustRightInd w:val="0"/>
              <w:snapToGrid w:val="0"/>
              <w:spacing w:line="240" w:lineRule="auto"/>
              <w:ind w:firstLine="0" w:firstLineChars="0"/>
              <w:jc w:val="center"/>
              <w:rPr>
                <w:sz w:val="21"/>
                <w:szCs w:val="21"/>
              </w:rPr>
            </w:pPr>
            <w:r>
              <w:rPr>
                <w:sz w:val="21"/>
                <w:szCs w:val="21"/>
              </w:rPr>
              <w:t>400</w:t>
            </w:r>
            <w:r>
              <w:rPr>
                <w:rFonts w:hint="eastAsia"/>
                <w:sz w:val="21"/>
                <w:szCs w:val="21"/>
              </w:rPr>
              <w:t>Hazen</w:t>
            </w:r>
          </w:p>
        </w:tc>
      </w:tr>
      <w:tr w14:paraId="34EF7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5B6A1FDC">
            <w:pPr>
              <w:adjustRightInd w:val="0"/>
              <w:snapToGrid w:val="0"/>
              <w:spacing w:line="240" w:lineRule="auto"/>
              <w:ind w:firstLine="0" w:firstLineChars="0"/>
              <w:jc w:val="center"/>
              <w:rPr>
                <w:sz w:val="21"/>
                <w:szCs w:val="21"/>
              </w:rPr>
            </w:pPr>
            <w:r>
              <w:rPr>
                <w:rFonts w:hint="eastAsia"/>
                <w:sz w:val="21"/>
                <w:szCs w:val="21"/>
              </w:rPr>
              <w:t>凝固点</w:t>
            </w:r>
          </w:p>
        </w:tc>
        <w:tc>
          <w:tcPr>
            <w:tcW w:w="4473" w:type="dxa"/>
            <w:shd w:val="clear" w:color="auto" w:fill="auto"/>
            <w:tcMar>
              <w:left w:w="0" w:type="dxa"/>
              <w:right w:w="0" w:type="dxa"/>
            </w:tcMar>
            <w:vAlign w:val="center"/>
          </w:tcPr>
          <w:p w14:paraId="7CBE7B49">
            <w:pPr>
              <w:adjustRightInd w:val="0"/>
              <w:snapToGrid w:val="0"/>
              <w:spacing w:line="240" w:lineRule="auto"/>
              <w:ind w:firstLine="0" w:firstLineChars="0"/>
              <w:jc w:val="center"/>
              <w:rPr>
                <w:sz w:val="21"/>
                <w:szCs w:val="21"/>
              </w:rPr>
            </w:pPr>
            <w:r>
              <w:rPr>
                <w:rFonts w:hint="eastAsia"/>
                <w:sz w:val="21"/>
                <w:szCs w:val="21"/>
              </w:rPr>
              <w:t>5</w:t>
            </w:r>
            <w:r>
              <w:rPr>
                <w:sz w:val="21"/>
                <w:szCs w:val="21"/>
              </w:rPr>
              <w:t>4.0</w:t>
            </w:r>
            <w:r>
              <w:rPr>
                <w:rFonts w:hint="eastAsia"/>
                <w:sz w:val="21"/>
                <w:szCs w:val="21"/>
              </w:rPr>
              <w:t>～5</w:t>
            </w:r>
            <w:r>
              <w:rPr>
                <w:sz w:val="21"/>
                <w:szCs w:val="21"/>
              </w:rPr>
              <w:t>8.0</w:t>
            </w:r>
            <w:r>
              <w:rPr>
                <w:rFonts w:hint="eastAsia"/>
                <w:sz w:val="21"/>
                <w:szCs w:val="21"/>
              </w:rPr>
              <w:t>℃</w:t>
            </w:r>
          </w:p>
        </w:tc>
      </w:tr>
      <w:tr w14:paraId="4C1CB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shd w:val="clear" w:color="auto" w:fill="auto"/>
            <w:tcMar>
              <w:left w:w="0" w:type="dxa"/>
              <w:right w:w="0" w:type="dxa"/>
            </w:tcMar>
            <w:vAlign w:val="center"/>
          </w:tcPr>
          <w:p w14:paraId="3BDD71CE">
            <w:pPr>
              <w:adjustRightInd w:val="0"/>
              <w:snapToGrid w:val="0"/>
              <w:spacing w:line="240" w:lineRule="auto"/>
              <w:ind w:firstLine="0" w:firstLineChars="0"/>
              <w:jc w:val="center"/>
              <w:rPr>
                <w:sz w:val="21"/>
                <w:szCs w:val="21"/>
              </w:rPr>
            </w:pPr>
            <w:r>
              <w:rPr>
                <w:rFonts w:hint="eastAsia"/>
                <w:sz w:val="21"/>
                <w:szCs w:val="21"/>
              </w:rPr>
              <w:t>水分</w:t>
            </w:r>
          </w:p>
        </w:tc>
        <w:tc>
          <w:tcPr>
            <w:tcW w:w="4473" w:type="dxa"/>
            <w:shd w:val="clear" w:color="auto" w:fill="auto"/>
            <w:tcMar>
              <w:left w:w="0" w:type="dxa"/>
              <w:right w:w="0" w:type="dxa"/>
            </w:tcMar>
            <w:vAlign w:val="center"/>
          </w:tcPr>
          <w:p w14:paraId="4D8FF1AA">
            <w:pPr>
              <w:adjustRightInd w:val="0"/>
              <w:snapToGrid w:val="0"/>
              <w:spacing w:line="240" w:lineRule="auto"/>
              <w:ind w:firstLine="0" w:firstLineChars="0"/>
              <w:jc w:val="center"/>
              <w:rPr>
                <w:sz w:val="21"/>
                <w:szCs w:val="21"/>
              </w:rPr>
            </w:pPr>
            <w:r>
              <w:rPr>
                <w:rFonts w:hint="eastAsia"/>
                <w:sz w:val="21"/>
                <w:szCs w:val="21"/>
              </w:rPr>
              <w:t>0</w:t>
            </w:r>
            <w:r>
              <w:rPr>
                <w:sz w:val="21"/>
                <w:szCs w:val="21"/>
              </w:rPr>
              <w:t>.1%</w:t>
            </w:r>
          </w:p>
        </w:tc>
      </w:tr>
    </w:tbl>
    <w:p w14:paraId="3868F7EC">
      <w:pPr>
        <w:ind w:firstLine="480"/>
      </w:pPr>
      <w:r>
        <w:rPr>
          <w:rFonts w:hint="eastAsia" w:ascii="宋体" w:hAnsi="宋体" w:cs="宋体"/>
        </w:rPr>
        <w:t>④</w:t>
      </w:r>
      <w:r>
        <w:rPr>
          <w:rFonts w:hint="eastAsia"/>
        </w:rPr>
        <w:t>单水氢氧化锂</w:t>
      </w:r>
    </w:p>
    <w:p w14:paraId="6BB43CEA">
      <w:pPr>
        <w:ind w:firstLine="480"/>
      </w:pPr>
      <w:r>
        <w:rPr>
          <w:rFonts w:hint="eastAsia"/>
        </w:rPr>
        <w:t>单水氢氧化锂是一种化学物质，化学式LiOH·H</w:t>
      </w:r>
      <w:r>
        <w:rPr>
          <w:rFonts w:hint="eastAsia"/>
          <w:vertAlign w:val="subscript"/>
        </w:rPr>
        <w:t>2</w:t>
      </w:r>
      <w:r>
        <w:rPr>
          <w:rFonts w:hint="eastAsia"/>
        </w:rPr>
        <w:t>O。白色结晶粉末，通常用作锂基润滑脂、碱性电池、耐腐蚀辛基染料等产品的重要添加剂，也可作为二氧化碳吸附剂，产品质量标准执行《单水氢氧化锂》（GB/T8766</w:t>
      </w:r>
      <w:r>
        <w:t>-2013</w:t>
      </w:r>
      <w:r>
        <w:rPr>
          <w:rFonts w:hint="eastAsia"/>
        </w:rPr>
        <w:t>），具体见表3</w:t>
      </w:r>
      <w:r>
        <w:t>.1-5</w:t>
      </w:r>
      <w:r>
        <w:rPr>
          <w:rFonts w:hint="eastAsia"/>
        </w:rPr>
        <w:t>。</w:t>
      </w:r>
    </w:p>
    <w:p w14:paraId="2D779C37">
      <w:pPr>
        <w:pStyle w:val="47"/>
        <w:spacing w:before="65"/>
      </w:pPr>
      <w:r>
        <w:rPr>
          <w:rFonts w:hint="eastAsia"/>
        </w:rPr>
        <w:t>表3</w:t>
      </w:r>
      <w:r>
        <w:t xml:space="preserve">.1-5   </w:t>
      </w:r>
      <w:r>
        <w:rPr>
          <w:rFonts w:hint="eastAsia"/>
        </w:rPr>
        <w:t>单水氢氧化锂主要成分一览表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923"/>
        <w:gridCol w:w="1479"/>
        <w:gridCol w:w="1659"/>
        <w:gridCol w:w="1659"/>
        <w:gridCol w:w="1505"/>
        <w:gridCol w:w="1505"/>
      </w:tblGrid>
      <w:tr w14:paraId="4DD21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1376" w:type="pct"/>
            <w:gridSpan w:val="2"/>
            <w:shd w:val="clear" w:color="auto" w:fill="FFFFFF"/>
            <w:vAlign w:val="center"/>
          </w:tcPr>
          <w:p w14:paraId="23088194">
            <w:pPr>
              <w:pStyle w:val="90"/>
            </w:pPr>
            <w:r>
              <w:rPr>
                <w:rFonts w:hint="eastAsia"/>
              </w:rPr>
              <w:t>名称</w:t>
            </w:r>
          </w:p>
        </w:tc>
        <w:tc>
          <w:tcPr>
            <w:tcW w:w="3624" w:type="pct"/>
            <w:gridSpan w:val="4"/>
            <w:shd w:val="clear" w:color="auto" w:fill="FFFFFF"/>
            <w:vAlign w:val="center"/>
          </w:tcPr>
          <w:p w14:paraId="3F1AC6B6">
            <w:pPr>
              <w:pStyle w:val="90"/>
            </w:pPr>
            <w:r>
              <w:rPr>
                <w:rFonts w:hint="eastAsia"/>
              </w:rPr>
              <w:t>单水氢氧化锂</w:t>
            </w:r>
          </w:p>
        </w:tc>
      </w:tr>
      <w:tr w14:paraId="46024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1376" w:type="pct"/>
            <w:gridSpan w:val="2"/>
            <w:shd w:val="clear" w:color="auto" w:fill="FFFFFF"/>
            <w:vAlign w:val="center"/>
          </w:tcPr>
          <w:p w14:paraId="260FA532">
            <w:pPr>
              <w:pStyle w:val="90"/>
            </w:pPr>
            <w:r>
              <w:rPr>
                <w:rFonts w:hint="eastAsia"/>
              </w:rPr>
              <w:t>品级</w:t>
            </w:r>
          </w:p>
        </w:tc>
        <w:tc>
          <w:tcPr>
            <w:tcW w:w="950" w:type="pct"/>
            <w:shd w:val="clear" w:color="auto" w:fill="FFFFFF"/>
            <w:vAlign w:val="center"/>
          </w:tcPr>
          <w:p w14:paraId="0A956B7D">
            <w:pPr>
              <w:pStyle w:val="90"/>
            </w:pPr>
            <w:r>
              <w:rPr>
                <w:rFonts w:hint="eastAsia"/>
              </w:rPr>
              <w:t>LiOH·H</w:t>
            </w:r>
            <w:r>
              <w:rPr>
                <w:rFonts w:hint="eastAsia"/>
                <w:vertAlign w:val="subscript"/>
              </w:rPr>
              <w:t>2</w:t>
            </w:r>
            <w:r>
              <w:rPr>
                <w:rFonts w:hint="eastAsia"/>
              </w:rPr>
              <w:t>0-T1</w:t>
            </w:r>
          </w:p>
        </w:tc>
        <w:tc>
          <w:tcPr>
            <w:tcW w:w="950" w:type="pct"/>
            <w:shd w:val="clear" w:color="auto" w:fill="FFFFFF"/>
            <w:vAlign w:val="center"/>
          </w:tcPr>
          <w:p w14:paraId="6223E219">
            <w:pPr>
              <w:pStyle w:val="90"/>
            </w:pPr>
            <w:r>
              <w:rPr>
                <w:rFonts w:hint="eastAsia"/>
              </w:rPr>
              <w:t>LiOH·H</w:t>
            </w:r>
            <w:r>
              <w:rPr>
                <w:rFonts w:hint="eastAsia"/>
                <w:vertAlign w:val="subscript"/>
              </w:rPr>
              <w:t>2</w:t>
            </w:r>
            <w:r>
              <w:rPr>
                <w:rFonts w:hint="eastAsia"/>
              </w:rPr>
              <w:t>0-T2</w:t>
            </w:r>
          </w:p>
        </w:tc>
        <w:tc>
          <w:tcPr>
            <w:tcW w:w="862" w:type="pct"/>
            <w:shd w:val="clear" w:color="auto" w:fill="FFFFFF"/>
            <w:vAlign w:val="center"/>
          </w:tcPr>
          <w:p w14:paraId="189EA655">
            <w:pPr>
              <w:pStyle w:val="90"/>
            </w:pPr>
            <w:r>
              <w:rPr>
                <w:rFonts w:hint="eastAsia"/>
              </w:rPr>
              <w:t>LiOH·H</w:t>
            </w:r>
            <w:r>
              <w:rPr>
                <w:rFonts w:hint="eastAsia"/>
                <w:vertAlign w:val="subscript"/>
              </w:rPr>
              <w:t>2</w:t>
            </w:r>
            <w:r>
              <w:rPr>
                <w:rFonts w:hint="eastAsia"/>
              </w:rPr>
              <w:t>0-1</w:t>
            </w:r>
          </w:p>
        </w:tc>
        <w:tc>
          <w:tcPr>
            <w:tcW w:w="862" w:type="pct"/>
            <w:shd w:val="clear" w:color="auto" w:fill="FFFFFF"/>
            <w:vAlign w:val="center"/>
          </w:tcPr>
          <w:p w14:paraId="7C85D363">
            <w:pPr>
              <w:pStyle w:val="90"/>
            </w:pPr>
            <w:r>
              <w:rPr>
                <w:rFonts w:hint="eastAsia"/>
              </w:rPr>
              <w:t>LiOH·H</w:t>
            </w:r>
            <w:r>
              <w:rPr>
                <w:rFonts w:hint="eastAsia"/>
                <w:vertAlign w:val="subscript"/>
              </w:rPr>
              <w:t>2</w:t>
            </w:r>
            <w:r>
              <w:rPr>
                <w:rFonts w:hint="eastAsia"/>
              </w:rPr>
              <w:t>0-2</w:t>
            </w:r>
          </w:p>
        </w:tc>
      </w:tr>
      <w:tr w14:paraId="2915D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1376" w:type="pct"/>
            <w:gridSpan w:val="2"/>
            <w:shd w:val="clear" w:color="auto" w:fill="FFFFFF"/>
            <w:vAlign w:val="center"/>
          </w:tcPr>
          <w:p w14:paraId="24F63FC2">
            <w:pPr>
              <w:pStyle w:val="90"/>
              <w:rPr>
                <w:lang w:val="en-US"/>
              </w:rPr>
            </w:pPr>
            <w:r>
              <w:rPr>
                <w:rFonts w:hint="eastAsia"/>
                <w:lang w:val="en-US"/>
              </w:rPr>
              <w:t>LiOH</w:t>
            </w:r>
            <w:r>
              <w:rPr>
                <w:rFonts w:hint="eastAsia"/>
              </w:rPr>
              <w:t>含量</w:t>
            </w:r>
            <w:r>
              <w:rPr>
                <w:rFonts w:hint="eastAsia"/>
                <w:lang w:val="en-US"/>
              </w:rPr>
              <w:t>，</w:t>
            </w:r>
            <w:r>
              <w:rPr>
                <w:rFonts w:hint="eastAsia"/>
              </w:rPr>
              <w:t>不小于</w:t>
            </w:r>
            <w:r>
              <w:rPr>
                <w:lang w:val="en-US"/>
              </w:rPr>
              <w:t>（</w:t>
            </w:r>
            <w:r>
              <w:rPr>
                <w:rFonts w:hint="eastAsia"/>
                <w:lang w:val="en-US"/>
              </w:rPr>
              <w:t>%</w:t>
            </w:r>
            <w:r>
              <w:rPr>
                <w:lang w:val="en-US"/>
              </w:rPr>
              <w:t>）</w:t>
            </w:r>
          </w:p>
        </w:tc>
        <w:tc>
          <w:tcPr>
            <w:tcW w:w="950" w:type="pct"/>
            <w:shd w:val="clear" w:color="auto" w:fill="FFFFFF"/>
            <w:vAlign w:val="center"/>
          </w:tcPr>
          <w:p w14:paraId="198CDDD8">
            <w:pPr>
              <w:pStyle w:val="90"/>
            </w:pPr>
            <w:r>
              <w:rPr>
                <w:rFonts w:hint="eastAsia"/>
              </w:rPr>
              <w:t>56.5</w:t>
            </w:r>
          </w:p>
        </w:tc>
        <w:tc>
          <w:tcPr>
            <w:tcW w:w="950" w:type="pct"/>
            <w:shd w:val="clear" w:color="auto" w:fill="FFFFFF"/>
            <w:vAlign w:val="center"/>
          </w:tcPr>
          <w:p w14:paraId="1BA1420B">
            <w:pPr>
              <w:pStyle w:val="90"/>
            </w:pPr>
            <w:r>
              <w:rPr>
                <w:rFonts w:hint="eastAsia"/>
              </w:rPr>
              <w:t>56.5</w:t>
            </w:r>
          </w:p>
        </w:tc>
        <w:tc>
          <w:tcPr>
            <w:tcW w:w="862" w:type="pct"/>
            <w:shd w:val="clear" w:color="auto" w:fill="FFFFFF"/>
            <w:vAlign w:val="center"/>
          </w:tcPr>
          <w:p w14:paraId="7F29F8A9">
            <w:pPr>
              <w:pStyle w:val="90"/>
            </w:pPr>
            <w:r>
              <w:rPr>
                <w:rFonts w:hint="eastAsia"/>
              </w:rPr>
              <w:t>56.5</w:t>
            </w:r>
          </w:p>
        </w:tc>
        <w:tc>
          <w:tcPr>
            <w:tcW w:w="862" w:type="pct"/>
            <w:shd w:val="clear" w:color="auto" w:fill="FFFFFF"/>
            <w:vAlign w:val="center"/>
          </w:tcPr>
          <w:p w14:paraId="2E9D37B1">
            <w:pPr>
              <w:pStyle w:val="90"/>
            </w:pPr>
            <w:r>
              <w:rPr>
                <w:rFonts w:hint="eastAsia"/>
              </w:rPr>
              <w:t>56.5</w:t>
            </w:r>
          </w:p>
        </w:tc>
      </w:tr>
      <w:tr w14:paraId="33E9F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529" w:type="pct"/>
            <w:vMerge w:val="restart"/>
            <w:shd w:val="clear" w:color="auto" w:fill="FFFFFF"/>
            <w:vAlign w:val="center"/>
          </w:tcPr>
          <w:p w14:paraId="3C6247A1">
            <w:pPr>
              <w:pStyle w:val="90"/>
            </w:pPr>
            <w:r>
              <w:rPr>
                <w:rFonts w:hint="eastAsia"/>
              </w:rPr>
              <w:t>杂质含量不大于（%）</w:t>
            </w:r>
          </w:p>
        </w:tc>
        <w:tc>
          <w:tcPr>
            <w:tcW w:w="847" w:type="pct"/>
            <w:shd w:val="clear" w:color="auto" w:fill="FFFFFF"/>
            <w:vAlign w:val="center"/>
          </w:tcPr>
          <w:p w14:paraId="7A7B8D90">
            <w:pPr>
              <w:pStyle w:val="90"/>
            </w:pPr>
            <w:r>
              <w:rPr>
                <w:rFonts w:hint="eastAsia"/>
              </w:rPr>
              <w:t>Na</w:t>
            </w:r>
          </w:p>
        </w:tc>
        <w:tc>
          <w:tcPr>
            <w:tcW w:w="950" w:type="pct"/>
            <w:shd w:val="clear" w:color="auto" w:fill="FFFFFF"/>
            <w:vAlign w:val="center"/>
          </w:tcPr>
          <w:p w14:paraId="17C5AD21">
            <w:pPr>
              <w:pStyle w:val="90"/>
            </w:pPr>
            <w:r>
              <w:rPr>
                <w:rFonts w:hint="eastAsia"/>
              </w:rPr>
              <w:t>0.002</w:t>
            </w:r>
          </w:p>
        </w:tc>
        <w:tc>
          <w:tcPr>
            <w:tcW w:w="950" w:type="pct"/>
            <w:shd w:val="clear" w:color="auto" w:fill="FFFFFF"/>
            <w:vAlign w:val="center"/>
          </w:tcPr>
          <w:p w14:paraId="4D8F46ED">
            <w:pPr>
              <w:pStyle w:val="90"/>
            </w:pPr>
            <w:r>
              <w:rPr>
                <w:rFonts w:hint="eastAsia"/>
              </w:rPr>
              <w:t>0.008</w:t>
            </w:r>
          </w:p>
        </w:tc>
        <w:tc>
          <w:tcPr>
            <w:tcW w:w="862" w:type="pct"/>
            <w:shd w:val="clear" w:color="auto" w:fill="FFFFFF"/>
            <w:vAlign w:val="center"/>
          </w:tcPr>
          <w:p w14:paraId="7D97C48D">
            <w:pPr>
              <w:pStyle w:val="90"/>
            </w:pPr>
            <w:r>
              <w:rPr>
                <w:rFonts w:hint="eastAsia"/>
              </w:rPr>
              <w:t>0.02</w:t>
            </w:r>
          </w:p>
        </w:tc>
        <w:tc>
          <w:tcPr>
            <w:tcW w:w="862" w:type="pct"/>
            <w:shd w:val="clear" w:color="auto" w:fill="FFFFFF"/>
            <w:vAlign w:val="center"/>
          </w:tcPr>
          <w:p w14:paraId="1582ED36">
            <w:pPr>
              <w:pStyle w:val="90"/>
            </w:pPr>
            <w:r>
              <w:rPr>
                <w:rFonts w:hint="eastAsia"/>
              </w:rPr>
              <w:t>0.05</w:t>
            </w:r>
          </w:p>
        </w:tc>
      </w:tr>
      <w:tr w14:paraId="3117E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9" w:type="pct"/>
            <w:vMerge w:val="continue"/>
            <w:shd w:val="clear" w:color="auto" w:fill="FFFFFF"/>
            <w:vAlign w:val="center"/>
          </w:tcPr>
          <w:p w14:paraId="73FC131F">
            <w:pPr>
              <w:pStyle w:val="90"/>
            </w:pPr>
          </w:p>
        </w:tc>
        <w:tc>
          <w:tcPr>
            <w:tcW w:w="847" w:type="pct"/>
            <w:shd w:val="clear" w:color="auto" w:fill="FFFFFF"/>
            <w:vAlign w:val="center"/>
          </w:tcPr>
          <w:p w14:paraId="045BC648">
            <w:pPr>
              <w:pStyle w:val="90"/>
            </w:pPr>
            <w:r>
              <w:rPr>
                <w:rFonts w:hint="eastAsia"/>
              </w:rPr>
              <w:t>K</w:t>
            </w:r>
          </w:p>
        </w:tc>
        <w:tc>
          <w:tcPr>
            <w:tcW w:w="950" w:type="pct"/>
            <w:shd w:val="clear" w:color="auto" w:fill="FFFFFF"/>
            <w:vAlign w:val="center"/>
          </w:tcPr>
          <w:p w14:paraId="1728A597">
            <w:pPr>
              <w:pStyle w:val="90"/>
            </w:pPr>
            <w:r>
              <w:rPr>
                <w:rFonts w:hint="eastAsia"/>
              </w:rPr>
              <w:t>0.001</w:t>
            </w:r>
          </w:p>
        </w:tc>
        <w:tc>
          <w:tcPr>
            <w:tcW w:w="950" w:type="pct"/>
            <w:shd w:val="clear" w:color="auto" w:fill="FFFFFF"/>
            <w:vAlign w:val="center"/>
          </w:tcPr>
          <w:p w14:paraId="52BDC832">
            <w:pPr>
              <w:pStyle w:val="90"/>
            </w:pPr>
            <w:r>
              <w:rPr>
                <w:rFonts w:hint="eastAsia"/>
              </w:rPr>
              <w:t>0.002</w:t>
            </w:r>
          </w:p>
        </w:tc>
        <w:tc>
          <w:tcPr>
            <w:tcW w:w="862" w:type="pct"/>
            <w:shd w:val="clear" w:color="auto" w:fill="FFFFFF"/>
            <w:vAlign w:val="center"/>
          </w:tcPr>
          <w:p w14:paraId="2B77F16E">
            <w:pPr>
              <w:pStyle w:val="90"/>
            </w:pPr>
            <w:r>
              <w:rPr>
                <w:rFonts w:hint="eastAsia"/>
              </w:rPr>
              <w:t>0.02</w:t>
            </w:r>
          </w:p>
        </w:tc>
        <w:tc>
          <w:tcPr>
            <w:tcW w:w="862" w:type="pct"/>
            <w:shd w:val="clear" w:color="auto" w:fill="FFFFFF"/>
            <w:vAlign w:val="center"/>
          </w:tcPr>
          <w:p w14:paraId="1D603ABD">
            <w:pPr>
              <w:pStyle w:val="90"/>
            </w:pPr>
            <w:r>
              <w:rPr>
                <w:rFonts w:hint="eastAsia"/>
              </w:rPr>
              <w:t>0.05</w:t>
            </w:r>
          </w:p>
        </w:tc>
      </w:tr>
      <w:tr w14:paraId="1B803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529" w:type="pct"/>
            <w:vMerge w:val="continue"/>
            <w:shd w:val="clear" w:color="auto" w:fill="FFFFFF"/>
            <w:vAlign w:val="center"/>
          </w:tcPr>
          <w:p w14:paraId="16BF3D0E">
            <w:pPr>
              <w:pStyle w:val="90"/>
            </w:pPr>
          </w:p>
        </w:tc>
        <w:tc>
          <w:tcPr>
            <w:tcW w:w="847" w:type="pct"/>
            <w:shd w:val="clear" w:color="auto" w:fill="FFFFFF"/>
            <w:vAlign w:val="center"/>
          </w:tcPr>
          <w:p w14:paraId="1AB8AD3A">
            <w:pPr>
              <w:pStyle w:val="90"/>
            </w:pPr>
            <w:r>
              <w:rPr>
                <w:rFonts w:hint="eastAsia"/>
              </w:rPr>
              <w:t>Fe</w:t>
            </w:r>
          </w:p>
        </w:tc>
        <w:tc>
          <w:tcPr>
            <w:tcW w:w="950" w:type="pct"/>
            <w:shd w:val="clear" w:color="auto" w:fill="FFFFFF"/>
            <w:vAlign w:val="center"/>
          </w:tcPr>
          <w:p w14:paraId="4C4AF7F0">
            <w:pPr>
              <w:pStyle w:val="90"/>
            </w:pPr>
            <w:r>
              <w:rPr>
                <w:rFonts w:hint="eastAsia"/>
              </w:rPr>
              <w:t>0.0008</w:t>
            </w:r>
          </w:p>
        </w:tc>
        <w:tc>
          <w:tcPr>
            <w:tcW w:w="950" w:type="pct"/>
            <w:shd w:val="clear" w:color="auto" w:fill="FFFFFF"/>
            <w:vAlign w:val="center"/>
          </w:tcPr>
          <w:p w14:paraId="31A6B578">
            <w:pPr>
              <w:pStyle w:val="90"/>
            </w:pPr>
            <w:r>
              <w:rPr>
                <w:rFonts w:hint="eastAsia"/>
              </w:rPr>
              <w:t>0.0008</w:t>
            </w:r>
          </w:p>
        </w:tc>
        <w:tc>
          <w:tcPr>
            <w:tcW w:w="862" w:type="pct"/>
            <w:shd w:val="clear" w:color="auto" w:fill="FFFFFF"/>
            <w:vAlign w:val="center"/>
          </w:tcPr>
          <w:p w14:paraId="574EB3AE">
            <w:pPr>
              <w:pStyle w:val="90"/>
            </w:pPr>
            <w:r>
              <w:rPr>
                <w:rFonts w:hint="eastAsia"/>
              </w:rPr>
              <w:t>0.0015</w:t>
            </w:r>
          </w:p>
        </w:tc>
        <w:tc>
          <w:tcPr>
            <w:tcW w:w="862" w:type="pct"/>
            <w:shd w:val="clear" w:color="auto" w:fill="FFFFFF"/>
            <w:vAlign w:val="center"/>
          </w:tcPr>
          <w:p w14:paraId="4EE463A0">
            <w:pPr>
              <w:pStyle w:val="90"/>
            </w:pPr>
            <w:r>
              <w:rPr>
                <w:rFonts w:hint="eastAsia"/>
              </w:rPr>
              <w:t>0.0020</w:t>
            </w:r>
          </w:p>
        </w:tc>
      </w:tr>
      <w:tr w14:paraId="22322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9" w:type="pct"/>
            <w:vMerge w:val="continue"/>
            <w:shd w:val="clear" w:color="auto" w:fill="FFFFFF"/>
            <w:vAlign w:val="center"/>
          </w:tcPr>
          <w:p w14:paraId="02AFF935">
            <w:pPr>
              <w:pStyle w:val="90"/>
            </w:pPr>
          </w:p>
        </w:tc>
        <w:tc>
          <w:tcPr>
            <w:tcW w:w="847" w:type="pct"/>
            <w:shd w:val="clear" w:color="auto" w:fill="FFFFFF"/>
            <w:vAlign w:val="center"/>
          </w:tcPr>
          <w:p w14:paraId="3B63179B">
            <w:pPr>
              <w:pStyle w:val="90"/>
            </w:pPr>
            <w:r>
              <w:rPr>
                <w:rFonts w:hint="eastAsia"/>
              </w:rPr>
              <w:t>Ca</w:t>
            </w:r>
          </w:p>
        </w:tc>
        <w:tc>
          <w:tcPr>
            <w:tcW w:w="950" w:type="pct"/>
            <w:shd w:val="clear" w:color="auto" w:fill="FFFFFF"/>
            <w:vAlign w:val="center"/>
          </w:tcPr>
          <w:p w14:paraId="54D99550">
            <w:pPr>
              <w:pStyle w:val="90"/>
            </w:pPr>
            <w:r>
              <w:rPr>
                <w:rFonts w:hint="eastAsia"/>
              </w:rPr>
              <w:t>0.015</w:t>
            </w:r>
          </w:p>
        </w:tc>
        <w:tc>
          <w:tcPr>
            <w:tcW w:w="950" w:type="pct"/>
            <w:shd w:val="clear" w:color="auto" w:fill="FFFFFF"/>
            <w:vAlign w:val="center"/>
          </w:tcPr>
          <w:p w14:paraId="04F024C9">
            <w:pPr>
              <w:pStyle w:val="90"/>
            </w:pPr>
            <w:r>
              <w:rPr>
                <w:rFonts w:hint="eastAsia"/>
              </w:rPr>
              <w:t>0.020</w:t>
            </w:r>
          </w:p>
        </w:tc>
        <w:tc>
          <w:tcPr>
            <w:tcW w:w="862" w:type="pct"/>
            <w:shd w:val="clear" w:color="auto" w:fill="FFFFFF"/>
            <w:vAlign w:val="center"/>
          </w:tcPr>
          <w:p w14:paraId="6CF79AE6">
            <w:pPr>
              <w:pStyle w:val="90"/>
            </w:pPr>
            <w:r>
              <w:rPr>
                <w:rFonts w:hint="eastAsia"/>
              </w:rPr>
              <w:t>0.025</w:t>
            </w:r>
          </w:p>
        </w:tc>
        <w:tc>
          <w:tcPr>
            <w:tcW w:w="862" w:type="pct"/>
            <w:shd w:val="clear" w:color="auto" w:fill="FFFFFF"/>
            <w:vAlign w:val="center"/>
          </w:tcPr>
          <w:p w14:paraId="76E35CEE">
            <w:pPr>
              <w:pStyle w:val="90"/>
            </w:pPr>
            <w:r>
              <w:rPr>
                <w:rFonts w:hint="eastAsia"/>
              </w:rPr>
              <w:t>0.025</w:t>
            </w:r>
          </w:p>
        </w:tc>
      </w:tr>
      <w:tr w14:paraId="31AD4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529" w:type="pct"/>
            <w:vMerge w:val="continue"/>
            <w:shd w:val="clear" w:color="auto" w:fill="FFFFFF"/>
            <w:vAlign w:val="center"/>
          </w:tcPr>
          <w:p w14:paraId="2B0847CB">
            <w:pPr>
              <w:pStyle w:val="90"/>
            </w:pPr>
          </w:p>
        </w:tc>
        <w:tc>
          <w:tcPr>
            <w:tcW w:w="847" w:type="pct"/>
            <w:shd w:val="clear" w:color="auto" w:fill="FFFFFF"/>
            <w:vAlign w:val="center"/>
          </w:tcPr>
          <w:p w14:paraId="3560350A">
            <w:pPr>
              <w:pStyle w:val="90"/>
            </w:pPr>
            <w:r>
              <w:rPr>
                <w:rFonts w:hint="eastAsia"/>
              </w:rPr>
              <w:t>CO</w:t>
            </w:r>
            <w:r>
              <w:rPr>
                <w:rFonts w:hint="eastAsia"/>
                <w:sz w:val="18"/>
                <w:szCs w:val="18"/>
                <w:vertAlign w:val="subscript"/>
              </w:rPr>
              <w:t>3</w:t>
            </w:r>
            <w:r>
              <w:rPr>
                <w:rFonts w:hint="eastAsia"/>
                <w:sz w:val="18"/>
                <w:szCs w:val="18"/>
                <w:vertAlign w:val="superscript"/>
              </w:rPr>
              <w:t>2-</w:t>
            </w:r>
          </w:p>
        </w:tc>
        <w:tc>
          <w:tcPr>
            <w:tcW w:w="950" w:type="pct"/>
            <w:shd w:val="clear" w:color="auto" w:fill="FFFFFF"/>
            <w:vAlign w:val="center"/>
          </w:tcPr>
          <w:p w14:paraId="44E25836">
            <w:pPr>
              <w:pStyle w:val="90"/>
            </w:pPr>
            <w:r>
              <w:rPr>
                <w:rFonts w:hint="eastAsia"/>
              </w:rPr>
              <w:t>0.50</w:t>
            </w:r>
          </w:p>
        </w:tc>
        <w:tc>
          <w:tcPr>
            <w:tcW w:w="950" w:type="pct"/>
            <w:shd w:val="clear" w:color="auto" w:fill="FFFFFF"/>
            <w:vAlign w:val="center"/>
          </w:tcPr>
          <w:p w14:paraId="7D91A20C">
            <w:pPr>
              <w:pStyle w:val="90"/>
            </w:pPr>
            <w:r>
              <w:rPr>
                <w:rFonts w:hint="eastAsia"/>
              </w:rPr>
              <w:t>0.55</w:t>
            </w:r>
          </w:p>
        </w:tc>
        <w:tc>
          <w:tcPr>
            <w:tcW w:w="862" w:type="pct"/>
            <w:shd w:val="clear" w:color="auto" w:fill="FFFFFF"/>
            <w:vAlign w:val="center"/>
          </w:tcPr>
          <w:p w14:paraId="3A67E8EE">
            <w:pPr>
              <w:pStyle w:val="90"/>
            </w:pPr>
            <w:r>
              <w:rPr>
                <w:rFonts w:hint="eastAsia"/>
              </w:rPr>
              <w:t>0.70</w:t>
            </w:r>
          </w:p>
        </w:tc>
        <w:tc>
          <w:tcPr>
            <w:tcW w:w="862" w:type="pct"/>
            <w:shd w:val="clear" w:color="auto" w:fill="FFFFFF"/>
            <w:vAlign w:val="center"/>
          </w:tcPr>
          <w:p w14:paraId="1D660874">
            <w:pPr>
              <w:pStyle w:val="90"/>
            </w:pPr>
            <w:r>
              <w:rPr>
                <w:rFonts w:hint="eastAsia"/>
              </w:rPr>
              <w:t>0.70</w:t>
            </w:r>
          </w:p>
        </w:tc>
      </w:tr>
      <w:tr w14:paraId="7F8D2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529" w:type="pct"/>
            <w:vMerge w:val="continue"/>
            <w:shd w:val="clear" w:color="auto" w:fill="FFFFFF"/>
            <w:vAlign w:val="center"/>
          </w:tcPr>
          <w:p w14:paraId="215770E2">
            <w:pPr>
              <w:pStyle w:val="90"/>
            </w:pPr>
          </w:p>
        </w:tc>
        <w:tc>
          <w:tcPr>
            <w:tcW w:w="847" w:type="pct"/>
            <w:shd w:val="clear" w:color="auto" w:fill="FFFFFF"/>
            <w:vAlign w:val="center"/>
          </w:tcPr>
          <w:p w14:paraId="71087C9C">
            <w:pPr>
              <w:pStyle w:val="90"/>
            </w:pPr>
            <w:r>
              <w:rPr>
                <w:rFonts w:hint="eastAsia"/>
              </w:rPr>
              <w:t>SO</w:t>
            </w:r>
            <w:r>
              <w:rPr>
                <w:rFonts w:hint="eastAsia"/>
                <w:sz w:val="18"/>
                <w:szCs w:val="18"/>
                <w:vertAlign w:val="subscript"/>
              </w:rPr>
              <w:t>4</w:t>
            </w:r>
            <w:r>
              <w:rPr>
                <w:rFonts w:hint="eastAsia"/>
                <w:sz w:val="18"/>
                <w:szCs w:val="18"/>
                <w:vertAlign w:val="superscript"/>
              </w:rPr>
              <w:t>2-</w:t>
            </w:r>
          </w:p>
        </w:tc>
        <w:tc>
          <w:tcPr>
            <w:tcW w:w="950" w:type="pct"/>
            <w:shd w:val="clear" w:color="auto" w:fill="FFFFFF"/>
            <w:vAlign w:val="center"/>
          </w:tcPr>
          <w:p w14:paraId="7A63F840">
            <w:pPr>
              <w:pStyle w:val="90"/>
            </w:pPr>
            <w:r>
              <w:rPr>
                <w:rFonts w:hint="eastAsia"/>
              </w:rPr>
              <w:t>0.010</w:t>
            </w:r>
          </w:p>
        </w:tc>
        <w:tc>
          <w:tcPr>
            <w:tcW w:w="950" w:type="pct"/>
            <w:shd w:val="clear" w:color="auto" w:fill="FFFFFF"/>
            <w:vAlign w:val="center"/>
          </w:tcPr>
          <w:p w14:paraId="22A729C0">
            <w:pPr>
              <w:pStyle w:val="90"/>
            </w:pPr>
            <w:r>
              <w:rPr>
                <w:rFonts w:hint="eastAsia"/>
              </w:rPr>
              <w:t>0.015</w:t>
            </w:r>
          </w:p>
        </w:tc>
        <w:tc>
          <w:tcPr>
            <w:tcW w:w="862" w:type="pct"/>
            <w:shd w:val="clear" w:color="auto" w:fill="FFFFFF"/>
            <w:vAlign w:val="center"/>
          </w:tcPr>
          <w:p w14:paraId="749A724B">
            <w:pPr>
              <w:pStyle w:val="90"/>
            </w:pPr>
            <w:r>
              <w:rPr>
                <w:rFonts w:hint="eastAsia"/>
              </w:rPr>
              <w:t>0.020</w:t>
            </w:r>
          </w:p>
        </w:tc>
        <w:tc>
          <w:tcPr>
            <w:tcW w:w="862" w:type="pct"/>
            <w:shd w:val="clear" w:color="auto" w:fill="FFFFFF"/>
            <w:vAlign w:val="center"/>
          </w:tcPr>
          <w:p w14:paraId="11C61329">
            <w:pPr>
              <w:pStyle w:val="90"/>
            </w:pPr>
            <w:r>
              <w:rPr>
                <w:rFonts w:hint="eastAsia"/>
              </w:rPr>
              <w:t>0.030</w:t>
            </w:r>
          </w:p>
        </w:tc>
      </w:tr>
      <w:tr w14:paraId="7E62C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529" w:type="pct"/>
            <w:vMerge w:val="continue"/>
            <w:shd w:val="clear" w:color="auto" w:fill="FFFFFF"/>
            <w:vAlign w:val="center"/>
          </w:tcPr>
          <w:p w14:paraId="4A2BFC06">
            <w:pPr>
              <w:pStyle w:val="90"/>
            </w:pPr>
          </w:p>
        </w:tc>
        <w:tc>
          <w:tcPr>
            <w:tcW w:w="847" w:type="pct"/>
            <w:shd w:val="clear" w:color="auto" w:fill="FFFFFF"/>
            <w:vAlign w:val="center"/>
          </w:tcPr>
          <w:p w14:paraId="50DEA35B">
            <w:pPr>
              <w:pStyle w:val="90"/>
            </w:pPr>
            <w:r>
              <w:rPr>
                <w:rFonts w:hint="eastAsia"/>
              </w:rPr>
              <w:t>Cl</w:t>
            </w:r>
            <w:r>
              <w:rPr>
                <w:rFonts w:hint="eastAsia"/>
                <w:vertAlign w:val="superscript"/>
              </w:rPr>
              <w:t>-</w:t>
            </w:r>
          </w:p>
        </w:tc>
        <w:tc>
          <w:tcPr>
            <w:tcW w:w="950" w:type="pct"/>
            <w:shd w:val="clear" w:color="auto" w:fill="FFFFFF"/>
            <w:vAlign w:val="center"/>
          </w:tcPr>
          <w:p w14:paraId="0DFFCC50">
            <w:pPr>
              <w:pStyle w:val="90"/>
            </w:pPr>
            <w:r>
              <w:rPr>
                <w:rFonts w:hint="eastAsia"/>
              </w:rPr>
              <w:t>0.002</w:t>
            </w:r>
          </w:p>
        </w:tc>
        <w:tc>
          <w:tcPr>
            <w:tcW w:w="950" w:type="pct"/>
            <w:shd w:val="clear" w:color="auto" w:fill="FFFFFF"/>
            <w:vAlign w:val="center"/>
          </w:tcPr>
          <w:p w14:paraId="0FAA59BA">
            <w:pPr>
              <w:pStyle w:val="90"/>
            </w:pPr>
            <w:r>
              <w:rPr>
                <w:rFonts w:hint="eastAsia"/>
              </w:rPr>
              <w:t>0.005</w:t>
            </w:r>
          </w:p>
        </w:tc>
        <w:tc>
          <w:tcPr>
            <w:tcW w:w="862" w:type="pct"/>
            <w:shd w:val="clear" w:color="auto" w:fill="FFFFFF"/>
            <w:vAlign w:val="center"/>
          </w:tcPr>
          <w:p w14:paraId="3E420952">
            <w:pPr>
              <w:pStyle w:val="90"/>
            </w:pPr>
            <w:r>
              <w:rPr>
                <w:rFonts w:hint="eastAsia"/>
              </w:rPr>
              <w:t>0.015</w:t>
            </w:r>
          </w:p>
        </w:tc>
        <w:tc>
          <w:tcPr>
            <w:tcW w:w="862" w:type="pct"/>
            <w:shd w:val="clear" w:color="auto" w:fill="FFFFFF"/>
            <w:vAlign w:val="center"/>
          </w:tcPr>
          <w:p w14:paraId="1D9B6087">
            <w:pPr>
              <w:pStyle w:val="90"/>
            </w:pPr>
            <w:r>
              <w:rPr>
                <w:rFonts w:hint="eastAsia"/>
              </w:rPr>
              <w:t>0.030</w:t>
            </w:r>
          </w:p>
        </w:tc>
      </w:tr>
      <w:tr w14:paraId="0D9AF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29" w:type="pct"/>
            <w:vMerge w:val="continue"/>
            <w:shd w:val="clear" w:color="auto" w:fill="FFFFFF"/>
            <w:vAlign w:val="center"/>
          </w:tcPr>
          <w:p w14:paraId="4BF11272">
            <w:pPr>
              <w:pStyle w:val="90"/>
            </w:pPr>
          </w:p>
        </w:tc>
        <w:tc>
          <w:tcPr>
            <w:tcW w:w="847" w:type="pct"/>
            <w:shd w:val="clear" w:color="auto" w:fill="FFFFFF"/>
            <w:vAlign w:val="center"/>
          </w:tcPr>
          <w:p w14:paraId="58779BA5">
            <w:pPr>
              <w:pStyle w:val="90"/>
            </w:pPr>
            <w:r>
              <w:rPr>
                <w:rFonts w:hint="eastAsia"/>
              </w:rPr>
              <w:t>盐酸不溶物</w:t>
            </w:r>
          </w:p>
        </w:tc>
        <w:tc>
          <w:tcPr>
            <w:tcW w:w="950" w:type="pct"/>
            <w:shd w:val="clear" w:color="auto" w:fill="FFFFFF"/>
            <w:vAlign w:val="center"/>
          </w:tcPr>
          <w:p w14:paraId="00A94379">
            <w:pPr>
              <w:pStyle w:val="90"/>
            </w:pPr>
            <w:r>
              <w:rPr>
                <w:rFonts w:hint="eastAsia"/>
              </w:rPr>
              <w:t>0.002</w:t>
            </w:r>
          </w:p>
        </w:tc>
        <w:tc>
          <w:tcPr>
            <w:tcW w:w="950" w:type="pct"/>
            <w:shd w:val="clear" w:color="auto" w:fill="FFFFFF"/>
            <w:vAlign w:val="center"/>
          </w:tcPr>
          <w:p w14:paraId="1E0FA484">
            <w:pPr>
              <w:pStyle w:val="90"/>
            </w:pPr>
            <w:r>
              <w:rPr>
                <w:rFonts w:hint="eastAsia"/>
              </w:rPr>
              <w:t>0.003</w:t>
            </w:r>
          </w:p>
        </w:tc>
        <w:tc>
          <w:tcPr>
            <w:tcW w:w="862" w:type="pct"/>
            <w:shd w:val="clear" w:color="auto" w:fill="FFFFFF"/>
            <w:vAlign w:val="center"/>
          </w:tcPr>
          <w:p w14:paraId="5F45D0C1">
            <w:pPr>
              <w:pStyle w:val="90"/>
            </w:pPr>
            <w:r>
              <w:rPr>
                <w:rFonts w:hint="eastAsia"/>
              </w:rPr>
              <w:t>0.005</w:t>
            </w:r>
          </w:p>
        </w:tc>
        <w:tc>
          <w:tcPr>
            <w:tcW w:w="862" w:type="pct"/>
            <w:shd w:val="clear" w:color="auto" w:fill="FFFFFF"/>
            <w:vAlign w:val="center"/>
          </w:tcPr>
          <w:p w14:paraId="68DEC404">
            <w:pPr>
              <w:pStyle w:val="90"/>
            </w:pPr>
            <w:r>
              <w:rPr>
                <w:rFonts w:hint="eastAsia"/>
              </w:rPr>
              <w:t>0.005</w:t>
            </w:r>
          </w:p>
        </w:tc>
      </w:tr>
      <w:tr w14:paraId="2B292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c>
          <w:tcPr>
            <w:tcW w:w="529" w:type="pct"/>
            <w:vMerge w:val="continue"/>
            <w:shd w:val="clear" w:color="auto" w:fill="FFFFFF"/>
            <w:vAlign w:val="center"/>
          </w:tcPr>
          <w:p w14:paraId="48B2AA49">
            <w:pPr>
              <w:pStyle w:val="90"/>
            </w:pPr>
          </w:p>
        </w:tc>
        <w:tc>
          <w:tcPr>
            <w:tcW w:w="847" w:type="pct"/>
            <w:shd w:val="clear" w:color="auto" w:fill="FFFFFF"/>
            <w:vAlign w:val="center"/>
          </w:tcPr>
          <w:p w14:paraId="73E156EA">
            <w:pPr>
              <w:pStyle w:val="90"/>
            </w:pPr>
            <w:r>
              <w:rPr>
                <w:rFonts w:hint="eastAsia"/>
              </w:rPr>
              <w:t>水不溶物</w:t>
            </w:r>
          </w:p>
        </w:tc>
        <w:tc>
          <w:tcPr>
            <w:tcW w:w="950" w:type="pct"/>
            <w:shd w:val="clear" w:color="auto" w:fill="FFFFFF"/>
            <w:vAlign w:val="center"/>
          </w:tcPr>
          <w:p w14:paraId="5A0E15A5">
            <w:pPr>
              <w:pStyle w:val="90"/>
            </w:pPr>
            <w:r>
              <w:rPr>
                <w:rFonts w:hint="eastAsia"/>
              </w:rPr>
              <w:t>0.003</w:t>
            </w:r>
          </w:p>
        </w:tc>
        <w:tc>
          <w:tcPr>
            <w:tcW w:w="950" w:type="pct"/>
            <w:shd w:val="clear" w:color="auto" w:fill="FFFFFF"/>
            <w:vAlign w:val="center"/>
          </w:tcPr>
          <w:p w14:paraId="34F205EA">
            <w:pPr>
              <w:pStyle w:val="90"/>
            </w:pPr>
            <w:r>
              <w:rPr>
                <w:rFonts w:hint="eastAsia"/>
              </w:rPr>
              <w:t>0.005</w:t>
            </w:r>
          </w:p>
        </w:tc>
        <w:tc>
          <w:tcPr>
            <w:tcW w:w="862" w:type="pct"/>
            <w:shd w:val="clear" w:color="auto" w:fill="FFFFFF"/>
            <w:vAlign w:val="center"/>
          </w:tcPr>
          <w:p w14:paraId="15B71828">
            <w:pPr>
              <w:pStyle w:val="90"/>
            </w:pPr>
            <w:r>
              <w:rPr>
                <w:rFonts w:hint="eastAsia"/>
              </w:rPr>
              <w:t>0.010</w:t>
            </w:r>
          </w:p>
        </w:tc>
        <w:tc>
          <w:tcPr>
            <w:tcW w:w="862" w:type="pct"/>
            <w:shd w:val="clear" w:color="auto" w:fill="FFFFFF"/>
            <w:vAlign w:val="center"/>
          </w:tcPr>
          <w:p w14:paraId="2E3A8141">
            <w:pPr>
              <w:pStyle w:val="90"/>
            </w:pPr>
            <w:r>
              <w:rPr>
                <w:rFonts w:hint="eastAsia"/>
              </w:rPr>
              <w:t>0.010</w:t>
            </w:r>
          </w:p>
        </w:tc>
      </w:tr>
    </w:tbl>
    <w:p w14:paraId="63829448">
      <w:pPr>
        <w:ind w:firstLine="480"/>
      </w:pPr>
      <w:r>
        <w:rPr>
          <w:rFonts w:hint="eastAsia"/>
        </w:rPr>
        <w:t>（2）能源</w:t>
      </w:r>
    </w:p>
    <w:p w14:paraId="7937423A">
      <w:pPr>
        <w:ind w:firstLine="480"/>
        <w:rPr>
          <w:rFonts w:hint="eastAsia"/>
        </w:rPr>
      </w:pPr>
      <w:r>
        <w:rPr>
          <w:rFonts w:hint="eastAsia"/>
        </w:rPr>
        <w:t>本项目生产过程中用到的能源</w:t>
      </w:r>
      <w:r>
        <w:rPr>
          <w:rFonts w:hint="eastAsia"/>
          <w:lang w:val="en-US" w:eastAsia="zh-CN"/>
        </w:rPr>
        <w:t>在变动前后无变化，具体见表3.1-6</w:t>
      </w:r>
      <w:r>
        <w:rPr>
          <w:rFonts w:hint="eastAsia"/>
        </w:rPr>
        <w:t>。</w:t>
      </w:r>
    </w:p>
    <w:p w14:paraId="7A33598C">
      <w:pPr>
        <w:pStyle w:val="47"/>
        <w:spacing w:before="65"/>
      </w:pPr>
      <w:r>
        <w:rPr>
          <w:rFonts w:hint="eastAsia"/>
        </w:rPr>
        <w:t>表3</w:t>
      </w:r>
      <w:r>
        <w:t xml:space="preserve">.1-6   </w:t>
      </w:r>
      <w:r>
        <w:rPr>
          <w:rFonts w:hint="eastAsia"/>
        </w:rPr>
        <w:t>本项目使用能源一览表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933"/>
        <w:gridCol w:w="1955"/>
        <w:gridCol w:w="4043"/>
      </w:tblGrid>
      <w:tr w14:paraId="4F957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Mar>
              <w:left w:w="0" w:type="dxa"/>
              <w:right w:w="0" w:type="dxa"/>
            </w:tcMar>
            <w:vAlign w:val="center"/>
          </w:tcPr>
          <w:p w14:paraId="541E4A18">
            <w:pPr>
              <w:adjustRightInd w:val="0"/>
              <w:snapToGrid w:val="0"/>
              <w:spacing w:line="240" w:lineRule="auto"/>
              <w:ind w:firstLine="0" w:firstLineChars="0"/>
              <w:jc w:val="center"/>
              <w:rPr>
                <w:sz w:val="21"/>
                <w:szCs w:val="21"/>
              </w:rPr>
            </w:pPr>
            <w:r>
              <w:rPr>
                <w:rFonts w:hint="eastAsia"/>
                <w:sz w:val="21"/>
                <w:szCs w:val="21"/>
              </w:rPr>
              <w:t>序号</w:t>
            </w:r>
          </w:p>
        </w:tc>
        <w:tc>
          <w:tcPr>
            <w:tcW w:w="1985" w:type="dxa"/>
            <w:shd w:val="clear" w:color="auto" w:fill="auto"/>
            <w:tcMar>
              <w:left w:w="0" w:type="dxa"/>
              <w:right w:w="0" w:type="dxa"/>
            </w:tcMar>
            <w:vAlign w:val="center"/>
          </w:tcPr>
          <w:p w14:paraId="6B3AD402">
            <w:pPr>
              <w:adjustRightInd w:val="0"/>
              <w:snapToGrid w:val="0"/>
              <w:spacing w:line="240" w:lineRule="auto"/>
              <w:ind w:firstLine="0" w:firstLineChars="0"/>
              <w:jc w:val="center"/>
              <w:rPr>
                <w:sz w:val="21"/>
                <w:szCs w:val="21"/>
              </w:rPr>
            </w:pPr>
            <w:r>
              <w:rPr>
                <w:rFonts w:hint="eastAsia"/>
                <w:sz w:val="21"/>
                <w:szCs w:val="21"/>
              </w:rPr>
              <w:t>名称</w:t>
            </w:r>
          </w:p>
        </w:tc>
        <w:tc>
          <w:tcPr>
            <w:tcW w:w="1984" w:type="dxa"/>
            <w:shd w:val="clear" w:color="auto" w:fill="auto"/>
            <w:tcMar>
              <w:left w:w="0" w:type="dxa"/>
              <w:right w:w="0" w:type="dxa"/>
            </w:tcMar>
            <w:vAlign w:val="center"/>
          </w:tcPr>
          <w:p w14:paraId="67BF1CF5">
            <w:pPr>
              <w:adjustRightInd w:val="0"/>
              <w:snapToGrid w:val="0"/>
              <w:spacing w:line="240" w:lineRule="auto"/>
              <w:ind w:firstLine="0" w:firstLineChars="0"/>
              <w:jc w:val="center"/>
              <w:rPr>
                <w:sz w:val="21"/>
                <w:szCs w:val="21"/>
              </w:rPr>
            </w:pPr>
            <w:r>
              <w:rPr>
                <w:rFonts w:hint="eastAsia"/>
                <w:sz w:val="21"/>
                <w:szCs w:val="21"/>
              </w:rPr>
              <w:t>数量</w:t>
            </w:r>
          </w:p>
        </w:tc>
        <w:tc>
          <w:tcPr>
            <w:tcW w:w="4160" w:type="dxa"/>
            <w:shd w:val="clear" w:color="auto" w:fill="auto"/>
            <w:tcMar>
              <w:left w:w="0" w:type="dxa"/>
              <w:right w:w="0" w:type="dxa"/>
            </w:tcMar>
            <w:vAlign w:val="center"/>
          </w:tcPr>
          <w:p w14:paraId="3D7B4773">
            <w:pPr>
              <w:adjustRightInd w:val="0"/>
              <w:snapToGrid w:val="0"/>
              <w:spacing w:line="240" w:lineRule="auto"/>
              <w:ind w:firstLine="0" w:firstLineChars="0"/>
              <w:jc w:val="center"/>
              <w:rPr>
                <w:sz w:val="21"/>
                <w:szCs w:val="21"/>
              </w:rPr>
            </w:pPr>
            <w:r>
              <w:rPr>
                <w:rFonts w:hint="eastAsia"/>
                <w:sz w:val="21"/>
                <w:szCs w:val="21"/>
              </w:rPr>
              <w:t>来源</w:t>
            </w:r>
          </w:p>
        </w:tc>
      </w:tr>
      <w:tr w14:paraId="1D609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Mar>
              <w:left w:w="0" w:type="dxa"/>
              <w:right w:w="0" w:type="dxa"/>
            </w:tcMar>
            <w:vAlign w:val="center"/>
          </w:tcPr>
          <w:p w14:paraId="5DF70559">
            <w:pPr>
              <w:numPr>
                <w:ilvl w:val="0"/>
                <w:numId w:val="14"/>
              </w:numPr>
              <w:adjustRightInd w:val="0"/>
              <w:snapToGrid w:val="0"/>
              <w:spacing w:line="240" w:lineRule="auto"/>
              <w:ind w:firstLineChars="0"/>
              <w:jc w:val="center"/>
              <w:rPr>
                <w:sz w:val="21"/>
                <w:szCs w:val="21"/>
              </w:rPr>
            </w:pPr>
          </w:p>
        </w:tc>
        <w:tc>
          <w:tcPr>
            <w:tcW w:w="1985" w:type="dxa"/>
            <w:shd w:val="clear" w:color="auto" w:fill="auto"/>
            <w:tcMar>
              <w:left w:w="0" w:type="dxa"/>
              <w:right w:w="0" w:type="dxa"/>
            </w:tcMar>
            <w:vAlign w:val="center"/>
          </w:tcPr>
          <w:p w14:paraId="14E43044">
            <w:pPr>
              <w:adjustRightInd w:val="0"/>
              <w:snapToGrid w:val="0"/>
              <w:spacing w:line="240" w:lineRule="auto"/>
              <w:ind w:firstLine="0" w:firstLineChars="0"/>
              <w:jc w:val="center"/>
              <w:rPr>
                <w:sz w:val="21"/>
                <w:szCs w:val="21"/>
              </w:rPr>
            </w:pPr>
            <w:r>
              <w:rPr>
                <w:rFonts w:hint="eastAsia"/>
                <w:sz w:val="21"/>
                <w:szCs w:val="21"/>
              </w:rPr>
              <w:t>电能</w:t>
            </w:r>
          </w:p>
        </w:tc>
        <w:tc>
          <w:tcPr>
            <w:tcW w:w="1984" w:type="dxa"/>
            <w:shd w:val="clear" w:color="auto" w:fill="auto"/>
            <w:tcMar>
              <w:left w:w="0" w:type="dxa"/>
              <w:right w:w="0" w:type="dxa"/>
            </w:tcMar>
            <w:vAlign w:val="center"/>
          </w:tcPr>
          <w:p w14:paraId="2A685C71">
            <w:pPr>
              <w:adjustRightInd w:val="0"/>
              <w:snapToGrid w:val="0"/>
              <w:spacing w:line="240" w:lineRule="auto"/>
              <w:ind w:firstLine="0" w:firstLineChars="0"/>
              <w:jc w:val="center"/>
              <w:rPr>
                <w:sz w:val="21"/>
                <w:szCs w:val="21"/>
              </w:rPr>
            </w:pPr>
            <w:r>
              <w:rPr>
                <w:rFonts w:hint="eastAsia"/>
                <w:sz w:val="21"/>
                <w:szCs w:val="21"/>
              </w:rPr>
              <w:t>5万kW·h</w:t>
            </w:r>
            <w:r>
              <w:rPr>
                <w:sz w:val="21"/>
                <w:szCs w:val="21"/>
              </w:rPr>
              <w:t>/a</w:t>
            </w:r>
          </w:p>
        </w:tc>
        <w:tc>
          <w:tcPr>
            <w:tcW w:w="4160" w:type="dxa"/>
            <w:shd w:val="clear" w:color="auto" w:fill="auto"/>
            <w:tcMar>
              <w:left w:w="0" w:type="dxa"/>
              <w:right w:w="0" w:type="dxa"/>
            </w:tcMar>
            <w:vAlign w:val="center"/>
          </w:tcPr>
          <w:p w14:paraId="7E33FF84">
            <w:pPr>
              <w:adjustRightInd w:val="0"/>
              <w:snapToGrid w:val="0"/>
              <w:spacing w:line="240" w:lineRule="auto"/>
              <w:ind w:firstLine="0" w:firstLineChars="0"/>
              <w:jc w:val="center"/>
              <w:rPr>
                <w:sz w:val="21"/>
                <w:szCs w:val="21"/>
              </w:rPr>
            </w:pPr>
            <w:r>
              <w:rPr>
                <w:rFonts w:hint="eastAsia"/>
                <w:sz w:val="21"/>
                <w:szCs w:val="21"/>
              </w:rPr>
              <w:t>园区电网接入</w:t>
            </w:r>
          </w:p>
        </w:tc>
      </w:tr>
      <w:tr w14:paraId="77526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Mar>
              <w:left w:w="0" w:type="dxa"/>
              <w:right w:w="0" w:type="dxa"/>
            </w:tcMar>
            <w:vAlign w:val="center"/>
          </w:tcPr>
          <w:p w14:paraId="0A12593E">
            <w:pPr>
              <w:numPr>
                <w:ilvl w:val="0"/>
                <w:numId w:val="14"/>
              </w:numPr>
              <w:adjustRightInd w:val="0"/>
              <w:snapToGrid w:val="0"/>
              <w:spacing w:line="240" w:lineRule="auto"/>
              <w:ind w:firstLineChars="0"/>
              <w:jc w:val="center"/>
              <w:rPr>
                <w:sz w:val="21"/>
                <w:szCs w:val="21"/>
              </w:rPr>
            </w:pPr>
          </w:p>
        </w:tc>
        <w:tc>
          <w:tcPr>
            <w:tcW w:w="1985" w:type="dxa"/>
            <w:shd w:val="clear" w:color="auto" w:fill="auto"/>
            <w:tcMar>
              <w:left w:w="0" w:type="dxa"/>
              <w:right w:w="0" w:type="dxa"/>
            </w:tcMar>
            <w:vAlign w:val="center"/>
          </w:tcPr>
          <w:p w14:paraId="2BB40758">
            <w:pPr>
              <w:adjustRightInd w:val="0"/>
              <w:snapToGrid w:val="0"/>
              <w:spacing w:line="240" w:lineRule="auto"/>
              <w:ind w:firstLine="0" w:firstLineChars="0"/>
              <w:jc w:val="center"/>
              <w:rPr>
                <w:sz w:val="21"/>
                <w:szCs w:val="21"/>
              </w:rPr>
            </w:pPr>
            <w:r>
              <w:rPr>
                <w:rFonts w:hint="eastAsia"/>
                <w:sz w:val="21"/>
                <w:szCs w:val="21"/>
              </w:rPr>
              <w:t>用水量</w:t>
            </w:r>
          </w:p>
        </w:tc>
        <w:tc>
          <w:tcPr>
            <w:tcW w:w="1984" w:type="dxa"/>
            <w:shd w:val="clear" w:color="auto" w:fill="auto"/>
            <w:tcMar>
              <w:left w:w="0" w:type="dxa"/>
              <w:right w:w="0" w:type="dxa"/>
            </w:tcMar>
            <w:vAlign w:val="center"/>
          </w:tcPr>
          <w:p w14:paraId="4F31CD58">
            <w:pPr>
              <w:adjustRightInd w:val="0"/>
              <w:snapToGrid w:val="0"/>
              <w:spacing w:line="240" w:lineRule="auto"/>
              <w:ind w:firstLine="0" w:firstLineChars="0"/>
              <w:jc w:val="center"/>
              <w:rPr>
                <w:sz w:val="21"/>
                <w:szCs w:val="21"/>
              </w:rPr>
            </w:pPr>
            <w:r>
              <w:rPr>
                <w:rFonts w:hint="eastAsia"/>
                <w:sz w:val="21"/>
                <w:szCs w:val="21"/>
              </w:rPr>
              <w:t>4</w:t>
            </w:r>
            <w:r>
              <w:rPr>
                <w:sz w:val="21"/>
                <w:szCs w:val="21"/>
              </w:rPr>
              <w:t>0000</w:t>
            </w:r>
            <w:r>
              <w:rPr>
                <w:rFonts w:hint="eastAsia"/>
                <w:sz w:val="21"/>
                <w:szCs w:val="21"/>
              </w:rPr>
              <w:t>m</w:t>
            </w:r>
            <w:r>
              <w:rPr>
                <w:sz w:val="21"/>
                <w:szCs w:val="21"/>
                <w:vertAlign w:val="superscript"/>
              </w:rPr>
              <w:t>3</w:t>
            </w:r>
            <w:r>
              <w:rPr>
                <w:sz w:val="21"/>
                <w:szCs w:val="21"/>
              </w:rPr>
              <w:t>/a</w:t>
            </w:r>
          </w:p>
        </w:tc>
        <w:tc>
          <w:tcPr>
            <w:tcW w:w="4160" w:type="dxa"/>
            <w:shd w:val="clear" w:color="auto" w:fill="auto"/>
            <w:tcMar>
              <w:left w:w="0" w:type="dxa"/>
              <w:right w:w="0" w:type="dxa"/>
            </w:tcMar>
            <w:vAlign w:val="center"/>
          </w:tcPr>
          <w:p w14:paraId="5756BEE0">
            <w:pPr>
              <w:adjustRightInd w:val="0"/>
              <w:snapToGrid w:val="0"/>
              <w:spacing w:line="240" w:lineRule="auto"/>
              <w:ind w:firstLine="0" w:firstLineChars="0"/>
              <w:jc w:val="center"/>
              <w:rPr>
                <w:sz w:val="21"/>
                <w:szCs w:val="21"/>
              </w:rPr>
            </w:pPr>
            <w:r>
              <w:rPr>
                <w:rFonts w:hint="eastAsia"/>
                <w:sz w:val="21"/>
                <w:szCs w:val="21"/>
              </w:rPr>
              <w:t>胡杨河经开区供水管网</w:t>
            </w:r>
          </w:p>
        </w:tc>
      </w:tr>
      <w:tr w14:paraId="0E894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Mar>
              <w:left w:w="0" w:type="dxa"/>
              <w:right w:w="0" w:type="dxa"/>
            </w:tcMar>
            <w:vAlign w:val="center"/>
          </w:tcPr>
          <w:p w14:paraId="6B114D1A">
            <w:pPr>
              <w:numPr>
                <w:ilvl w:val="0"/>
                <w:numId w:val="14"/>
              </w:numPr>
              <w:adjustRightInd w:val="0"/>
              <w:snapToGrid w:val="0"/>
              <w:spacing w:line="240" w:lineRule="auto"/>
              <w:ind w:firstLineChars="0"/>
              <w:jc w:val="center"/>
              <w:rPr>
                <w:sz w:val="21"/>
                <w:szCs w:val="21"/>
              </w:rPr>
            </w:pPr>
          </w:p>
        </w:tc>
        <w:tc>
          <w:tcPr>
            <w:tcW w:w="1985" w:type="dxa"/>
            <w:shd w:val="clear" w:color="auto" w:fill="auto"/>
            <w:tcMar>
              <w:left w:w="0" w:type="dxa"/>
              <w:right w:w="0" w:type="dxa"/>
            </w:tcMar>
            <w:vAlign w:val="center"/>
          </w:tcPr>
          <w:p w14:paraId="7A946844">
            <w:pPr>
              <w:adjustRightInd w:val="0"/>
              <w:snapToGrid w:val="0"/>
              <w:spacing w:line="240" w:lineRule="auto"/>
              <w:ind w:firstLine="0" w:firstLineChars="0"/>
              <w:jc w:val="center"/>
              <w:rPr>
                <w:sz w:val="21"/>
                <w:szCs w:val="21"/>
              </w:rPr>
            </w:pPr>
            <w:r>
              <w:rPr>
                <w:rFonts w:hint="eastAsia"/>
                <w:sz w:val="21"/>
                <w:szCs w:val="21"/>
              </w:rPr>
              <w:t>天然气</w:t>
            </w:r>
          </w:p>
        </w:tc>
        <w:tc>
          <w:tcPr>
            <w:tcW w:w="1984" w:type="dxa"/>
            <w:shd w:val="clear" w:color="auto" w:fill="auto"/>
            <w:tcMar>
              <w:left w:w="0" w:type="dxa"/>
              <w:right w:w="0" w:type="dxa"/>
            </w:tcMar>
            <w:vAlign w:val="center"/>
          </w:tcPr>
          <w:p w14:paraId="543FE3A6">
            <w:pPr>
              <w:adjustRightInd w:val="0"/>
              <w:snapToGrid w:val="0"/>
              <w:spacing w:line="240" w:lineRule="auto"/>
              <w:ind w:firstLine="0" w:firstLineChars="0"/>
              <w:jc w:val="center"/>
              <w:rPr>
                <w:sz w:val="21"/>
                <w:szCs w:val="21"/>
              </w:rPr>
            </w:pPr>
            <w:r>
              <w:rPr>
                <w:rFonts w:hint="eastAsia"/>
                <w:sz w:val="21"/>
                <w:szCs w:val="21"/>
              </w:rPr>
              <w:t>4</w:t>
            </w:r>
            <w:r>
              <w:rPr>
                <w:sz w:val="21"/>
                <w:szCs w:val="21"/>
              </w:rPr>
              <w:t>50000</w:t>
            </w:r>
            <w:r>
              <w:rPr>
                <w:rFonts w:hint="eastAsia"/>
                <w:sz w:val="21"/>
                <w:szCs w:val="21"/>
              </w:rPr>
              <w:t>m</w:t>
            </w:r>
            <w:r>
              <w:rPr>
                <w:sz w:val="21"/>
                <w:szCs w:val="21"/>
                <w:vertAlign w:val="superscript"/>
              </w:rPr>
              <w:t>3</w:t>
            </w:r>
            <w:r>
              <w:rPr>
                <w:sz w:val="21"/>
                <w:szCs w:val="21"/>
              </w:rPr>
              <w:t>/a</w:t>
            </w:r>
          </w:p>
        </w:tc>
        <w:tc>
          <w:tcPr>
            <w:tcW w:w="4160" w:type="dxa"/>
            <w:shd w:val="clear" w:color="auto" w:fill="auto"/>
            <w:tcMar>
              <w:left w:w="0" w:type="dxa"/>
              <w:right w:w="0" w:type="dxa"/>
            </w:tcMar>
            <w:vAlign w:val="center"/>
          </w:tcPr>
          <w:p w14:paraId="4D07B1AB">
            <w:pPr>
              <w:adjustRightInd w:val="0"/>
              <w:snapToGrid w:val="0"/>
              <w:spacing w:line="240" w:lineRule="auto"/>
              <w:ind w:firstLine="0" w:firstLineChars="0"/>
              <w:jc w:val="center"/>
              <w:rPr>
                <w:sz w:val="21"/>
                <w:szCs w:val="21"/>
              </w:rPr>
            </w:pPr>
            <w:r>
              <w:rPr>
                <w:rFonts w:hint="eastAsia"/>
                <w:sz w:val="21"/>
                <w:szCs w:val="21"/>
              </w:rPr>
              <w:t>园区新疆云润能源开发有限公司铺设的天然气管网</w:t>
            </w:r>
          </w:p>
        </w:tc>
      </w:tr>
    </w:tbl>
    <w:p w14:paraId="737BF41F">
      <w:pPr>
        <w:pStyle w:val="43"/>
      </w:pPr>
      <w:bookmarkStart w:id="149" w:name="_Toc82518730"/>
      <w:bookmarkStart w:id="150" w:name="_Toc152864163"/>
      <w:bookmarkStart w:id="151" w:name="_Toc79515425"/>
      <w:bookmarkStart w:id="152" w:name="_Toc81214048"/>
      <w:bookmarkStart w:id="153" w:name="_Toc80973480"/>
      <w:bookmarkStart w:id="154" w:name="_Toc80193054"/>
      <w:bookmarkStart w:id="155" w:name="_Toc77007756"/>
      <w:r>
        <w:rPr>
          <w:rFonts w:hint="eastAsia"/>
        </w:rPr>
        <w:t>产品方案</w:t>
      </w:r>
      <w:bookmarkEnd w:id="149"/>
      <w:bookmarkEnd w:id="150"/>
      <w:bookmarkEnd w:id="151"/>
      <w:bookmarkEnd w:id="152"/>
      <w:bookmarkEnd w:id="153"/>
      <w:bookmarkEnd w:id="154"/>
      <w:bookmarkEnd w:id="155"/>
    </w:p>
    <w:p w14:paraId="060F670A">
      <w:pPr>
        <w:ind w:firstLine="480"/>
      </w:pPr>
      <w:r>
        <w:rPr>
          <w:rFonts w:hint="eastAsia"/>
        </w:rPr>
        <w:t>本项目产品为润滑油8</w:t>
      </w:r>
      <w:r>
        <w:t>0000</w:t>
      </w:r>
      <w:r>
        <w:rPr>
          <w:rFonts w:hint="eastAsia"/>
        </w:rPr>
        <w:t>吨/年和润滑脂2</w:t>
      </w:r>
      <w:r>
        <w:t>0000</w:t>
      </w:r>
      <w:r>
        <w:rPr>
          <w:rFonts w:hint="eastAsia"/>
        </w:rPr>
        <w:t>吨/年，副产品沥青1</w:t>
      </w:r>
      <w:r>
        <w:t>925.42</w:t>
      </w:r>
      <w:r>
        <w:rPr>
          <w:rFonts w:hint="eastAsia"/>
        </w:rPr>
        <w:t>吨/年。其中，</w:t>
      </w:r>
      <w:r>
        <w:t>润滑油一般由基础油和添加剂两部分组成。基础油是润滑油的主要成分，决定着润滑油的基本性质，添加剂则可弥补和改善基础油性能方面的不足，赋予某些新的性能，是润滑油的重要组成部分</w:t>
      </w:r>
      <w:r>
        <w:rPr>
          <w:rFonts w:hint="eastAsia"/>
        </w:rPr>
        <w:t>，本项目润滑油产品质量执行《汽油机油》（GB</w:t>
      </w:r>
      <w:r>
        <w:t>11121-2006</w:t>
      </w:r>
      <w:r>
        <w:rPr>
          <w:rFonts w:hint="eastAsia"/>
        </w:rPr>
        <w:t>）；润滑脂主要是由稠化剂、润滑油、添加剂三部分组成。一般润滑脂中稠化剂含量约为10%-20%，润滑油含量约为75%-90%，添加剂及填料的含量在5%以下，本项目润滑脂产品质量执行</w:t>
      </w:r>
      <w:r>
        <w:t>《润滑脂工业用油规范》</w:t>
      </w:r>
      <w:r>
        <w:rPr>
          <w:rFonts w:hint="eastAsia"/>
        </w:rPr>
        <w:t>（</w:t>
      </w:r>
      <w:r>
        <w:t>GB/T7324-2017</w:t>
      </w:r>
      <w:r>
        <w:rPr>
          <w:rFonts w:hint="eastAsia"/>
        </w:rPr>
        <w:t>）中的要求。</w:t>
      </w:r>
    </w:p>
    <w:p w14:paraId="602160C6">
      <w:pPr>
        <w:ind w:firstLine="482"/>
        <w:rPr>
          <w:rFonts w:hint="eastAsia"/>
          <w:b/>
        </w:rPr>
      </w:pPr>
      <w:r>
        <w:rPr>
          <w:rFonts w:hint="eastAsia"/>
          <w:b/>
        </w:rPr>
        <w:t>本项目一期建设成后生产规模为8万吨/年润滑油，二期建成后，一期产品润滑油中2万吨作为二期原料，因此，二期建成后，新疆翱巡能源科技有限公司全厂外售的产品变为6万吨/年润滑油，2万吨/年润滑脂。</w:t>
      </w:r>
    </w:p>
    <w:p w14:paraId="36623268">
      <w:pPr>
        <w:ind w:firstLine="482"/>
        <w:rPr>
          <w:rFonts w:hint="default" w:eastAsia="宋体"/>
          <w:b/>
          <w:bCs w:val="0"/>
          <w:lang w:val="en-US" w:eastAsia="zh-CN"/>
        </w:rPr>
      </w:pPr>
      <w:r>
        <w:rPr>
          <w:rFonts w:hint="eastAsia"/>
          <w:b/>
          <w:bCs w:val="0"/>
          <w:lang w:val="en-US" w:eastAsia="zh-CN"/>
        </w:rPr>
        <w:t>经核实，变动前后的产品方案、生产规模无变化。</w:t>
      </w:r>
    </w:p>
    <w:p w14:paraId="369B3F80">
      <w:pPr>
        <w:pStyle w:val="43"/>
        <w:adjustRightInd w:val="0"/>
        <w:snapToGrid w:val="0"/>
        <w:spacing w:line="240" w:lineRule="auto"/>
      </w:pPr>
      <w:bookmarkStart w:id="156" w:name="_Toc80973481"/>
      <w:bookmarkStart w:id="157" w:name="_Toc152864164"/>
      <w:bookmarkStart w:id="158" w:name="_Toc80193055"/>
      <w:bookmarkStart w:id="159" w:name="_Toc77007757"/>
      <w:bookmarkStart w:id="160" w:name="_Toc79515426"/>
      <w:bookmarkStart w:id="161" w:name="_Toc81214049"/>
      <w:bookmarkStart w:id="162" w:name="_Toc82518731"/>
      <w:r>
        <w:rPr>
          <w:rFonts w:hint="eastAsia"/>
        </w:rPr>
        <w:t>主要设备</w:t>
      </w:r>
      <w:bookmarkEnd w:id="156"/>
      <w:bookmarkEnd w:id="157"/>
      <w:bookmarkEnd w:id="158"/>
      <w:bookmarkEnd w:id="159"/>
      <w:bookmarkEnd w:id="160"/>
      <w:bookmarkEnd w:id="161"/>
      <w:bookmarkEnd w:id="162"/>
    </w:p>
    <w:p w14:paraId="3C963233">
      <w:pPr>
        <w:ind w:firstLine="480"/>
        <w:rPr>
          <w:rFonts w:hint="default" w:eastAsia="宋体"/>
          <w:lang w:val="en-US" w:eastAsia="zh-CN"/>
        </w:rPr>
      </w:pPr>
      <w:r>
        <w:rPr>
          <w:rFonts w:hint="eastAsia"/>
        </w:rPr>
        <w:t>本项目分两期建设，</w:t>
      </w:r>
      <w:r>
        <w:rPr>
          <w:rFonts w:hint="eastAsia"/>
          <w:lang w:val="en-US" w:eastAsia="zh-CN"/>
        </w:rPr>
        <w:t>一期8万吨/年润滑油生产线已基本建成，实际安装的设备与原环境影响报告书对比具体见表</w:t>
      </w:r>
      <w:r>
        <w:rPr>
          <w:rFonts w:hint="eastAsia"/>
        </w:rPr>
        <w:t>3</w:t>
      </w:r>
      <w:r>
        <w:t>.1-7</w:t>
      </w:r>
      <w:r>
        <w:rPr>
          <w:rFonts w:hint="eastAsia"/>
        </w:rPr>
        <w:t>，二期2万吨/年润滑脂生产线主要生产设备</w:t>
      </w:r>
      <w:r>
        <w:rPr>
          <w:rFonts w:hint="eastAsia"/>
          <w:lang w:val="en-US" w:eastAsia="zh-CN"/>
        </w:rPr>
        <w:t>不变，具体</w:t>
      </w:r>
      <w:r>
        <w:rPr>
          <w:rFonts w:hint="eastAsia"/>
        </w:rPr>
        <w:t>见表3</w:t>
      </w:r>
      <w:r>
        <w:t>.1-8</w:t>
      </w:r>
      <w:r>
        <w:rPr>
          <w:rFonts w:hint="eastAsia"/>
        </w:rPr>
        <w:t>。</w:t>
      </w:r>
    </w:p>
    <w:p w14:paraId="0753016F">
      <w:pPr>
        <w:pStyle w:val="47"/>
        <w:spacing w:before="65"/>
      </w:pPr>
      <w:r>
        <w:rPr>
          <w:rFonts w:hint="eastAsia"/>
        </w:rPr>
        <w:t>表3</w:t>
      </w:r>
      <w:r>
        <w:t xml:space="preserve">.1-7   </w:t>
      </w:r>
      <w:r>
        <w:rPr>
          <w:rFonts w:hint="eastAsia"/>
        </w:rPr>
        <w:t>本项目一期生产设备一览表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65"/>
        <w:gridCol w:w="1376"/>
        <w:gridCol w:w="2024"/>
        <w:gridCol w:w="1825"/>
        <w:gridCol w:w="657"/>
        <w:gridCol w:w="737"/>
        <w:gridCol w:w="870"/>
        <w:gridCol w:w="776"/>
      </w:tblGrid>
      <w:tr w14:paraId="4D8D7E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266" w:type="pct"/>
            <w:vMerge w:val="restart"/>
            <w:shd w:val="clear" w:color="auto" w:fill="auto"/>
            <w:vAlign w:val="center"/>
          </w:tcPr>
          <w:p w14:paraId="06F8501A">
            <w:pPr>
              <w:pStyle w:val="90"/>
            </w:pPr>
            <w:r>
              <w:t>序号</w:t>
            </w:r>
          </w:p>
        </w:tc>
        <w:tc>
          <w:tcPr>
            <w:tcW w:w="788" w:type="pct"/>
            <w:vMerge w:val="restart"/>
            <w:shd w:val="clear" w:color="auto" w:fill="auto"/>
            <w:vAlign w:val="center"/>
          </w:tcPr>
          <w:p w14:paraId="389743B1">
            <w:pPr>
              <w:pStyle w:val="90"/>
            </w:pPr>
            <w:r>
              <w:t>设备名称</w:t>
            </w:r>
          </w:p>
        </w:tc>
        <w:tc>
          <w:tcPr>
            <w:tcW w:w="2204" w:type="pct"/>
            <w:gridSpan w:val="2"/>
            <w:shd w:val="clear" w:color="auto" w:fill="auto"/>
            <w:vAlign w:val="center"/>
          </w:tcPr>
          <w:p w14:paraId="5036E075">
            <w:pPr>
              <w:pStyle w:val="90"/>
            </w:pPr>
            <w:r>
              <w:t>规格</w:t>
            </w:r>
          </w:p>
        </w:tc>
        <w:tc>
          <w:tcPr>
            <w:tcW w:w="376" w:type="pct"/>
            <w:vMerge w:val="restart"/>
            <w:shd w:val="clear" w:color="auto" w:fill="auto"/>
            <w:vAlign w:val="center"/>
          </w:tcPr>
          <w:p w14:paraId="0DB4EA73">
            <w:pPr>
              <w:pStyle w:val="90"/>
            </w:pPr>
            <w:r>
              <w:t>单位</w:t>
            </w:r>
          </w:p>
        </w:tc>
        <w:tc>
          <w:tcPr>
            <w:tcW w:w="920" w:type="pct"/>
            <w:gridSpan w:val="2"/>
            <w:shd w:val="clear" w:color="auto" w:fill="auto"/>
            <w:vAlign w:val="center"/>
          </w:tcPr>
          <w:p w14:paraId="543AFCF4">
            <w:pPr>
              <w:pStyle w:val="90"/>
            </w:pPr>
            <w:r>
              <w:t>数量</w:t>
            </w:r>
          </w:p>
        </w:tc>
        <w:tc>
          <w:tcPr>
            <w:tcW w:w="444" w:type="pct"/>
            <w:vMerge w:val="restart"/>
            <w:shd w:val="clear" w:color="auto" w:fill="auto"/>
            <w:vAlign w:val="center"/>
          </w:tcPr>
          <w:p w14:paraId="4EFF4B1C">
            <w:pPr>
              <w:pStyle w:val="90"/>
            </w:pPr>
            <w:r>
              <w:t>备注</w:t>
            </w:r>
          </w:p>
        </w:tc>
      </w:tr>
      <w:tr w14:paraId="73FD9E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vMerge w:val="continue"/>
            <w:shd w:val="clear" w:color="auto" w:fill="auto"/>
            <w:vAlign w:val="center"/>
          </w:tcPr>
          <w:p w14:paraId="04E7AF9E">
            <w:pPr>
              <w:pStyle w:val="90"/>
            </w:pPr>
          </w:p>
        </w:tc>
        <w:tc>
          <w:tcPr>
            <w:tcW w:w="788" w:type="pct"/>
            <w:vMerge w:val="continue"/>
            <w:shd w:val="clear" w:color="auto" w:fill="auto"/>
            <w:vAlign w:val="center"/>
          </w:tcPr>
          <w:p w14:paraId="63ABBF24">
            <w:pPr>
              <w:pStyle w:val="90"/>
            </w:pPr>
          </w:p>
        </w:tc>
        <w:tc>
          <w:tcPr>
            <w:tcW w:w="1159" w:type="pct"/>
            <w:shd w:val="clear" w:color="auto" w:fill="auto"/>
            <w:vAlign w:val="center"/>
          </w:tcPr>
          <w:p w14:paraId="7E0BC62E">
            <w:pPr>
              <w:pStyle w:val="90"/>
              <w:rPr>
                <w:rFonts w:hint="eastAsia" w:eastAsia="宋体"/>
                <w:lang w:val="en-US" w:eastAsia="zh-CN"/>
              </w:rPr>
            </w:pPr>
            <w:r>
              <w:rPr>
                <w:rFonts w:hint="eastAsia"/>
                <w:lang w:val="en-US" w:eastAsia="zh-CN"/>
              </w:rPr>
              <w:t>原环评</w:t>
            </w:r>
          </w:p>
        </w:tc>
        <w:tc>
          <w:tcPr>
            <w:tcW w:w="1045" w:type="pct"/>
            <w:shd w:val="clear" w:color="auto" w:fill="auto"/>
            <w:vAlign w:val="center"/>
          </w:tcPr>
          <w:p w14:paraId="16440277">
            <w:pPr>
              <w:pStyle w:val="90"/>
              <w:rPr>
                <w:rFonts w:hint="default" w:eastAsia="宋体"/>
                <w:lang w:val="en-US" w:eastAsia="zh-CN"/>
              </w:rPr>
            </w:pPr>
            <w:r>
              <w:rPr>
                <w:rFonts w:hint="eastAsia"/>
                <w:lang w:val="en-US" w:eastAsia="zh-CN"/>
              </w:rPr>
              <w:t>变动后</w:t>
            </w:r>
          </w:p>
        </w:tc>
        <w:tc>
          <w:tcPr>
            <w:tcW w:w="376" w:type="pct"/>
            <w:vMerge w:val="continue"/>
            <w:shd w:val="clear" w:color="auto" w:fill="auto"/>
            <w:vAlign w:val="center"/>
          </w:tcPr>
          <w:p w14:paraId="366C4076">
            <w:pPr>
              <w:pStyle w:val="90"/>
            </w:pPr>
          </w:p>
        </w:tc>
        <w:tc>
          <w:tcPr>
            <w:tcW w:w="422" w:type="pct"/>
            <w:shd w:val="clear" w:color="auto" w:fill="auto"/>
            <w:vAlign w:val="center"/>
          </w:tcPr>
          <w:p w14:paraId="1B0E2CDE">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原环评</w:t>
            </w:r>
          </w:p>
        </w:tc>
        <w:tc>
          <w:tcPr>
            <w:tcW w:w="498" w:type="pct"/>
            <w:shd w:val="clear" w:color="auto" w:fill="auto"/>
            <w:vAlign w:val="center"/>
          </w:tcPr>
          <w:p w14:paraId="4E072970">
            <w:pPr>
              <w:pStyle w:val="90"/>
              <w:ind w:firstLine="0" w:firstLineChars="0"/>
              <w:rPr>
                <w:rFonts w:hint="default" w:ascii="Times New Roman" w:hAnsi="Times New Roman" w:eastAsia="宋体" w:cs="Times New Roman"/>
                <w:bCs/>
                <w:kern w:val="2"/>
                <w:sz w:val="21"/>
                <w:szCs w:val="20"/>
                <w:lang w:val="en-US" w:eastAsia="zh-CN" w:bidi="ar-SA"/>
              </w:rPr>
            </w:pPr>
            <w:r>
              <w:rPr>
                <w:rFonts w:hint="eastAsia"/>
                <w:lang w:val="en-US" w:eastAsia="zh-CN"/>
              </w:rPr>
              <w:t>变动后</w:t>
            </w:r>
          </w:p>
        </w:tc>
        <w:tc>
          <w:tcPr>
            <w:tcW w:w="444" w:type="pct"/>
            <w:vMerge w:val="continue"/>
            <w:shd w:val="clear" w:color="auto" w:fill="auto"/>
            <w:vAlign w:val="center"/>
          </w:tcPr>
          <w:p w14:paraId="32411C9A">
            <w:pPr>
              <w:pStyle w:val="90"/>
            </w:pPr>
          </w:p>
        </w:tc>
      </w:tr>
      <w:tr w14:paraId="581F97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712F2195">
            <w:pPr>
              <w:pStyle w:val="90"/>
              <w:numPr>
                <w:ilvl w:val="0"/>
                <w:numId w:val="15"/>
              </w:numPr>
            </w:pPr>
          </w:p>
        </w:tc>
        <w:tc>
          <w:tcPr>
            <w:tcW w:w="788" w:type="pct"/>
            <w:shd w:val="clear" w:color="auto" w:fill="auto"/>
            <w:vAlign w:val="center"/>
          </w:tcPr>
          <w:p w14:paraId="121F4820">
            <w:pPr>
              <w:pStyle w:val="90"/>
            </w:pPr>
            <w:r>
              <w:t>原料储罐</w:t>
            </w:r>
          </w:p>
        </w:tc>
        <w:tc>
          <w:tcPr>
            <w:tcW w:w="1159" w:type="pct"/>
            <w:shd w:val="clear" w:color="auto" w:fill="auto"/>
            <w:vAlign w:val="center"/>
          </w:tcPr>
          <w:p w14:paraId="53F70299">
            <w:pPr>
              <w:pStyle w:val="90"/>
            </w:pPr>
            <w:r>
              <w:t>Φ12000×H9000</w:t>
            </w:r>
          </w:p>
        </w:tc>
        <w:tc>
          <w:tcPr>
            <w:tcW w:w="1045" w:type="pct"/>
            <w:shd w:val="clear" w:color="auto" w:fill="auto"/>
            <w:vAlign w:val="center"/>
          </w:tcPr>
          <w:p w14:paraId="2BBCAEFA">
            <w:pPr>
              <w:pStyle w:val="90"/>
              <w:ind w:firstLine="0" w:firstLineChars="0"/>
              <w:rPr>
                <w:rFonts w:ascii="Times New Roman" w:hAnsi="Times New Roman" w:eastAsia="宋体" w:cs="Times New Roman"/>
                <w:bCs/>
                <w:kern w:val="2"/>
                <w:sz w:val="21"/>
                <w:szCs w:val="20"/>
                <w:lang w:val="zh-CN" w:eastAsia="zh-CN" w:bidi="ar-SA"/>
              </w:rPr>
            </w:pPr>
            <w:r>
              <w:t>Φ12000×H9000</w:t>
            </w:r>
          </w:p>
        </w:tc>
        <w:tc>
          <w:tcPr>
            <w:tcW w:w="376" w:type="pct"/>
            <w:shd w:val="clear" w:color="auto" w:fill="auto"/>
            <w:vAlign w:val="center"/>
          </w:tcPr>
          <w:p w14:paraId="2C58A06B">
            <w:pPr>
              <w:pStyle w:val="90"/>
            </w:pPr>
            <w:r>
              <w:t>个</w:t>
            </w:r>
          </w:p>
        </w:tc>
        <w:tc>
          <w:tcPr>
            <w:tcW w:w="422" w:type="pct"/>
            <w:shd w:val="clear" w:color="auto" w:fill="auto"/>
            <w:vAlign w:val="center"/>
          </w:tcPr>
          <w:p w14:paraId="4F02006C">
            <w:pPr>
              <w:pStyle w:val="90"/>
            </w:pPr>
            <w:r>
              <w:t>10</w:t>
            </w:r>
          </w:p>
        </w:tc>
        <w:tc>
          <w:tcPr>
            <w:tcW w:w="498" w:type="pct"/>
            <w:shd w:val="clear" w:color="auto" w:fill="auto"/>
            <w:vAlign w:val="center"/>
          </w:tcPr>
          <w:p w14:paraId="3C96AA82">
            <w:pPr>
              <w:pStyle w:val="90"/>
              <w:rPr>
                <w:rFonts w:hint="eastAsia" w:eastAsia="宋体"/>
                <w:lang w:val="en-US" w:eastAsia="zh-CN"/>
              </w:rPr>
            </w:pPr>
            <w:r>
              <w:rPr>
                <w:rFonts w:hint="eastAsia"/>
                <w:lang w:val="en-US" w:eastAsia="zh-CN"/>
              </w:rPr>
              <w:t>4</w:t>
            </w:r>
          </w:p>
        </w:tc>
        <w:tc>
          <w:tcPr>
            <w:tcW w:w="444" w:type="pct"/>
            <w:shd w:val="clear" w:color="auto" w:fill="auto"/>
            <w:vAlign w:val="center"/>
          </w:tcPr>
          <w:p w14:paraId="584C168D">
            <w:pPr>
              <w:pStyle w:val="90"/>
              <w:rPr>
                <w:rFonts w:hint="default" w:eastAsia="宋体"/>
                <w:vertAlign w:val="superscript"/>
                <w:lang w:val="en-US" w:eastAsia="zh-CN"/>
              </w:rPr>
            </w:pPr>
            <w:r>
              <w:rPr>
                <w:rFonts w:hint="eastAsia"/>
                <w:vertAlign w:val="baseline"/>
                <w:lang w:val="en-US" w:eastAsia="zh-CN"/>
              </w:rPr>
              <w:t>减少6个</w:t>
            </w:r>
          </w:p>
        </w:tc>
      </w:tr>
      <w:tr w14:paraId="7E64B7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6B5A7D00">
            <w:pPr>
              <w:pStyle w:val="90"/>
              <w:numPr>
                <w:ilvl w:val="0"/>
                <w:numId w:val="15"/>
              </w:numPr>
            </w:pPr>
          </w:p>
        </w:tc>
        <w:tc>
          <w:tcPr>
            <w:tcW w:w="788" w:type="pct"/>
            <w:shd w:val="clear" w:color="auto" w:fill="auto"/>
            <w:vAlign w:val="center"/>
          </w:tcPr>
          <w:p w14:paraId="209B136B">
            <w:pPr>
              <w:pStyle w:val="90"/>
            </w:pPr>
            <w:r>
              <w:t>润滑油储罐</w:t>
            </w:r>
          </w:p>
        </w:tc>
        <w:tc>
          <w:tcPr>
            <w:tcW w:w="1159" w:type="pct"/>
            <w:shd w:val="clear" w:color="auto" w:fill="auto"/>
            <w:vAlign w:val="center"/>
          </w:tcPr>
          <w:p w14:paraId="376BEC5A">
            <w:pPr>
              <w:pStyle w:val="90"/>
            </w:pPr>
            <w:r>
              <w:t>Φ12000×H9000</w:t>
            </w:r>
          </w:p>
        </w:tc>
        <w:tc>
          <w:tcPr>
            <w:tcW w:w="1045" w:type="pct"/>
            <w:shd w:val="clear" w:color="auto" w:fill="auto"/>
            <w:vAlign w:val="center"/>
          </w:tcPr>
          <w:p w14:paraId="776594A6">
            <w:pPr>
              <w:pStyle w:val="90"/>
              <w:ind w:firstLine="0" w:firstLineChars="0"/>
              <w:rPr>
                <w:rFonts w:ascii="Times New Roman" w:hAnsi="Times New Roman" w:eastAsia="宋体" w:cs="Times New Roman"/>
                <w:bCs/>
                <w:kern w:val="2"/>
                <w:sz w:val="21"/>
                <w:szCs w:val="20"/>
                <w:lang w:val="zh-CN" w:eastAsia="zh-CN" w:bidi="ar-SA"/>
              </w:rPr>
            </w:pPr>
            <w:r>
              <w:t>Φ12000×H9000</w:t>
            </w:r>
          </w:p>
        </w:tc>
        <w:tc>
          <w:tcPr>
            <w:tcW w:w="376" w:type="pct"/>
            <w:shd w:val="clear" w:color="auto" w:fill="auto"/>
            <w:vAlign w:val="center"/>
          </w:tcPr>
          <w:p w14:paraId="1404AD39">
            <w:pPr>
              <w:pStyle w:val="90"/>
            </w:pPr>
            <w:r>
              <w:t>个</w:t>
            </w:r>
          </w:p>
        </w:tc>
        <w:tc>
          <w:tcPr>
            <w:tcW w:w="422" w:type="pct"/>
            <w:shd w:val="clear" w:color="auto" w:fill="auto"/>
            <w:vAlign w:val="center"/>
          </w:tcPr>
          <w:p w14:paraId="0C1E00C9">
            <w:pPr>
              <w:pStyle w:val="90"/>
            </w:pPr>
            <w:r>
              <w:t>10</w:t>
            </w:r>
          </w:p>
        </w:tc>
        <w:tc>
          <w:tcPr>
            <w:tcW w:w="498" w:type="pct"/>
            <w:shd w:val="clear" w:color="auto" w:fill="auto"/>
            <w:vAlign w:val="center"/>
          </w:tcPr>
          <w:p w14:paraId="79A98E16">
            <w:pPr>
              <w:pStyle w:val="90"/>
              <w:rPr>
                <w:rFonts w:hint="eastAsia" w:eastAsia="宋体"/>
                <w:lang w:val="en-US" w:eastAsia="zh-CN"/>
              </w:rPr>
            </w:pPr>
            <w:r>
              <w:rPr>
                <w:rFonts w:hint="eastAsia"/>
                <w:lang w:val="en-US" w:eastAsia="zh-CN"/>
              </w:rPr>
              <w:t>4</w:t>
            </w:r>
          </w:p>
        </w:tc>
        <w:tc>
          <w:tcPr>
            <w:tcW w:w="444" w:type="pct"/>
            <w:shd w:val="clear" w:color="auto" w:fill="auto"/>
            <w:vAlign w:val="center"/>
          </w:tcPr>
          <w:p w14:paraId="68446514">
            <w:pPr>
              <w:pStyle w:val="90"/>
            </w:pPr>
            <w:r>
              <w:rPr>
                <w:rFonts w:hint="eastAsia"/>
                <w:vertAlign w:val="baseline"/>
                <w:lang w:val="en-US" w:eastAsia="zh-CN"/>
              </w:rPr>
              <w:t>减少6个</w:t>
            </w:r>
          </w:p>
        </w:tc>
      </w:tr>
      <w:tr w14:paraId="272742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4535EB90">
            <w:pPr>
              <w:pStyle w:val="90"/>
              <w:numPr>
                <w:ilvl w:val="0"/>
                <w:numId w:val="15"/>
              </w:numPr>
            </w:pPr>
          </w:p>
        </w:tc>
        <w:tc>
          <w:tcPr>
            <w:tcW w:w="788" w:type="pct"/>
            <w:shd w:val="clear" w:color="auto" w:fill="auto"/>
            <w:vAlign w:val="center"/>
          </w:tcPr>
          <w:p w14:paraId="50D16F87">
            <w:pPr>
              <w:pStyle w:val="90"/>
              <w:rPr>
                <w:rFonts w:hint="default" w:eastAsia="宋体"/>
                <w:lang w:val="en-US" w:eastAsia="zh-CN"/>
              </w:rPr>
            </w:pPr>
            <w:r>
              <w:rPr>
                <w:rFonts w:hint="eastAsia"/>
                <w:lang w:val="en-US" w:eastAsia="zh-CN"/>
              </w:rPr>
              <w:t>硫酸储罐</w:t>
            </w:r>
          </w:p>
        </w:tc>
        <w:tc>
          <w:tcPr>
            <w:tcW w:w="1159" w:type="pct"/>
            <w:shd w:val="clear" w:color="auto" w:fill="auto"/>
            <w:vAlign w:val="center"/>
          </w:tcPr>
          <w:p w14:paraId="7310F7C7">
            <w:pPr>
              <w:pStyle w:val="90"/>
              <w:rPr>
                <w:rFonts w:hint="default" w:eastAsia="宋体"/>
                <w:lang w:val="en-US" w:eastAsia="zh-CN"/>
              </w:rPr>
            </w:pPr>
            <w:r>
              <w:t>Φ</w:t>
            </w:r>
            <w:r>
              <w:rPr>
                <w:rFonts w:hint="eastAsia"/>
                <w:lang w:val="en-US" w:eastAsia="zh-CN"/>
              </w:rPr>
              <w:t>36</w:t>
            </w:r>
            <w:r>
              <w:t>00×H</w:t>
            </w:r>
            <w:r>
              <w:rPr>
                <w:rFonts w:hint="eastAsia"/>
                <w:lang w:val="en-US" w:eastAsia="zh-CN"/>
              </w:rPr>
              <w:t>6</w:t>
            </w:r>
            <w:r>
              <w:t>000</w:t>
            </w:r>
            <w:r>
              <w:rPr>
                <w:rFonts w:hint="eastAsia"/>
                <w:lang w:eastAsia="zh-CN"/>
              </w:rPr>
              <w:t>，</w:t>
            </w:r>
            <w:r>
              <w:rPr>
                <w:rFonts w:hint="eastAsia"/>
                <w:lang w:val="en-US" w:eastAsia="zh-CN"/>
              </w:rPr>
              <w:t>常温</w:t>
            </w:r>
          </w:p>
        </w:tc>
        <w:tc>
          <w:tcPr>
            <w:tcW w:w="1045" w:type="pct"/>
            <w:shd w:val="clear" w:color="auto" w:fill="auto"/>
            <w:vAlign w:val="center"/>
          </w:tcPr>
          <w:p w14:paraId="19973F24">
            <w:pPr>
              <w:pStyle w:val="90"/>
              <w:ind w:firstLine="0" w:firstLineChars="0"/>
            </w:pPr>
            <w:r>
              <w:t>Φ</w:t>
            </w:r>
            <w:r>
              <w:rPr>
                <w:rFonts w:hint="eastAsia"/>
                <w:lang w:val="en-US" w:eastAsia="zh-CN"/>
              </w:rPr>
              <w:t>36</w:t>
            </w:r>
            <w:r>
              <w:t>00×H</w:t>
            </w:r>
            <w:r>
              <w:rPr>
                <w:rFonts w:hint="eastAsia"/>
                <w:lang w:val="en-US" w:eastAsia="zh-CN"/>
              </w:rPr>
              <w:t>6</w:t>
            </w:r>
            <w:r>
              <w:t>000</w:t>
            </w:r>
            <w:r>
              <w:rPr>
                <w:rFonts w:hint="eastAsia"/>
                <w:lang w:eastAsia="zh-CN"/>
              </w:rPr>
              <w:t>，</w:t>
            </w:r>
            <w:r>
              <w:rPr>
                <w:rFonts w:hint="eastAsia"/>
                <w:lang w:val="en-US" w:eastAsia="zh-CN"/>
              </w:rPr>
              <w:t>常温</w:t>
            </w:r>
          </w:p>
        </w:tc>
        <w:tc>
          <w:tcPr>
            <w:tcW w:w="376" w:type="pct"/>
            <w:shd w:val="clear" w:color="auto" w:fill="auto"/>
            <w:vAlign w:val="center"/>
          </w:tcPr>
          <w:p w14:paraId="668E1C33">
            <w:pPr>
              <w:pStyle w:val="90"/>
              <w:rPr>
                <w:rFonts w:hint="eastAsia" w:eastAsia="宋体"/>
                <w:lang w:val="en-US" w:eastAsia="zh-CN"/>
              </w:rPr>
            </w:pPr>
            <w:r>
              <w:rPr>
                <w:rFonts w:hint="eastAsia"/>
                <w:lang w:val="en-US" w:eastAsia="zh-CN"/>
              </w:rPr>
              <w:t>个</w:t>
            </w:r>
          </w:p>
        </w:tc>
        <w:tc>
          <w:tcPr>
            <w:tcW w:w="422" w:type="pct"/>
            <w:shd w:val="clear" w:color="auto" w:fill="auto"/>
            <w:vAlign w:val="center"/>
          </w:tcPr>
          <w:p w14:paraId="333300B6">
            <w:pPr>
              <w:pStyle w:val="90"/>
              <w:rPr>
                <w:rFonts w:hint="eastAsia" w:eastAsia="宋体"/>
                <w:lang w:val="en-US" w:eastAsia="zh-CN"/>
              </w:rPr>
            </w:pPr>
            <w:r>
              <w:rPr>
                <w:rFonts w:hint="eastAsia"/>
                <w:lang w:val="en-US" w:eastAsia="zh-CN"/>
              </w:rPr>
              <w:t>1</w:t>
            </w:r>
          </w:p>
        </w:tc>
        <w:tc>
          <w:tcPr>
            <w:tcW w:w="498" w:type="pct"/>
            <w:shd w:val="clear" w:color="auto" w:fill="auto"/>
            <w:vAlign w:val="center"/>
          </w:tcPr>
          <w:p w14:paraId="0166F75C">
            <w:pPr>
              <w:pStyle w:val="90"/>
              <w:rPr>
                <w:rFonts w:hint="default"/>
                <w:lang w:val="en-US" w:eastAsia="zh-CN"/>
              </w:rPr>
            </w:pPr>
            <w:r>
              <w:rPr>
                <w:rFonts w:hint="eastAsia"/>
                <w:lang w:val="en-US" w:eastAsia="zh-CN"/>
              </w:rPr>
              <w:t>1</w:t>
            </w:r>
          </w:p>
        </w:tc>
        <w:tc>
          <w:tcPr>
            <w:tcW w:w="444" w:type="pct"/>
            <w:shd w:val="clear" w:color="auto" w:fill="auto"/>
            <w:vAlign w:val="center"/>
          </w:tcPr>
          <w:p w14:paraId="27EB2DC2">
            <w:pPr>
              <w:pStyle w:val="90"/>
              <w:rPr>
                <w:rFonts w:hint="default"/>
                <w:vertAlign w:val="baseline"/>
                <w:lang w:val="en-US" w:eastAsia="zh-CN"/>
              </w:rPr>
            </w:pPr>
            <w:r>
              <w:rPr>
                <w:rFonts w:hint="eastAsia"/>
                <w:vertAlign w:val="baseline"/>
                <w:lang w:val="en-US" w:eastAsia="zh-CN"/>
              </w:rPr>
              <w:t>一致</w:t>
            </w:r>
          </w:p>
        </w:tc>
      </w:tr>
      <w:tr w14:paraId="1E6C31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66D4497D">
            <w:pPr>
              <w:pStyle w:val="90"/>
              <w:numPr>
                <w:ilvl w:val="0"/>
                <w:numId w:val="15"/>
              </w:numPr>
            </w:pPr>
          </w:p>
        </w:tc>
        <w:tc>
          <w:tcPr>
            <w:tcW w:w="788" w:type="pct"/>
            <w:shd w:val="clear" w:color="auto" w:fill="auto"/>
            <w:vAlign w:val="center"/>
          </w:tcPr>
          <w:p w14:paraId="596F93B4">
            <w:pPr>
              <w:pStyle w:val="90"/>
            </w:pPr>
            <w:r>
              <w:t>洗油沉淀罐</w:t>
            </w:r>
          </w:p>
        </w:tc>
        <w:tc>
          <w:tcPr>
            <w:tcW w:w="1159" w:type="pct"/>
            <w:shd w:val="clear" w:color="auto" w:fill="auto"/>
            <w:vAlign w:val="center"/>
          </w:tcPr>
          <w:p w14:paraId="30D6C31D">
            <w:pPr>
              <w:pStyle w:val="90"/>
            </w:pPr>
            <w:r>
              <w:t>Φ2200×H7300</w:t>
            </w:r>
            <w:r>
              <w:rPr>
                <w:rFonts w:hint="eastAsia"/>
                <w:lang w:eastAsia="zh-CN"/>
              </w:rPr>
              <w:t>，</w:t>
            </w:r>
            <w:r>
              <w:rPr>
                <w:rFonts w:hint="eastAsia"/>
                <w:lang w:val="en-US" w:eastAsia="zh-CN"/>
              </w:rPr>
              <w:t>常压</w:t>
            </w:r>
          </w:p>
        </w:tc>
        <w:tc>
          <w:tcPr>
            <w:tcW w:w="1045" w:type="pct"/>
            <w:shd w:val="clear" w:color="auto" w:fill="auto"/>
            <w:vAlign w:val="center"/>
          </w:tcPr>
          <w:p w14:paraId="5D9131AA">
            <w:pPr>
              <w:pStyle w:val="90"/>
              <w:rPr>
                <w:rFonts w:hint="default" w:eastAsia="宋体"/>
                <w:lang w:val="en-US" w:eastAsia="zh-CN"/>
              </w:rPr>
            </w:pPr>
            <w:r>
              <w:t>Φ2200×H7300</w:t>
            </w:r>
            <w:r>
              <w:rPr>
                <w:rFonts w:hint="eastAsia"/>
                <w:lang w:eastAsia="zh-CN"/>
              </w:rPr>
              <w:t>，</w:t>
            </w:r>
            <w:r>
              <w:rPr>
                <w:rFonts w:hint="eastAsia"/>
                <w:lang w:val="en-US" w:eastAsia="zh-CN"/>
              </w:rPr>
              <w:t>常压</w:t>
            </w:r>
          </w:p>
        </w:tc>
        <w:tc>
          <w:tcPr>
            <w:tcW w:w="376" w:type="pct"/>
            <w:shd w:val="clear" w:color="auto" w:fill="auto"/>
            <w:vAlign w:val="center"/>
          </w:tcPr>
          <w:p w14:paraId="20A04F18">
            <w:pPr>
              <w:pStyle w:val="90"/>
            </w:pPr>
            <w:r>
              <w:t>个</w:t>
            </w:r>
          </w:p>
        </w:tc>
        <w:tc>
          <w:tcPr>
            <w:tcW w:w="422" w:type="pct"/>
            <w:shd w:val="clear" w:color="auto" w:fill="auto"/>
            <w:vAlign w:val="center"/>
          </w:tcPr>
          <w:p w14:paraId="2DB0F687">
            <w:pPr>
              <w:pStyle w:val="90"/>
              <w:rPr>
                <w:rFonts w:hint="eastAsia" w:eastAsia="宋体"/>
                <w:lang w:val="en-US" w:eastAsia="zh-CN"/>
              </w:rPr>
            </w:pPr>
            <w:r>
              <w:t>4</w:t>
            </w:r>
          </w:p>
        </w:tc>
        <w:tc>
          <w:tcPr>
            <w:tcW w:w="498" w:type="pct"/>
            <w:shd w:val="clear" w:color="auto" w:fill="auto"/>
            <w:vAlign w:val="center"/>
          </w:tcPr>
          <w:p w14:paraId="5DC896E6">
            <w:pPr>
              <w:pStyle w:val="90"/>
              <w:rPr>
                <w:rFonts w:hint="default" w:eastAsia="宋体"/>
                <w:lang w:val="en-US" w:eastAsia="zh-CN"/>
              </w:rPr>
            </w:pPr>
            <w:r>
              <w:rPr>
                <w:rFonts w:hint="eastAsia"/>
                <w:lang w:val="en-US" w:eastAsia="zh-CN"/>
              </w:rPr>
              <w:t>40</w:t>
            </w:r>
          </w:p>
        </w:tc>
        <w:tc>
          <w:tcPr>
            <w:tcW w:w="444" w:type="pct"/>
            <w:shd w:val="clear" w:color="auto" w:fill="auto"/>
            <w:vAlign w:val="center"/>
          </w:tcPr>
          <w:p w14:paraId="1BF8D1DE">
            <w:pPr>
              <w:pStyle w:val="90"/>
              <w:rPr>
                <w:rFonts w:hint="default" w:eastAsia="宋体"/>
                <w:lang w:val="en-US" w:eastAsia="zh-CN"/>
              </w:rPr>
            </w:pPr>
            <w:r>
              <w:rPr>
                <w:rFonts w:hint="eastAsia"/>
                <w:lang w:val="en-US" w:eastAsia="zh-CN"/>
              </w:rPr>
              <w:t>增加36个</w:t>
            </w:r>
          </w:p>
        </w:tc>
      </w:tr>
      <w:tr w14:paraId="7AE490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570F005E">
            <w:pPr>
              <w:pStyle w:val="90"/>
              <w:numPr>
                <w:ilvl w:val="0"/>
                <w:numId w:val="15"/>
              </w:numPr>
            </w:pPr>
          </w:p>
        </w:tc>
        <w:tc>
          <w:tcPr>
            <w:tcW w:w="788" w:type="pct"/>
            <w:shd w:val="clear" w:color="auto" w:fill="auto"/>
            <w:vAlign w:val="center"/>
          </w:tcPr>
          <w:p w14:paraId="7DE299CA">
            <w:pPr>
              <w:pStyle w:val="90"/>
            </w:pPr>
            <w:r>
              <w:t>加温白土锅</w:t>
            </w:r>
          </w:p>
        </w:tc>
        <w:tc>
          <w:tcPr>
            <w:tcW w:w="1159" w:type="pct"/>
            <w:shd w:val="clear" w:color="auto" w:fill="auto"/>
            <w:vAlign w:val="center"/>
          </w:tcPr>
          <w:p w14:paraId="40091AF8">
            <w:pPr>
              <w:pStyle w:val="90"/>
              <w:rPr>
                <w:rFonts w:hint="default" w:eastAsia="宋体"/>
                <w:lang w:val="en-US" w:eastAsia="zh-CN"/>
              </w:rPr>
            </w:pPr>
            <w:r>
              <w:t>Φ2400×5400</w:t>
            </w:r>
            <w:r>
              <w:rPr>
                <w:rFonts w:hint="eastAsia"/>
                <w:lang w:eastAsia="zh-CN"/>
              </w:rPr>
              <w:t>，</w:t>
            </w:r>
            <w:r>
              <w:rPr>
                <w:rFonts w:hint="eastAsia"/>
                <w:lang w:val="en-US" w:eastAsia="zh-CN"/>
              </w:rPr>
              <w:t>常压</w:t>
            </w:r>
          </w:p>
        </w:tc>
        <w:tc>
          <w:tcPr>
            <w:tcW w:w="1045" w:type="pct"/>
            <w:shd w:val="clear" w:color="auto" w:fill="auto"/>
            <w:vAlign w:val="center"/>
          </w:tcPr>
          <w:p w14:paraId="42D8EBA6">
            <w:pPr>
              <w:pStyle w:val="90"/>
            </w:pPr>
            <w:r>
              <w:t>Φ2400×5400</w:t>
            </w:r>
            <w:r>
              <w:rPr>
                <w:rFonts w:hint="eastAsia"/>
                <w:lang w:eastAsia="zh-CN"/>
              </w:rPr>
              <w:t>，</w:t>
            </w:r>
            <w:r>
              <w:rPr>
                <w:rFonts w:hint="eastAsia"/>
                <w:lang w:val="en-US" w:eastAsia="zh-CN"/>
              </w:rPr>
              <w:t>常压</w:t>
            </w:r>
          </w:p>
        </w:tc>
        <w:tc>
          <w:tcPr>
            <w:tcW w:w="376" w:type="pct"/>
            <w:shd w:val="clear" w:color="auto" w:fill="auto"/>
            <w:vAlign w:val="center"/>
          </w:tcPr>
          <w:p w14:paraId="26AD7ACC">
            <w:pPr>
              <w:pStyle w:val="90"/>
            </w:pPr>
            <w:r>
              <w:t>个</w:t>
            </w:r>
          </w:p>
        </w:tc>
        <w:tc>
          <w:tcPr>
            <w:tcW w:w="422" w:type="pct"/>
            <w:shd w:val="clear" w:color="auto" w:fill="auto"/>
            <w:vAlign w:val="center"/>
          </w:tcPr>
          <w:p w14:paraId="56DFD026">
            <w:pPr>
              <w:pStyle w:val="90"/>
              <w:rPr>
                <w:rFonts w:hint="default" w:eastAsia="宋体"/>
                <w:lang w:val="en-US" w:eastAsia="zh-CN"/>
              </w:rPr>
            </w:pPr>
            <w:r>
              <w:rPr>
                <w:rFonts w:hint="eastAsia"/>
                <w:lang w:val="en-US" w:eastAsia="zh-CN"/>
              </w:rPr>
              <w:t>4</w:t>
            </w:r>
          </w:p>
        </w:tc>
        <w:tc>
          <w:tcPr>
            <w:tcW w:w="498" w:type="pct"/>
            <w:shd w:val="clear" w:color="auto" w:fill="auto"/>
            <w:vAlign w:val="center"/>
          </w:tcPr>
          <w:p w14:paraId="235894CE">
            <w:pPr>
              <w:pStyle w:val="90"/>
              <w:rPr>
                <w:rFonts w:hint="eastAsia"/>
                <w:lang w:val="en-US" w:eastAsia="zh-CN"/>
              </w:rPr>
            </w:pPr>
            <w:r>
              <w:rPr>
                <w:rFonts w:hint="eastAsia"/>
                <w:lang w:val="en-US" w:eastAsia="zh-CN"/>
              </w:rPr>
              <w:t>6</w:t>
            </w:r>
          </w:p>
        </w:tc>
        <w:tc>
          <w:tcPr>
            <w:tcW w:w="444" w:type="pct"/>
            <w:shd w:val="clear" w:color="auto" w:fill="auto"/>
            <w:vAlign w:val="center"/>
          </w:tcPr>
          <w:p w14:paraId="0CA557DD">
            <w:pPr>
              <w:pStyle w:val="90"/>
            </w:pPr>
            <w:r>
              <w:rPr>
                <w:rFonts w:hint="eastAsia"/>
                <w:lang w:val="en-US" w:eastAsia="zh-CN"/>
              </w:rPr>
              <w:t>增加2个</w:t>
            </w:r>
          </w:p>
        </w:tc>
      </w:tr>
      <w:tr w14:paraId="5FC4E5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3880EF06">
            <w:pPr>
              <w:pStyle w:val="90"/>
              <w:numPr>
                <w:ilvl w:val="0"/>
                <w:numId w:val="15"/>
              </w:numPr>
            </w:pPr>
          </w:p>
        </w:tc>
        <w:tc>
          <w:tcPr>
            <w:tcW w:w="788" w:type="pct"/>
            <w:shd w:val="clear" w:color="auto" w:fill="auto"/>
            <w:vAlign w:val="center"/>
          </w:tcPr>
          <w:p w14:paraId="6D0B143B">
            <w:pPr>
              <w:pStyle w:val="90"/>
            </w:pPr>
            <w:r>
              <w:t>过滤机</w:t>
            </w:r>
          </w:p>
        </w:tc>
        <w:tc>
          <w:tcPr>
            <w:tcW w:w="1159" w:type="pct"/>
            <w:shd w:val="clear" w:color="auto" w:fill="auto"/>
            <w:vAlign w:val="center"/>
          </w:tcPr>
          <w:p w14:paraId="5EDF786F">
            <w:pPr>
              <w:pStyle w:val="90"/>
              <w:keepNext w:val="0"/>
              <w:keepLines w:val="0"/>
              <w:pageBreakBefore w:val="0"/>
              <w:widowControl w:val="0"/>
              <w:kinsoku/>
              <w:wordWrap w:val="0"/>
              <w:overflowPunct/>
              <w:topLinePunct w:val="0"/>
              <w:autoSpaceDE/>
              <w:autoSpaceDN/>
              <w:bidi w:val="0"/>
              <w:adjustRightInd w:val="0"/>
              <w:snapToGrid w:val="0"/>
              <w:textAlignment w:val="auto"/>
              <w:rPr>
                <w:rFonts w:hint="eastAsia" w:eastAsia="宋体"/>
                <w:lang w:eastAsia="zh-CN"/>
              </w:rPr>
            </w:pPr>
            <w:r>
              <w:rPr>
                <w:rFonts w:hint="eastAsia"/>
              </w:rPr>
              <w:t>过滤面积</w:t>
            </w:r>
            <w:r>
              <w:rPr>
                <w:rFonts w:hint="eastAsia"/>
                <w:lang w:eastAsia="zh-CN"/>
              </w:rPr>
              <w:t>：</w:t>
            </w:r>
            <w:r>
              <w:rPr>
                <w:rFonts w:hint="eastAsia"/>
              </w:rPr>
              <w:t>100m</w:t>
            </w:r>
            <w:r>
              <w:rPr>
                <w:rFonts w:hint="eastAsia"/>
                <w:vertAlign w:val="superscript"/>
                <w:lang w:val="en-US" w:eastAsia="zh-CN"/>
              </w:rPr>
              <w:t>2</w:t>
            </w:r>
            <w:r>
              <w:rPr>
                <w:rFonts w:hint="eastAsia"/>
              </w:rPr>
              <w:t>，滤板规格，1000mm*1000mm，滤室容积</w:t>
            </w:r>
            <w:r>
              <w:rPr>
                <w:rFonts w:hint="eastAsia"/>
                <w:lang w:eastAsia="zh-CN"/>
              </w:rPr>
              <w:t>：</w:t>
            </w:r>
            <w:r>
              <w:rPr>
                <w:rFonts w:hint="eastAsia"/>
              </w:rPr>
              <w:t>约1490L，尺寸</w:t>
            </w:r>
            <w:r>
              <w:rPr>
                <w:rFonts w:hint="eastAsia"/>
                <w:lang w:eastAsia="zh-CN"/>
              </w:rPr>
              <w:t>：</w:t>
            </w:r>
            <w:r>
              <w:rPr>
                <w:rFonts w:hint="eastAsia"/>
              </w:rPr>
              <w:t>约6030*1580*1380mm</w:t>
            </w:r>
            <w:r>
              <w:rPr>
                <w:rFonts w:hint="eastAsia"/>
                <w:lang w:eastAsia="zh-CN"/>
              </w:rPr>
              <w:t>。</w:t>
            </w:r>
          </w:p>
        </w:tc>
        <w:tc>
          <w:tcPr>
            <w:tcW w:w="1045" w:type="pct"/>
            <w:shd w:val="clear" w:color="auto" w:fill="auto"/>
            <w:vAlign w:val="center"/>
          </w:tcPr>
          <w:p w14:paraId="3D0CC0B5">
            <w:pPr>
              <w:pStyle w:val="90"/>
              <w:rPr>
                <w:rFonts w:hint="default" w:eastAsia="宋体"/>
                <w:lang w:val="en-US" w:eastAsia="zh-CN"/>
              </w:rPr>
            </w:pPr>
            <w:r>
              <w:rPr>
                <w:rFonts w:hint="eastAsia"/>
                <w:lang w:val="en-US" w:eastAsia="zh-CN"/>
              </w:rPr>
              <w:t>与原环评一致</w:t>
            </w:r>
          </w:p>
        </w:tc>
        <w:tc>
          <w:tcPr>
            <w:tcW w:w="376" w:type="pct"/>
            <w:shd w:val="clear" w:color="auto" w:fill="auto"/>
            <w:vAlign w:val="center"/>
          </w:tcPr>
          <w:p w14:paraId="7AB49725">
            <w:pPr>
              <w:pStyle w:val="90"/>
            </w:pPr>
            <w:r>
              <w:t>个</w:t>
            </w:r>
          </w:p>
        </w:tc>
        <w:tc>
          <w:tcPr>
            <w:tcW w:w="422" w:type="pct"/>
            <w:shd w:val="clear" w:color="auto" w:fill="auto"/>
            <w:vAlign w:val="center"/>
          </w:tcPr>
          <w:p w14:paraId="5EBBCCCF">
            <w:pPr>
              <w:pStyle w:val="90"/>
              <w:rPr>
                <w:rFonts w:hint="eastAsia" w:eastAsia="宋体"/>
                <w:lang w:eastAsia="zh-CN"/>
              </w:rPr>
            </w:pPr>
            <w:r>
              <w:rPr>
                <w:rFonts w:hint="eastAsia"/>
                <w:lang w:val="en-US" w:eastAsia="zh-CN"/>
              </w:rPr>
              <w:t>2</w:t>
            </w:r>
          </w:p>
        </w:tc>
        <w:tc>
          <w:tcPr>
            <w:tcW w:w="498" w:type="pct"/>
            <w:shd w:val="clear" w:color="auto" w:fill="auto"/>
            <w:vAlign w:val="center"/>
          </w:tcPr>
          <w:p w14:paraId="3E99A7C4">
            <w:pPr>
              <w:pStyle w:val="90"/>
              <w:rPr>
                <w:rFonts w:hint="default"/>
                <w:lang w:val="en-US" w:eastAsia="zh-CN"/>
              </w:rPr>
            </w:pPr>
            <w:r>
              <w:rPr>
                <w:rFonts w:hint="eastAsia"/>
                <w:lang w:val="en-US" w:eastAsia="zh-CN"/>
              </w:rPr>
              <w:t>3</w:t>
            </w:r>
          </w:p>
        </w:tc>
        <w:tc>
          <w:tcPr>
            <w:tcW w:w="444" w:type="pct"/>
            <w:shd w:val="clear" w:color="auto" w:fill="auto"/>
            <w:vAlign w:val="center"/>
          </w:tcPr>
          <w:p w14:paraId="7E59333D">
            <w:pPr>
              <w:pStyle w:val="90"/>
              <w:rPr>
                <w:rFonts w:hint="default" w:eastAsia="宋体"/>
                <w:lang w:val="en-US" w:eastAsia="zh-CN"/>
              </w:rPr>
            </w:pPr>
            <w:r>
              <w:rPr>
                <w:rFonts w:hint="eastAsia"/>
                <w:lang w:val="en-US" w:eastAsia="zh-CN"/>
              </w:rPr>
              <w:t>增加1个</w:t>
            </w:r>
          </w:p>
        </w:tc>
      </w:tr>
      <w:tr w14:paraId="2D0EE2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trPr>
        <w:tc>
          <w:tcPr>
            <w:tcW w:w="266" w:type="pct"/>
            <w:shd w:val="clear" w:color="auto" w:fill="auto"/>
            <w:vAlign w:val="center"/>
          </w:tcPr>
          <w:p w14:paraId="7610920C">
            <w:pPr>
              <w:pStyle w:val="90"/>
              <w:numPr>
                <w:ilvl w:val="0"/>
                <w:numId w:val="15"/>
              </w:numPr>
            </w:pPr>
          </w:p>
        </w:tc>
        <w:tc>
          <w:tcPr>
            <w:tcW w:w="788" w:type="pct"/>
            <w:shd w:val="clear" w:color="auto" w:fill="auto"/>
            <w:vAlign w:val="center"/>
          </w:tcPr>
          <w:p w14:paraId="3F7EAFF1">
            <w:pPr>
              <w:pStyle w:val="90"/>
            </w:pPr>
            <w:r>
              <w:t>加碱油</w:t>
            </w:r>
            <w:r>
              <w:rPr>
                <w:rFonts w:hint="eastAsia"/>
              </w:rPr>
              <w:t>罐</w:t>
            </w:r>
          </w:p>
        </w:tc>
        <w:tc>
          <w:tcPr>
            <w:tcW w:w="1159" w:type="pct"/>
            <w:shd w:val="clear" w:color="auto" w:fill="auto"/>
            <w:vAlign w:val="center"/>
          </w:tcPr>
          <w:p w14:paraId="489156E1">
            <w:pPr>
              <w:pStyle w:val="90"/>
            </w:pPr>
            <w:r>
              <w:t>尺寸：Φ2000×1500</w:t>
            </w:r>
          </w:p>
        </w:tc>
        <w:tc>
          <w:tcPr>
            <w:tcW w:w="1045" w:type="pct"/>
            <w:shd w:val="clear" w:color="auto" w:fill="auto"/>
            <w:vAlign w:val="center"/>
          </w:tcPr>
          <w:p w14:paraId="31A23E5C">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4B3D0A0E">
            <w:pPr>
              <w:pStyle w:val="90"/>
            </w:pPr>
            <w:r>
              <w:t>个</w:t>
            </w:r>
          </w:p>
        </w:tc>
        <w:tc>
          <w:tcPr>
            <w:tcW w:w="422" w:type="pct"/>
            <w:shd w:val="clear" w:color="auto" w:fill="auto"/>
            <w:vAlign w:val="center"/>
          </w:tcPr>
          <w:p w14:paraId="2C33F57B">
            <w:pPr>
              <w:pStyle w:val="90"/>
            </w:pPr>
            <w:r>
              <w:t>2</w:t>
            </w:r>
          </w:p>
        </w:tc>
        <w:tc>
          <w:tcPr>
            <w:tcW w:w="498" w:type="pct"/>
            <w:shd w:val="clear" w:color="auto" w:fill="auto"/>
            <w:vAlign w:val="center"/>
          </w:tcPr>
          <w:p w14:paraId="72E62C35">
            <w:pPr>
              <w:pStyle w:val="90"/>
              <w:rPr>
                <w:rFonts w:hint="eastAsia" w:eastAsia="宋体"/>
                <w:lang w:val="en-US" w:eastAsia="zh-CN"/>
              </w:rPr>
            </w:pPr>
            <w:r>
              <w:rPr>
                <w:rFonts w:hint="eastAsia"/>
                <w:lang w:val="en-US" w:eastAsia="zh-CN"/>
              </w:rPr>
              <w:t>0</w:t>
            </w:r>
          </w:p>
        </w:tc>
        <w:tc>
          <w:tcPr>
            <w:tcW w:w="444" w:type="pct"/>
            <w:shd w:val="clear" w:color="auto" w:fill="auto"/>
            <w:vAlign w:val="center"/>
          </w:tcPr>
          <w:p w14:paraId="754C44E6">
            <w:pPr>
              <w:pStyle w:val="90"/>
              <w:rPr>
                <w:rFonts w:hint="default" w:eastAsia="宋体"/>
                <w:lang w:val="en-US" w:eastAsia="zh-CN"/>
              </w:rPr>
            </w:pPr>
            <w:r>
              <w:rPr>
                <w:rFonts w:hint="eastAsia"/>
                <w:lang w:val="en-US" w:eastAsia="zh-CN"/>
              </w:rPr>
              <w:t>已建成，更名为原料缓冲罐</w:t>
            </w:r>
          </w:p>
        </w:tc>
      </w:tr>
      <w:tr w14:paraId="7AD41B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3C00F1DD">
            <w:pPr>
              <w:pStyle w:val="90"/>
              <w:numPr>
                <w:ilvl w:val="0"/>
                <w:numId w:val="15"/>
              </w:numPr>
            </w:pPr>
          </w:p>
        </w:tc>
        <w:tc>
          <w:tcPr>
            <w:tcW w:w="788" w:type="pct"/>
            <w:shd w:val="clear" w:color="auto" w:fill="auto"/>
            <w:vAlign w:val="center"/>
          </w:tcPr>
          <w:p w14:paraId="32020EC3">
            <w:pPr>
              <w:pStyle w:val="90"/>
              <w:rPr>
                <w:rFonts w:hint="default" w:eastAsia="宋体"/>
                <w:lang w:val="en-US" w:eastAsia="zh-CN"/>
              </w:rPr>
            </w:pPr>
            <w:r>
              <w:rPr>
                <w:rFonts w:hint="eastAsia"/>
                <w:lang w:val="en-US" w:eastAsia="zh-CN"/>
              </w:rPr>
              <w:t>产品缓冲罐</w:t>
            </w:r>
          </w:p>
        </w:tc>
        <w:tc>
          <w:tcPr>
            <w:tcW w:w="1159" w:type="pct"/>
            <w:shd w:val="clear" w:color="auto" w:fill="auto"/>
            <w:vAlign w:val="center"/>
          </w:tcPr>
          <w:p w14:paraId="6D1654FC">
            <w:pPr>
              <w:pStyle w:val="90"/>
              <w:rPr>
                <w:rFonts w:hint="eastAsia" w:eastAsia="宋体"/>
                <w:lang w:val="en-US" w:eastAsia="zh-CN"/>
              </w:rPr>
            </w:pPr>
            <w:r>
              <w:t>Φ1200×</w:t>
            </w:r>
            <w:r>
              <w:rPr>
                <w:rFonts w:hint="eastAsia"/>
                <w:lang w:val="en-US" w:eastAsia="zh-CN"/>
              </w:rPr>
              <w:t>H</w:t>
            </w:r>
            <w:r>
              <w:t>3950</w:t>
            </w:r>
          </w:p>
        </w:tc>
        <w:tc>
          <w:tcPr>
            <w:tcW w:w="1045" w:type="pct"/>
            <w:shd w:val="clear" w:color="auto" w:fill="auto"/>
            <w:vAlign w:val="center"/>
          </w:tcPr>
          <w:p w14:paraId="01B4969F">
            <w:pPr>
              <w:pStyle w:val="90"/>
            </w:pPr>
            <w:r>
              <w:t>Φ</w:t>
            </w:r>
            <w:r>
              <w:rPr>
                <w:rFonts w:hint="eastAsia"/>
              </w:rPr>
              <w:t>5200xH6000，工作压力</w:t>
            </w:r>
            <w:r>
              <w:rPr>
                <w:rFonts w:hint="eastAsia"/>
                <w:lang w:eastAsia="zh-CN"/>
              </w:rPr>
              <w:t>：</w:t>
            </w:r>
            <w:r>
              <w:rPr>
                <w:rFonts w:hint="eastAsia"/>
              </w:rPr>
              <w:t>常压，工作温度</w:t>
            </w:r>
            <w:r>
              <w:rPr>
                <w:rFonts w:hint="eastAsia"/>
                <w:lang w:eastAsia="zh-CN"/>
              </w:rPr>
              <w:t>：</w:t>
            </w:r>
            <w:r>
              <w:rPr>
                <w:rFonts w:hint="eastAsia"/>
              </w:rPr>
              <w:t>60℃</w:t>
            </w:r>
          </w:p>
        </w:tc>
        <w:tc>
          <w:tcPr>
            <w:tcW w:w="376" w:type="pct"/>
            <w:shd w:val="clear" w:color="auto" w:fill="auto"/>
            <w:vAlign w:val="center"/>
          </w:tcPr>
          <w:p w14:paraId="7A9110CE">
            <w:pPr>
              <w:pStyle w:val="90"/>
              <w:rPr>
                <w:rFonts w:hint="default" w:eastAsia="宋体"/>
                <w:lang w:val="en-US" w:eastAsia="zh-CN"/>
              </w:rPr>
            </w:pPr>
            <w:r>
              <w:rPr>
                <w:rFonts w:hint="eastAsia"/>
                <w:lang w:val="en-US" w:eastAsia="zh-CN"/>
              </w:rPr>
              <w:t>台</w:t>
            </w:r>
          </w:p>
        </w:tc>
        <w:tc>
          <w:tcPr>
            <w:tcW w:w="422" w:type="pct"/>
            <w:shd w:val="clear" w:color="auto" w:fill="auto"/>
            <w:vAlign w:val="center"/>
          </w:tcPr>
          <w:p w14:paraId="36910E2A">
            <w:pPr>
              <w:pStyle w:val="90"/>
              <w:rPr>
                <w:rFonts w:hint="default" w:eastAsia="宋体"/>
                <w:lang w:val="en-US" w:eastAsia="zh-CN"/>
              </w:rPr>
            </w:pPr>
            <w:r>
              <w:rPr>
                <w:rFonts w:hint="eastAsia"/>
                <w:lang w:val="en-US" w:eastAsia="zh-CN"/>
              </w:rPr>
              <w:t>3</w:t>
            </w:r>
          </w:p>
        </w:tc>
        <w:tc>
          <w:tcPr>
            <w:tcW w:w="498" w:type="pct"/>
            <w:shd w:val="clear" w:color="auto" w:fill="auto"/>
            <w:vAlign w:val="center"/>
          </w:tcPr>
          <w:p w14:paraId="4A41E2B6">
            <w:pPr>
              <w:pStyle w:val="90"/>
              <w:rPr>
                <w:rFonts w:hint="default"/>
                <w:lang w:val="en-US" w:eastAsia="zh-CN"/>
              </w:rPr>
            </w:pPr>
            <w:r>
              <w:rPr>
                <w:rFonts w:hint="eastAsia"/>
                <w:lang w:val="en-US" w:eastAsia="zh-CN"/>
              </w:rPr>
              <w:t>4</w:t>
            </w:r>
          </w:p>
        </w:tc>
        <w:tc>
          <w:tcPr>
            <w:tcW w:w="444" w:type="pct"/>
            <w:shd w:val="clear" w:color="auto" w:fill="auto"/>
            <w:vAlign w:val="center"/>
          </w:tcPr>
          <w:p w14:paraId="213AA20E">
            <w:pPr>
              <w:pStyle w:val="90"/>
              <w:rPr>
                <w:rFonts w:hint="default" w:eastAsia="宋体"/>
                <w:lang w:val="en-US" w:eastAsia="zh-CN"/>
              </w:rPr>
            </w:pPr>
            <w:r>
              <w:rPr>
                <w:rFonts w:hint="eastAsia"/>
                <w:lang w:val="en-US" w:eastAsia="zh-CN"/>
              </w:rPr>
              <w:t>数量增加1个</w:t>
            </w:r>
          </w:p>
        </w:tc>
      </w:tr>
      <w:tr w14:paraId="21A5CB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7DB3F9B0">
            <w:pPr>
              <w:pStyle w:val="90"/>
              <w:numPr>
                <w:ilvl w:val="0"/>
                <w:numId w:val="15"/>
              </w:numPr>
            </w:pPr>
          </w:p>
        </w:tc>
        <w:tc>
          <w:tcPr>
            <w:tcW w:w="788" w:type="pct"/>
            <w:shd w:val="clear" w:color="auto" w:fill="auto"/>
            <w:vAlign w:val="center"/>
          </w:tcPr>
          <w:p w14:paraId="1217B200">
            <w:pPr>
              <w:pStyle w:val="90"/>
              <w:rPr>
                <w:rFonts w:hint="default"/>
                <w:lang w:val="en-US" w:eastAsia="zh-CN"/>
              </w:rPr>
            </w:pPr>
            <w:r>
              <w:rPr>
                <w:rFonts w:hint="eastAsia"/>
                <w:lang w:val="en-US" w:eastAsia="zh-CN"/>
              </w:rPr>
              <w:t>沥青中转罐</w:t>
            </w:r>
          </w:p>
        </w:tc>
        <w:tc>
          <w:tcPr>
            <w:tcW w:w="1159" w:type="pct"/>
            <w:shd w:val="clear" w:color="auto" w:fill="auto"/>
            <w:vAlign w:val="center"/>
          </w:tcPr>
          <w:p w14:paraId="32E5447B">
            <w:pPr>
              <w:pStyle w:val="90"/>
              <w:rPr>
                <w:rFonts w:hint="eastAsia" w:eastAsia="宋体"/>
                <w:lang w:val="en-US" w:eastAsia="zh-CN"/>
              </w:rPr>
            </w:pPr>
            <w:r>
              <w:rPr>
                <w:rFonts w:hint="eastAsia"/>
                <w:lang w:val="en-US" w:eastAsia="zh-CN"/>
              </w:rPr>
              <w:t>/</w:t>
            </w:r>
          </w:p>
        </w:tc>
        <w:tc>
          <w:tcPr>
            <w:tcW w:w="1045" w:type="pct"/>
            <w:shd w:val="clear" w:color="auto" w:fill="auto"/>
            <w:vAlign w:val="center"/>
          </w:tcPr>
          <w:p w14:paraId="4F202129">
            <w:pPr>
              <w:pStyle w:val="90"/>
            </w:pPr>
            <w:r>
              <w:t>Φ</w:t>
            </w:r>
            <w:r>
              <w:rPr>
                <w:rFonts w:hint="eastAsia"/>
                <w:lang w:val="en-US" w:eastAsia="zh-CN"/>
              </w:rPr>
              <w:t>2800</w:t>
            </w:r>
            <w:r>
              <w:rPr>
                <w:rFonts w:hint="eastAsia"/>
              </w:rPr>
              <w:t>x</w:t>
            </w:r>
            <w:r>
              <w:rPr>
                <w:rFonts w:hint="eastAsia"/>
                <w:lang w:val="en-US" w:eastAsia="zh-CN"/>
              </w:rPr>
              <w:t>L9600</w:t>
            </w:r>
            <w:r>
              <w:rPr>
                <w:rFonts w:hint="eastAsia"/>
              </w:rPr>
              <w:t>，工作压力</w:t>
            </w:r>
            <w:r>
              <w:rPr>
                <w:rFonts w:hint="eastAsia"/>
                <w:lang w:eastAsia="zh-CN"/>
              </w:rPr>
              <w:t>：</w:t>
            </w:r>
            <w:r>
              <w:rPr>
                <w:rFonts w:hint="eastAsia"/>
              </w:rPr>
              <w:t>常压，工作温度</w:t>
            </w:r>
            <w:r>
              <w:rPr>
                <w:rFonts w:hint="eastAsia"/>
                <w:lang w:eastAsia="zh-CN"/>
              </w:rPr>
              <w:t>：</w:t>
            </w:r>
            <w:r>
              <w:rPr>
                <w:rFonts w:hint="eastAsia"/>
              </w:rPr>
              <w:t>60℃</w:t>
            </w:r>
          </w:p>
        </w:tc>
        <w:tc>
          <w:tcPr>
            <w:tcW w:w="376" w:type="pct"/>
            <w:shd w:val="clear" w:color="auto" w:fill="auto"/>
            <w:vAlign w:val="center"/>
          </w:tcPr>
          <w:p w14:paraId="73F4E0C0">
            <w:pPr>
              <w:pStyle w:val="90"/>
              <w:rPr>
                <w:rFonts w:hint="default"/>
                <w:lang w:val="en-US" w:eastAsia="zh-CN"/>
              </w:rPr>
            </w:pPr>
            <w:r>
              <w:rPr>
                <w:rFonts w:hint="eastAsia"/>
                <w:lang w:val="en-US" w:eastAsia="zh-CN"/>
              </w:rPr>
              <w:t>台</w:t>
            </w:r>
          </w:p>
        </w:tc>
        <w:tc>
          <w:tcPr>
            <w:tcW w:w="422" w:type="pct"/>
            <w:shd w:val="clear" w:color="auto" w:fill="auto"/>
            <w:vAlign w:val="center"/>
          </w:tcPr>
          <w:p w14:paraId="53C53D7D">
            <w:pPr>
              <w:pStyle w:val="90"/>
              <w:rPr>
                <w:rFonts w:hint="default"/>
                <w:lang w:val="en-US" w:eastAsia="zh-CN"/>
              </w:rPr>
            </w:pPr>
            <w:r>
              <w:rPr>
                <w:rFonts w:hint="eastAsia"/>
                <w:lang w:val="en-US" w:eastAsia="zh-CN"/>
              </w:rPr>
              <w:t>0</w:t>
            </w:r>
          </w:p>
        </w:tc>
        <w:tc>
          <w:tcPr>
            <w:tcW w:w="498" w:type="pct"/>
            <w:shd w:val="clear" w:color="auto" w:fill="auto"/>
            <w:vAlign w:val="center"/>
          </w:tcPr>
          <w:p w14:paraId="28DEEFE0">
            <w:pPr>
              <w:pStyle w:val="90"/>
              <w:rPr>
                <w:rFonts w:hint="default"/>
                <w:lang w:val="en-US" w:eastAsia="zh-CN"/>
              </w:rPr>
            </w:pPr>
            <w:r>
              <w:rPr>
                <w:rFonts w:hint="eastAsia"/>
                <w:lang w:val="en-US" w:eastAsia="zh-CN"/>
              </w:rPr>
              <w:t>3</w:t>
            </w:r>
          </w:p>
        </w:tc>
        <w:tc>
          <w:tcPr>
            <w:tcW w:w="444" w:type="pct"/>
            <w:shd w:val="clear" w:color="auto" w:fill="auto"/>
            <w:vAlign w:val="center"/>
          </w:tcPr>
          <w:p w14:paraId="6E90D70E">
            <w:pPr>
              <w:pStyle w:val="90"/>
              <w:rPr>
                <w:rFonts w:hint="default"/>
                <w:lang w:val="en-US" w:eastAsia="zh-CN"/>
              </w:rPr>
            </w:pPr>
            <w:r>
              <w:rPr>
                <w:rFonts w:hint="eastAsia"/>
                <w:lang w:val="en-US" w:eastAsia="zh-CN"/>
              </w:rPr>
              <w:t>增加3台</w:t>
            </w:r>
          </w:p>
        </w:tc>
      </w:tr>
      <w:tr w14:paraId="4B5A54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388E2F2B">
            <w:pPr>
              <w:pStyle w:val="90"/>
              <w:numPr>
                <w:ilvl w:val="0"/>
                <w:numId w:val="15"/>
              </w:numPr>
            </w:pPr>
          </w:p>
        </w:tc>
        <w:tc>
          <w:tcPr>
            <w:tcW w:w="788" w:type="pct"/>
            <w:shd w:val="clear" w:color="auto" w:fill="auto"/>
            <w:vAlign w:val="center"/>
          </w:tcPr>
          <w:p w14:paraId="14A73AED">
            <w:pPr>
              <w:pStyle w:val="90"/>
              <w:rPr>
                <w:rFonts w:hint="default"/>
                <w:lang w:val="en-US" w:eastAsia="zh-CN"/>
              </w:rPr>
            </w:pPr>
            <w:r>
              <w:rPr>
                <w:rFonts w:hint="eastAsia"/>
                <w:lang w:val="en-US" w:eastAsia="zh-CN"/>
              </w:rPr>
              <w:t>原料输送泵</w:t>
            </w:r>
          </w:p>
        </w:tc>
        <w:tc>
          <w:tcPr>
            <w:tcW w:w="1159" w:type="pct"/>
            <w:shd w:val="clear" w:color="auto" w:fill="auto"/>
            <w:vAlign w:val="center"/>
          </w:tcPr>
          <w:p w14:paraId="10E4B627">
            <w:pPr>
              <w:pStyle w:val="90"/>
              <w:rPr>
                <w:rFonts w:hint="default" w:eastAsia="宋体"/>
                <w:lang w:val="en-US" w:eastAsia="zh-CN"/>
              </w:rPr>
            </w:pPr>
            <w:r>
              <w:rPr>
                <w:rFonts w:hint="eastAsia"/>
                <w:lang w:val="en-US" w:eastAsia="zh-CN"/>
              </w:rPr>
              <w:t>罗茨泵，扬程H=80m</w:t>
            </w:r>
          </w:p>
        </w:tc>
        <w:tc>
          <w:tcPr>
            <w:tcW w:w="1045" w:type="pct"/>
            <w:shd w:val="clear" w:color="auto" w:fill="auto"/>
            <w:vAlign w:val="center"/>
          </w:tcPr>
          <w:p w14:paraId="5C3B1F05">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罗茨泵，扬程H=80m</w:t>
            </w:r>
          </w:p>
        </w:tc>
        <w:tc>
          <w:tcPr>
            <w:tcW w:w="376" w:type="pct"/>
            <w:shd w:val="clear" w:color="auto" w:fill="auto"/>
            <w:vAlign w:val="center"/>
          </w:tcPr>
          <w:p w14:paraId="3E8BE702">
            <w:pPr>
              <w:pStyle w:val="90"/>
              <w:rPr>
                <w:rFonts w:hint="default"/>
                <w:lang w:val="en-US" w:eastAsia="zh-CN"/>
              </w:rPr>
            </w:pPr>
            <w:r>
              <w:rPr>
                <w:rFonts w:hint="eastAsia"/>
                <w:lang w:val="en-US" w:eastAsia="zh-CN"/>
              </w:rPr>
              <w:t>台</w:t>
            </w:r>
          </w:p>
        </w:tc>
        <w:tc>
          <w:tcPr>
            <w:tcW w:w="422" w:type="pct"/>
            <w:shd w:val="clear" w:color="auto" w:fill="auto"/>
            <w:vAlign w:val="center"/>
          </w:tcPr>
          <w:p w14:paraId="2EE57A7B">
            <w:pPr>
              <w:pStyle w:val="90"/>
              <w:rPr>
                <w:rFonts w:hint="default"/>
                <w:lang w:val="en-US" w:eastAsia="zh-CN"/>
              </w:rPr>
            </w:pPr>
            <w:r>
              <w:rPr>
                <w:rFonts w:hint="eastAsia"/>
                <w:lang w:val="en-US" w:eastAsia="zh-CN"/>
              </w:rPr>
              <w:t>2</w:t>
            </w:r>
          </w:p>
        </w:tc>
        <w:tc>
          <w:tcPr>
            <w:tcW w:w="498" w:type="pct"/>
            <w:shd w:val="clear" w:color="auto" w:fill="auto"/>
            <w:vAlign w:val="center"/>
          </w:tcPr>
          <w:p w14:paraId="5FEBA0CB">
            <w:pPr>
              <w:pStyle w:val="90"/>
              <w:rPr>
                <w:rFonts w:hint="default"/>
                <w:lang w:val="en-US" w:eastAsia="zh-CN"/>
              </w:rPr>
            </w:pPr>
            <w:r>
              <w:rPr>
                <w:rFonts w:hint="eastAsia"/>
                <w:lang w:val="en-US" w:eastAsia="zh-CN"/>
              </w:rPr>
              <w:t>2</w:t>
            </w:r>
          </w:p>
        </w:tc>
        <w:tc>
          <w:tcPr>
            <w:tcW w:w="444" w:type="pct"/>
            <w:shd w:val="clear" w:color="auto" w:fill="auto"/>
            <w:vAlign w:val="center"/>
          </w:tcPr>
          <w:p w14:paraId="711BCE28">
            <w:pPr>
              <w:pStyle w:val="90"/>
              <w:rPr>
                <w:rFonts w:hint="default"/>
                <w:lang w:val="en-US" w:eastAsia="zh-CN"/>
              </w:rPr>
            </w:pPr>
            <w:r>
              <w:rPr>
                <w:rFonts w:hint="eastAsia"/>
                <w:lang w:val="en-US" w:eastAsia="zh-CN"/>
              </w:rPr>
              <w:t>一致</w:t>
            </w:r>
          </w:p>
        </w:tc>
      </w:tr>
      <w:tr w14:paraId="2D90B9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13AC469A">
            <w:pPr>
              <w:pStyle w:val="90"/>
              <w:numPr>
                <w:ilvl w:val="0"/>
                <w:numId w:val="15"/>
              </w:numPr>
            </w:pPr>
          </w:p>
        </w:tc>
        <w:tc>
          <w:tcPr>
            <w:tcW w:w="788" w:type="pct"/>
            <w:shd w:val="clear" w:color="auto" w:fill="auto"/>
            <w:vAlign w:val="center"/>
          </w:tcPr>
          <w:p w14:paraId="22608B4C">
            <w:pPr>
              <w:pStyle w:val="90"/>
              <w:rPr>
                <w:rFonts w:hint="default"/>
                <w:lang w:val="en-US" w:eastAsia="zh-CN"/>
              </w:rPr>
            </w:pPr>
            <w:r>
              <w:rPr>
                <w:rFonts w:hint="eastAsia"/>
                <w:lang w:val="en-US" w:eastAsia="zh-CN"/>
              </w:rPr>
              <w:t>沉淀液输送泵</w:t>
            </w:r>
          </w:p>
        </w:tc>
        <w:tc>
          <w:tcPr>
            <w:tcW w:w="1159" w:type="pct"/>
            <w:shd w:val="clear" w:color="auto" w:fill="auto"/>
            <w:vAlign w:val="center"/>
          </w:tcPr>
          <w:p w14:paraId="6C88F5CB">
            <w:pPr>
              <w:pStyle w:val="90"/>
              <w:rPr>
                <w:rFonts w:hint="eastAsia"/>
                <w:lang w:val="en-US" w:eastAsia="zh-CN"/>
              </w:rPr>
            </w:pPr>
            <w:r>
              <w:rPr>
                <w:rFonts w:hint="eastAsia"/>
                <w:lang w:val="en-US" w:eastAsia="zh-CN"/>
              </w:rPr>
              <w:t>罗茨泵，扬程H=80m</w:t>
            </w:r>
          </w:p>
        </w:tc>
        <w:tc>
          <w:tcPr>
            <w:tcW w:w="1045" w:type="pct"/>
            <w:shd w:val="clear" w:color="auto" w:fill="auto"/>
            <w:vAlign w:val="center"/>
          </w:tcPr>
          <w:p w14:paraId="4FAA47B9">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罗茨泵，扬程H=80m</w:t>
            </w:r>
          </w:p>
        </w:tc>
        <w:tc>
          <w:tcPr>
            <w:tcW w:w="376" w:type="pct"/>
            <w:shd w:val="clear" w:color="auto" w:fill="auto"/>
            <w:vAlign w:val="center"/>
          </w:tcPr>
          <w:p w14:paraId="636A939A">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台</w:t>
            </w:r>
          </w:p>
        </w:tc>
        <w:tc>
          <w:tcPr>
            <w:tcW w:w="422" w:type="pct"/>
            <w:shd w:val="clear" w:color="auto" w:fill="auto"/>
            <w:vAlign w:val="center"/>
          </w:tcPr>
          <w:p w14:paraId="17471E49">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2</w:t>
            </w:r>
          </w:p>
        </w:tc>
        <w:tc>
          <w:tcPr>
            <w:tcW w:w="498" w:type="pct"/>
            <w:shd w:val="clear" w:color="auto" w:fill="auto"/>
            <w:vAlign w:val="center"/>
          </w:tcPr>
          <w:p w14:paraId="7FC3A88F">
            <w:pPr>
              <w:pStyle w:val="90"/>
              <w:ind w:firstLine="0" w:firstLineChars="0"/>
              <w:rPr>
                <w:rFonts w:hint="default"/>
                <w:lang w:val="en-US" w:eastAsia="zh-CN"/>
              </w:rPr>
            </w:pPr>
            <w:r>
              <w:rPr>
                <w:rFonts w:hint="eastAsia"/>
                <w:lang w:val="en-US" w:eastAsia="zh-CN"/>
              </w:rPr>
              <w:t>2</w:t>
            </w:r>
          </w:p>
        </w:tc>
        <w:tc>
          <w:tcPr>
            <w:tcW w:w="444" w:type="pct"/>
            <w:shd w:val="clear" w:color="auto" w:fill="auto"/>
            <w:vAlign w:val="center"/>
          </w:tcPr>
          <w:p w14:paraId="101F6456">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cs="Times New Roman"/>
                <w:bCs/>
                <w:kern w:val="2"/>
                <w:sz w:val="21"/>
                <w:szCs w:val="20"/>
                <w:lang w:val="en-US" w:eastAsia="zh-CN" w:bidi="ar-SA"/>
              </w:rPr>
              <w:t>一致</w:t>
            </w:r>
          </w:p>
        </w:tc>
      </w:tr>
      <w:tr w14:paraId="588290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6D1820F9">
            <w:pPr>
              <w:pStyle w:val="90"/>
              <w:numPr>
                <w:ilvl w:val="0"/>
                <w:numId w:val="15"/>
              </w:numPr>
            </w:pPr>
          </w:p>
        </w:tc>
        <w:tc>
          <w:tcPr>
            <w:tcW w:w="788" w:type="pct"/>
            <w:shd w:val="clear" w:color="auto" w:fill="auto"/>
            <w:vAlign w:val="center"/>
          </w:tcPr>
          <w:p w14:paraId="4631DBFA">
            <w:pPr>
              <w:pStyle w:val="90"/>
              <w:rPr>
                <w:rFonts w:hint="default"/>
                <w:lang w:val="en-US" w:eastAsia="zh-CN"/>
              </w:rPr>
            </w:pPr>
            <w:r>
              <w:rPr>
                <w:rFonts w:hint="eastAsia"/>
                <w:lang w:val="en-US" w:eastAsia="zh-CN"/>
              </w:rPr>
              <w:t>白土过滤泵</w:t>
            </w:r>
          </w:p>
        </w:tc>
        <w:tc>
          <w:tcPr>
            <w:tcW w:w="1159" w:type="pct"/>
            <w:shd w:val="clear" w:color="auto" w:fill="auto"/>
            <w:vAlign w:val="center"/>
          </w:tcPr>
          <w:p w14:paraId="7F4EEBFA">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离心泵，扬程H=65m</w:t>
            </w:r>
          </w:p>
        </w:tc>
        <w:tc>
          <w:tcPr>
            <w:tcW w:w="1045" w:type="pct"/>
            <w:shd w:val="clear" w:color="auto" w:fill="auto"/>
            <w:vAlign w:val="center"/>
          </w:tcPr>
          <w:p w14:paraId="5F9B9B40">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离心泵，扬程H=65m</w:t>
            </w:r>
          </w:p>
        </w:tc>
        <w:tc>
          <w:tcPr>
            <w:tcW w:w="376" w:type="pct"/>
            <w:shd w:val="clear" w:color="auto" w:fill="auto"/>
            <w:vAlign w:val="center"/>
          </w:tcPr>
          <w:p w14:paraId="30E48E5E">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台</w:t>
            </w:r>
          </w:p>
        </w:tc>
        <w:tc>
          <w:tcPr>
            <w:tcW w:w="422" w:type="pct"/>
            <w:shd w:val="clear" w:color="auto" w:fill="auto"/>
            <w:vAlign w:val="center"/>
          </w:tcPr>
          <w:p w14:paraId="03FD28F7">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3</w:t>
            </w:r>
          </w:p>
        </w:tc>
        <w:tc>
          <w:tcPr>
            <w:tcW w:w="498" w:type="pct"/>
            <w:shd w:val="clear" w:color="auto" w:fill="auto"/>
            <w:vAlign w:val="center"/>
          </w:tcPr>
          <w:p w14:paraId="517896F8">
            <w:pPr>
              <w:pStyle w:val="90"/>
              <w:ind w:firstLine="0" w:firstLineChars="0"/>
              <w:rPr>
                <w:rFonts w:hint="default"/>
                <w:lang w:val="en-US" w:eastAsia="zh-CN"/>
              </w:rPr>
            </w:pPr>
            <w:r>
              <w:rPr>
                <w:rFonts w:hint="eastAsia"/>
                <w:lang w:val="en-US" w:eastAsia="zh-CN"/>
              </w:rPr>
              <w:t>3</w:t>
            </w:r>
          </w:p>
        </w:tc>
        <w:tc>
          <w:tcPr>
            <w:tcW w:w="444" w:type="pct"/>
            <w:shd w:val="clear" w:color="auto" w:fill="auto"/>
            <w:vAlign w:val="center"/>
          </w:tcPr>
          <w:p w14:paraId="1BC69140">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cs="Times New Roman"/>
                <w:bCs/>
                <w:kern w:val="2"/>
                <w:sz w:val="21"/>
                <w:szCs w:val="20"/>
                <w:lang w:val="en-US" w:eastAsia="zh-CN" w:bidi="ar-SA"/>
              </w:rPr>
              <w:t>一致</w:t>
            </w:r>
          </w:p>
        </w:tc>
      </w:tr>
      <w:tr w14:paraId="0D747B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24AE08F1">
            <w:pPr>
              <w:pStyle w:val="90"/>
              <w:numPr>
                <w:ilvl w:val="0"/>
                <w:numId w:val="15"/>
              </w:numPr>
            </w:pPr>
          </w:p>
        </w:tc>
        <w:tc>
          <w:tcPr>
            <w:tcW w:w="788" w:type="pct"/>
            <w:shd w:val="clear" w:color="auto" w:fill="auto"/>
            <w:vAlign w:val="center"/>
          </w:tcPr>
          <w:p w14:paraId="7EA2A8A1">
            <w:pPr>
              <w:pStyle w:val="90"/>
            </w:pPr>
            <w:r>
              <w:rPr>
                <w:rFonts w:hint="eastAsia"/>
                <w:lang w:val="en-US" w:eastAsia="zh-CN"/>
              </w:rPr>
              <w:t>成</w:t>
            </w:r>
            <w:r>
              <w:t>品输送泵</w:t>
            </w:r>
          </w:p>
        </w:tc>
        <w:tc>
          <w:tcPr>
            <w:tcW w:w="1159" w:type="pct"/>
            <w:shd w:val="clear" w:color="auto" w:fill="auto"/>
            <w:vAlign w:val="center"/>
          </w:tcPr>
          <w:p w14:paraId="66EF0E32">
            <w:pPr>
              <w:pStyle w:val="90"/>
              <w:ind w:firstLine="0" w:firstLineChars="0"/>
            </w:pPr>
            <w:r>
              <w:rPr>
                <w:rFonts w:hint="eastAsia"/>
                <w:lang w:val="en-US" w:eastAsia="zh-CN"/>
              </w:rPr>
              <w:t>罗茨泵，扬程H=80m</w:t>
            </w:r>
          </w:p>
        </w:tc>
        <w:tc>
          <w:tcPr>
            <w:tcW w:w="1045" w:type="pct"/>
            <w:shd w:val="clear" w:color="auto" w:fill="auto"/>
            <w:vAlign w:val="center"/>
          </w:tcPr>
          <w:p w14:paraId="1EC89DBA">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罗茨泵，扬程H=80m</w:t>
            </w:r>
          </w:p>
        </w:tc>
        <w:tc>
          <w:tcPr>
            <w:tcW w:w="376" w:type="pct"/>
            <w:shd w:val="clear" w:color="auto" w:fill="auto"/>
            <w:vAlign w:val="center"/>
          </w:tcPr>
          <w:p w14:paraId="66F15DAE">
            <w:pPr>
              <w:pStyle w:val="90"/>
              <w:ind w:firstLine="0" w:firstLineChars="0"/>
            </w:pPr>
            <w:r>
              <w:rPr>
                <w:rFonts w:hint="eastAsia"/>
                <w:lang w:val="en-US" w:eastAsia="zh-CN"/>
              </w:rPr>
              <w:t>台</w:t>
            </w:r>
          </w:p>
        </w:tc>
        <w:tc>
          <w:tcPr>
            <w:tcW w:w="422" w:type="pct"/>
            <w:shd w:val="clear" w:color="auto" w:fill="auto"/>
            <w:vAlign w:val="center"/>
          </w:tcPr>
          <w:p w14:paraId="4C6793AF">
            <w:pPr>
              <w:pStyle w:val="90"/>
              <w:ind w:firstLine="0" w:firstLineChars="0"/>
            </w:pPr>
            <w:r>
              <w:rPr>
                <w:rFonts w:hint="eastAsia"/>
                <w:lang w:val="en-US" w:eastAsia="zh-CN"/>
              </w:rPr>
              <w:t>2</w:t>
            </w:r>
          </w:p>
        </w:tc>
        <w:tc>
          <w:tcPr>
            <w:tcW w:w="498" w:type="pct"/>
            <w:shd w:val="clear" w:color="auto" w:fill="auto"/>
            <w:vAlign w:val="center"/>
          </w:tcPr>
          <w:p w14:paraId="1C19AD55">
            <w:pPr>
              <w:pStyle w:val="90"/>
              <w:ind w:firstLine="0" w:firstLineChars="0"/>
              <w:rPr>
                <w:rFonts w:hint="default"/>
                <w:lang w:val="en-US" w:eastAsia="zh-CN"/>
              </w:rPr>
            </w:pPr>
            <w:r>
              <w:rPr>
                <w:rFonts w:hint="eastAsia"/>
                <w:lang w:val="en-US" w:eastAsia="zh-CN"/>
              </w:rPr>
              <w:t>2</w:t>
            </w:r>
          </w:p>
        </w:tc>
        <w:tc>
          <w:tcPr>
            <w:tcW w:w="444" w:type="pct"/>
            <w:shd w:val="clear" w:color="auto" w:fill="auto"/>
            <w:vAlign w:val="center"/>
          </w:tcPr>
          <w:p w14:paraId="33538F82">
            <w:pPr>
              <w:pStyle w:val="90"/>
              <w:ind w:firstLine="0" w:firstLineChars="0"/>
              <w:rPr>
                <w:rFonts w:hint="eastAsia" w:eastAsia="宋体"/>
                <w:lang w:eastAsia="zh-CN"/>
              </w:rPr>
            </w:pPr>
            <w:r>
              <w:rPr>
                <w:rFonts w:hint="eastAsia"/>
                <w:lang w:eastAsia="zh-CN"/>
              </w:rPr>
              <w:t>一致</w:t>
            </w:r>
          </w:p>
        </w:tc>
      </w:tr>
      <w:tr w14:paraId="2889EA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2EBFF774">
            <w:pPr>
              <w:pStyle w:val="90"/>
              <w:numPr>
                <w:ilvl w:val="0"/>
                <w:numId w:val="15"/>
              </w:numPr>
            </w:pPr>
          </w:p>
        </w:tc>
        <w:tc>
          <w:tcPr>
            <w:tcW w:w="788" w:type="pct"/>
            <w:shd w:val="clear" w:color="auto" w:fill="auto"/>
            <w:vAlign w:val="center"/>
          </w:tcPr>
          <w:p w14:paraId="67D77C47">
            <w:pPr>
              <w:pStyle w:val="90"/>
            </w:pPr>
            <w:r>
              <w:rPr>
                <w:rFonts w:hint="eastAsia"/>
                <w:lang w:val="en-US" w:eastAsia="zh-CN"/>
              </w:rPr>
              <w:t>基础油卸车</w:t>
            </w:r>
            <w:r>
              <w:t>泵</w:t>
            </w:r>
          </w:p>
        </w:tc>
        <w:tc>
          <w:tcPr>
            <w:tcW w:w="1159" w:type="pct"/>
            <w:vMerge w:val="restart"/>
            <w:shd w:val="clear" w:color="auto" w:fill="auto"/>
            <w:vAlign w:val="center"/>
          </w:tcPr>
          <w:p w14:paraId="4E6741A8">
            <w:pPr>
              <w:pStyle w:val="90"/>
            </w:pPr>
            <w:r>
              <w:rPr>
                <w:rFonts w:hint="eastAsia"/>
                <w:lang w:val="en-US" w:eastAsia="zh-CN"/>
              </w:rPr>
              <w:t>罗茨泵，扬程H=80m</w:t>
            </w:r>
          </w:p>
        </w:tc>
        <w:tc>
          <w:tcPr>
            <w:tcW w:w="1045" w:type="pct"/>
            <w:vMerge w:val="restart"/>
            <w:shd w:val="clear" w:color="auto" w:fill="auto"/>
            <w:vAlign w:val="center"/>
          </w:tcPr>
          <w:p w14:paraId="288F500D">
            <w:pPr>
              <w:pStyle w:val="90"/>
            </w:pPr>
            <w:r>
              <w:rPr>
                <w:rFonts w:hint="eastAsia"/>
                <w:lang w:val="en-US" w:eastAsia="zh-CN"/>
              </w:rPr>
              <w:t>罗茨泵，扬程H=80m</w:t>
            </w:r>
          </w:p>
        </w:tc>
        <w:tc>
          <w:tcPr>
            <w:tcW w:w="376" w:type="pct"/>
            <w:vMerge w:val="restart"/>
            <w:shd w:val="clear" w:color="auto" w:fill="auto"/>
            <w:vAlign w:val="center"/>
          </w:tcPr>
          <w:p w14:paraId="2939C13C">
            <w:pPr>
              <w:pStyle w:val="90"/>
              <w:rPr>
                <w:rFonts w:hint="eastAsia" w:eastAsia="宋体"/>
                <w:lang w:eastAsia="zh-CN"/>
              </w:rPr>
            </w:pPr>
            <w:r>
              <w:rPr>
                <w:rFonts w:hint="eastAsia"/>
                <w:lang w:val="en-US" w:eastAsia="zh-CN"/>
              </w:rPr>
              <w:t>台</w:t>
            </w:r>
          </w:p>
        </w:tc>
        <w:tc>
          <w:tcPr>
            <w:tcW w:w="422" w:type="pct"/>
            <w:shd w:val="clear" w:color="auto" w:fill="auto"/>
            <w:vAlign w:val="center"/>
          </w:tcPr>
          <w:p w14:paraId="75648DE2">
            <w:pPr>
              <w:pStyle w:val="90"/>
              <w:rPr>
                <w:rFonts w:hint="eastAsia" w:eastAsia="宋体"/>
                <w:lang w:eastAsia="zh-CN"/>
              </w:rPr>
            </w:pPr>
            <w:r>
              <w:rPr>
                <w:rFonts w:hint="eastAsia"/>
                <w:lang w:val="en-US" w:eastAsia="zh-CN"/>
              </w:rPr>
              <w:t>0</w:t>
            </w:r>
          </w:p>
        </w:tc>
        <w:tc>
          <w:tcPr>
            <w:tcW w:w="498" w:type="pct"/>
            <w:shd w:val="clear" w:color="auto" w:fill="auto"/>
            <w:vAlign w:val="center"/>
          </w:tcPr>
          <w:p w14:paraId="03EF2CB2">
            <w:pPr>
              <w:pStyle w:val="90"/>
              <w:rPr>
                <w:rFonts w:hint="default" w:eastAsia="宋体"/>
                <w:lang w:val="en-US" w:eastAsia="zh-CN"/>
              </w:rPr>
            </w:pPr>
            <w:r>
              <w:rPr>
                <w:rFonts w:hint="eastAsia"/>
                <w:lang w:val="en-US" w:eastAsia="zh-CN"/>
              </w:rPr>
              <w:t>2</w:t>
            </w:r>
          </w:p>
        </w:tc>
        <w:tc>
          <w:tcPr>
            <w:tcW w:w="444" w:type="pct"/>
            <w:shd w:val="clear" w:color="auto" w:fill="auto"/>
            <w:vAlign w:val="center"/>
          </w:tcPr>
          <w:p w14:paraId="5FFB6693">
            <w:pPr>
              <w:pStyle w:val="90"/>
              <w:rPr>
                <w:rFonts w:hint="default" w:eastAsia="宋体"/>
                <w:lang w:val="en-US" w:eastAsia="zh-CN"/>
              </w:rPr>
            </w:pPr>
            <w:r>
              <w:rPr>
                <w:rFonts w:hint="eastAsia"/>
                <w:lang w:val="en-US" w:eastAsia="zh-CN"/>
              </w:rPr>
              <w:t>增加2台</w:t>
            </w:r>
          </w:p>
        </w:tc>
      </w:tr>
      <w:tr w14:paraId="44876E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772B88C0">
            <w:pPr>
              <w:pStyle w:val="90"/>
              <w:numPr>
                <w:ilvl w:val="0"/>
                <w:numId w:val="15"/>
              </w:numPr>
            </w:pPr>
          </w:p>
        </w:tc>
        <w:tc>
          <w:tcPr>
            <w:tcW w:w="788" w:type="pct"/>
            <w:shd w:val="clear" w:color="auto" w:fill="auto"/>
            <w:vAlign w:val="center"/>
          </w:tcPr>
          <w:p w14:paraId="49F6CAD2">
            <w:pPr>
              <w:pStyle w:val="90"/>
              <w:rPr>
                <w:rFonts w:hint="default"/>
                <w:lang w:val="en-US" w:eastAsia="zh-CN"/>
              </w:rPr>
            </w:pPr>
            <w:r>
              <w:rPr>
                <w:rFonts w:hint="eastAsia"/>
                <w:lang w:val="en-US" w:eastAsia="zh-CN"/>
              </w:rPr>
              <w:t>基础油输送泵</w:t>
            </w:r>
          </w:p>
        </w:tc>
        <w:tc>
          <w:tcPr>
            <w:tcW w:w="1159" w:type="pct"/>
            <w:vMerge w:val="continue"/>
            <w:shd w:val="clear" w:color="auto" w:fill="auto"/>
            <w:vAlign w:val="center"/>
          </w:tcPr>
          <w:p w14:paraId="51AD0743">
            <w:pPr>
              <w:pStyle w:val="90"/>
              <w:rPr>
                <w:rFonts w:hint="eastAsia"/>
                <w:lang w:val="en-US" w:eastAsia="zh-CN"/>
              </w:rPr>
            </w:pPr>
          </w:p>
        </w:tc>
        <w:tc>
          <w:tcPr>
            <w:tcW w:w="1045" w:type="pct"/>
            <w:vMerge w:val="continue"/>
            <w:shd w:val="clear" w:color="auto" w:fill="auto"/>
            <w:vAlign w:val="center"/>
          </w:tcPr>
          <w:p w14:paraId="7C73879E">
            <w:pPr>
              <w:pStyle w:val="90"/>
              <w:rPr>
                <w:rFonts w:hint="eastAsia"/>
                <w:lang w:val="en-US" w:eastAsia="zh-CN"/>
              </w:rPr>
            </w:pPr>
          </w:p>
        </w:tc>
        <w:tc>
          <w:tcPr>
            <w:tcW w:w="376" w:type="pct"/>
            <w:vMerge w:val="continue"/>
            <w:shd w:val="clear" w:color="auto" w:fill="auto"/>
            <w:vAlign w:val="center"/>
          </w:tcPr>
          <w:p w14:paraId="65D80CCF">
            <w:pPr>
              <w:pStyle w:val="90"/>
              <w:rPr>
                <w:rFonts w:hint="eastAsia"/>
                <w:lang w:val="en-US" w:eastAsia="zh-CN"/>
              </w:rPr>
            </w:pPr>
          </w:p>
        </w:tc>
        <w:tc>
          <w:tcPr>
            <w:tcW w:w="422" w:type="pct"/>
            <w:shd w:val="clear" w:color="auto" w:fill="auto"/>
            <w:vAlign w:val="center"/>
          </w:tcPr>
          <w:p w14:paraId="265A65FC">
            <w:pPr>
              <w:pStyle w:val="90"/>
              <w:rPr>
                <w:rFonts w:hint="default"/>
                <w:lang w:val="en-US" w:eastAsia="zh-CN"/>
              </w:rPr>
            </w:pPr>
            <w:r>
              <w:rPr>
                <w:rFonts w:hint="eastAsia"/>
                <w:lang w:val="en-US" w:eastAsia="zh-CN"/>
              </w:rPr>
              <w:t>0</w:t>
            </w:r>
          </w:p>
        </w:tc>
        <w:tc>
          <w:tcPr>
            <w:tcW w:w="498" w:type="pct"/>
            <w:shd w:val="clear" w:color="auto" w:fill="auto"/>
            <w:vAlign w:val="center"/>
          </w:tcPr>
          <w:p w14:paraId="76EB09FD">
            <w:pPr>
              <w:pStyle w:val="90"/>
              <w:rPr>
                <w:rFonts w:hint="default"/>
                <w:lang w:val="en-US" w:eastAsia="zh-CN"/>
              </w:rPr>
            </w:pPr>
            <w:r>
              <w:rPr>
                <w:rFonts w:hint="eastAsia"/>
                <w:lang w:val="en-US" w:eastAsia="zh-CN"/>
              </w:rPr>
              <w:t>1</w:t>
            </w:r>
          </w:p>
        </w:tc>
        <w:tc>
          <w:tcPr>
            <w:tcW w:w="444" w:type="pct"/>
            <w:shd w:val="clear" w:color="auto" w:fill="auto"/>
            <w:vAlign w:val="center"/>
          </w:tcPr>
          <w:p w14:paraId="23F83491">
            <w:pPr>
              <w:pStyle w:val="90"/>
              <w:rPr>
                <w:rFonts w:hint="eastAsia"/>
                <w:lang w:val="en-US" w:eastAsia="zh-CN"/>
              </w:rPr>
            </w:pPr>
            <w:r>
              <w:rPr>
                <w:rFonts w:hint="eastAsia"/>
                <w:lang w:val="en-US" w:eastAsia="zh-CN"/>
              </w:rPr>
              <w:t>增加1台</w:t>
            </w:r>
          </w:p>
        </w:tc>
      </w:tr>
      <w:tr w14:paraId="6F2186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106E44A7">
            <w:pPr>
              <w:pStyle w:val="90"/>
              <w:numPr>
                <w:ilvl w:val="0"/>
                <w:numId w:val="15"/>
              </w:numPr>
            </w:pPr>
          </w:p>
        </w:tc>
        <w:tc>
          <w:tcPr>
            <w:tcW w:w="788" w:type="pct"/>
            <w:shd w:val="clear" w:color="auto" w:fill="auto"/>
            <w:vAlign w:val="center"/>
          </w:tcPr>
          <w:p w14:paraId="409AE46B">
            <w:pPr>
              <w:pStyle w:val="90"/>
              <w:rPr>
                <w:rFonts w:hint="default"/>
                <w:lang w:val="en-US" w:eastAsia="zh-CN"/>
              </w:rPr>
            </w:pPr>
            <w:r>
              <w:rPr>
                <w:rFonts w:hint="eastAsia"/>
                <w:lang w:val="en-US" w:eastAsia="zh-CN"/>
              </w:rPr>
              <w:t>润滑油输送泵</w:t>
            </w:r>
          </w:p>
        </w:tc>
        <w:tc>
          <w:tcPr>
            <w:tcW w:w="1159" w:type="pct"/>
            <w:vMerge w:val="continue"/>
            <w:shd w:val="clear" w:color="auto" w:fill="auto"/>
            <w:vAlign w:val="center"/>
          </w:tcPr>
          <w:p w14:paraId="7D2C4749">
            <w:pPr>
              <w:pStyle w:val="90"/>
              <w:rPr>
                <w:rFonts w:hint="eastAsia"/>
                <w:lang w:val="en-US" w:eastAsia="zh-CN"/>
              </w:rPr>
            </w:pPr>
          </w:p>
        </w:tc>
        <w:tc>
          <w:tcPr>
            <w:tcW w:w="1045" w:type="pct"/>
            <w:vMerge w:val="continue"/>
            <w:shd w:val="clear" w:color="auto" w:fill="auto"/>
            <w:vAlign w:val="center"/>
          </w:tcPr>
          <w:p w14:paraId="4E41486A">
            <w:pPr>
              <w:pStyle w:val="90"/>
              <w:rPr>
                <w:rFonts w:hint="eastAsia"/>
                <w:lang w:val="en-US" w:eastAsia="zh-CN"/>
              </w:rPr>
            </w:pPr>
          </w:p>
        </w:tc>
        <w:tc>
          <w:tcPr>
            <w:tcW w:w="376" w:type="pct"/>
            <w:vMerge w:val="continue"/>
            <w:shd w:val="clear" w:color="auto" w:fill="auto"/>
            <w:vAlign w:val="center"/>
          </w:tcPr>
          <w:p w14:paraId="4E0BFED3">
            <w:pPr>
              <w:pStyle w:val="90"/>
              <w:rPr>
                <w:rFonts w:hint="eastAsia"/>
                <w:lang w:val="en-US" w:eastAsia="zh-CN"/>
              </w:rPr>
            </w:pPr>
          </w:p>
        </w:tc>
        <w:tc>
          <w:tcPr>
            <w:tcW w:w="422" w:type="pct"/>
            <w:shd w:val="clear" w:color="auto" w:fill="auto"/>
            <w:vAlign w:val="center"/>
          </w:tcPr>
          <w:p w14:paraId="1242196E">
            <w:pPr>
              <w:pStyle w:val="90"/>
              <w:rPr>
                <w:rFonts w:hint="default"/>
                <w:lang w:val="en-US" w:eastAsia="zh-CN"/>
              </w:rPr>
            </w:pPr>
            <w:r>
              <w:rPr>
                <w:rFonts w:hint="eastAsia"/>
                <w:lang w:val="en-US" w:eastAsia="zh-CN"/>
              </w:rPr>
              <w:t>0</w:t>
            </w:r>
          </w:p>
        </w:tc>
        <w:tc>
          <w:tcPr>
            <w:tcW w:w="498" w:type="pct"/>
            <w:shd w:val="clear" w:color="auto" w:fill="auto"/>
            <w:vAlign w:val="center"/>
          </w:tcPr>
          <w:p w14:paraId="03570422">
            <w:pPr>
              <w:pStyle w:val="90"/>
              <w:rPr>
                <w:rFonts w:hint="default"/>
                <w:lang w:val="en-US" w:eastAsia="zh-CN"/>
              </w:rPr>
            </w:pPr>
            <w:r>
              <w:rPr>
                <w:rFonts w:hint="eastAsia"/>
                <w:lang w:val="en-US" w:eastAsia="zh-CN"/>
              </w:rPr>
              <w:t>1</w:t>
            </w:r>
          </w:p>
        </w:tc>
        <w:tc>
          <w:tcPr>
            <w:tcW w:w="444" w:type="pct"/>
            <w:shd w:val="clear" w:color="auto" w:fill="auto"/>
            <w:vAlign w:val="center"/>
          </w:tcPr>
          <w:p w14:paraId="7CEE938D">
            <w:pPr>
              <w:pStyle w:val="90"/>
              <w:rPr>
                <w:rFonts w:hint="eastAsia"/>
                <w:lang w:val="en-US" w:eastAsia="zh-CN"/>
              </w:rPr>
            </w:pPr>
            <w:r>
              <w:rPr>
                <w:rFonts w:hint="eastAsia"/>
                <w:lang w:val="en-US" w:eastAsia="zh-CN"/>
              </w:rPr>
              <w:t>增加1台</w:t>
            </w:r>
          </w:p>
        </w:tc>
      </w:tr>
      <w:tr w14:paraId="224F32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145864C1">
            <w:pPr>
              <w:pStyle w:val="90"/>
              <w:numPr>
                <w:ilvl w:val="0"/>
                <w:numId w:val="15"/>
              </w:numPr>
            </w:pPr>
          </w:p>
        </w:tc>
        <w:tc>
          <w:tcPr>
            <w:tcW w:w="788" w:type="pct"/>
            <w:shd w:val="clear" w:color="auto" w:fill="auto"/>
            <w:vAlign w:val="center"/>
          </w:tcPr>
          <w:p w14:paraId="347C0FDC">
            <w:pPr>
              <w:pStyle w:val="90"/>
              <w:rPr>
                <w:rFonts w:hint="default"/>
                <w:lang w:val="en-US" w:eastAsia="zh-CN"/>
              </w:rPr>
            </w:pPr>
            <w:r>
              <w:rPr>
                <w:rFonts w:hint="eastAsia"/>
                <w:lang w:val="en-US" w:eastAsia="zh-CN"/>
              </w:rPr>
              <w:t>润滑油卸车泵</w:t>
            </w:r>
          </w:p>
        </w:tc>
        <w:tc>
          <w:tcPr>
            <w:tcW w:w="1159" w:type="pct"/>
            <w:vMerge w:val="continue"/>
            <w:shd w:val="clear" w:color="auto" w:fill="auto"/>
            <w:vAlign w:val="center"/>
          </w:tcPr>
          <w:p w14:paraId="2C9BF4ED">
            <w:pPr>
              <w:pStyle w:val="90"/>
              <w:rPr>
                <w:rFonts w:hint="eastAsia"/>
                <w:lang w:val="en-US" w:eastAsia="zh-CN"/>
              </w:rPr>
            </w:pPr>
          </w:p>
        </w:tc>
        <w:tc>
          <w:tcPr>
            <w:tcW w:w="1045" w:type="pct"/>
            <w:vMerge w:val="continue"/>
            <w:shd w:val="clear" w:color="auto" w:fill="auto"/>
            <w:vAlign w:val="center"/>
          </w:tcPr>
          <w:p w14:paraId="0EC419F8">
            <w:pPr>
              <w:pStyle w:val="90"/>
              <w:rPr>
                <w:rFonts w:hint="eastAsia"/>
                <w:lang w:val="en-US" w:eastAsia="zh-CN"/>
              </w:rPr>
            </w:pPr>
          </w:p>
        </w:tc>
        <w:tc>
          <w:tcPr>
            <w:tcW w:w="376" w:type="pct"/>
            <w:vMerge w:val="continue"/>
            <w:shd w:val="clear" w:color="auto" w:fill="auto"/>
            <w:vAlign w:val="center"/>
          </w:tcPr>
          <w:p w14:paraId="40B19C94">
            <w:pPr>
              <w:pStyle w:val="90"/>
              <w:rPr>
                <w:rFonts w:hint="eastAsia"/>
                <w:lang w:val="en-US" w:eastAsia="zh-CN"/>
              </w:rPr>
            </w:pPr>
          </w:p>
        </w:tc>
        <w:tc>
          <w:tcPr>
            <w:tcW w:w="422" w:type="pct"/>
            <w:shd w:val="clear" w:color="auto" w:fill="auto"/>
            <w:vAlign w:val="center"/>
          </w:tcPr>
          <w:p w14:paraId="5C5203E1">
            <w:pPr>
              <w:pStyle w:val="90"/>
              <w:rPr>
                <w:rFonts w:hint="default"/>
                <w:lang w:val="en-US" w:eastAsia="zh-CN"/>
              </w:rPr>
            </w:pPr>
            <w:r>
              <w:rPr>
                <w:rFonts w:hint="eastAsia"/>
                <w:lang w:val="en-US" w:eastAsia="zh-CN"/>
              </w:rPr>
              <w:t>0</w:t>
            </w:r>
          </w:p>
        </w:tc>
        <w:tc>
          <w:tcPr>
            <w:tcW w:w="498" w:type="pct"/>
            <w:shd w:val="clear" w:color="auto" w:fill="auto"/>
            <w:vAlign w:val="center"/>
          </w:tcPr>
          <w:p w14:paraId="5C85F65D">
            <w:pPr>
              <w:pStyle w:val="90"/>
              <w:rPr>
                <w:rFonts w:hint="default"/>
                <w:lang w:val="en-US" w:eastAsia="zh-CN"/>
              </w:rPr>
            </w:pPr>
            <w:r>
              <w:rPr>
                <w:rFonts w:hint="eastAsia"/>
                <w:lang w:val="en-US" w:eastAsia="zh-CN"/>
              </w:rPr>
              <w:t>2</w:t>
            </w:r>
          </w:p>
        </w:tc>
        <w:tc>
          <w:tcPr>
            <w:tcW w:w="444" w:type="pct"/>
            <w:shd w:val="clear" w:color="auto" w:fill="auto"/>
            <w:vAlign w:val="center"/>
          </w:tcPr>
          <w:p w14:paraId="76603A70">
            <w:pPr>
              <w:pStyle w:val="90"/>
              <w:rPr>
                <w:rFonts w:hint="eastAsia"/>
                <w:lang w:val="en-US" w:eastAsia="zh-CN"/>
              </w:rPr>
            </w:pPr>
            <w:r>
              <w:rPr>
                <w:rFonts w:hint="eastAsia"/>
                <w:lang w:val="en-US" w:eastAsia="zh-CN"/>
              </w:rPr>
              <w:t>增加2台</w:t>
            </w:r>
          </w:p>
        </w:tc>
      </w:tr>
      <w:tr w14:paraId="2F6051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54106370">
            <w:pPr>
              <w:pStyle w:val="90"/>
              <w:numPr>
                <w:ilvl w:val="0"/>
                <w:numId w:val="15"/>
              </w:numPr>
            </w:pPr>
          </w:p>
        </w:tc>
        <w:tc>
          <w:tcPr>
            <w:tcW w:w="788" w:type="pct"/>
            <w:shd w:val="clear" w:color="auto" w:fill="auto"/>
            <w:vAlign w:val="center"/>
          </w:tcPr>
          <w:p w14:paraId="18CB9930">
            <w:pPr>
              <w:pStyle w:val="90"/>
              <w:rPr>
                <w:rFonts w:hint="default"/>
                <w:lang w:val="en-US" w:eastAsia="zh-CN"/>
              </w:rPr>
            </w:pPr>
            <w:r>
              <w:rPr>
                <w:rFonts w:hint="eastAsia"/>
                <w:lang w:val="en-US" w:eastAsia="zh-CN"/>
              </w:rPr>
              <w:t>润滑油装车泵</w:t>
            </w:r>
          </w:p>
        </w:tc>
        <w:tc>
          <w:tcPr>
            <w:tcW w:w="1159" w:type="pct"/>
            <w:vMerge w:val="continue"/>
            <w:shd w:val="clear" w:color="auto" w:fill="auto"/>
            <w:vAlign w:val="center"/>
          </w:tcPr>
          <w:p w14:paraId="08232FF4">
            <w:pPr>
              <w:pStyle w:val="90"/>
              <w:rPr>
                <w:rFonts w:hint="eastAsia"/>
                <w:lang w:val="en-US" w:eastAsia="zh-CN"/>
              </w:rPr>
            </w:pPr>
          </w:p>
        </w:tc>
        <w:tc>
          <w:tcPr>
            <w:tcW w:w="1045" w:type="pct"/>
            <w:vMerge w:val="continue"/>
            <w:shd w:val="clear" w:color="auto" w:fill="auto"/>
            <w:vAlign w:val="center"/>
          </w:tcPr>
          <w:p w14:paraId="249E55A8">
            <w:pPr>
              <w:pStyle w:val="90"/>
              <w:rPr>
                <w:rFonts w:hint="eastAsia"/>
                <w:lang w:val="en-US" w:eastAsia="zh-CN"/>
              </w:rPr>
            </w:pPr>
          </w:p>
        </w:tc>
        <w:tc>
          <w:tcPr>
            <w:tcW w:w="376" w:type="pct"/>
            <w:vMerge w:val="continue"/>
            <w:shd w:val="clear" w:color="auto" w:fill="auto"/>
            <w:vAlign w:val="center"/>
          </w:tcPr>
          <w:p w14:paraId="314A9313">
            <w:pPr>
              <w:pStyle w:val="90"/>
              <w:rPr>
                <w:rFonts w:hint="eastAsia"/>
                <w:lang w:val="en-US" w:eastAsia="zh-CN"/>
              </w:rPr>
            </w:pPr>
          </w:p>
        </w:tc>
        <w:tc>
          <w:tcPr>
            <w:tcW w:w="422" w:type="pct"/>
            <w:shd w:val="clear" w:color="auto" w:fill="auto"/>
            <w:vAlign w:val="center"/>
          </w:tcPr>
          <w:p w14:paraId="633499C7">
            <w:pPr>
              <w:pStyle w:val="90"/>
              <w:rPr>
                <w:rFonts w:hint="default"/>
                <w:lang w:val="en-US" w:eastAsia="zh-CN"/>
              </w:rPr>
            </w:pPr>
            <w:r>
              <w:rPr>
                <w:rFonts w:hint="eastAsia"/>
                <w:lang w:val="en-US" w:eastAsia="zh-CN"/>
              </w:rPr>
              <w:t>0</w:t>
            </w:r>
          </w:p>
        </w:tc>
        <w:tc>
          <w:tcPr>
            <w:tcW w:w="498" w:type="pct"/>
            <w:shd w:val="clear" w:color="auto" w:fill="auto"/>
            <w:vAlign w:val="center"/>
          </w:tcPr>
          <w:p w14:paraId="065EAAD1">
            <w:pPr>
              <w:pStyle w:val="90"/>
              <w:rPr>
                <w:rFonts w:hint="default"/>
                <w:lang w:val="en-US" w:eastAsia="zh-CN"/>
              </w:rPr>
            </w:pPr>
            <w:r>
              <w:rPr>
                <w:rFonts w:hint="eastAsia"/>
                <w:lang w:val="en-US" w:eastAsia="zh-CN"/>
              </w:rPr>
              <w:t>4</w:t>
            </w:r>
          </w:p>
        </w:tc>
        <w:tc>
          <w:tcPr>
            <w:tcW w:w="444" w:type="pct"/>
            <w:shd w:val="clear" w:color="auto" w:fill="auto"/>
            <w:vAlign w:val="center"/>
          </w:tcPr>
          <w:p w14:paraId="0361A735">
            <w:pPr>
              <w:pStyle w:val="90"/>
              <w:rPr>
                <w:rFonts w:hint="eastAsia"/>
                <w:lang w:val="en-US" w:eastAsia="zh-CN"/>
              </w:rPr>
            </w:pPr>
            <w:r>
              <w:rPr>
                <w:rFonts w:hint="eastAsia"/>
                <w:lang w:val="en-US" w:eastAsia="zh-CN"/>
              </w:rPr>
              <w:t>增加4台</w:t>
            </w:r>
          </w:p>
        </w:tc>
      </w:tr>
      <w:tr w14:paraId="785D96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26595442">
            <w:pPr>
              <w:pStyle w:val="90"/>
              <w:numPr>
                <w:ilvl w:val="0"/>
                <w:numId w:val="15"/>
              </w:numPr>
            </w:pPr>
          </w:p>
        </w:tc>
        <w:tc>
          <w:tcPr>
            <w:tcW w:w="788" w:type="pct"/>
            <w:shd w:val="clear" w:color="auto" w:fill="auto"/>
            <w:vAlign w:val="center"/>
          </w:tcPr>
          <w:p w14:paraId="6C50863D">
            <w:pPr>
              <w:pStyle w:val="90"/>
              <w:rPr>
                <w:rFonts w:hint="default"/>
                <w:lang w:val="en-US" w:eastAsia="zh-CN"/>
              </w:rPr>
            </w:pPr>
            <w:r>
              <w:rPr>
                <w:rFonts w:hint="eastAsia"/>
                <w:lang w:val="en-US" w:eastAsia="zh-CN"/>
              </w:rPr>
              <w:t>导热油循环泵</w:t>
            </w:r>
          </w:p>
        </w:tc>
        <w:tc>
          <w:tcPr>
            <w:tcW w:w="1159" w:type="pct"/>
            <w:shd w:val="clear" w:color="auto" w:fill="auto"/>
            <w:vAlign w:val="center"/>
          </w:tcPr>
          <w:p w14:paraId="4D8B2B53">
            <w:pPr>
              <w:pStyle w:val="90"/>
              <w:rPr>
                <w:rFonts w:hint="default"/>
                <w:lang w:val="en-US" w:eastAsia="zh-CN"/>
              </w:rPr>
            </w:pPr>
            <w:r>
              <w:rPr>
                <w:rFonts w:hint="eastAsia"/>
                <w:lang w:val="en-US" w:eastAsia="zh-CN"/>
              </w:rPr>
              <w:t>/</w:t>
            </w:r>
          </w:p>
        </w:tc>
        <w:tc>
          <w:tcPr>
            <w:tcW w:w="1045" w:type="pct"/>
            <w:shd w:val="clear" w:color="auto" w:fill="auto"/>
            <w:vAlign w:val="center"/>
          </w:tcPr>
          <w:p w14:paraId="5A5A8565">
            <w:pPr>
              <w:pStyle w:val="90"/>
              <w:rPr>
                <w:rFonts w:hint="default"/>
                <w:lang w:val="en-US" w:eastAsia="zh-CN"/>
              </w:rPr>
            </w:pPr>
            <w:r>
              <w:rPr>
                <w:rFonts w:hint="eastAsia"/>
                <w:lang w:val="en-US" w:eastAsia="zh-CN"/>
              </w:rPr>
              <w:t>/</w:t>
            </w:r>
          </w:p>
        </w:tc>
        <w:tc>
          <w:tcPr>
            <w:tcW w:w="376" w:type="pct"/>
            <w:shd w:val="clear" w:color="auto" w:fill="auto"/>
            <w:vAlign w:val="center"/>
          </w:tcPr>
          <w:p w14:paraId="6742D7A4">
            <w:pPr>
              <w:pStyle w:val="90"/>
              <w:rPr>
                <w:rFonts w:hint="default"/>
                <w:lang w:val="en-US" w:eastAsia="zh-CN"/>
              </w:rPr>
            </w:pPr>
            <w:r>
              <w:rPr>
                <w:rFonts w:hint="eastAsia"/>
                <w:lang w:val="en-US" w:eastAsia="zh-CN"/>
              </w:rPr>
              <w:t>台</w:t>
            </w:r>
          </w:p>
        </w:tc>
        <w:tc>
          <w:tcPr>
            <w:tcW w:w="422" w:type="pct"/>
            <w:shd w:val="clear" w:color="auto" w:fill="auto"/>
            <w:vAlign w:val="center"/>
          </w:tcPr>
          <w:p w14:paraId="042BF0A8">
            <w:pPr>
              <w:pStyle w:val="90"/>
              <w:rPr>
                <w:rFonts w:hint="default"/>
                <w:lang w:val="en-US" w:eastAsia="zh-CN"/>
              </w:rPr>
            </w:pPr>
            <w:r>
              <w:rPr>
                <w:rFonts w:hint="eastAsia"/>
                <w:lang w:val="en-US" w:eastAsia="zh-CN"/>
              </w:rPr>
              <w:t>0</w:t>
            </w:r>
          </w:p>
        </w:tc>
        <w:tc>
          <w:tcPr>
            <w:tcW w:w="498" w:type="pct"/>
            <w:shd w:val="clear" w:color="auto" w:fill="auto"/>
            <w:vAlign w:val="center"/>
          </w:tcPr>
          <w:p w14:paraId="31D322C3">
            <w:pPr>
              <w:pStyle w:val="90"/>
              <w:rPr>
                <w:rFonts w:hint="default"/>
                <w:lang w:val="en-US" w:eastAsia="zh-CN"/>
              </w:rPr>
            </w:pPr>
            <w:r>
              <w:rPr>
                <w:rFonts w:hint="eastAsia"/>
                <w:lang w:val="en-US" w:eastAsia="zh-CN"/>
              </w:rPr>
              <w:t>2</w:t>
            </w:r>
          </w:p>
        </w:tc>
        <w:tc>
          <w:tcPr>
            <w:tcW w:w="444" w:type="pct"/>
            <w:shd w:val="clear" w:color="auto" w:fill="auto"/>
            <w:vAlign w:val="center"/>
          </w:tcPr>
          <w:p w14:paraId="5DC42C6D">
            <w:pPr>
              <w:pStyle w:val="90"/>
              <w:rPr>
                <w:rFonts w:hint="eastAsia"/>
                <w:lang w:val="en-US" w:eastAsia="zh-CN"/>
              </w:rPr>
            </w:pPr>
            <w:r>
              <w:rPr>
                <w:rFonts w:hint="eastAsia"/>
                <w:lang w:val="en-US" w:eastAsia="zh-CN"/>
              </w:rPr>
              <w:t>增加2台</w:t>
            </w:r>
          </w:p>
        </w:tc>
      </w:tr>
      <w:tr w14:paraId="31F9E1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2F92E817">
            <w:pPr>
              <w:pStyle w:val="90"/>
              <w:numPr>
                <w:ilvl w:val="0"/>
                <w:numId w:val="15"/>
              </w:numPr>
            </w:pPr>
          </w:p>
        </w:tc>
        <w:tc>
          <w:tcPr>
            <w:tcW w:w="788" w:type="pct"/>
            <w:shd w:val="clear" w:color="auto" w:fill="auto"/>
            <w:vAlign w:val="center"/>
          </w:tcPr>
          <w:p w14:paraId="392E87CB">
            <w:pPr>
              <w:pStyle w:val="90"/>
            </w:pPr>
            <w:r>
              <w:rPr>
                <w:rFonts w:hint="eastAsia"/>
              </w:rPr>
              <w:t>空压</w:t>
            </w:r>
            <w:r>
              <w:t>机组</w:t>
            </w:r>
          </w:p>
        </w:tc>
        <w:tc>
          <w:tcPr>
            <w:tcW w:w="1159" w:type="pct"/>
            <w:shd w:val="clear" w:color="auto" w:fill="auto"/>
            <w:vAlign w:val="center"/>
          </w:tcPr>
          <w:p w14:paraId="214AF10D">
            <w:pPr>
              <w:pStyle w:val="90"/>
            </w:pPr>
            <w:r>
              <w:t>1级WLWF-200（15KW），</w:t>
            </w:r>
          </w:p>
          <w:p w14:paraId="012BF6F7">
            <w:pPr>
              <w:pStyle w:val="90"/>
            </w:pPr>
            <w:r>
              <w:t>2级、ZJ-300（4KW），</w:t>
            </w:r>
          </w:p>
          <w:p w14:paraId="4F737AFB">
            <w:pPr>
              <w:pStyle w:val="90"/>
            </w:pPr>
            <w:r>
              <w:t>3级ZJ-300（4KW）</w:t>
            </w:r>
          </w:p>
        </w:tc>
        <w:tc>
          <w:tcPr>
            <w:tcW w:w="1045" w:type="pct"/>
            <w:shd w:val="clear" w:color="auto" w:fill="auto"/>
            <w:vAlign w:val="center"/>
          </w:tcPr>
          <w:p w14:paraId="75A5F119">
            <w:pPr>
              <w:pStyle w:val="90"/>
              <w:rPr>
                <w:rFonts w:hint="default" w:eastAsia="宋体"/>
                <w:vertAlign w:val="baseline"/>
                <w:lang w:val="en-US" w:eastAsia="zh-CN"/>
              </w:rPr>
            </w:pPr>
            <w:r>
              <w:rPr>
                <w:rFonts w:hint="eastAsia"/>
                <w:lang w:val="en-US" w:eastAsia="zh-CN"/>
              </w:rPr>
              <w:t>GY10，容量1.2m</w:t>
            </w:r>
            <w:r>
              <w:rPr>
                <w:rFonts w:hint="eastAsia"/>
                <w:vertAlign w:val="superscript"/>
                <w:lang w:val="en-US" w:eastAsia="zh-CN"/>
              </w:rPr>
              <w:t>3</w:t>
            </w:r>
            <w:r>
              <w:rPr>
                <w:rFonts w:hint="eastAsia"/>
                <w:vertAlign w:val="baseline"/>
                <w:lang w:val="en-US" w:eastAsia="zh-CN"/>
              </w:rPr>
              <w:t>/min排气压力0.8-1.1MPa</w:t>
            </w:r>
          </w:p>
        </w:tc>
        <w:tc>
          <w:tcPr>
            <w:tcW w:w="376" w:type="pct"/>
            <w:shd w:val="clear" w:color="auto" w:fill="auto"/>
            <w:vAlign w:val="center"/>
          </w:tcPr>
          <w:p w14:paraId="1039D21B">
            <w:pPr>
              <w:pStyle w:val="90"/>
            </w:pPr>
            <w:r>
              <w:rPr>
                <w:rFonts w:hint="eastAsia"/>
              </w:rPr>
              <w:t>套</w:t>
            </w:r>
          </w:p>
        </w:tc>
        <w:tc>
          <w:tcPr>
            <w:tcW w:w="422" w:type="pct"/>
            <w:shd w:val="clear" w:color="auto" w:fill="auto"/>
            <w:vAlign w:val="center"/>
          </w:tcPr>
          <w:p w14:paraId="47974381">
            <w:pPr>
              <w:pStyle w:val="90"/>
            </w:pPr>
            <w:r>
              <w:rPr>
                <w:rFonts w:hint="eastAsia"/>
              </w:rPr>
              <w:t>6</w:t>
            </w:r>
          </w:p>
        </w:tc>
        <w:tc>
          <w:tcPr>
            <w:tcW w:w="498" w:type="pct"/>
            <w:shd w:val="clear" w:color="auto" w:fill="auto"/>
            <w:vAlign w:val="center"/>
          </w:tcPr>
          <w:p w14:paraId="29791044">
            <w:pPr>
              <w:pStyle w:val="90"/>
              <w:rPr>
                <w:rFonts w:hint="eastAsia" w:eastAsia="宋体"/>
                <w:lang w:val="en-US" w:eastAsia="zh-CN"/>
              </w:rPr>
            </w:pPr>
            <w:r>
              <w:rPr>
                <w:rFonts w:hint="eastAsia"/>
                <w:lang w:val="en-US" w:eastAsia="zh-CN"/>
              </w:rPr>
              <w:t>2</w:t>
            </w:r>
          </w:p>
        </w:tc>
        <w:tc>
          <w:tcPr>
            <w:tcW w:w="444" w:type="pct"/>
            <w:shd w:val="clear" w:color="auto" w:fill="auto"/>
            <w:vAlign w:val="center"/>
          </w:tcPr>
          <w:p w14:paraId="214DBE3A">
            <w:pPr>
              <w:pStyle w:val="90"/>
              <w:rPr>
                <w:rFonts w:hint="default" w:eastAsia="宋体"/>
                <w:lang w:val="en-US" w:eastAsia="zh-CN"/>
              </w:rPr>
            </w:pPr>
            <w:r>
              <w:rPr>
                <w:rFonts w:hint="eastAsia"/>
                <w:lang w:val="en-US" w:eastAsia="zh-CN"/>
              </w:rPr>
              <w:t>减少4套</w:t>
            </w:r>
          </w:p>
        </w:tc>
      </w:tr>
      <w:tr w14:paraId="4D2C19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16F4AC72">
            <w:pPr>
              <w:pStyle w:val="90"/>
              <w:numPr>
                <w:ilvl w:val="0"/>
                <w:numId w:val="15"/>
              </w:numPr>
            </w:pPr>
          </w:p>
        </w:tc>
        <w:tc>
          <w:tcPr>
            <w:tcW w:w="788" w:type="pct"/>
            <w:shd w:val="clear" w:color="auto" w:fill="auto"/>
            <w:vAlign w:val="center"/>
          </w:tcPr>
          <w:p w14:paraId="06BFFB09">
            <w:pPr>
              <w:pStyle w:val="90"/>
            </w:pPr>
            <w:r>
              <w:rPr>
                <w:rFonts w:hint="eastAsia"/>
              </w:rPr>
              <w:t>装置区产品外送泵</w:t>
            </w:r>
          </w:p>
        </w:tc>
        <w:tc>
          <w:tcPr>
            <w:tcW w:w="1159" w:type="pct"/>
            <w:shd w:val="clear" w:color="auto" w:fill="auto"/>
            <w:vAlign w:val="center"/>
          </w:tcPr>
          <w:p w14:paraId="490021D6">
            <w:pPr>
              <w:pStyle w:val="90"/>
            </w:pPr>
            <w:r>
              <w:t>ZAII40-200C，50m</w:t>
            </w:r>
            <w:r>
              <w:rPr>
                <w:vertAlign w:val="superscript"/>
              </w:rPr>
              <w:t>3</w:t>
            </w:r>
            <w:r>
              <w:t>/h</w:t>
            </w:r>
          </w:p>
        </w:tc>
        <w:tc>
          <w:tcPr>
            <w:tcW w:w="1045" w:type="pct"/>
            <w:shd w:val="clear" w:color="auto" w:fill="auto"/>
            <w:vAlign w:val="center"/>
          </w:tcPr>
          <w:p w14:paraId="042CC5A1">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39DEC33D">
            <w:pPr>
              <w:pStyle w:val="90"/>
            </w:pPr>
            <w:r>
              <w:rPr>
                <w:rFonts w:hint="eastAsia"/>
              </w:rPr>
              <w:t>台</w:t>
            </w:r>
          </w:p>
        </w:tc>
        <w:tc>
          <w:tcPr>
            <w:tcW w:w="422" w:type="pct"/>
            <w:shd w:val="clear" w:color="auto" w:fill="auto"/>
            <w:vAlign w:val="center"/>
          </w:tcPr>
          <w:p w14:paraId="6B4322B1">
            <w:pPr>
              <w:pStyle w:val="90"/>
            </w:pPr>
            <w:r>
              <w:rPr>
                <w:rFonts w:hint="eastAsia"/>
              </w:rPr>
              <w:t>2</w:t>
            </w:r>
          </w:p>
        </w:tc>
        <w:tc>
          <w:tcPr>
            <w:tcW w:w="942" w:type="pct"/>
            <w:gridSpan w:val="2"/>
            <w:vMerge w:val="restart"/>
            <w:shd w:val="clear" w:color="auto" w:fill="auto"/>
            <w:vAlign w:val="center"/>
          </w:tcPr>
          <w:p w14:paraId="34840154">
            <w:pPr>
              <w:pStyle w:val="90"/>
            </w:pPr>
            <w:r>
              <w:rPr>
                <w:rFonts w:hint="eastAsia"/>
                <w:lang w:val="en-US" w:eastAsia="zh-CN"/>
              </w:rPr>
              <w:t>已建成内容中无相关设备</w:t>
            </w:r>
          </w:p>
        </w:tc>
      </w:tr>
      <w:tr w14:paraId="49CCAB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16C3FC27">
            <w:pPr>
              <w:pStyle w:val="90"/>
              <w:numPr>
                <w:ilvl w:val="0"/>
                <w:numId w:val="15"/>
              </w:numPr>
            </w:pPr>
          </w:p>
        </w:tc>
        <w:tc>
          <w:tcPr>
            <w:tcW w:w="788" w:type="pct"/>
            <w:shd w:val="clear" w:color="auto" w:fill="auto"/>
          </w:tcPr>
          <w:p w14:paraId="479663D0">
            <w:pPr>
              <w:pStyle w:val="90"/>
            </w:pPr>
            <w:r>
              <w:t>装置进料泵</w:t>
            </w:r>
          </w:p>
        </w:tc>
        <w:tc>
          <w:tcPr>
            <w:tcW w:w="1159" w:type="pct"/>
            <w:shd w:val="clear" w:color="auto" w:fill="auto"/>
          </w:tcPr>
          <w:p w14:paraId="42A827E3">
            <w:pPr>
              <w:pStyle w:val="90"/>
            </w:pPr>
            <w:r>
              <w:t>JQB-50，50m</w:t>
            </w:r>
            <w:r>
              <w:rPr>
                <w:vertAlign w:val="superscript"/>
              </w:rPr>
              <w:t>3</w:t>
            </w:r>
            <w:r>
              <w:t>/h</w:t>
            </w:r>
          </w:p>
        </w:tc>
        <w:tc>
          <w:tcPr>
            <w:tcW w:w="1045" w:type="pct"/>
            <w:shd w:val="clear" w:color="auto" w:fill="auto"/>
          </w:tcPr>
          <w:p w14:paraId="292D107D">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04DF116C">
            <w:pPr>
              <w:pStyle w:val="90"/>
            </w:pPr>
            <w:r>
              <w:t>台</w:t>
            </w:r>
          </w:p>
        </w:tc>
        <w:tc>
          <w:tcPr>
            <w:tcW w:w="422" w:type="pct"/>
            <w:shd w:val="clear" w:color="auto" w:fill="auto"/>
            <w:vAlign w:val="center"/>
          </w:tcPr>
          <w:p w14:paraId="714D2906">
            <w:pPr>
              <w:pStyle w:val="90"/>
            </w:pPr>
            <w:r>
              <w:t>2</w:t>
            </w:r>
          </w:p>
        </w:tc>
        <w:tc>
          <w:tcPr>
            <w:tcW w:w="942" w:type="pct"/>
            <w:gridSpan w:val="2"/>
            <w:vMerge w:val="continue"/>
            <w:shd w:val="clear" w:color="auto" w:fill="auto"/>
            <w:vAlign w:val="center"/>
          </w:tcPr>
          <w:p w14:paraId="2AEDD35D">
            <w:pPr>
              <w:pStyle w:val="90"/>
            </w:pPr>
          </w:p>
        </w:tc>
      </w:tr>
      <w:tr w14:paraId="3FC46E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26F6E3F6">
            <w:pPr>
              <w:pStyle w:val="90"/>
              <w:numPr>
                <w:ilvl w:val="0"/>
                <w:numId w:val="15"/>
              </w:numPr>
            </w:pPr>
          </w:p>
        </w:tc>
        <w:tc>
          <w:tcPr>
            <w:tcW w:w="788" w:type="pct"/>
            <w:shd w:val="clear" w:color="auto" w:fill="auto"/>
            <w:vAlign w:val="center"/>
          </w:tcPr>
          <w:p w14:paraId="5EABB0AA">
            <w:pPr>
              <w:pStyle w:val="90"/>
            </w:pPr>
            <w:r>
              <w:t>重油出货泵</w:t>
            </w:r>
          </w:p>
        </w:tc>
        <w:tc>
          <w:tcPr>
            <w:tcW w:w="1159" w:type="pct"/>
            <w:shd w:val="clear" w:color="auto" w:fill="auto"/>
            <w:vAlign w:val="center"/>
          </w:tcPr>
          <w:p w14:paraId="4941160D">
            <w:pPr>
              <w:pStyle w:val="90"/>
            </w:pPr>
            <w:r>
              <w:t>JQB-50，50m</w:t>
            </w:r>
            <w:r>
              <w:rPr>
                <w:vertAlign w:val="superscript"/>
              </w:rPr>
              <w:t>3</w:t>
            </w:r>
            <w:r>
              <w:t>/h</w:t>
            </w:r>
          </w:p>
        </w:tc>
        <w:tc>
          <w:tcPr>
            <w:tcW w:w="1045" w:type="pct"/>
            <w:shd w:val="clear" w:color="auto" w:fill="auto"/>
            <w:vAlign w:val="center"/>
          </w:tcPr>
          <w:p w14:paraId="1E3D5E7B">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395059E2">
            <w:pPr>
              <w:pStyle w:val="90"/>
            </w:pPr>
            <w:r>
              <w:rPr>
                <w:rFonts w:hint="eastAsia"/>
              </w:rPr>
              <w:t>台</w:t>
            </w:r>
          </w:p>
        </w:tc>
        <w:tc>
          <w:tcPr>
            <w:tcW w:w="422" w:type="pct"/>
            <w:shd w:val="clear" w:color="auto" w:fill="auto"/>
            <w:vAlign w:val="center"/>
          </w:tcPr>
          <w:p w14:paraId="0475C468">
            <w:pPr>
              <w:pStyle w:val="90"/>
            </w:pPr>
            <w:r>
              <w:t>2</w:t>
            </w:r>
          </w:p>
        </w:tc>
        <w:tc>
          <w:tcPr>
            <w:tcW w:w="942" w:type="pct"/>
            <w:gridSpan w:val="2"/>
            <w:vMerge w:val="continue"/>
            <w:shd w:val="clear" w:color="auto" w:fill="auto"/>
            <w:vAlign w:val="center"/>
          </w:tcPr>
          <w:p w14:paraId="0883605B">
            <w:pPr>
              <w:pStyle w:val="90"/>
              <w:rPr>
                <w:rFonts w:eastAsia="Times New Roman"/>
              </w:rPr>
            </w:pPr>
          </w:p>
        </w:tc>
      </w:tr>
      <w:tr w14:paraId="6EA2C2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508D11F9">
            <w:pPr>
              <w:pStyle w:val="90"/>
              <w:numPr>
                <w:ilvl w:val="0"/>
                <w:numId w:val="15"/>
              </w:numPr>
            </w:pPr>
          </w:p>
        </w:tc>
        <w:tc>
          <w:tcPr>
            <w:tcW w:w="788" w:type="pct"/>
            <w:shd w:val="clear" w:color="auto" w:fill="auto"/>
            <w:vAlign w:val="center"/>
          </w:tcPr>
          <w:p w14:paraId="28E6DC95">
            <w:pPr>
              <w:pStyle w:val="90"/>
            </w:pPr>
            <w:r>
              <w:t>卸车泵</w:t>
            </w:r>
          </w:p>
        </w:tc>
        <w:tc>
          <w:tcPr>
            <w:tcW w:w="1159" w:type="pct"/>
            <w:shd w:val="clear" w:color="auto" w:fill="auto"/>
            <w:vAlign w:val="center"/>
          </w:tcPr>
          <w:p w14:paraId="3B005BDD">
            <w:pPr>
              <w:pStyle w:val="90"/>
            </w:pPr>
            <w:r>
              <w:t>LCB-100，50 m</w:t>
            </w:r>
            <w:r>
              <w:rPr>
                <w:vertAlign w:val="superscript"/>
              </w:rPr>
              <w:t>3</w:t>
            </w:r>
            <w:r>
              <w:t>/h</w:t>
            </w:r>
          </w:p>
        </w:tc>
        <w:tc>
          <w:tcPr>
            <w:tcW w:w="1045" w:type="pct"/>
            <w:shd w:val="clear" w:color="auto" w:fill="auto"/>
            <w:vAlign w:val="center"/>
          </w:tcPr>
          <w:p w14:paraId="29B36E3F">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6140041D">
            <w:pPr>
              <w:pStyle w:val="90"/>
            </w:pPr>
            <w:r>
              <w:rPr>
                <w:rFonts w:hint="eastAsia"/>
              </w:rPr>
              <w:t>台</w:t>
            </w:r>
          </w:p>
        </w:tc>
        <w:tc>
          <w:tcPr>
            <w:tcW w:w="422" w:type="pct"/>
            <w:shd w:val="clear" w:color="auto" w:fill="auto"/>
            <w:vAlign w:val="center"/>
          </w:tcPr>
          <w:p w14:paraId="0E603874">
            <w:pPr>
              <w:pStyle w:val="90"/>
            </w:pPr>
            <w:r>
              <w:t>2</w:t>
            </w:r>
          </w:p>
        </w:tc>
        <w:tc>
          <w:tcPr>
            <w:tcW w:w="942" w:type="pct"/>
            <w:gridSpan w:val="2"/>
            <w:vMerge w:val="continue"/>
            <w:shd w:val="clear" w:color="auto" w:fill="auto"/>
            <w:vAlign w:val="center"/>
          </w:tcPr>
          <w:p w14:paraId="0D0DD69D">
            <w:pPr>
              <w:pStyle w:val="90"/>
              <w:rPr>
                <w:rFonts w:eastAsia="Times New Roman"/>
              </w:rPr>
            </w:pPr>
          </w:p>
        </w:tc>
      </w:tr>
      <w:tr w14:paraId="35940E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703E19C8">
            <w:pPr>
              <w:pStyle w:val="90"/>
              <w:numPr>
                <w:ilvl w:val="0"/>
                <w:numId w:val="15"/>
              </w:numPr>
            </w:pPr>
          </w:p>
        </w:tc>
        <w:tc>
          <w:tcPr>
            <w:tcW w:w="788" w:type="pct"/>
            <w:shd w:val="clear" w:color="auto" w:fill="auto"/>
            <w:vAlign w:val="center"/>
          </w:tcPr>
          <w:p w14:paraId="3125D101">
            <w:pPr>
              <w:pStyle w:val="90"/>
            </w:pPr>
            <w:r>
              <w:t>产品倒油出货泵</w:t>
            </w:r>
          </w:p>
        </w:tc>
        <w:tc>
          <w:tcPr>
            <w:tcW w:w="1159" w:type="pct"/>
            <w:shd w:val="clear" w:color="auto" w:fill="auto"/>
            <w:vAlign w:val="center"/>
          </w:tcPr>
          <w:p w14:paraId="478A5E07">
            <w:pPr>
              <w:pStyle w:val="90"/>
            </w:pPr>
            <w:r>
              <w:t>KCB960，50 m</w:t>
            </w:r>
            <w:r>
              <w:rPr>
                <w:vertAlign w:val="superscript"/>
              </w:rPr>
              <w:t>3</w:t>
            </w:r>
            <w:r>
              <w:t>/h</w:t>
            </w:r>
          </w:p>
        </w:tc>
        <w:tc>
          <w:tcPr>
            <w:tcW w:w="1045" w:type="pct"/>
            <w:shd w:val="clear" w:color="auto" w:fill="auto"/>
            <w:vAlign w:val="center"/>
          </w:tcPr>
          <w:p w14:paraId="4D2626CA">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53306184">
            <w:pPr>
              <w:pStyle w:val="90"/>
            </w:pPr>
            <w:r>
              <w:rPr>
                <w:rFonts w:hint="eastAsia"/>
              </w:rPr>
              <w:t>台</w:t>
            </w:r>
          </w:p>
        </w:tc>
        <w:tc>
          <w:tcPr>
            <w:tcW w:w="422" w:type="pct"/>
            <w:shd w:val="clear" w:color="auto" w:fill="auto"/>
            <w:vAlign w:val="center"/>
          </w:tcPr>
          <w:p w14:paraId="7716509E">
            <w:pPr>
              <w:pStyle w:val="90"/>
            </w:pPr>
            <w:r>
              <w:t>2</w:t>
            </w:r>
          </w:p>
        </w:tc>
        <w:tc>
          <w:tcPr>
            <w:tcW w:w="942" w:type="pct"/>
            <w:gridSpan w:val="2"/>
            <w:vMerge w:val="continue"/>
            <w:shd w:val="clear" w:color="auto" w:fill="auto"/>
            <w:vAlign w:val="center"/>
          </w:tcPr>
          <w:p w14:paraId="3ADD6654">
            <w:pPr>
              <w:pStyle w:val="90"/>
              <w:rPr>
                <w:rFonts w:eastAsia="Times New Roman"/>
              </w:rPr>
            </w:pPr>
          </w:p>
        </w:tc>
      </w:tr>
      <w:tr w14:paraId="67A975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34C4B38C">
            <w:pPr>
              <w:pStyle w:val="90"/>
              <w:numPr>
                <w:ilvl w:val="0"/>
                <w:numId w:val="15"/>
              </w:numPr>
            </w:pPr>
          </w:p>
        </w:tc>
        <w:tc>
          <w:tcPr>
            <w:tcW w:w="788" w:type="pct"/>
            <w:shd w:val="clear" w:color="auto" w:fill="auto"/>
            <w:vAlign w:val="center"/>
          </w:tcPr>
          <w:p w14:paraId="4C2CC198">
            <w:pPr>
              <w:pStyle w:val="90"/>
            </w:pPr>
            <w:r>
              <w:t>产品倒油出货泵</w:t>
            </w:r>
          </w:p>
        </w:tc>
        <w:tc>
          <w:tcPr>
            <w:tcW w:w="1159" w:type="pct"/>
            <w:shd w:val="clear" w:color="auto" w:fill="auto"/>
            <w:vAlign w:val="center"/>
          </w:tcPr>
          <w:p w14:paraId="701C04A0">
            <w:pPr>
              <w:pStyle w:val="90"/>
            </w:pPr>
            <w:r>
              <w:t>JQB-50，50 m</w:t>
            </w:r>
            <w:r>
              <w:rPr>
                <w:vertAlign w:val="superscript"/>
              </w:rPr>
              <w:t>3</w:t>
            </w:r>
            <w:r>
              <w:t>/h</w:t>
            </w:r>
          </w:p>
        </w:tc>
        <w:tc>
          <w:tcPr>
            <w:tcW w:w="1045" w:type="pct"/>
            <w:shd w:val="clear" w:color="auto" w:fill="auto"/>
            <w:vAlign w:val="center"/>
          </w:tcPr>
          <w:p w14:paraId="248A306B">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47402A3A">
            <w:pPr>
              <w:pStyle w:val="90"/>
            </w:pPr>
            <w:r>
              <w:rPr>
                <w:rFonts w:hint="eastAsia"/>
              </w:rPr>
              <w:t>台</w:t>
            </w:r>
          </w:p>
        </w:tc>
        <w:tc>
          <w:tcPr>
            <w:tcW w:w="422" w:type="pct"/>
            <w:shd w:val="clear" w:color="auto" w:fill="auto"/>
            <w:vAlign w:val="center"/>
          </w:tcPr>
          <w:p w14:paraId="6B50A722">
            <w:pPr>
              <w:pStyle w:val="90"/>
            </w:pPr>
            <w:r>
              <w:t>2</w:t>
            </w:r>
          </w:p>
        </w:tc>
        <w:tc>
          <w:tcPr>
            <w:tcW w:w="942" w:type="pct"/>
            <w:gridSpan w:val="2"/>
            <w:vMerge w:val="continue"/>
            <w:shd w:val="clear" w:color="auto" w:fill="auto"/>
            <w:vAlign w:val="center"/>
          </w:tcPr>
          <w:p w14:paraId="45076AF2">
            <w:pPr>
              <w:pStyle w:val="90"/>
              <w:rPr>
                <w:rFonts w:eastAsia="Times New Roman"/>
              </w:rPr>
            </w:pPr>
          </w:p>
        </w:tc>
      </w:tr>
      <w:tr w14:paraId="6EDDB7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4D51C1BB">
            <w:pPr>
              <w:pStyle w:val="90"/>
              <w:numPr>
                <w:ilvl w:val="0"/>
                <w:numId w:val="15"/>
              </w:numPr>
            </w:pPr>
          </w:p>
        </w:tc>
        <w:tc>
          <w:tcPr>
            <w:tcW w:w="788" w:type="pct"/>
            <w:shd w:val="clear" w:color="auto" w:fill="auto"/>
            <w:vAlign w:val="center"/>
          </w:tcPr>
          <w:p w14:paraId="4FEB519B">
            <w:pPr>
              <w:pStyle w:val="90"/>
            </w:pPr>
            <w:r>
              <w:t>换热泵</w:t>
            </w:r>
          </w:p>
        </w:tc>
        <w:tc>
          <w:tcPr>
            <w:tcW w:w="1159" w:type="pct"/>
            <w:shd w:val="clear" w:color="auto" w:fill="auto"/>
            <w:vAlign w:val="center"/>
          </w:tcPr>
          <w:p w14:paraId="6A6C4DE7">
            <w:pPr>
              <w:pStyle w:val="90"/>
            </w:pPr>
            <w:r>
              <w:t>ZEII50-200C，35 m</w:t>
            </w:r>
            <w:r>
              <w:rPr>
                <w:vertAlign w:val="superscript"/>
              </w:rPr>
              <w:t>3</w:t>
            </w:r>
            <w:r>
              <w:t>/h</w:t>
            </w:r>
          </w:p>
        </w:tc>
        <w:tc>
          <w:tcPr>
            <w:tcW w:w="1045" w:type="pct"/>
            <w:shd w:val="clear" w:color="auto" w:fill="auto"/>
            <w:vAlign w:val="center"/>
          </w:tcPr>
          <w:p w14:paraId="6BB25CC1">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7C3B4C43">
            <w:pPr>
              <w:pStyle w:val="90"/>
            </w:pPr>
            <w:r>
              <w:rPr>
                <w:rFonts w:hint="eastAsia"/>
              </w:rPr>
              <w:t>台</w:t>
            </w:r>
          </w:p>
        </w:tc>
        <w:tc>
          <w:tcPr>
            <w:tcW w:w="422" w:type="pct"/>
            <w:shd w:val="clear" w:color="auto" w:fill="auto"/>
            <w:vAlign w:val="center"/>
          </w:tcPr>
          <w:p w14:paraId="3983A5AF">
            <w:pPr>
              <w:pStyle w:val="90"/>
            </w:pPr>
            <w:r>
              <w:t>9</w:t>
            </w:r>
          </w:p>
        </w:tc>
        <w:tc>
          <w:tcPr>
            <w:tcW w:w="942" w:type="pct"/>
            <w:gridSpan w:val="2"/>
            <w:vMerge w:val="continue"/>
            <w:shd w:val="clear" w:color="auto" w:fill="auto"/>
            <w:vAlign w:val="center"/>
          </w:tcPr>
          <w:p w14:paraId="035A82CD">
            <w:pPr>
              <w:pStyle w:val="90"/>
              <w:rPr>
                <w:rFonts w:eastAsia="Times New Roman"/>
              </w:rPr>
            </w:pPr>
          </w:p>
        </w:tc>
      </w:tr>
      <w:tr w14:paraId="57CBE5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003C5448">
            <w:pPr>
              <w:pStyle w:val="90"/>
              <w:numPr>
                <w:ilvl w:val="0"/>
                <w:numId w:val="15"/>
              </w:numPr>
            </w:pPr>
          </w:p>
        </w:tc>
        <w:tc>
          <w:tcPr>
            <w:tcW w:w="788" w:type="pct"/>
            <w:shd w:val="clear" w:color="auto" w:fill="auto"/>
            <w:vAlign w:val="center"/>
          </w:tcPr>
          <w:p w14:paraId="59ED103C">
            <w:pPr>
              <w:pStyle w:val="90"/>
            </w:pPr>
            <w:r>
              <w:t>变压吸附制氮机组</w:t>
            </w:r>
          </w:p>
        </w:tc>
        <w:tc>
          <w:tcPr>
            <w:tcW w:w="1159" w:type="pct"/>
            <w:shd w:val="clear" w:color="auto" w:fill="auto"/>
            <w:vAlign w:val="center"/>
          </w:tcPr>
          <w:p w14:paraId="02AACAA2">
            <w:pPr>
              <w:pStyle w:val="90"/>
              <w:rPr>
                <w:rFonts w:eastAsia="Times New Roman"/>
              </w:rPr>
            </w:pPr>
            <w:r>
              <w:t>JYXPN880/39（39KW）</w:t>
            </w:r>
          </w:p>
        </w:tc>
        <w:tc>
          <w:tcPr>
            <w:tcW w:w="1045" w:type="pct"/>
            <w:shd w:val="clear" w:color="auto" w:fill="auto"/>
            <w:vAlign w:val="center"/>
          </w:tcPr>
          <w:p w14:paraId="2A00AE7E">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3FF823B4">
            <w:pPr>
              <w:pStyle w:val="90"/>
            </w:pPr>
            <w:r>
              <w:t>套</w:t>
            </w:r>
          </w:p>
        </w:tc>
        <w:tc>
          <w:tcPr>
            <w:tcW w:w="422" w:type="pct"/>
            <w:shd w:val="clear" w:color="auto" w:fill="auto"/>
            <w:vAlign w:val="center"/>
          </w:tcPr>
          <w:p w14:paraId="7D02AA83">
            <w:pPr>
              <w:pStyle w:val="90"/>
            </w:pPr>
            <w:r>
              <w:t>1</w:t>
            </w:r>
          </w:p>
        </w:tc>
        <w:tc>
          <w:tcPr>
            <w:tcW w:w="942" w:type="pct"/>
            <w:gridSpan w:val="2"/>
            <w:vMerge w:val="continue"/>
            <w:shd w:val="clear" w:color="auto" w:fill="auto"/>
            <w:vAlign w:val="center"/>
          </w:tcPr>
          <w:p w14:paraId="7C08A1A9">
            <w:pPr>
              <w:pStyle w:val="90"/>
              <w:rPr>
                <w:rFonts w:eastAsia="Times New Roman"/>
              </w:rPr>
            </w:pPr>
          </w:p>
        </w:tc>
      </w:tr>
      <w:tr w14:paraId="61BAA0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66" w:type="pct"/>
            <w:shd w:val="clear" w:color="auto" w:fill="auto"/>
            <w:vAlign w:val="center"/>
          </w:tcPr>
          <w:p w14:paraId="3B7C0E0F">
            <w:pPr>
              <w:pStyle w:val="90"/>
              <w:numPr>
                <w:ilvl w:val="0"/>
                <w:numId w:val="15"/>
              </w:numPr>
            </w:pPr>
          </w:p>
        </w:tc>
        <w:tc>
          <w:tcPr>
            <w:tcW w:w="788" w:type="pct"/>
            <w:shd w:val="clear" w:color="auto" w:fill="auto"/>
            <w:vAlign w:val="center"/>
          </w:tcPr>
          <w:p w14:paraId="0200D642">
            <w:pPr>
              <w:pStyle w:val="90"/>
            </w:pPr>
            <w:r>
              <w:t>消防水罐</w:t>
            </w:r>
          </w:p>
        </w:tc>
        <w:tc>
          <w:tcPr>
            <w:tcW w:w="1159" w:type="pct"/>
            <w:shd w:val="clear" w:color="auto" w:fill="auto"/>
            <w:vAlign w:val="center"/>
          </w:tcPr>
          <w:p w14:paraId="57611DD1">
            <w:pPr>
              <w:pStyle w:val="90"/>
            </w:pPr>
            <w:r>
              <w:t>Φ9000×H9500</w:t>
            </w:r>
          </w:p>
        </w:tc>
        <w:tc>
          <w:tcPr>
            <w:tcW w:w="1045" w:type="pct"/>
            <w:shd w:val="clear" w:color="auto" w:fill="auto"/>
            <w:vAlign w:val="center"/>
          </w:tcPr>
          <w:p w14:paraId="4B660C3A">
            <w:pPr>
              <w:pStyle w:val="90"/>
              <w:rPr>
                <w:rFonts w:hint="eastAsia" w:eastAsia="宋体"/>
                <w:lang w:val="en-US" w:eastAsia="zh-CN"/>
              </w:rPr>
            </w:pPr>
            <w:r>
              <w:rPr>
                <w:rFonts w:hint="eastAsia"/>
                <w:lang w:val="en-US" w:eastAsia="zh-CN"/>
              </w:rPr>
              <w:t>/</w:t>
            </w:r>
          </w:p>
        </w:tc>
        <w:tc>
          <w:tcPr>
            <w:tcW w:w="376" w:type="pct"/>
            <w:shd w:val="clear" w:color="auto" w:fill="auto"/>
            <w:vAlign w:val="center"/>
          </w:tcPr>
          <w:p w14:paraId="518DBF87">
            <w:pPr>
              <w:pStyle w:val="90"/>
            </w:pPr>
            <w:r>
              <w:t>个</w:t>
            </w:r>
          </w:p>
        </w:tc>
        <w:tc>
          <w:tcPr>
            <w:tcW w:w="422" w:type="pct"/>
            <w:shd w:val="clear" w:color="auto" w:fill="auto"/>
            <w:vAlign w:val="center"/>
          </w:tcPr>
          <w:p w14:paraId="2A872157">
            <w:pPr>
              <w:pStyle w:val="90"/>
            </w:pPr>
            <w:r>
              <w:t>2</w:t>
            </w:r>
          </w:p>
        </w:tc>
        <w:tc>
          <w:tcPr>
            <w:tcW w:w="498" w:type="pct"/>
            <w:shd w:val="clear" w:color="auto" w:fill="auto"/>
            <w:vAlign w:val="center"/>
          </w:tcPr>
          <w:p w14:paraId="6909EBB6">
            <w:pPr>
              <w:pStyle w:val="90"/>
              <w:rPr>
                <w:rFonts w:hint="eastAsia" w:eastAsia="宋体"/>
                <w:lang w:val="en-US" w:eastAsia="zh-CN"/>
              </w:rPr>
            </w:pPr>
            <w:r>
              <w:rPr>
                <w:rFonts w:hint="eastAsia"/>
                <w:lang w:val="en-US" w:eastAsia="zh-CN"/>
              </w:rPr>
              <w:t>2</w:t>
            </w:r>
          </w:p>
        </w:tc>
        <w:tc>
          <w:tcPr>
            <w:tcW w:w="444" w:type="pct"/>
            <w:shd w:val="clear" w:color="auto" w:fill="auto"/>
            <w:vAlign w:val="center"/>
          </w:tcPr>
          <w:p w14:paraId="3BBD8872">
            <w:pPr>
              <w:pStyle w:val="90"/>
              <w:rPr>
                <w:rFonts w:hint="eastAsia" w:eastAsia="宋体"/>
                <w:vertAlign w:val="superscript"/>
                <w:lang w:val="en-US" w:eastAsia="zh-CN"/>
              </w:rPr>
            </w:pPr>
            <w:r>
              <w:rPr>
                <w:rFonts w:hint="eastAsia"/>
                <w:vertAlign w:val="baseline"/>
                <w:lang w:val="en-US" w:eastAsia="zh-CN"/>
              </w:rPr>
              <w:t>一致</w:t>
            </w:r>
          </w:p>
        </w:tc>
      </w:tr>
    </w:tbl>
    <w:p w14:paraId="50E1229D">
      <w:pPr>
        <w:pStyle w:val="47"/>
        <w:spacing w:before="65"/>
      </w:pPr>
      <w:bookmarkStart w:id="163" w:name="_Toc79515427"/>
      <w:bookmarkStart w:id="164" w:name="_Toc81214050"/>
      <w:bookmarkStart w:id="165" w:name="_Toc82518732"/>
      <w:bookmarkStart w:id="166" w:name="_Toc80973482"/>
      <w:bookmarkStart w:id="167" w:name="_Toc80193056"/>
      <w:bookmarkStart w:id="168" w:name="_Toc77007758"/>
      <w:bookmarkStart w:id="169" w:name="_Toc152864165"/>
      <w:r>
        <w:rPr>
          <w:rFonts w:hint="eastAsia"/>
        </w:rPr>
        <w:t>表3</w:t>
      </w:r>
      <w:r>
        <w:t xml:space="preserve">.1-8   </w:t>
      </w:r>
      <w:r>
        <w:rPr>
          <w:rFonts w:hint="eastAsia"/>
        </w:rPr>
        <w:t>本项目二期生产设备一览表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18"/>
        <w:gridCol w:w="1409"/>
        <w:gridCol w:w="2467"/>
        <w:gridCol w:w="711"/>
        <w:gridCol w:w="707"/>
        <w:gridCol w:w="2918"/>
      </w:tblGrid>
      <w:tr w14:paraId="44D003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trPr>
        <w:tc>
          <w:tcPr>
            <w:tcW w:w="297" w:type="pct"/>
            <w:shd w:val="clear" w:color="auto" w:fill="auto"/>
            <w:vAlign w:val="center"/>
          </w:tcPr>
          <w:p w14:paraId="6F9B9A05">
            <w:pPr>
              <w:pStyle w:val="90"/>
            </w:pPr>
            <w:r>
              <w:t>序号</w:t>
            </w:r>
          </w:p>
        </w:tc>
        <w:tc>
          <w:tcPr>
            <w:tcW w:w="807" w:type="pct"/>
            <w:shd w:val="clear" w:color="auto" w:fill="auto"/>
            <w:vAlign w:val="center"/>
          </w:tcPr>
          <w:p w14:paraId="092AEF0E">
            <w:pPr>
              <w:pStyle w:val="90"/>
            </w:pPr>
            <w:r>
              <w:t>设备名称</w:t>
            </w:r>
          </w:p>
        </w:tc>
        <w:tc>
          <w:tcPr>
            <w:tcW w:w="1413" w:type="pct"/>
            <w:shd w:val="clear" w:color="auto" w:fill="auto"/>
            <w:vAlign w:val="center"/>
          </w:tcPr>
          <w:p w14:paraId="6DCA6CA8">
            <w:pPr>
              <w:pStyle w:val="90"/>
            </w:pPr>
            <w:r>
              <w:t>规格</w:t>
            </w:r>
          </w:p>
        </w:tc>
        <w:tc>
          <w:tcPr>
            <w:tcW w:w="407" w:type="pct"/>
            <w:shd w:val="clear" w:color="auto" w:fill="auto"/>
            <w:vAlign w:val="center"/>
          </w:tcPr>
          <w:p w14:paraId="2123350C">
            <w:pPr>
              <w:pStyle w:val="90"/>
            </w:pPr>
            <w:r>
              <w:t>单位</w:t>
            </w:r>
          </w:p>
        </w:tc>
        <w:tc>
          <w:tcPr>
            <w:tcW w:w="405" w:type="pct"/>
            <w:shd w:val="clear" w:color="auto" w:fill="auto"/>
            <w:vAlign w:val="center"/>
          </w:tcPr>
          <w:p w14:paraId="0DCE367D">
            <w:pPr>
              <w:pStyle w:val="90"/>
            </w:pPr>
            <w:r>
              <w:t>数量</w:t>
            </w:r>
          </w:p>
        </w:tc>
        <w:tc>
          <w:tcPr>
            <w:tcW w:w="1671" w:type="pct"/>
            <w:shd w:val="clear" w:color="auto" w:fill="auto"/>
            <w:vAlign w:val="center"/>
          </w:tcPr>
          <w:p w14:paraId="718F1786">
            <w:pPr>
              <w:pStyle w:val="90"/>
            </w:pPr>
            <w:r>
              <w:t>备注</w:t>
            </w:r>
          </w:p>
        </w:tc>
      </w:tr>
      <w:tr w14:paraId="1DEE65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2489AC22">
            <w:pPr>
              <w:pStyle w:val="90"/>
              <w:numPr>
                <w:ilvl w:val="0"/>
                <w:numId w:val="16"/>
              </w:numPr>
            </w:pPr>
          </w:p>
        </w:tc>
        <w:tc>
          <w:tcPr>
            <w:tcW w:w="807" w:type="pct"/>
            <w:shd w:val="clear" w:color="auto" w:fill="auto"/>
            <w:vAlign w:val="center"/>
          </w:tcPr>
          <w:p w14:paraId="65ACB548">
            <w:pPr>
              <w:pStyle w:val="90"/>
            </w:pPr>
            <w:r>
              <w:rPr>
                <w:rFonts w:hint="eastAsia"/>
              </w:rPr>
              <w:t>基础油储罐</w:t>
            </w:r>
          </w:p>
        </w:tc>
        <w:tc>
          <w:tcPr>
            <w:tcW w:w="1413" w:type="pct"/>
            <w:shd w:val="clear" w:color="auto" w:fill="auto"/>
            <w:vAlign w:val="center"/>
          </w:tcPr>
          <w:p w14:paraId="7E825C71">
            <w:pPr>
              <w:pStyle w:val="90"/>
            </w:pPr>
            <w:r>
              <w:t>Φ12000×H9000</w:t>
            </w:r>
          </w:p>
        </w:tc>
        <w:tc>
          <w:tcPr>
            <w:tcW w:w="407" w:type="pct"/>
            <w:shd w:val="clear" w:color="auto" w:fill="auto"/>
            <w:vAlign w:val="center"/>
          </w:tcPr>
          <w:p w14:paraId="233E2637">
            <w:pPr>
              <w:pStyle w:val="90"/>
            </w:pPr>
            <w:r>
              <w:t>个</w:t>
            </w:r>
          </w:p>
        </w:tc>
        <w:tc>
          <w:tcPr>
            <w:tcW w:w="405" w:type="pct"/>
            <w:shd w:val="clear" w:color="auto" w:fill="auto"/>
            <w:vAlign w:val="center"/>
          </w:tcPr>
          <w:p w14:paraId="12E6EE70">
            <w:pPr>
              <w:pStyle w:val="90"/>
            </w:pPr>
            <w:r>
              <w:t>6</w:t>
            </w:r>
          </w:p>
        </w:tc>
        <w:tc>
          <w:tcPr>
            <w:tcW w:w="1671" w:type="pct"/>
            <w:shd w:val="clear" w:color="auto" w:fill="auto"/>
            <w:vAlign w:val="center"/>
          </w:tcPr>
          <w:p w14:paraId="58EDFD52">
            <w:pPr>
              <w:pStyle w:val="90"/>
              <w:rPr>
                <w:vertAlign w:val="superscript"/>
              </w:rPr>
            </w:pPr>
            <w:r>
              <w:t>1000</w:t>
            </w:r>
            <w:r>
              <w:rPr>
                <w:rFonts w:hint="eastAsia"/>
              </w:rPr>
              <w:t>m</w:t>
            </w:r>
            <w:r>
              <w:rPr>
                <w:vertAlign w:val="superscript"/>
              </w:rPr>
              <w:t>3</w:t>
            </w:r>
          </w:p>
        </w:tc>
      </w:tr>
      <w:tr w14:paraId="6E7904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5356E904">
            <w:pPr>
              <w:pStyle w:val="90"/>
              <w:numPr>
                <w:ilvl w:val="0"/>
                <w:numId w:val="16"/>
              </w:numPr>
            </w:pPr>
          </w:p>
        </w:tc>
        <w:tc>
          <w:tcPr>
            <w:tcW w:w="807" w:type="pct"/>
            <w:shd w:val="clear" w:color="auto" w:fill="auto"/>
            <w:vAlign w:val="center"/>
          </w:tcPr>
          <w:p w14:paraId="600CBE01">
            <w:pPr>
              <w:pStyle w:val="90"/>
            </w:pPr>
            <w:r>
              <w:rPr>
                <w:rFonts w:hint="eastAsia"/>
              </w:rPr>
              <w:t>润滑油储罐</w:t>
            </w:r>
          </w:p>
        </w:tc>
        <w:tc>
          <w:tcPr>
            <w:tcW w:w="1413" w:type="pct"/>
            <w:shd w:val="clear" w:color="auto" w:fill="auto"/>
            <w:vAlign w:val="center"/>
          </w:tcPr>
          <w:p w14:paraId="3510550D">
            <w:pPr>
              <w:pStyle w:val="90"/>
            </w:pPr>
            <w:r>
              <w:t>Φ12000×H9000</w:t>
            </w:r>
          </w:p>
        </w:tc>
        <w:tc>
          <w:tcPr>
            <w:tcW w:w="407" w:type="pct"/>
            <w:shd w:val="clear" w:color="auto" w:fill="auto"/>
            <w:vAlign w:val="center"/>
          </w:tcPr>
          <w:p w14:paraId="6ED295F6">
            <w:pPr>
              <w:pStyle w:val="90"/>
            </w:pPr>
            <w:r>
              <w:t>个</w:t>
            </w:r>
          </w:p>
        </w:tc>
        <w:tc>
          <w:tcPr>
            <w:tcW w:w="405" w:type="pct"/>
            <w:shd w:val="clear" w:color="auto" w:fill="auto"/>
            <w:vAlign w:val="center"/>
          </w:tcPr>
          <w:p w14:paraId="7C91A11F">
            <w:pPr>
              <w:pStyle w:val="90"/>
            </w:pPr>
            <w:r>
              <w:t>3</w:t>
            </w:r>
          </w:p>
        </w:tc>
        <w:tc>
          <w:tcPr>
            <w:tcW w:w="1671" w:type="pct"/>
            <w:shd w:val="clear" w:color="auto" w:fill="auto"/>
            <w:vAlign w:val="center"/>
          </w:tcPr>
          <w:p w14:paraId="57336548">
            <w:pPr>
              <w:pStyle w:val="90"/>
            </w:pPr>
            <w:r>
              <w:t>1000</w:t>
            </w:r>
            <w:r>
              <w:rPr>
                <w:rFonts w:hint="eastAsia"/>
              </w:rPr>
              <w:t>m</w:t>
            </w:r>
            <w:r>
              <w:rPr>
                <w:vertAlign w:val="superscript"/>
              </w:rPr>
              <w:t>3</w:t>
            </w:r>
          </w:p>
        </w:tc>
      </w:tr>
      <w:tr w14:paraId="1E0259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4B67073D">
            <w:pPr>
              <w:pStyle w:val="90"/>
              <w:numPr>
                <w:ilvl w:val="0"/>
                <w:numId w:val="16"/>
              </w:numPr>
            </w:pPr>
          </w:p>
        </w:tc>
        <w:tc>
          <w:tcPr>
            <w:tcW w:w="807" w:type="pct"/>
            <w:shd w:val="clear" w:color="auto" w:fill="auto"/>
            <w:vAlign w:val="center"/>
          </w:tcPr>
          <w:p w14:paraId="66D80EEB">
            <w:pPr>
              <w:pStyle w:val="90"/>
            </w:pPr>
            <w:r>
              <w:rPr>
                <w:rFonts w:hint="eastAsia"/>
                <w:lang w:val="en-US" w:eastAsia="zh-CN"/>
              </w:rPr>
              <w:t>皂化罐</w:t>
            </w:r>
          </w:p>
        </w:tc>
        <w:tc>
          <w:tcPr>
            <w:tcW w:w="1413" w:type="pct"/>
            <w:shd w:val="clear" w:color="auto" w:fill="auto"/>
            <w:vAlign w:val="center"/>
          </w:tcPr>
          <w:p w14:paraId="4FCA5144">
            <w:pPr>
              <w:pStyle w:val="90"/>
            </w:pPr>
            <w:r>
              <w:t>Φ2000×H</w:t>
            </w:r>
            <w:r>
              <w:rPr>
                <w:rFonts w:hint="eastAsia"/>
                <w:lang w:val="en-US" w:eastAsia="zh-CN"/>
              </w:rPr>
              <w:t>3</w:t>
            </w:r>
            <w:r>
              <w:t>000</w:t>
            </w:r>
          </w:p>
        </w:tc>
        <w:tc>
          <w:tcPr>
            <w:tcW w:w="407" w:type="pct"/>
            <w:shd w:val="clear" w:color="auto" w:fill="auto"/>
            <w:vAlign w:val="center"/>
          </w:tcPr>
          <w:p w14:paraId="6A0291A8">
            <w:pPr>
              <w:pStyle w:val="90"/>
              <w:rPr>
                <w:rFonts w:hint="eastAsia" w:eastAsia="宋体"/>
                <w:lang w:eastAsia="zh-CN"/>
              </w:rPr>
            </w:pPr>
            <w:r>
              <w:rPr>
                <w:rFonts w:hint="eastAsia"/>
                <w:lang w:val="en-US" w:eastAsia="zh-CN"/>
              </w:rPr>
              <w:t>个</w:t>
            </w:r>
          </w:p>
        </w:tc>
        <w:tc>
          <w:tcPr>
            <w:tcW w:w="405" w:type="pct"/>
            <w:shd w:val="clear" w:color="auto" w:fill="auto"/>
            <w:vAlign w:val="center"/>
          </w:tcPr>
          <w:p w14:paraId="3991D87B">
            <w:pPr>
              <w:pStyle w:val="90"/>
              <w:rPr>
                <w:rFonts w:hint="eastAsia" w:eastAsia="宋体"/>
                <w:lang w:eastAsia="zh-CN"/>
              </w:rPr>
            </w:pPr>
            <w:r>
              <w:rPr>
                <w:rFonts w:hint="eastAsia"/>
                <w:lang w:val="en-US" w:eastAsia="zh-CN"/>
              </w:rPr>
              <w:t>3</w:t>
            </w:r>
          </w:p>
        </w:tc>
        <w:tc>
          <w:tcPr>
            <w:tcW w:w="1671" w:type="pct"/>
            <w:shd w:val="clear" w:color="auto" w:fill="auto"/>
            <w:vAlign w:val="center"/>
          </w:tcPr>
          <w:p w14:paraId="78829B64">
            <w:pPr>
              <w:pStyle w:val="90"/>
              <w:rPr>
                <w:rFonts w:hint="eastAsia" w:eastAsia="宋体"/>
                <w:lang w:eastAsia="zh-CN"/>
              </w:rPr>
            </w:pPr>
            <w:r>
              <w:t>10</w:t>
            </w:r>
            <w:r>
              <w:rPr>
                <w:rFonts w:hint="eastAsia"/>
              </w:rPr>
              <w:t>m</w:t>
            </w:r>
            <w:r>
              <w:rPr>
                <w:vertAlign w:val="superscript"/>
              </w:rPr>
              <w:t>3</w:t>
            </w:r>
          </w:p>
        </w:tc>
      </w:tr>
      <w:tr w14:paraId="17B1FA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159C02B8">
            <w:pPr>
              <w:pStyle w:val="90"/>
              <w:numPr>
                <w:ilvl w:val="0"/>
                <w:numId w:val="16"/>
              </w:numPr>
            </w:pPr>
          </w:p>
        </w:tc>
        <w:tc>
          <w:tcPr>
            <w:tcW w:w="807" w:type="pct"/>
            <w:shd w:val="clear" w:color="auto" w:fill="auto"/>
            <w:vAlign w:val="center"/>
          </w:tcPr>
          <w:p w14:paraId="1AA94AFF">
            <w:pPr>
              <w:pStyle w:val="90"/>
            </w:pPr>
            <w:r>
              <w:rPr>
                <w:rFonts w:hint="eastAsia"/>
                <w:lang w:val="en-US" w:eastAsia="zh-CN"/>
              </w:rPr>
              <w:t>调和罐</w:t>
            </w:r>
          </w:p>
        </w:tc>
        <w:tc>
          <w:tcPr>
            <w:tcW w:w="1413" w:type="pct"/>
            <w:shd w:val="clear" w:color="auto" w:fill="auto"/>
            <w:vAlign w:val="center"/>
          </w:tcPr>
          <w:p w14:paraId="1B09CF9A">
            <w:pPr>
              <w:pStyle w:val="90"/>
            </w:pPr>
            <w:r>
              <w:t>Φ2000×H</w:t>
            </w:r>
            <w:r>
              <w:rPr>
                <w:rFonts w:hint="eastAsia"/>
                <w:lang w:val="en-US" w:eastAsia="zh-CN"/>
              </w:rPr>
              <w:t>3</w:t>
            </w:r>
            <w:r>
              <w:t>000</w:t>
            </w:r>
          </w:p>
        </w:tc>
        <w:tc>
          <w:tcPr>
            <w:tcW w:w="407" w:type="pct"/>
            <w:shd w:val="clear" w:color="auto" w:fill="auto"/>
            <w:vAlign w:val="center"/>
          </w:tcPr>
          <w:p w14:paraId="27C67CE0">
            <w:pPr>
              <w:pStyle w:val="90"/>
              <w:rPr>
                <w:rFonts w:hint="eastAsia" w:eastAsia="宋体"/>
                <w:lang w:eastAsia="zh-CN"/>
              </w:rPr>
            </w:pPr>
            <w:r>
              <w:rPr>
                <w:rFonts w:hint="eastAsia"/>
                <w:lang w:val="en-US" w:eastAsia="zh-CN"/>
              </w:rPr>
              <w:t>个</w:t>
            </w:r>
          </w:p>
        </w:tc>
        <w:tc>
          <w:tcPr>
            <w:tcW w:w="405" w:type="pct"/>
            <w:shd w:val="clear" w:color="auto" w:fill="auto"/>
            <w:vAlign w:val="center"/>
          </w:tcPr>
          <w:p w14:paraId="7DF37627">
            <w:pPr>
              <w:pStyle w:val="90"/>
              <w:rPr>
                <w:rFonts w:hint="default" w:eastAsia="宋体"/>
                <w:lang w:val="en-US" w:eastAsia="zh-CN"/>
              </w:rPr>
            </w:pPr>
            <w:r>
              <w:rPr>
                <w:rFonts w:hint="eastAsia"/>
                <w:lang w:val="en-US" w:eastAsia="zh-CN"/>
              </w:rPr>
              <w:t>12</w:t>
            </w:r>
          </w:p>
        </w:tc>
        <w:tc>
          <w:tcPr>
            <w:tcW w:w="1671" w:type="pct"/>
            <w:shd w:val="clear" w:color="auto" w:fill="auto"/>
            <w:vAlign w:val="center"/>
          </w:tcPr>
          <w:p w14:paraId="79C7D66F">
            <w:pPr>
              <w:pStyle w:val="90"/>
            </w:pPr>
            <w:r>
              <w:t>10</w:t>
            </w:r>
            <w:r>
              <w:rPr>
                <w:rFonts w:hint="eastAsia"/>
              </w:rPr>
              <w:t>m</w:t>
            </w:r>
            <w:r>
              <w:rPr>
                <w:vertAlign w:val="superscript"/>
              </w:rPr>
              <w:t>3</w:t>
            </w:r>
          </w:p>
        </w:tc>
      </w:tr>
      <w:tr w14:paraId="0CB95E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7205AA5C">
            <w:pPr>
              <w:pStyle w:val="90"/>
              <w:numPr>
                <w:ilvl w:val="0"/>
                <w:numId w:val="16"/>
              </w:numPr>
            </w:pPr>
          </w:p>
        </w:tc>
        <w:tc>
          <w:tcPr>
            <w:tcW w:w="807" w:type="pct"/>
            <w:shd w:val="clear" w:color="auto" w:fill="auto"/>
            <w:vAlign w:val="center"/>
          </w:tcPr>
          <w:p w14:paraId="75A4A66B">
            <w:pPr>
              <w:pStyle w:val="90"/>
            </w:pPr>
            <w:r>
              <w:rPr>
                <w:rFonts w:hint="eastAsia"/>
                <w:lang w:val="en-US" w:eastAsia="zh-CN"/>
              </w:rPr>
              <w:t>均质罐</w:t>
            </w:r>
          </w:p>
        </w:tc>
        <w:tc>
          <w:tcPr>
            <w:tcW w:w="1413" w:type="pct"/>
            <w:shd w:val="clear" w:color="auto" w:fill="auto"/>
            <w:vAlign w:val="center"/>
          </w:tcPr>
          <w:p w14:paraId="6EB0AA0B">
            <w:pPr>
              <w:pStyle w:val="90"/>
            </w:pPr>
            <w:r>
              <w:t>Φ2000×H</w:t>
            </w:r>
            <w:r>
              <w:rPr>
                <w:rFonts w:hint="eastAsia"/>
                <w:lang w:val="en-US" w:eastAsia="zh-CN"/>
              </w:rPr>
              <w:t>3</w:t>
            </w:r>
            <w:r>
              <w:t>000</w:t>
            </w:r>
          </w:p>
        </w:tc>
        <w:tc>
          <w:tcPr>
            <w:tcW w:w="407" w:type="pct"/>
            <w:shd w:val="clear" w:color="auto" w:fill="auto"/>
            <w:vAlign w:val="center"/>
          </w:tcPr>
          <w:p w14:paraId="179CDDDC">
            <w:pPr>
              <w:pStyle w:val="90"/>
              <w:rPr>
                <w:rFonts w:hint="eastAsia" w:eastAsia="宋体"/>
                <w:lang w:eastAsia="zh-CN"/>
              </w:rPr>
            </w:pPr>
            <w:r>
              <w:rPr>
                <w:rFonts w:hint="eastAsia"/>
                <w:lang w:val="en-US" w:eastAsia="zh-CN"/>
              </w:rPr>
              <w:t>个</w:t>
            </w:r>
          </w:p>
        </w:tc>
        <w:tc>
          <w:tcPr>
            <w:tcW w:w="405" w:type="pct"/>
            <w:shd w:val="clear" w:color="auto" w:fill="auto"/>
            <w:vAlign w:val="center"/>
          </w:tcPr>
          <w:p w14:paraId="573C81D9">
            <w:pPr>
              <w:pStyle w:val="90"/>
              <w:rPr>
                <w:rFonts w:hint="eastAsia" w:eastAsia="宋体"/>
                <w:lang w:eastAsia="zh-CN"/>
              </w:rPr>
            </w:pPr>
            <w:r>
              <w:rPr>
                <w:rFonts w:hint="eastAsia"/>
                <w:lang w:val="en-US" w:eastAsia="zh-CN"/>
              </w:rPr>
              <w:t>2</w:t>
            </w:r>
          </w:p>
        </w:tc>
        <w:tc>
          <w:tcPr>
            <w:tcW w:w="1671" w:type="pct"/>
            <w:shd w:val="clear" w:color="auto" w:fill="auto"/>
            <w:vAlign w:val="center"/>
          </w:tcPr>
          <w:p w14:paraId="3A95767E">
            <w:pPr>
              <w:pStyle w:val="90"/>
            </w:pPr>
            <w:r>
              <w:t>10</w:t>
            </w:r>
            <w:r>
              <w:rPr>
                <w:rFonts w:hint="eastAsia"/>
              </w:rPr>
              <w:t>m</w:t>
            </w:r>
            <w:r>
              <w:rPr>
                <w:vertAlign w:val="superscript"/>
              </w:rPr>
              <w:t>3</w:t>
            </w:r>
          </w:p>
        </w:tc>
      </w:tr>
      <w:tr w14:paraId="6998C6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6EA92F52">
            <w:pPr>
              <w:pStyle w:val="90"/>
              <w:numPr>
                <w:ilvl w:val="0"/>
                <w:numId w:val="16"/>
              </w:numPr>
            </w:pPr>
          </w:p>
        </w:tc>
        <w:tc>
          <w:tcPr>
            <w:tcW w:w="807" w:type="pct"/>
            <w:shd w:val="clear" w:color="auto" w:fill="auto"/>
            <w:vAlign w:val="center"/>
          </w:tcPr>
          <w:p w14:paraId="58FA4DDE">
            <w:pPr>
              <w:pStyle w:val="90"/>
            </w:pPr>
            <w:r>
              <w:t>装置产品外送泵</w:t>
            </w:r>
          </w:p>
        </w:tc>
        <w:tc>
          <w:tcPr>
            <w:tcW w:w="1413" w:type="pct"/>
            <w:shd w:val="clear" w:color="auto" w:fill="auto"/>
            <w:vAlign w:val="center"/>
          </w:tcPr>
          <w:p w14:paraId="0BF42EC7">
            <w:pPr>
              <w:pStyle w:val="90"/>
            </w:pPr>
            <w:r>
              <w:t>ZAII40-200C，35m</w:t>
            </w:r>
            <w:r>
              <w:rPr>
                <w:vertAlign w:val="superscript"/>
              </w:rPr>
              <w:t>3</w:t>
            </w:r>
            <w:r>
              <w:t>/h</w:t>
            </w:r>
          </w:p>
        </w:tc>
        <w:tc>
          <w:tcPr>
            <w:tcW w:w="407" w:type="pct"/>
            <w:shd w:val="clear" w:color="auto" w:fill="auto"/>
            <w:vAlign w:val="center"/>
          </w:tcPr>
          <w:p w14:paraId="7F629432">
            <w:pPr>
              <w:pStyle w:val="90"/>
            </w:pPr>
            <w:r>
              <w:t>台</w:t>
            </w:r>
          </w:p>
        </w:tc>
        <w:tc>
          <w:tcPr>
            <w:tcW w:w="405" w:type="pct"/>
            <w:shd w:val="clear" w:color="auto" w:fill="auto"/>
            <w:vAlign w:val="center"/>
          </w:tcPr>
          <w:p w14:paraId="637CECAE">
            <w:pPr>
              <w:pStyle w:val="90"/>
            </w:pPr>
            <w:r>
              <w:t>2</w:t>
            </w:r>
          </w:p>
        </w:tc>
        <w:tc>
          <w:tcPr>
            <w:tcW w:w="1671" w:type="pct"/>
            <w:shd w:val="clear" w:color="auto" w:fill="auto"/>
            <w:vAlign w:val="center"/>
          </w:tcPr>
          <w:p w14:paraId="0D278B57">
            <w:pPr>
              <w:pStyle w:val="90"/>
              <w:rPr>
                <w:rFonts w:eastAsia="Times New Roman"/>
              </w:rPr>
            </w:pPr>
            <w:r>
              <w:t>5.5KW</w:t>
            </w:r>
          </w:p>
        </w:tc>
      </w:tr>
      <w:tr w14:paraId="77A1DA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trPr>
        <w:tc>
          <w:tcPr>
            <w:tcW w:w="297" w:type="pct"/>
            <w:shd w:val="clear" w:color="auto" w:fill="auto"/>
            <w:vAlign w:val="center"/>
          </w:tcPr>
          <w:p w14:paraId="108E58D3">
            <w:pPr>
              <w:pStyle w:val="90"/>
              <w:numPr>
                <w:ilvl w:val="0"/>
                <w:numId w:val="16"/>
              </w:numPr>
            </w:pPr>
          </w:p>
        </w:tc>
        <w:tc>
          <w:tcPr>
            <w:tcW w:w="807" w:type="pct"/>
            <w:shd w:val="clear" w:color="auto" w:fill="auto"/>
            <w:vAlign w:val="center"/>
          </w:tcPr>
          <w:p w14:paraId="4CFA47B3">
            <w:pPr>
              <w:pStyle w:val="90"/>
            </w:pPr>
            <w:r>
              <w:t>产品倒油泵出货泵</w:t>
            </w:r>
          </w:p>
        </w:tc>
        <w:tc>
          <w:tcPr>
            <w:tcW w:w="1413" w:type="pct"/>
            <w:shd w:val="clear" w:color="auto" w:fill="auto"/>
            <w:vAlign w:val="center"/>
          </w:tcPr>
          <w:p w14:paraId="26735F40">
            <w:pPr>
              <w:pStyle w:val="90"/>
            </w:pPr>
            <w:r>
              <w:t>ZAII40-200C，35 m</w:t>
            </w:r>
            <w:r>
              <w:rPr>
                <w:vertAlign w:val="superscript"/>
              </w:rPr>
              <w:t>3</w:t>
            </w:r>
            <w:r>
              <w:t>/h</w:t>
            </w:r>
          </w:p>
        </w:tc>
        <w:tc>
          <w:tcPr>
            <w:tcW w:w="407" w:type="pct"/>
            <w:shd w:val="clear" w:color="auto" w:fill="auto"/>
            <w:vAlign w:val="center"/>
          </w:tcPr>
          <w:p w14:paraId="6EA075A0">
            <w:pPr>
              <w:pStyle w:val="90"/>
            </w:pPr>
            <w:r>
              <w:t>台</w:t>
            </w:r>
          </w:p>
        </w:tc>
        <w:tc>
          <w:tcPr>
            <w:tcW w:w="405" w:type="pct"/>
            <w:shd w:val="clear" w:color="auto" w:fill="auto"/>
            <w:vAlign w:val="center"/>
          </w:tcPr>
          <w:p w14:paraId="73C7C9DE">
            <w:pPr>
              <w:pStyle w:val="90"/>
            </w:pPr>
            <w:r>
              <w:t>2</w:t>
            </w:r>
          </w:p>
        </w:tc>
        <w:tc>
          <w:tcPr>
            <w:tcW w:w="1671" w:type="pct"/>
            <w:shd w:val="clear" w:color="auto" w:fill="auto"/>
            <w:vAlign w:val="center"/>
          </w:tcPr>
          <w:p w14:paraId="3A591E1D">
            <w:pPr>
              <w:pStyle w:val="90"/>
              <w:rPr>
                <w:rFonts w:eastAsia="Times New Roman"/>
              </w:rPr>
            </w:pPr>
            <w:r>
              <w:t>5.5KW</w:t>
            </w:r>
          </w:p>
        </w:tc>
      </w:tr>
      <w:tr w14:paraId="5A52C0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trPr>
        <w:tc>
          <w:tcPr>
            <w:tcW w:w="297" w:type="pct"/>
            <w:shd w:val="clear" w:color="auto" w:fill="auto"/>
            <w:vAlign w:val="center"/>
          </w:tcPr>
          <w:p w14:paraId="5E48F90E">
            <w:pPr>
              <w:pStyle w:val="90"/>
              <w:numPr>
                <w:ilvl w:val="0"/>
                <w:numId w:val="16"/>
              </w:numPr>
            </w:pPr>
          </w:p>
        </w:tc>
        <w:tc>
          <w:tcPr>
            <w:tcW w:w="807" w:type="pct"/>
            <w:shd w:val="clear" w:color="auto" w:fill="auto"/>
            <w:vAlign w:val="center"/>
          </w:tcPr>
          <w:p w14:paraId="0A2E69E8">
            <w:pPr>
              <w:pStyle w:val="90"/>
            </w:pPr>
            <w:r>
              <w:t>导热油循环泵</w:t>
            </w:r>
          </w:p>
        </w:tc>
        <w:tc>
          <w:tcPr>
            <w:tcW w:w="1413" w:type="pct"/>
            <w:shd w:val="clear" w:color="auto" w:fill="auto"/>
            <w:vAlign w:val="center"/>
          </w:tcPr>
          <w:p w14:paraId="14E1B189">
            <w:pPr>
              <w:pStyle w:val="90"/>
            </w:pPr>
            <w:r>
              <w:t>WRY-80-50-250，80 m</w:t>
            </w:r>
            <w:r>
              <w:rPr>
                <w:vertAlign w:val="superscript"/>
              </w:rPr>
              <w:t>3</w:t>
            </w:r>
            <w:r>
              <w:t>/h</w:t>
            </w:r>
          </w:p>
        </w:tc>
        <w:tc>
          <w:tcPr>
            <w:tcW w:w="407" w:type="pct"/>
            <w:shd w:val="clear" w:color="auto" w:fill="auto"/>
            <w:vAlign w:val="center"/>
          </w:tcPr>
          <w:p w14:paraId="0260D394">
            <w:pPr>
              <w:pStyle w:val="90"/>
            </w:pPr>
            <w:r>
              <w:t>台</w:t>
            </w:r>
          </w:p>
        </w:tc>
        <w:tc>
          <w:tcPr>
            <w:tcW w:w="405" w:type="pct"/>
            <w:shd w:val="clear" w:color="auto" w:fill="auto"/>
            <w:vAlign w:val="center"/>
          </w:tcPr>
          <w:p w14:paraId="54DE01BF">
            <w:pPr>
              <w:pStyle w:val="90"/>
            </w:pPr>
            <w:r>
              <w:t>2</w:t>
            </w:r>
          </w:p>
        </w:tc>
        <w:tc>
          <w:tcPr>
            <w:tcW w:w="1671" w:type="pct"/>
            <w:shd w:val="clear" w:color="auto" w:fill="auto"/>
            <w:vAlign w:val="center"/>
          </w:tcPr>
          <w:p w14:paraId="0951CDF0">
            <w:pPr>
              <w:pStyle w:val="90"/>
              <w:rPr>
                <w:rFonts w:eastAsia="Times New Roman"/>
              </w:rPr>
            </w:pPr>
            <w:r>
              <w:t>22KW</w:t>
            </w:r>
          </w:p>
        </w:tc>
      </w:tr>
      <w:tr w14:paraId="6C78E1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38E5489B">
            <w:pPr>
              <w:pStyle w:val="90"/>
              <w:numPr>
                <w:ilvl w:val="0"/>
                <w:numId w:val="16"/>
              </w:numPr>
            </w:pPr>
          </w:p>
        </w:tc>
        <w:tc>
          <w:tcPr>
            <w:tcW w:w="807" w:type="pct"/>
            <w:shd w:val="clear" w:color="auto" w:fill="auto"/>
            <w:vAlign w:val="center"/>
          </w:tcPr>
          <w:p w14:paraId="7EEA139A">
            <w:pPr>
              <w:pStyle w:val="90"/>
            </w:pPr>
            <w:r>
              <w:t>离心通风机</w:t>
            </w:r>
          </w:p>
        </w:tc>
        <w:tc>
          <w:tcPr>
            <w:tcW w:w="1413" w:type="pct"/>
            <w:shd w:val="clear" w:color="auto" w:fill="auto"/>
            <w:vAlign w:val="center"/>
          </w:tcPr>
          <w:p w14:paraId="7FD39AB5">
            <w:pPr>
              <w:pStyle w:val="90"/>
            </w:pPr>
            <w:r>
              <w:t>4-72-No4.5A，</w:t>
            </w:r>
          </w:p>
          <w:p w14:paraId="55974F4C">
            <w:pPr>
              <w:pStyle w:val="90"/>
              <w:rPr>
                <w:rFonts w:eastAsia="Times New Roman"/>
              </w:rPr>
            </w:pPr>
            <w:r>
              <w:t>5712-10562 m</w:t>
            </w:r>
            <w:r>
              <w:rPr>
                <w:vertAlign w:val="superscript"/>
              </w:rPr>
              <w:t>3</w:t>
            </w:r>
            <w:r>
              <w:rPr>
                <w:rFonts w:eastAsia="Times New Roman"/>
              </w:rPr>
              <w:t>/h</w:t>
            </w:r>
          </w:p>
        </w:tc>
        <w:tc>
          <w:tcPr>
            <w:tcW w:w="407" w:type="pct"/>
            <w:shd w:val="clear" w:color="auto" w:fill="auto"/>
            <w:vAlign w:val="center"/>
          </w:tcPr>
          <w:p w14:paraId="5713BD5C">
            <w:pPr>
              <w:pStyle w:val="90"/>
            </w:pPr>
            <w:r>
              <w:t>台</w:t>
            </w:r>
          </w:p>
        </w:tc>
        <w:tc>
          <w:tcPr>
            <w:tcW w:w="405" w:type="pct"/>
            <w:shd w:val="clear" w:color="auto" w:fill="auto"/>
            <w:vAlign w:val="center"/>
          </w:tcPr>
          <w:p w14:paraId="41B6E2B3">
            <w:pPr>
              <w:pStyle w:val="90"/>
            </w:pPr>
            <w:r>
              <w:t>2</w:t>
            </w:r>
          </w:p>
        </w:tc>
        <w:tc>
          <w:tcPr>
            <w:tcW w:w="1671" w:type="pct"/>
            <w:shd w:val="clear" w:color="auto" w:fill="auto"/>
            <w:vAlign w:val="center"/>
          </w:tcPr>
          <w:p w14:paraId="15EFE5EC">
            <w:pPr>
              <w:pStyle w:val="90"/>
              <w:rPr>
                <w:rFonts w:eastAsia="Times New Roman"/>
              </w:rPr>
            </w:pPr>
            <w:r>
              <w:t>7.5KW</w:t>
            </w:r>
          </w:p>
        </w:tc>
      </w:tr>
      <w:tr w14:paraId="0532E8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3D3D0243">
            <w:pPr>
              <w:pStyle w:val="90"/>
              <w:numPr>
                <w:ilvl w:val="0"/>
                <w:numId w:val="16"/>
              </w:numPr>
            </w:pPr>
          </w:p>
        </w:tc>
        <w:tc>
          <w:tcPr>
            <w:tcW w:w="807" w:type="pct"/>
            <w:shd w:val="clear" w:color="auto" w:fill="auto"/>
            <w:vAlign w:val="center"/>
          </w:tcPr>
          <w:p w14:paraId="1A11061A">
            <w:pPr>
              <w:pStyle w:val="90"/>
            </w:pPr>
            <w:r>
              <w:t>柴油发电机</w:t>
            </w:r>
          </w:p>
        </w:tc>
        <w:tc>
          <w:tcPr>
            <w:tcW w:w="1413" w:type="pct"/>
            <w:shd w:val="clear" w:color="auto" w:fill="auto"/>
            <w:vAlign w:val="center"/>
          </w:tcPr>
          <w:p w14:paraId="199BA17D">
            <w:pPr>
              <w:pStyle w:val="90"/>
              <w:rPr>
                <w:rFonts w:eastAsia="Times New Roman"/>
              </w:rPr>
            </w:pPr>
            <w:r>
              <w:t>200KW</w:t>
            </w:r>
          </w:p>
        </w:tc>
        <w:tc>
          <w:tcPr>
            <w:tcW w:w="407" w:type="pct"/>
            <w:shd w:val="clear" w:color="auto" w:fill="auto"/>
            <w:vAlign w:val="center"/>
          </w:tcPr>
          <w:p w14:paraId="5404E858">
            <w:pPr>
              <w:pStyle w:val="90"/>
            </w:pPr>
            <w:r>
              <w:t>台</w:t>
            </w:r>
          </w:p>
        </w:tc>
        <w:tc>
          <w:tcPr>
            <w:tcW w:w="405" w:type="pct"/>
            <w:shd w:val="clear" w:color="auto" w:fill="auto"/>
            <w:vAlign w:val="center"/>
          </w:tcPr>
          <w:p w14:paraId="691CA7F1">
            <w:pPr>
              <w:pStyle w:val="90"/>
            </w:pPr>
            <w:r>
              <w:t>1</w:t>
            </w:r>
          </w:p>
        </w:tc>
        <w:tc>
          <w:tcPr>
            <w:tcW w:w="1671" w:type="pct"/>
            <w:shd w:val="clear" w:color="auto" w:fill="auto"/>
            <w:vAlign w:val="center"/>
          </w:tcPr>
          <w:p w14:paraId="18E92897">
            <w:pPr>
              <w:pStyle w:val="90"/>
              <w:rPr>
                <w:rFonts w:eastAsia="Times New Roman"/>
              </w:rPr>
            </w:pPr>
            <w:r>
              <w:t>200KW</w:t>
            </w:r>
          </w:p>
        </w:tc>
      </w:tr>
      <w:tr w14:paraId="12AE7A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trPr>
        <w:tc>
          <w:tcPr>
            <w:tcW w:w="297" w:type="pct"/>
            <w:shd w:val="clear" w:color="auto" w:fill="auto"/>
            <w:vAlign w:val="center"/>
          </w:tcPr>
          <w:p w14:paraId="0B233126">
            <w:pPr>
              <w:pStyle w:val="90"/>
              <w:numPr>
                <w:ilvl w:val="0"/>
                <w:numId w:val="16"/>
              </w:numPr>
            </w:pPr>
          </w:p>
        </w:tc>
        <w:tc>
          <w:tcPr>
            <w:tcW w:w="807" w:type="pct"/>
            <w:shd w:val="clear" w:color="auto" w:fill="auto"/>
            <w:vAlign w:val="center"/>
          </w:tcPr>
          <w:p w14:paraId="30507488">
            <w:pPr>
              <w:pStyle w:val="90"/>
            </w:pPr>
            <w:r>
              <w:t>剪切泵</w:t>
            </w:r>
          </w:p>
        </w:tc>
        <w:tc>
          <w:tcPr>
            <w:tcW w:w="1413" w:type="pct"/>
            <w:shd w:val="clear" w:color="auto" w:fill="auto"/>
            <w:vAlign w:val="center"/>
          </w:tcPr>
          <w:p w14:paraId="6166694D">
            <w:pPr>
              <w:pStyle w:val="90"/>
              <w:rPr>
                <w:rFonts w:eastAsia="Times New Roman"/>
              </w:rPr>
            </w:pPr>
            <w:r>
              <w:t>JQB-80</w:t>
            </w:r>
          </w:p>
        </w:tc>
        <w:tc>
          <w:tcPr>
            <w:tcW w:w="407" w:type="pct"/>
            <w:shd w:val="clear" w:color="auto" w:fill="auto"/>
            <w:vAlign w:val="center"/>
          </w:tcPr>
          <w:p w14:paraId="5693CA5B">
            <w:pPr>
              <w:pStyle w:val="90"/>
            </w:pPr>
            <w:r>
              <w:t>台</w:t>
            </w:r>
          </w:p>
        </w:tc>
        <w:tc>
          <w:tcPr>
            <w:tcW w:w="405" w:type="pct"/>
            <w:shd w:val="clear" w:color="auto" w:fill="auto"/>
            <w:vAlign w:val="center"/>
          </w:tcPr>
          <w:p w14:paraId="2D48A36E">
            <w:pPr>
              <w:pStyle w:val="90"/>
            </w:pPr>
            <w:r>
              <w:t>16</w:t>
            </w:r>
          </w:p>
        </w:tc>
        <w:tc>
          <w:tcPr>
            <w:tcW w:w="1671" w:type="pct"/>
            <w:shd w:val="clear" w:color="auto" w:fill="auto"/>
            <w:vAlign w:val="center"/>
          </w:tcPr>
          <w:p w14:paraId="382D69C3">
            <w:pPr>
              <w:pStyle w:val="90"/>
              <w:rPr>
                <w:rFonts w:eastAsia="Times New Roman"/>
              </w:rPr>
            </w:pPr>
            <w:r>
              <w:t>11KW</w:t>
            </w:r>
          </w:p>
        </w:tc>
      </w:tr>
      <w:tr w14:paraId="5B063B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2234E90D">
            <w:pPr>
              <w:pStyle w:val="90"/>
              <w:numPr>
                <w:ilvl w:val="0"/>
                <w:numId w:val="16"/>
              </w:numPr>
            </w:pPr>
          </w:p>
        </w:tc>
        <w:tc>
          <w:tcPr>
            <w:tcW w:w="807" w:type="pct"/>
            <w:shd w:val="clear" w:color="auto" w:fill="auto"/>
            <w:vAlign w:val="center"/>
          </w:tcPr>
          <w:p w14:paraId="2096B432">
            <w:pPr>
              <w:pStyle w:val="90"/>
            </w:pPr>
            <w:r>
              <w:t>出脂泵</w:t>
            </w:r>
          </w:p>
        </w:tc>
        <w:tc>
          <w:tcPr>
            <w:tcW w:w="1413" w:type="pct"/>
            <w:shd w:val="clear" w:color="auto" w:fill="auto"/>
            <w:vAlign w:val="center"/>
          </w:tcPr>
          <w:p w14:paraId="6A391A41">
            <w:pPr>
              <w:pStyle w:val="90"/>
              <w:rPr>
                <w:rFonts w:eastAsia="Times New Roman"/>
              </w:rPr>
            </w:pPr>
            <w:r>
              <w:t>JQB-80</w:t>
            </w:r>
          </w:p>
        </w:tc>
        <w:tc>
          <w:tcPr>
            <w:tcW w:w="407" w:type="pct"/>
            <w:shd w:val="clear" w:color="auto" w:fill="auto"/>
            <w:vAlign w:val="center"/>
          </w:tcPr>
          <w:p w14:paraId="225B370E">
            <w:pPr>
              <w:pStyle w:val="90"/>
            </w:pPr>
            <w:r>
              <w:t>台</w:t>
            </w:r>
          </w:p>
        </w:tc>
        <w:tc>
          <w:tcPr>
            <w:tcW w:w="405" w:type="pct"/>
            <w:shd w:val="clear" w:color="auto" w:fill="auto"/>
            <w:vAlign w:val="center"/>
          </w:tcPr>
          <w:p w14:paraId="5759EA27">
            <w:pPr>
              <w:pStyle w:val="90"/>
            </w:pPr>
            <w:r>
              <w:t>7</w:t>
            </w:r>
          </w:p>
        </w:tc>
        <w:tc>
          <w:tcPr>
            <w:tcW w:w="1671" w:type="pct"/>
            <w:shd w:val="clear" w:color="auto" w:fill="auto"/>
            <w:vAlign w:val="center"/>
          </w:tcPr>
          <w:p w14:paraId="679EEC5A">
            <w:pPr>
              <w:pStyle w:val="90"/>
              <w:rPr>
                <w:rFonts w:eastAsia="Times New Roman"/>
              </w:rPr>
            </w:pPr>
            <w:r>
              <w:t>7.5KW</w:t>
            </w:r>
          </w:p>
        </w:tc>
      </w:tr>
      <w:tr w14:paraId="16F0C0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3A819069">
            <w:pPr>
              <w:pStyle w:val="90"/>
              <w:numPr>
                <w:ilvl w:val="0"/>
                <w:numId w:val="16"/>
              </w:numPr>
            </w:pPr>
          </w:p>
        </w:tc>
        <w:tc>
          <w:tcPr>
            <w:tcW w:w="807" w:type="pct"/>
            <w:shd w:val="clear" w:color="auto" w:fill="auto"/>
            <w:vAlign w:val="center"/>
          </w:tcPr>
          <w:p w14:paraId="10351F79">
            <w:pPr>
              <w:pStyle w:val="90"/>
            </w:pPr>
            <w:r>
              <w:t>机油泵</w:t>
            </w:r>
          </w:p>
        </w:tc>
        <w:tc>
          <w:tcPr>
            <w:tcW w:w="1413" w:type="pct"/>
            <w:shd w:val="clear" w:color="auto" w:fill="auto"/>
            <w:vAlign w:val="center"/>
          </w:tcPr>
          <w:p w14:paraId="3F9F91FA">
            <w:pPr>
              <w:pStyle w:val="90"/>
              <w:rPr>
                <w:rFonts w:eastAsia="Times New Roman"/>
              </w:rPr>
            </w:pPr>
            <w:r>
              <w:t>JQB-80</w:t>
            </w:r>
          </w:p>
        </w:tc>
        <w:tc>
          <w:tcPr>
            <w:tcW w:w="407" w:type="pct"/>
            <w:shd w:val="clear" w:color="auto" w:fill="auto"/>
            <w:vAlign w:val="center"/>
          </w:tcPr>
          <w:p w14:paraId="73315E09">
            <w:pPr>
              <w:pStyle w:val="90"/>
            </w:pPr>
            <w:r>
              <w:t>台</w:t>
            </w:r>
          </w:p>
        </w:tc>
        <w:tc>
          <w:tcPr>
            <w:tcW w:w="405" w:type="pct"/>
            <w:shd w:val="clear" w:color="auto" w:fill="auto"/>
            <w:vAlign w:val="center"/>
          </w:tcPr>
          <w:p w14:paraId="669D830C">
            <w:pPr>
              <w:pStyle w:val="90"/>
            </w:pPr>
            <w:r>
              <w:t>6</w:t>
            </w:r>
          </w:p>
        </w:tc>
        <w:tc>
          <w:tcPr>
            <w:tcW w:w="1671" w:type="pct"/>
            <w:shd w:val="clear" w:color="auto" w:fill="auto"/>
            <w:vAlign w:val="center"/>
          </w:tcPr>
          <w:p w14:paraId="1458BB20">
            <w:pPr>
              <w:pStyle w:val="90"/>
              <w:rPr>
                <w:rFonts w:eastAsia="Times New Roman"/>
              </w:rPr>
            </w:pPr>
            <w:r>
              <w:t>7.5KW</w:t>
            </w:r>
          </w:p>
        </w:tc>
      </w:tr>
      <w:tr w14:paraId="642B990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5AFCA384">
            <w:pPr>
              <w:pStyle w:val="90"/>
              <w:numPr>
                <w:ilvl w:val="0"/>
                <w:numId w:val="16"/>
              </w:numPr>
            </w:pPr>
          </w:p>
        </w:tc>
        <w:tc>
          <w:tcPr>
            <w:tcW w:w="807" w:type="pct"/>
            <w:shd w:val="clear" w:color="auto" w:fill="auto"/>
            <w:vAlign w:val="center"/>
          </w:tcPr>
          <w:p w14:paraId="5550806C">
            <w:pPr>
              <w:pStyle w:val="90"/>
            </w:pPr>
            <w:r>
              <w:t>皂液泵</w:t>
            </w:r>
          </w:p>
        </w:tc>
        <w:tc>
          <w:tcPr>
            <w:tcW w:w="1413" w:type="pct"/>
            <w:shd w:val="clear" w:color="auto" w:fill="auto"/>
            <w:vAlign w:val="center"/>
          </w:tcPr>
          <w:p w14:paraId="7497B0F5">
            <w:pPr>
              <w:pStyle w:val="90"/>
              <w:rPr>
                <w:rFonts w:eastAsia="Times New Roman"/>
              </w:rPr>
            </w:pPr>
            <w:r>
              <w:t>JQB-80</w:t>
            </w:r>
          </w:p>
        </w:tc>
        <w:tc>
          <w:tcPr>
            <w:tcW w:w="407" w:type="pct"/>
            <w:shd w:val="clear" w:color="auto" w:fill="auto"/>
            <w:vAlign w:val="center"/>
          </w:tcPr>
          <w:p w14:paraId="4ACB1209">
            <w:pPr>
              <w:pStyle w:val="90"/>
            </w:pPr>
            <w:r>
              <w:t>台</w:t>
            </w:r>
          </w:p>
        </w:tc>
        <w:tc>
          <w:tcPr>
            <w:tcW w:w="405" w:type="pct"/>
            <w:shd w:val="clear" w:color="auto" w:fill="auto"/>
            <w:vAlign w:val="center"/>
          </w:tcPr>
          <w:p w14:paraId="15423979">
            <w:pPr>
              <w:pStyle w:val="90"/>
            </w:pPr>
            <w:r>
              <w:t>7</w:t>
            </w:r>
          </w:p>
        </w:tc>
        <w:tc>
          <w:tcPr>
            <w:tcW w:w="1671" w:type="pct"/>
            <w:shd w:val="clear" w:color="auto" w:fill="auto"/>
            <w:vAlign w:val="center"/>
          </w:tcPr>
          <w:p w14:paraId="49B1A8FE">
            <w:pPr>
              <w:pStyle w:val="90"/>
              <w:rPr>
                <w:rFonts w:eastAsia="Times New Roman"/>
              </w:rPr>
            </w:pPr>
            <w:r>
              <w:t>7.5KW</w:t>
            </w:r>
          </w:p>
        </w:tc>
      </w:tr>
      <w:tr w14:paraId="57CFAA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5C5BD13D">
            <w:pPr>
              <w:pStyle w:val="90"/>
              <w:numPr>
                <w:ilvl w:val="0"/>
                <w:numId w:val="16"/>
              </w:numPr>
            </w:pPr>
          </w:p>
        </w:tc>
        <w:tc>
          <w:tcPr>
            <w:tcW w:w="807" w:type="pct"/>
            <w:shd w:val="clear" w:color="auto" w:fill="auto"/>
            <w:vAlign w:val="center"/>
          </w:tcPr>
          <w:p w14:paraId="3B2740E9">
            <w:pPr>
              <w:pStyle w:val="90"/>
              <w:rPr>
                <w:rFonts w:hint="eastAsia" w:eastAsia="宋体"/>
                <w:lang w:val="en-US" w:eastAsia="zh-CN"/>
              </w:rPr>
            </w:pPr>
            <w:r>
              <w:rPr>
                <w:rFonts w:hint="eastAsia"/>
                <w:lang w:val="en-US" w:eastAsia="zh-CN"/>
              </w:rPr>
              <w:t>储存罐</w:t>
            </w:r>
          </w:p>
        </w:tc>
        <w:tc>
          <w:tcPr>
            <w:tcW w:w="1413" w:type="pct"/>
            <w:shd w:val="clear" w:color="auto" w:fill="auto"/>
            <w:vAlign w:val="center"/>
          </w:tcPr>
          <w:p w14:paraId="52642557">
            <w:pPr>
              <w:pStyle w:val="90"/>
            </w:pPr>
            <w:r>
              <w:t>Φ12000×H9000</w:t>
            </w:r>
          </w:p>
        </w:tc>
        <w:tc>
          <w:tcPr>
            <w:tcW w:w="407" w:type="pct"/>
            <w:shd w:val="clear" w:color="auto" w:fill="auto"/>
            <w:vAlign w:val="center"/>
          </w:tcPr>
          <w:p w14:paraId="23FC987C">
            <w:pPr>
              <w:pStyle w:val="90"/>
              <w:rPr>
                <w:rFonts w:hint="eastAsia" w:eastAsia="宋体"/>
                <w:lang w:val="en-US" w:eastAsia="zh-CN"/>
              </w:rPr>
            </w:pPr>
            <w:r>
              <w:rPr>
                <w:rFonts w:hint="eastAsia"/>
                <w:lang w:val="en-US" w:eastAsia="zh-CN"/>
              </w:rPr>
              <w:t>个</w:t>
            </w:r>
          </w:p>
        </w:tc>
        <w:tc>
          <w:tcPr>
            <w:tcW w:w="405" w:type="pct"/>
            <w:shd w:val="clear" w:color="auto" w:fill="auto"/>
            <w:vAlign w:val="center"/>
          </w:tcPr>
          <w:p w14:paraId="4A75C833">
            <w:pPr>
              <w:pStyle w:val="90"/>
              <w:rPr>
                <w:rFonts w:hint="default" w:eastAsia="宋体"/>
                <w:lang w:val="en-US" w:eastAsia="zh-CN"/>
              </w:rPr>
            </w:pPr>
            <w:r>
              <w:rPr>
                <w:rFonts w:hint="eastAsia"/>
                <w:lang w:val="en-US" w:eastAsia="zh-CN"/>
              </w:rPr>
              <w:t>8</w:t>
            </w:r>
          </w:p>
        </w:tc>
        <w:tc>
          <w:tcPr>
            <w:tcW w:w="1671" w:type="pct"/>
            <w:shd w:val="clear" w:color="auto" w:fill="auto"/>
            <w:vAlign w:val="center"/>
          </w:tcPr>
          <w:p w14:paraId="336E1CD2">
            <w:pPr>
              <w:pStyle w:val="90"/>
              <w:rPr>
                <w:rFonts w:hint="default" w:eastAsia="宋体"/>
                <w:vertAlign w:val="superscript"/>
                <w:lang w:val="en-US" w:eastAsia="zh-CN"/>
              </w:rPr>
            </w:pPr>
            <w:r>
              <w:rPr>
                <w:rFonts w:hint="eastAsia"/>
                <w:lang w:val="en-US" w:eastAsia="zh-CN"/>
              </w:rPr>
              <w:t>100m</w:t>
            </w:r>
            <w:r>
              <w:rPr>
                <w:rFonts w:hint="eastAsia"/>
                <w:vertAlign w:val="superscript"/>
                <w:lang w:val="en-US" w:eastAsia="zh-CN"/>
              </w:rPr>
              <w:t>3</w:t>
            </w:r>
          </w:p>
        </w:tc>
      </w:tr>
      <w:tr w14:paraId="5A9178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63852DD0">
            <w:pPr>
              <w:pStyle w:val="90"/>
              <w:numPr>
                <w:ilvl w:val="0"/>
                <w:numId w:val="16"/>
              </w:numPr>
            </w:pPr>
          </w:p>
        </w:tc>
        <w:tc>
          <w:tcPr>
            <w:tcW w:w="807" w:type="pct"/>
            <w:shd w:val="clear" w:color="auto" w:fill="auto"/>
            <w:vAlign w:val="center"/>
          </w:tcPr>
          <w:p w14:paraId="67E700DB">
            <w:pPr>
              <w:pStyle w:val="90"/>
              <w:rPr>
                <w:rFonts w:hint="default"/>
                <w:lang w:val="en-US" w:eastAsia="zh-CN"/>
              </w:rPr>
            </w:pPr>
            <w:r>
              <w:rPr>
                <w:rFonts w:hint="eastAsia"/>
                <w:lang w:val="en-US" w:eastAsia="zh-CN"/>
              </w:rPr>
              <w:t>真空脱气罐</w:t>
            </w:r>
          </w:p>
        </w:tc>
        <w:tc>
          <w:tcPr>
            <w:tcW w:w="1413" w:type="pct"/>
            <w:shd w:val="clear" w:color="auto" w:fill="auto"/>
            <w:vAlign w:val="center"/>
          </w:tcPr>
          <w:p w14:paraId="464D733E">
            <w:pPr>
              <w:pStyle w:val="90"/>
            </w:pPr>
            <w:r>
              <w:t>Φ2000×H</w:t>
            </w:r>
            <w:r>
              <w:rPr>
                <w:rFonts w:hint="eastAsia"/>
                <w:lang w:val="en-US" w:eastAsia="zh-CN"/>
              </w:rPr>
              <w:t>3</w:t>
            </w:r>
            <w:r>
              <w:t>000</w:t>
            </w:r>
          </w:p>
        </w:tc>
        <w:tc>
          <w:tcPr>
            <w:tcW w:w="407" w:type="pct"/>
            <w:shd w:val="clear" w:color="auto" w:fill="auto"/>
            <w:vAlign w:val="center"/>
          </w:tcPr>
          <w:p w14:paraId="6C8623CB">
            <w:pPr>
              <w:pStyle w:val="90"/>
              <w:rPr>
                <w:rFonts w:hint="default"/>
                <w:lang w:val="en-US" w:eastAsia="zh-CN"/>
              </w:rPr>
            </w:pPr>
            <w:r>
              <w:rPr>
                <w:rFonts w:hint="eastAsia"/>
                <w:lang w:val="en-US" w:eastAsia="zh-CN"/>
              </w:rPr>
              <w:t>个</w:t>
            </w:r>
          </w:p>
        </w:tc>
        <w:tc>
          <w:tcPr>
            <w:tcW w:w="405" w:type="pct"/>
            <w:shd w:val="clear" w:color="auto" w:fill="auto"/>
            <w:vAlign w:val="center"/>
          </w:tcPr>
          <w:p w14:paraId="35E56AE1">
            <w:pPr>
              <w:pStyle w:val="90"/>
              <w:rPr>
                <w:rFonts w:hint="default"/>
                <w:lang w:val="en-US" w:eastAsia="zh-CN"/>
              </w:rPr>
            </w:pPr>
            <w:r>
              <w:rPr>
                <w:rFonts w:hint="eastAsia"/>
                <w:lang w:val="en-US" w:eastAsia="zh-CN"/>
              </w:rPr>
              <w:t>14</w:t>
            </w:r>
          </w:p>
        </w:tc>
        <w:tc>
          <w:tcPr>
            <w:tcW w:w="1671" w:type="pct"/>
            <w:shd w:val="clear" w:color="auto" w:fill="auto"/>
            <w:vAlign w:val="center"/>
          </w:tcPr>
          <w:p w14:paraId="75120C0E">
            <w:pPr>
              <w:pStyle w:val="90"/>
              <w:rPr>
                <w:rFonts w:hint="eastAsia"/>
                <w:lang w:val="en-US" w:eastAsia="zh-CN"/>
              </w:rPr>
            </w:pPr>
            <w:r>
              <w:rPr>
                <w:rFonts w:hint="eastAsia"/>
                <w:lang w:val="en-US" w:eastAsia="zh-CN"/>
              </w:rPr>
              <w:t>10m</w:t>
            </w:r>
            <w:r>
              <w:rPr>
                <w:rFonts w:hint="eastAsia"/>
                <w:vertAlign w:val="superscript"/>
                <w:lang w:val="en-US" w:eastAsia="zh-CN"/>
              </w:rPr>
              <w:t>3</w:t>
            </w:r>
          </w:p>
        </w:tc>
      </w:tr>
      <w:tr w14:paraId="5E3E99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97" w:type="pct"/>
            <w:shd w:val="clear" w:color="auto" w:fill="auto"/>
            <w:vAlign w:val="center"/>
          </w:tcPr>
          <w:p w14:paraId="68C8BFE4">
            <w:pPr>
              <w:pStyle w:val="90"/>
              <w:numPr>
                <w:ilvl w:val="0"/>
                <w:numId w:val="16"/>
              </w:numPr>
            </w:pPr>
          </w:p>
        </w:tc>
        <w:tc>
          <w:tcPr>
            <w:tcW w:w="807" w:type="pct"/>
            <w:shd w:val="clear" w:color="auto" w:fill="auto"/>
            <w:vAlign w:val="center"/>
          </w:tcPr>
          <w:p w14:paraId="4D2FB0BA">
            <w:pPr>
              <w:pStyle w:val="90"/>
              <w:rPr>
                <w:rFonts w:hint="eastAsia"/>
                <w:lang w:val="en-US" w:eastAsia="zh-CN"/>
              </w:rPr>
            </w:pPr>
            <w:r>
              <w:rPr>
                <w:rFonts w:hint="eastAsia"/>
                <w:lang w:val="en-US" w:eastAsia="zh-CN"/>
              </w:rPr>
              <w:t>机油储罐</w:t>
            </w:r>
          </w:p>
        </w:tc>
        <w:tc>
          <w:tcPr>
            <w:tcW w:w="1413" w:type="pct"/>
            <w:shd w:val="clear" w:color="auto" w:fill="auto"/>
            <w:vAlign w:val="center"/>
          </w:tcPr>
          <w:p w14:paraId="794FB482">
            <w:pPr>
              <w:pStyle w:val="90"/>
            </w:pPr>
            <w:r>
              <w:t>Φ2000×H</w:t>
            </w:r>
            <w:r>
              <w:rPr>
                <w:rFonts w:hint="eastAsia"/>
                <w:lang w:val="en-US" w:eastAsia="zh-CN"/>
              </w:rPr>
              <w:t>3</w:t>
            </w:r>
            <w:r>
              <w:t>000</w:t>
            </w:r>
          </w:p>
        </w:tc>
        <w:tc>
          <w:tcPr>
            <w:tcW w:w="407" w:type="pct"/>
            <w:shd w:val="clear" w:color="auto" w:fill="auto"/>
            <w:vAlign w:val="center"/>
          </w:tcPr>
          <w:p w14:paraId="22591AF3">
            <w:pPr>
              <w:pStyle w:val="90"/>
              <w:rPr>
                <w:rFonts w:hint="eastAsia"/>
                <w:lang w:val="en-US" w:eastAsia="zh-CN"/>
              </w:rPr>
            </w:pPr>
            <w:r>
              <w:rPr>
                <w:rFonts w:hint="eastAsia"/>
                <w:lang w:val="en-US" w:eastAsia="zh-CN"/>
              </w:rPr>
              <w:t>个</w:t>
            </w:r>
          </w:p>
        </w:tc>
        <w:tc>
          <w:tcPr>
            <w:tcW w:w="405" w:type="pct"/>
            <w:shd w:val="clear" w:color="auto" w:fill="auto"/>
            <w:vAlign w:val="center"/>
          </w:tcPr>
          <w:p w14:paraId="37E8C24F">
            <w:pPr>
              <w:pStyle w:val="90"/>
              <w:rPr>
                <w:rFonts w:hint="eastAsia"/>
                <w:lang w:val="en-US" w:eastAsia="zh-CN"/>
              </w:rPr>
            </w:pPr>
            <w:r>
              <w:rPr>
                <w:rFonts w:hint="eastAsia"/>
                <w:lang w:val="en-US" w:eastAsia="zh-CN"/>
              </w:rPr>
              <w:t>5</w:t>
            </w:r>
          </w:p>
        </w:tc>
        <w:tc>
          <w:tcPr>
            <w:tcW w:w="1671" w:type="pct"/>
            <w:shd w:val="clear" w:color="auto" w:fill="auto"/>
            <w:vAlign w:val="center"/>
          </w:tcPr>
          <w:p w14:paraId="4F211764">
            <w:pPr>
              <w:pStyle w:val="90"/>
              <w:rPr>
                <w:rFonts w:hint="eastAsia"/>
                <w:lang w:val="en-US" w:eastAsia="zh-CN"/>
              </w:rPr>
            </w:pPr>
            <w:r>
              <w:rPr>
                <w:rFonts w:hint="eastAsia"/>
                <w:lang w:val="en-US" w:eastAsia="zh-CN"/>
              </w:rPr>
              <w:t>10m</w:t>
            </w:r>
            <w:r>
              <w:rPr>
                <w:rFonts w:hint="eastAsia"/>
                <w:vertAlign w:val="superscript"/>
                <w:lang w:val="en-US" w:eastAsia="zh-CN"/>
              </w:rPr>
              <w:t>3</w:t>
            </w:r>
          </w:p>
        </w:tc>
      </w:tr>
    </w:tbl>
    <w:p w14:paraId="34C3C719">
      <w:pPr>
        <w:pStyle w:val="43"/>
      </w:pPr>
      <w:r>
        <w:rPr>
          <w:rFonts w:hint="eastAsia"/>
        </w:rPr>
        <w:t>公辅工程</w:t>
      </w:r>
      <w:bookmarkEnd w:id="163"/>
      <w:bookmarkEnd w:id="164"/>
      <w:bookmarkEnd w:id="165"/>
      <w:bookmarkEnd w:id="166"/>
      <w:bookmarkEnd w:id="167"/>
      <w:bookmarkEnd w:id="168"/>
      <w:bookmarkEnd w:id="169"/>
    </w:p>
    <w:p w14:paraId="5FB59C68">
      <w:pPr>
        <w:ind w:firstLine="480"/>
        <w:rPr>
          <w:rFonts w:hint="default" w:eastAsia="宋体"/>
          <w:lang w:val="en-US" w:eastAsia="zh-CN"/>
        </w:rPr>
      </w:pPr>
      <w:r>
        <w:rPr>
          <w:rFonts w:hint="eastAsia"/>
          <w:lang w:val="zh-CN"/>
        </w:rPr>
        <w:t>本项目整体分为两期建设，其中厂区所需的公辅工程均在一期工程中建设，预留二期所需的供水、排水、供电、供热等用量，因此，公辅工程不再分两期罗列和说明。</w:t>
      </w:r>
      <w:r>
        <w:rPr>
          <w:rFonts w:hint="eastAsia"/>
          <w:lang w:val="en-US" w:eastAsia="zh-CN"/>
        </w:rPr>
        <w:t>经核实，本项目变动前后公辅工程无变化。</w:t>
      </w:r>
    </w:p>
    <w:p w14:paraId="08A69432">
      <w:pPr>
        <w:pStyle w:val="45"/>
        <w:spacing w:before="65" w:after="65"/>
      </w:pPr>
      <w:r>
        <w:rPr>
          <w:rFonts w:hint="eastAsia"/>
        </w:rPr>
        <w:t>给水</w:t>
      </w:r>
    </w:p>
    <w:p w14:paraId="6E9EF1E1">
      <w:pPr>
        <w:ind w:firstLine="480"/>
      </w:pPr>
      <w:r>
        <w:rPr>
          <w:rFonts w:hint="eastAsia"/>
        </w:rPr>
        <w:t>本项目内所有生产、消防用水均来自园区供水管网，供水水压0.3MPa，给水管网为生产、消防合一制系统，给水总干管DN200，环状布置，给水管材为聚乙烯PE管，可以满足厂区用水需求。在厂区内设</w:t>
      </w:r>
      <w:r>
        <w:rPr>
          <w:rFonts w:hint="eastAsia"/>
          <w:lang w:val="en-US" w:eastAsia="zh-CN"/>
        </w:rPr>
        <w:t>2</w:t>
      </w:r>
      <w:r>
        <w:rPr>
          <w:rFonts w:hint="eastAsia"/>
        </w:rPr>
        <w:t>座</w:t>
      </w:r>
      <w:r>
        <w:rPr>
          <w:rFonts w:hint="eastAsia"/>
          <w:lang w:val="en-US" w:eastAsia="zh-CN"/>
        </w:rPr>
        <w:t>90</w:t>
      </w:r>
      <w:r>
        <w:rPr>
          <w:rFonts w:hint="eastAsia"/>
        </w:rPr>
        <w:t>7m</w:t>
      </w:r>
      <w:r>
        <w:rPr>
          <w:vertAlign w:val="superscript"/>
        </w:rPr>
        <w:t>3</w:t>
      </w:r>
      <w:r>
        <w:rPr>
          <w:rFonts w:hint="eastAsia"/>
        </w:rPr>
        <w:t>消防水罐可以满足厂区消防用水需求。厂区生活用水来自园区供水管网，水质、水量符合生活用水点用水要求。</w:t>
      </w:r>
    </w:p>
    <w:p w14:paraId="26B5B92E">
      <w:pPr>
        <w:pStyle w:val="45"/>
        <w:spacing w:before="65" w:after="65"/>
      </w:pPr>
      <w:r>
        <w:rPr>
          <w:rFonts w:hint="eastAsia"/>
        </w:rPr>
        <w:t>排水</w:t>
      </w:r>
    </w:p>
    <w:p w14:paraId="727EA82A">
      <w:pPr>
        <w:ind w:firstLine="480"/>
      </w:pPr>
      <w:r>
        <w:rPr>
          <w:rFonts w:hint="eastAsia"/>
        </w:rPr>
        <w:t>本项目排水主要为生活污水和生产废水经</w:t>
      </w:r>
      <w:r>
        <w:t>厂区</w:t>
      </w:r>
      <w:r>
        <w:rPr>
          <w:rFonts w:hint="eastAsia"/>
        </w:rPr>
        <w:t>污水处理站（“隔油池+A/O生化池”工艺）处理后在污水池中暂存，依托园区污水处理厂处理。</w:t>
      </w:r>
    </w:p>
    <w:p w14:paraId="08976DF1">
      <w:pPr>
        <w:pStyle w:val="45"/>
        <w:spacing w:before="65" w:after="65"/>
      </w:pPr>
      <w:r>
        <w:rPr>
          <w:rFonts w:hint="eastAsia"/>
        </w:rPr>
        <w:t>供电</w:t>
      </w:r>
    </w:p>
    <w:p w14:paraId="445837AD">
      <w:pPr>
        <w:ind w:firstLine="480"/>
      </w:pPr>
      <w:r>
        <w:rPr>
          <w:rFonts w:hint="eastAsia"/>
        </w:rPr>
        <w:t>本项目总用电量为5万千瓦时/年，其中一期用电量为4万千瓦时/年，二期用电量为1万千瓦时/年，用电依托园区已有供电网络，新建配电设施供电。</w:t>
      </w:r>
    </w:p>
    <w:p w14:paraId="29F99970">
      <w:pPr>
        <w:pStyle w:val="45"/>
        <w:spacing w:before="65" w:after="65"/>
      </w:pPr>
      <w:r>
        <w:rPr>
          <w:rFonts w:hint="eastAsia"/>
        </w:rPr>
        <w:t>供热、供汽</w:t>
      </w:r>
    </w:p>
    <w:p w14:paraId="0A6F3612">
      <w:pPr>
        <w:ind w:firstLine="480"/>
      </w:pPr>
      <w:r>
        <w:rPr>
          <w:rFonts w:hint="eastAsia"/>
        </w:rPr>
        <w:t>本项目新建1台天然气导热油炉作为生产装置供热设施，采用天然气导热油锅炉对导热油进行加热，加热后的导热油经管道进入供热装置进行加热后回到管道循环使用。</w:t>
      </w:r>
    </w:p>
    <w:p w14:paraId="252BF09B">
      <w:pPr>
        <w:pStyle w:val="43"/>
      </w:pPr>
      <w:bookmarkStart w:id="170" w:name="_Toc80193057"/>
      <w:bookmarkStart w:id="171" w:name="_Toc82518733"/>
      <w:bookmarkStart w:id="172" w:name="_Toc80973483"/>
      <w:bookmarkStart w:id="173" w:name="_Toc79515428"/>
      <w:bookmarkStart w:id="174" w:name="_Toc81214051"/>
      <w:bookmarkStart w:id="175" w:name="_Toc152864166"/>
      <w:bookmarkStart w:id="176" w:name="_Toc77007759"/>
      <w:r>
        <w:rPr>
          <w:rFonts w:hint="eastAsia"/>
        </w:rPr>
        <w:t>总图布置</w:t>
      </w:r>
      <w:bookmarkEnd w:id="170"/>
      <w:bookmarkEnd w:id="171"/>
      <w:bookmarkEnd w:id="172"/>
      <w:bookmarkEnd w:id="173"/>
      <w:bookmarkEnd w:id="174"/>
      <w:bookmarkEnd w:id="175"/>
      <w:bookmarkEnd w:id="176"/>
    </w:p>
    <w:p w14:paraId="5C094B89">
      <w:pPr>
        <w:ind w:firstLine="480"/>
      </w:pPr>
      <w:r>
        <w:rPr>
          <w:rFonts w:hint="eastAsia"/>
        </w:rPr>
        <w:t>（1）布置方案</w:t>
      </w:r>
    </w:p>
    <w:p w14:paraId="4BE608DF">
      <w:pPr>
        <w:ind w:firstLine="480"/>
      </w:pPr>
      <w:r>
        <w:rPr>
          <w:rFonts w:hint="eastAsia"/>
        </w:rPr>
        <w:t>本项目总占地面积为66171.6m</w:t>
      </w:r>
      <w:r>
        <w:rPr>
          <w:vertAlign w:val="superscript"/>
        </w:rPr>
        <w:t>2</w:t>
      </w:r>
      <w:r>
        <w:rPr>
          <w:rFonts w:hint="eastAsia"/>
        </w:rPr>
        <w:t>，项目主要由生产区（包括润滑油、润滑脂生产车间、储罐区及辅助生产设施）、办公区（包括办公四合院、宿舍楼、产品展厅等）及辅助生产设施（包括公辅车间、循环水池、消防水罐等）组成。主要包括：</w:t>
      </w:r>
    </w:p>
    <w:p w14:paraId="2C25CF26">
      <w:pPr>
        <w:ind w:firstLine="480"/>
      </w:pPr>
      <w:r>
        <w:rPr>
          <w:rFonts w:hint="eastAsia" w:ascii="宋体" w:hAnsi="宋体" w:cs="宋体"/>
        </w:rPr>
        <w:t>①</w:t>
      </w:r>
      <w:r>
        <w:rPr>
          <w:rFonts w:hint="eastAsia"/>
        </w:rPr>
        <w:t>生产区</w:t>
      </w:r>
    </w:p>
    <w:p w14:paraId="18BEEADD">
      <w:pPr>
        <w:ind w:firstLine="480"/>
      </w:pPr>
      <w:r>
        <w:rPr>
          <w:rFonts w:hint="eastAsia"/>
        </w:rPr>
        <w:t>润滑油生产：润滑油车间、包装桶生产车间、1#储罐区原料油、润滑油）、油品装卸区、应急事故水池、污水池、危废仓库等。（一期建设）</w:t>
      </w:r>
    </w:p>
    <w:p w14:paraId="7127647D">
      <w:pPr>
        <w:ind w:firstLine="480"/>
      </w:pPr>
      <w:r>
        <w:rPr>
          <w:rFonts w:hint="eastAsia"/>
        </w:rPr>
        <w:t>润滑脂生产：润滑脂车间、综合仓库、添加剂库房、成品堆场、空桶堆场、2#储罐区（基础油、润滑油）等。（二期建设）</w:t>
      </w:r>
    </w:p>
    <w:p w14:paraId="1C246B2E">
      <w:pPr>
        <w:ind w:firstLine="480"/>
      </w:pPr>
      <w:r>
        <w:rPr>
          <w:rFonts w:hint="eastAsia" w:ascii="宋体" w:hAnsi="宋体" w:cs="宋体"/>
        </w:rPr>
        <w:t>②</w:t>
      </w:r>
      <w:r>
        <w:rPr>
          <w:rFonts w:hint="eastAsia"/>
        </w:rPr>
        <w:t>办公区：宿舍楼（一期建设）、办公四合院（一期建设）、产品展厅（一期建设）等。</w:t>
      </w:r>
    </w:p>
    <w:p w14:paraId="2DDAB76F">
      <w:pPr>
        <w:ind w:firstLine="480"/>
      </w:pPr>
      <w:r>
        <w:rPr>
          <w:rFonts w:hint="eastAsia" w:ascii="宋体" w:hAnsi="宋体" w:cs="宋体"/>
        </w:rPr>
        <w:t>③</w:t>
      </w:r>
      <w:r>
        <w:rPr>
          <w:rFonts w:hint="eastAsia"/>
        </w:rPr>
        <w:t>辅助生产设施：公辅车间、循环水池、消防水罐等（一期建设）。总平面按功能分区布置，全厂分为生产区、办公生活区和辅助生产设施大部分，布置充分考虑了生产工艺流程、运输、防火、安全、卫生、预留发展及节约用地的要求。并按照各组成部分与各自功能的特点，结合厂区的自然条件进行平面布置。</w:t>
      </w:r>
    </w:p>
    <w:p w14:paraId="1C980F71">
      <w:pPr>
        <w:ind w:firstLine="480"/>
      </w:pPr>
      <w:r>
        <w:rPr>
          <w:rFonts w:hint="eastAsia"/>
        </w:rPr>
        <w:t>办公生活区中办公四合院、宿舍楼和产品展厅位于厂区的西南部，远离生产区，尽量减少生产区对办公生活区的有害气体污染。本项目总平面布置图见图3</w:t>
      </w:r>
      <w:r>
        <w:t>.2-1</w:t>
      </w:r>
      <w:r>
        <w:rPr>
          <w:rFonts w:hint="eastAsia"/>
        </w:rPr>
        <w:t>。</w:t>
      </w:r>
    </w:p>
    <w:p w14:paraId="21149830">
      <w:pPr>
        <w:ind w:firstLine="480"/>
      </w:pPr>
      <w:r>
        <w:rPr>
          <w:rFonts w:hint="eastAsia"/>
        </w:rPr>
        <w:t>本项目周围园区内道路已统一规划并建成，不会因本项目的建设而新增道路，项目公路运输对环境的影响已纳入交通道路环评范畴，厂外道路交通运输过程中对环境的影响不在本次评价范围之内，本项目仅考虑厂区内交通运输过程中对环境的影响。</w:t>
      </w:r>
    </w:p>
    <w:p w14:paraId="013C52DD">
      <w:pPr>
        <w:ind w:firstLine="480"/>
      </w:pPr>
      <w:r>
        <w:rPr>
          <w:rFonts w:hint="eastAsia"/>
        </w:rPr>
        <w:t>本项目各类原料及辅料等的年总运输量为</w:t>
      </w:r>
      <w:r>
        <w:t>180461.52</w:t>
      </w:r>
      <w:r>
        <w:rPr>
          <w:rFonts w:hint="eastAsia"/>
        </w:rPr>
        <w:t>吨/年，其中运入量</w:t>
      </w:r>
      <w:r>
        <w:t>100461.52</w:t>
      </w:r>
      <w:r>
        <w:rPr>
          <w:rFonts w:hint="eastAsia"/>
        </w:rPr>
        <w:t>吨/年；其运出量</w:t>
      </w:r>
      <w:r>
        <w:t>80000</w:t>
      </w:r>
      <w:r>
        <w:rPr>
          <w:rFonts w:hint="eastAsia"/>
        </w:rPr>
        <w:t>吨/年。</w:t>
      </w:r>
    </w:p>
    <w:p w14:paraId="271B63EF">
      <w:pPr>
        <w:ind w:firstLine="480"/>
      </w:pPr>
      <w:r>
        <w:rPr>
          <w:rFonts w:hint="eastAsia"/>
        </w:rPr>
        <w:t>每年运输</w:t>
      </w:r>
      <w:r>
        <w:t>2</w:t>
      </w:r>
      <w:r>
        <w:rPr>
          <w:rFonts w:hint="eastAsia"/>
        </w:rPr>
        <w:t>次，共</w:t>
      </w:r>
      <w:r>
        <w:t>5</w:t>
      </w:r>
      <w:r>
        <w:rPr>
          <w:rFonts w:hint="eastAsia"/>
        </w:rPr>
        <w:t>辆车，每辆汽车厂内运输平均距离约为0.5km，运输时间为1.5min=0.025h</w:t>
      </w:r>
    </w:p>
    <w:p w14:paraId="6108DCB1">
      <w:pPr>
        <w:ind w:firstLine="480"/>
      </w:pPr>
      <w:r>
        <w:rPr>
          <w:rFonts w:hint="eastAsia"/>
        </w:rPr>
        <w:t>耗油量：</w:t>
      </w:r>
      <w:r>
        <w:t>100</w:t>
      </w:r>
      <w:r>
        <w:rPr>
          <w:rFonts w:hint="eastAsia"/>
        </w:rPr>
        <w:t>吨货车百公里耗油量约为25～30升柴油，本项目取30L/百公里</w:t>
      </w:r>
    </w:p>
    <w:p w14:paraId="48E62391">
      <w:pPr>
        <w:ind w:firstLine="480"/>
      </w:pPr>
      <w:r>
        <w:rPr>
          <w:rFonts w:hint="eastAsia"/>
        </w:rPr>
        <w:t>柴油密度0.83～0.855×10</w:t>
      </w:r>
      <w:r>
        <w:rPr>
          <w:rFonts w:hint="eastAsia"/>
          <w:vertAlign w:val="superscript"/>
        </w:rPr>
        <w:t>3</w:t>
      </w:r>
      <w:r>
        <w:rPr>
          <w:rFonts w:hint="eastAsia"/>
        </w:rPr>
        <w:t>kg/m</w:t>
      </w:r>
      <w:r>
        <w:rPr>
          <w:rFonts w:hint="eastAsia"/>
          <w:vertAlign w:val="superscript"/>
        </w:rPr>
        <w:t>3</w:t>
      </w:r>
      <w:r>
        <w:rPr>
          <w:rFonts w:hint="eastAsia"/>
        </w:rPr>
        <w:t>，本项目取0.855×10</w:t>
      </w:r>
      <w:r>
        <w:rPr>
          <w:rFonts w:hint="eastAsia"/>
          <w:vertAlign w:val="superscript"/>
        </w:rPr>
        <w:t>3</w:t>
      </w:r>
      <w:r>
        <w:rPr>
          <w:rFonts w:hint="eastAsia"/>
        </w:rPr>
        <w:t>kg/m</w:t>
      </w:r>
      <w:r>
        <w:rPr>
          <w:rFonts w:hint="eastAsia"/>
          <w:vertAlign w:val="superscript"/>
        </w:rPr>
        <w:t>3</w:t>
      </w:r>
    </w:p>
    <w:p w14:paraId="2A660553">
      <w:pPr>
        <w:ind w:firstLine="480"/>
      </w:pPr>
      <w:r>
        <w:rPr>
          <w:rFonts w:hint="eastAsia"/>
        </w:rPr>
        <w:t>总耗油量=</w:t>
      </w:r>
      <w:r>
        <w:t>2809.23</w:t>
      </w:r>
      <w:r>
        <w:rPr>
          <w:rFonts w:hint="eastAsia"/>
        </w:rPr>
        <w:t>×</w:t>
      </w:r>
      <w:r>
        <w:t>2</w:t>
      </w:r>
      <w:r>
        <w:rPr>
          <w:rFonts w:hint="eastAsia"/>
        </w:rPr>
        <w:t>×0.5×30÷100=</w:t>
      </w:r>
      <w:r>
        <w:t>842.77</w:t>
      </w:r>
      <w:r>
        <w:rPr>
          <w:rFonts w:hint="eastAsia"/>
        </w:rPr>
        <w:t>L/a=</w:t>
      </w:r>
      <w:r>
        <w:t>720.6</w:t>
      </w:r>
      <w:r>
        <w:rPr>
          <w:rFonts w:hint="eastAsia"/>
        </w:rPr>
        <w:t>kg/a</w:t>
      </w:r>
    </w:p>
    <w:p w14:paraId="1096A84B">
      <w:pPr>
        <w:ind w:firstLine="480"/>
      </w:pPr>
      <w:r>
        <w:rPr>
          <w:rFonts w:hint="eastAsia"/>
        </w:rPr>
        <w:t>燃烧1吨柴油，产生20S kg二氧化硫，S油为燃油硫份，一般柴油为0.5～0.8%，本次取0.8%，产生1.2kg颗粒物，产生27.4kg氮氧化物。</w:t>
      </w:r>
    </w:p>
    <w:p w14:paraId="79894447">
      <w:pPr>
        <w:adjustRightInd w:val="0"/>
        <w:snapToGrid w:val="0"/>
        <w:spacing w:before="65" w:beforeLines="20" w:after="60" w:line="240" w:lineRule="auto"/>
        <w:ind w:firstLine="0" w:firstLineChars="0"/>
        <w:jc w:val="center"/>
        <w:rPr>
          <w:rFonts w:eastAsia="黑体"/>
          <w:lang w:val="zh-CN" w:eastAsia="zh-CN"/>
        </w:rPr>
      </w:pPr>
      <w:r>
        <w:rPr>
          <w:rFonts w:hint="eastAsia" w:eastAsia="黑体"/>
          <w:lang w:val="zh-CN" w:eastAsia="zh-CN"/>
        </w:rPr>
        <w:t>表</w:t>
      </w:r>
      <w:r>
        <w:rPr>
          <w:rFonts w:eastAsia="黑体"/>
          <w:lang w:val="zh-CN" w:eastAsia="zh-CN"/>
        </w:rPr>
        <w:t>3</w:t>
      </w:r>
      <w:r>
        <w:rPr>
          <w:rFonts w:hint="eastAsia" w:eastAsia="黑体"/>
          <w:lang w:val="zh-CN"/>
        </w:rPr>
        <w:t>.</w:t>
      </w:r>
      <w:r>
        <w:rPr>
          <w:rFonts w:eastAsia="黑体"/>
          <w:lang w:val="zh-CN" w:eastAsia="zh-CN"/>
        </w:rPr>
        <w:t>1-9</w:t>
      </w:r>
      <w:r>
        <w:rPr>
          <w:rFonts w:hint="eastAsia" w:eastAsia="黑体"/>
          <w:lang w:val="zh-CN" w:eastAsia="zh-CN"/>
        </w:rPr>
        <w:t xml:space="preserve">   交通运输源污染物排放量一览表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52"/>
        <w:gridCol w:w="1122"/>
        <w:gridCol w:w="1577"/>
        <w:gridCol w:w="1560"/>
        <w:gridCol w:w="973"/>
        <w:gridCol w:w="973"/>
        <w:gridCol w:w="973"/>
      </w:tblGrid>
      <w:tr w14:paraId="0AA39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9" w:type="pct"/>
            <w:vMerge w:val="restart"/>
            <w:shd w:val="clear" w:color="auto" w:fill="auto"/>
            <w:vAlign w:val="center"/>
          </w:tcPr>
          <w:p w14:paraId="7986BB7D">
            <w:pPr>
              <w:pStyle w:val="90"/>
              <w:rPr>
                <w:lang w:eastAsia="en-US"/>
              </w:rPr>
            </w:pPr>
            <w:r>
              <w:rPr>
                <w:rFonts w:hint="eastAsia"/>
                <w:lang w:eastAsia="en-US"/>
              </w:rPr>
              <w:t>污染源</w:t>
            </w:r>
          </w:p>
        </w:tc>
        <w:tc>
          <w:tcPr>
            <w:tcW w:w="643" w:type="pct"/>
            <w:vMerge w:val="restart"/>
            <w:shd w:val="clear" w:color="auto" w:fill="auto"/>
            <w:vAlign w:val="center"/>
          </w:tcPr>
          <w:p w14:paraId="2AF76BC5">
            <w:pPr>
              <w:pStyle w:val="90"/>
              <w:rPr>
                <w:lang w:eastAsia="en-US"/>
              </w:rPr>
            </w:pPr>
            <w:r>
              <w:rPr>
                <w:rFonts w:hint="eastAsia"/>
                <w:lang w:eastAsia="en-US"/>
              </w:rPr>
              <w:t>运输方式</w:t>
            </w:r>
          </w:p>
        </w:tc>
        <w:tc>
          <w:tcPr>
            <w:tcW w:w="903" w:type="pct"/>
            <w:vMerge w:val="restart"/>
            <w:shd w:val="clear" w:color="auto" w:fill="auto"/>
            <w:vAlign w:val="center"/>
          </w:tcPr>
          <w:p w14:paraId="37DDF09A">
            <w:pPr>
              <w:pStyle w:val="90"/>
              <w:rPr>
                <w:lang w:eastAsia="en-US"/>
              </w:rPr>
            </w:pPr>
            <w:r>
              <w:rPr>
                <w:rFonts w:hint="eastAsia"/>
                <w:lang w:eastAsia="en-US"/>
              </w:rPr>
              <w:t>交通量（辆/a）</w:t>
            </w:r>
          </w:p>
        </w:tc>
        <w:tc>
          <w:tcPr>
            <w:tcW w:w="893" w:type="pct"/>
            <w:vMerge w:val="restart"/>
            <w:shd w:val="clear" w:color="auto" w:fill="auto"/>
            <w:vAlign w:val="center"/>
          </w:tcPr>
          <w:p w14:paraId="0AF45CF4">
            <w:pPr>
              <w:pStyle w:val="90"/>
            </w:pPr>
            <w:r>
              <w:rPr>
                <w:rFonts w:hint="eastAsia"/>
              </w:rPr>
              <w:t>总耗柴油量（kg/a）</w:t>
            </w:r>
          </w:p>
        </w:tc>
        <w:tc>
          <w:tcPr>
            <w:tcW w:w="1671" w:type="pct"/>
            <w:gridSpan w:val="3"/>
            <w:shd w:val="clear" w:color="auto" w:fill="auto"/>
            <w:vAlign w:val="center"/>
          </w:tcPr>
          <w:p w14:paraId="06E4933B">
            <w:pPr>
              <w:pStyle w:val="90"/>
            </w:pPr>
            <w:r>
              <w:rPr>
                <w:rFonts w:hint="eastAsia"/>
              </w:rPr>
              <w:t>污染物排放量（kg/a）</w:t>
            </w:r>
          </w:p>
        </w:tc>
      </w:tr>
      <w:tr w14:paraId="077FE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9" w:type="pct"/>
            <w:vMerge w:val="continue"/>
            <w:shd w:val="clear" w:color="auto" w:fill="auto"/>
            <w:vAlign w:val="center"/>
          </w:tcPr>
          <w:p w14:paraId="590F4DC8">
            <w:pPr>
              <w:pStyle w:val="90"/>
            </w:pPr>
          </w:p>
        </w:tc>
        <w:tc>
          <w:tcPr>
            <w:tcW w:w="643" w:type="pct"/>
            <w:vMerge w:val="continue"/>
            <w:shd w:val="clear" w:color="auto" w:fill="auto"/>
            <w:vAlign w:val="center"/>
          </w:tcPr>
          <w:p w14:paraId="75AC9417">
            <w:pPr>
              <w:pStyle w:val="90"/>
            </w:pPr>
          </w:p>
        </w:tc>
        <w:tc>
          <w:tcPr>
            <w:tcW w:w="903" w:type="pct"/>
            <w:vMerge w:val="continue"/>
            <w:shd w:val="clear" w:color="auto" w:fill="auto"/>
            <w:vAlign w:val="center"/>
          </w:tcPr>
          <w:p w14:paraId="36CD08A0">
            <w:pPr>
              <w:pStyle w:val="90"/>
            </w:pPr>
          </w:p>
        </w:tc>
        <w:tc>
          <w:tcPr>
            <w:tcW w:w="893" w:type="pct"/>
            <w:vMerge w:val="continue"/>
            <w:shd w:val="clear" w:color="auto" w:fill="auto"/>
            <w:vAlign w:val="center"/>
          </w:tcPr>
          <w:p w14:paraId="404DF7EA">
            <w:pPr>
              <w:pStyle w:val="90"/>
            </w:pPr>
          </w:p>
        </w:tc>
        <w:tc>
          <w:tcPr>
            <w:tcW w:w="557" w:type="pct"/>
            <w:shd w:val="clear" w:color="auto" w:fill="auto"/>
            <w:vAlign w:val="center"/>
          </w:tcPr>
          <w:p w14:paraId="42ECE199">
            <w:pPr>
              <w:pStyle w:val="90"/>
              <w:rPr>
                <w:lang w:eastAsia="en-US"/>
              </w:rPr>
            </w:pPr>
            <w:r>
              <w:rPr>
                <w:rFonts w:hint="eastAsia"/>
                <w:lang w:eastAsia="en-US"/>
              </w:rPr>
              <w:t>SO</w:t>
            </w:r>
            <w:r>
              <w:rPr>
                <w:rFonts w:hint="eastAsia"/>
                <w:vertAlign w:val="subscript"/>
                <w:lang w:eastAsia="en-US"/>
              </w:rPr>
              <w:t>2</w:t>
            </w:r>
          </w:p>
        </w:tc>
        <w:tc>
          <w:tcPr>
            <w:tcW w:w="557" w:type="pct"/>
            <w:shd w:val="clear" w:color="auto" w:fill="auto"/>
            <w:vAlign w:val="center"/>
          </w:tcPr>
          <w:p w14:paraId="5358825D">
            <w:pPr>
              <w:pStyle w:val="90"/>
              <w:rPr>
                <w:lang w:eastAsia="en-US"/>
              </w:rPr>
            </w:pPr>
            <w:r>
              <w:rPr>
                <w:rFonts w:hint="eastAsia"/>
                <w:lang w:eastAsia="en-US"/>
              </w:rPr>
              <w:t>NO</w:t>
            </w:r>
            <w:r>
              <w:rPr>
                <w:rFonts w:hint="eastAsia"/>
                <w:vertAlign w:val="subscript"/>
                <w:lang w:eastAsia="en-US"/>
              </w:rPr>
              <w:t>X</w:t>
            </w:r>
          </w:p>
        </w:tc>
        <w:tc>
          <w:tcPr>
            <w:tcW w:w="557" w:type="pct"/>
            <w:shd w:val="clear" w:color="auto" w:fill="auto"/>
            <w:vAlign w:val="center"/>
          </w:tcPr>
          <w:p w14:paraId="66FF7492">
            <w:pPr>
              <w:pStyle w:val="90"/>
              <w:rPr>
                <w:lang w:eastAsia="en-US"/>
              </w:rPr>
            </w:pPr>
            <w:r>
              <w:rPr>
                <w:rFonts w:hint="eastAsia"/>
                <w:lang w:eastAsia="en-US"/>
              </w:rPr>
              <w:t>颗粒物</w:t>
            </w:r>
          </w:p>
        </w:tc>
      </w:tr>
      <w:tr w14:paraId="6965D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9" w:type="pct"/>
            <w:shd w:val="clear" w:color="auto" w:fill="auto"/>
            <w:vAlign w:val="center"/>
          </w:tcPr>
          <w:p w14:paraId="10D436C8">
            <w:pPr>
              <w:pStyle w:val="90"/>
              <w:rPr>
                <w:lang w:eastAsia="en-US"/>
              </w:rPr>
            </w:pPr>
            <w:r>
              <w:rPr>
                <w:rFonts w:hint="eastAsia"/>
                <w:lang w:eastAsia="en-US"/>
              </w:rPr>
              <w:t>运输车辆尾气</w:t>
            </w:r>
          </w:p>
        </w:tc>
        <w:tc>
          <w:tcPr>
            <w:tcW w:w="643" w:type="pct"/>
            <w:shd w:val="clear" w:color="auto" w:fill="auto"/>
            <w:vAlign w:val="center"/>
          </w:tcPr>
          <w:p w14:paraId="3EF97EB8">
            <w:pPr>
              <w:pStyle w:val="90"/>
              <w:rPr>
                <w:lang w:eastAsia="en-US"/>
              </w:rPr>
            </w:pPr>
            <w:r>
              <w:rPr>
                <w:rFonts w:hint="eastAsia"/>
                <w:lang w:eastAsia="en-US"/>
              </w:rPr>
              <w:t>柴油货车</w:t>
            </w:r>
          </w:p>
        </w:tc>
        <w:tc>
          <w:tcPr>
            <w:tcW w:w="903" w:type="pct"/>
            <w:shd w:val="clear" w:color="auto" w:fill="auto"/>
            <w:vAlign w:val="center"/>
          </w:tcPr>
          <w:p w14:paraId="46C0B6E9">
            <w:pPr>
              <w:pStyle w:val="90"/>
              <w:rPr>
                <w:lang w:eastAsia="en-US"/>
              </w:rPr>
            </w:pPr>
            <w:r>
              <w:rPr>
                <w:lang w:eastAsia="en-US"/>
              </w:rPr>
              <w:t>5</w:t>
            </w:r>
          </w:p>
        </w:tc>
        <w:tc>
          <w:tcPr>
            <w:tcW w:w="893" w:type="pct"/>
            <w:shd w:val="clear" w:color="auto" w:fill="auto"/>
            <w:vAlign w:val="center"/>
          </w:tcPr>
          <w:p w14:paraId="2AE7972A">
            <w:pPr>
              <w:pStyle w:val="90"/>
              <w:rPr>
                <w:lang w:eastAsia="en-US"/>
              </w:rPr>
            </w:pPr>
            <w:r>
              <w:rPr>
                <w:lang w:eastAsia="en-US"/>
              </w:rPr>
              <w:t>720.6</w:t>
            </w:r>
          </w:p>
        </w:tc>
        <w:tc>
          <w:tcPr>
            <w:tcW w:w="557" w:type="pct"/>
            <w:shd w:val="clear" w:color="auto" w:fill="auto"/>
            <w:vAlign w:val="center"/>
          </w:tcPr>
          <w:p w14:paraId="09E9DC54">
            <w:pPr>
              <w:pStyle w:val="90"/>
            </w:pPr>
            <w:r>
              <w:rPr>
                <w:rFonts w:hint="eastAsia"/>
              </w:rPr>
              <w:t>0.116</w:t>
            </w:r>
          </w:p>
        </w:tc>
        <w:tc>
          <w:tcPr>
            <w:tcW w:w="557" w:type="pct"/>
            <w:shd w:val="clear" w:color="auto" w:fill="auto"/>
            <w:vAlign w:val="center"/>
          </w:tcPr>
          <w:p w14:paraId="31E22C1B">
            <w:pPr>
              <w:pStyle w:val="90"/>
            </w:pPr>
            <w:r>
              <w:rPr>
                <w:rFonts w:hint="eastAsia"/>
              </w:rPr>
              <w:t>19.75</w:t>
            </w:r>
          </w:p>
        </w:tc>
        <w:tc>
          <w:tcPr>
            <w:tcW w:w="557" w:type="pct"/>
            <w:shd w:val="clear" w:color="auto" w:fill="auto"/>
            <w:vAlign w:val="center"/>
          </w:tcPr>
          <w:p w14:paraId="600F2CB5">
            <w:pPr>
              <w:pStyle w:val="90"/>
              <w:rPr>
                <w:lang w:eastAsia="en-US"/>
              </w:rPr>
            </w:pPr>
            <w:r>
              <w:rPr>
                <w:rFonts w:hint="eastAsia"/>
              </w:rPr>
              <w:t>0.865</w:t>
            </w:r>
          </w:p>
        </w:tc>
      </w:tr>
    </w:tbl>
    <w:p w14:paraId="7484E851">
      <w:pPr>
        <w:ind w:firstLine="480"/>
      </w:pPr>
    </w:p>
    <w:p w14:paraId="0FEB8EB8">
      <w:pPr>
        <w:ind w:firstLine="480"/>
      </w:pPr>
    </w:p>
    <w:p w14:paraId="61B1EE2D">
      <w:pPr>
        <w:ind w:firstLine="480"/>
      </w:pPr>
    </w:p>
    <w:p w14:paraId="64641391">
      <w:pPr>
        <w:ind w:firstLine="480"/>
        <w:sectPr>
          <w:footerReference r:id="rId17"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4680C3A1">
      <w:pPr>
        <w:pStyle w:val="47"/>
        <w:spacing w:before="0" w:beforeLines="0" w:after="0"/>
      </w:pPr>
      <w:bookmarkStart w:id="177" w:name="_Ref75275016"/>
    </w:p>
    <w:bookmarkEnd w:id="177"/>
    <w:p w14:paraId="1B316E6C">
      <w:pPr>
        <w:ind w:firstLine="480"/>
        <w:sectPr>
          <w:footerReference r:id="rId18" w:type="default"/>
          <w:pgSz w:w="23811" w:h="16838" w:orient="landscape"/>
          <w:pgMar w:top="1588" w:right="1440" w:bottom="1588" w:left="1440" w:header="907" w:footer="775" w:gutter="0"/>
          <w:pgBorders>
            <w:top w:val="none" w:sz="0" w:space="0"/>
            <w:left w:val="none" w:sz="0" w:space="0"/>
            <w:bottom w:val="none" w:sz="0" w:space="0"/>
            <w:right w:val="none" w:sz="0" w:space="0"/>
          </w:pgBorders>
          <w:pgNumType w:fmt="numberInDash"/>
          <w:cols w:space="425" w:num="1"/>
          <w:docGrid w:type="linesAndChars" w:linePitch="326" w:charSpace="0"/>
        </w:sectPr>
      </w:pPr>
    </w:p>
    <w:p w14:paraId="0359A05C">
      <w:pPr>
        <w:pStyle w:val="41"/>
      </w:pPr>
      <w:bookmarkStart w:id="178" w:name="_Toc152864167"/>
      <w:r>
        <w:rPr>
          <w:rFonts w:hint="eastAsia"/>
        </w:rPr>
        <w:t>生产工艺</w:t>
      </w:r>
      <w:bookmarkEnd w:id="178"/>
    </w:p>
    <w:p w14:paraId="53B7F2B8">
      <w:pPr>
        <w:rPr>
          <w:rFonts w:hint="default" w:eastAsia="宋体"/>
          <w:lang w:val="en-US" w:eastAsia="zh-CN"/>
        </w:rPr>
      </w:pPr>
      <w:r>
        <w:rPr>
          <w:rFonts w:hint="eastAsia"/>
          <w:lang w:val="en-US" w:eastAsia="zh-CN"/>
        </w:rPr>
        <w:t>经核实，本项目变动前后的生产工艺无变化。</w:t>
      </w:r>
    </w:p>
    <w:p w14:paraId="44FD1448">
      <w:pPr>
        <w:pStyle w:val="43"/>
      </w:pPr>
      <w:bookmarkStart w:id="179" w:name="_Toc152864168"/>
      <w:r>
        <w:rPr>
          <w:rFonts w:hint="eastAsia"/>
        </w:rPr>
        <w:t>润滑油生产工艺简介</w:t>
      </w:r>
      <w:bookmarkEnd w:id="179"/>
    </w:p>
    <w:p w14:paraId="607057AB">
      <w:pPr>
        <w:ind w:firstLine="480"/>
      </w:pPr>
      <w:r>
        <w:rPr>
          <w:rFonts w:hint="eastAsia"/>
        </w:rPr>
        <w:t>本项目以新疆佳宇恒能源科技有限公司生产的减二线、减三线油为原料，经原料油换热、沥青脱出、白土脱色、过滤、调和、检验工序处理后产出润滑油，在厂区润滑油储罐暂存，外售，原料减二线、减三线油经汽车运输至厂区内原料储罐进行暂存。具体工艺流程描述如下：</w:t>
      </w:r>
    </w:p>
    <w:p w14:paraId="3F55C9E7">
      <w:pPr>
        <w:ind w:firstLine="480"/>
      </w:pPr>
      <w:r>
        <w:rPr>
          <w:rFonts w:hint="eastAsia"/>
        </w:rPr>
        <w:t>（1）原料准备</w:t>
      </w:r>
    </w:p>
    <w:p w14:paraId="1F1BEEAE">
      <w:pPr>
        <w:ind w:firstLine="480"/>
      </w:pPr>
      <w:r>
        <w:rPr>
          <w:rFonts w:hint="eastAsia"/>
        </w:rPr>
        <w:t>本项目原料油（减二线、减三线）通过罐车运输进厂后，将储罐进料管路接口与罐车尾部下方的卸料口对接，打开储罐进料阀门，并启动进料泵，将罐车中的原料油通过管路输送至储罐中，在输送管道上设置切断阀，与储罐液位进行联锁控制，注意检查储罐液位，防止满溢。罐车卸料完成后，及时关闭进料泵及进料阀门。</w:t>
      </w:r>
    </w:p>
    <w:p w14:paraId="47B6E062">
      <w:pPr>
        <w:ind w:firstLine="480"/>
      </w:pPr>
      <w:r>
        <w:rPr>
          <w:rFonts w:hint="eastAsia"/>
        </w:rPr>
        <w:t>（2）原料油换热</w:t>
      </w:r>
    </w:p>
    <w:p w14:paraId="3F38EFB2">
      <w:pPr>
        <w:ind w:firstLine="480"/>
      </w:pPr>
      <w:r>
        <w:rPr>
          <w:rFonts w:hint="eastAsia"/>
        </w:rPr>
        <w:t>原料油经泵从原料罐区储罐输送至润滑油生产车间进入原料油缓冲罐内，罐内物料温度控制在60～70℃，低于6</w:t>
      </w:r>
      <w:r>
        <w:t>0</w:t>
      </w:r>
      <w:r>
        <w:rPr>
          <w:rFonts w:hint="eastAsia"/>
        </w:rPr>
        <w:t>℃采用导热油炉换热，高于7</w:t>
      </w:r>
      <w:r>
        <w:t>0</w:t>
      </w:r>
      <w:r>
        <w:rPr>
          <w:rFonts w:hint="eastAsia"/>
        </w:rPr>
        <w:t>℃采用循环冷却水降温。</w:t>
      </w:r>
    </w:p>
    <w:p w14:paraId="6F92541F">
      <w:pPr>
        <w:ind w:firstLine="480"/>
      </w:pPr>
      <w:r>
        <w:rPr>
          <w:rFonts w:hint="eastAsia"/>
        </w:rPr>
        <w:t>（3）沥青脱出</w:t>
      </w:r>
    </w:p>
    <w:p w14:paraId="113AE66F">
      <w:pPr>
        <w:ind w:firstLine="480"/>
      </w:pPr>
      <w:r>
        <w:rPr>
          <w:rFonts w:hint="eastAsia"/>
        </w:rPr>
        <w:t>用用泵将原料油缓冲罐中的原料输送至生产车间沉淀罐，润滑油辅料仓库内设置1座浓硫酸储罐，容积6</w:t>
      </w:r>
      <w:r>
        <w:t>0</w:t>
      </w:r>
      <w:r>
        <w:rPr>
          <w:rFonts w:hint="eastAsia"/>
        </w:rPr>
        <w:t>m</w:t>
      </w:r>
      <w:r>
        <w:rPr>
          <w:vertAlign w:val="superscript"/>
        </w:rPr>
        <w:t>3</w:t>
      </w:r>
      <w:r>
        <w:rPr>
          <w:rFonts w:hint="eastAsia"/>
        </w:rPr>
        <w:t>，通过硫酸输送泵将硫酸打入沉淀罐上部高位硫酸槽，高位硫酸槽内的硫酸通过阀门控制添加量，沉淀罐中的原料油与微量98%浓硫酸通过搅拌加速反应，去除油品中的微量杂质（包括酸性色素和有机酸等）有助于提高润滑油的品质和稳定性。加酸沉淀后的原料油在沉淀罐罐底排出部分重油后，上层油品也经沉淀罐底部排出经沉淀液输送泵送至白土锅内。</w:t>
      </w:r>
    </w:p>
    <w:p w14:paraId="1AF8B213">
      <w:pPr>
        <w:ind w:firstLine="480"/>
      </w:pPr>
      <w:r>
        <w:rPr>
          <w:rFonts w:hint="eastAsia"/>
        </w:rPr>
        <w:t>沉淀罐罐底排出的部分重油通过叉车在生产车间内运输至沥青中转罐区，通过行车吊装转运至沥青中转罐内，沥青中转罐内设置电加热装置维持罐内物料温度在50~60℃左右，产品需要外售时，通过沥青输送泵将物料打出进行冷却、包装后可作为石油基沥青副产品（固体）对外售出，厂区内不储存。</w:t>
      </w:r>
    </w:p>
    <w:p w14:paraId="20CE911C">
      <w:pPr>
        <w:ind w:firstLine="480"/>
      </w:pPr>
      <w:r>
        <w:rPr>
          <w:rFonts w:hint="eastAsia"/>
        </w:rPr>
        <w:t>（4）白土脱色、过滤</w:t>
      </w:r>
    </w:p>
    <w:p w14:paraId="445950FB">
      <w:pPr>
        <w:ind w:firstLine="480"/>
      </w:pPr>
      <w:r>
        <w:rPr>
          <w:rFonts w:hint="eastAsia"/>
        </w:rPr>
        <w:t>本项目所用白土脱色原理是：利用白土的吸附选择性，在一定温度下用活性白土处理油料，吸附而除掉极性杂质，降低油品的残炭值和酸值，改善油品的颜色及安定性，无化学反应，吸附属于物理过程。</w:t>
      </w:r>
    </w:p>
    <w:p w14:paraId="02FE933B">
      <w:pPr>
        <w:ind w:firstLine="480"/>
      </w:pPr>
      <w:r>
        <w:rPr>
          <w:rFonts w:hint="eastAsia"/>
        </w:rPr>
        <w:t>沉淀罐上层油品经泵输送至白土锅（带搅拌电机）内，白土锅设置导热油换热系统，油品在白土锅内通过导热油换热至70～80℃，油品和白土在白土锅内经过充分搅拌，白土的细小粒子具有很强的吸附作用，能将油品中的大颗粒杂质、深色杂质从油品中吸附下来，从而提高润滑油的稳定性，降低润滑油的色度值使其更加透明，使润滑油的粘度得到改善。吸附后的油品通过白土过滤泵输送至板框过滤机，经过滤脱色后的油品自流至生产车间内中和油罐，过滤后的白土废渣送往厂区危废库暂存。</w:t>
      </w:r>
    </w:p>
    <w:p w14:paraId="5B744443">
      <w:pPr>
        <w:ind w:firstLine="480"/>
      </w:pPr>
      <w:r>
        <w:rPr>
          <w:rFonts w:hint="eastAsia"/>
        </w:rPr>
        <w:t>（5）调和检验</w:t>
      </w:r>
    </w:p>
    <w:p w14:paraId="642608E0">
      <w:pPr>
        <w:ind w:firstLine="480"/>
      </w:pPr>
      <w:r>
        <w:rPr>
          <w:rFonts w:hint="eastAsia"/>
        </w:rPr>
        <w:t>中和油罐上部设置高位氨水槽，高位氨水槽内的氨水（浓度5%）通过阀门控制添加量，中和油罐中的油品通过加入5%氨水调和油品的酸度后，提取少量中和后的润滑油，在化验室中对润滑油进行闪点、密度、倾点、抗乳化性和粘度性能的测试。化验分析合格的润滑油，由成品输送泵经管道输送至厂区成品润滑油储罐中进行暂存，不合格的，根据测试结果返回原料油缓冲罐重新进行生产。</w:t>
      </w:r>
    </w:p>
    <w:p w14:paraId="13C4D9C1">
      <w:pPr>
        <w:ind w:firstLine="480"/>
      </w:pPr>
      <w:r>
        <w:rPr>
          <w:rFonts w:hint="eastAsia"/>
        </w:rPr>
        <w:t>导热油换热系统：本项目设置天然气导热油炉，润滑油生产的原料油换热、白土脱色工段需要对油品进行加温，其所需热量由导热油系统提供。</w:t>
      </w:r>
    </w:p>
    <w:p w14:paraId="1C5B443C">
      <w:pPr>
        <w:ind w:firstLine="480"/>
      </w:pPr>
      <w:r>
        <w:rPr>
          <w:rFonts w:hint="eastAsia"/>
        </w:rPr>
        <w:t>具体工艺流程见图3.3-1。</w:t>
      </w:r>
    </w:p>
    <w:p w14:paraId="5524027D">
      <w:pPr>
        <w:pStyle w:val="43"/>
      </w:pPr>
      <w:bookmarkStart w:id="180" w:name="_Toc152864169"/>
      <w:r>
        <w:rPr>
          <w:rFonts w:hint="eastAsia"/>
        </w:rPr>
        <w:t>润滑脂生产工艺简介</w:t>
      </w:r>
      <w:bookmarkEnd w:id="180"/>
    </w:p>
    <w:p w14:paraId="33B8451B">
      <w:pPr>
        <w:ind w:firstLine="480"/>
      </w:pPr>
      <w:r>
        <w:rPr>
          <w:rFonts w:hint="eastAsia"/>
        </w:rPr>
        <w:t>本项目生产的皂基类润滑脂为通用锂基润滑脂，生产流程相对较简单，主要过程如下：润滑脂生产原料均来源于润滑油生产线的产品《基础油》，首先将三分之一釜容积的基础油和12-基硬脂酸、硬脂酸投入釜中，通过导热油炉升温，加温待皂基溶化后启动搅拌，升温至60℃以上后加入计量的氢氧化锂，开始皂化反应90分钟，皂化完成后继续升温脱水，升温达到150℃以上时再加入三分之一釜容积基础油，继续搅拌30分钟后加入计量的添加剂，通过急冷混合器将釜内的物料与剩余三分之一釜容积基础油冷油急冷混合，泵送至调和釜内，同时启动剪切器和夹套冷却水，开启循环，进行冷却。对产品进行中间快检，根据检测结果进行指标调整。指标调整后，对产品剪切1.5小时，待金内温度降至100C以内时，进行脱气过滤得成品。具体工艺描述如下：</w:t>
      </w:r>
    </w:p>
    <w:p w14:paraId="224F97C4">
      <w:pPr>
        <w:ind w:firstLine="480"/>
      </w:pPr>
      <w:r>
        <w:rPr>
          <w:rFonts w:hint="eastAsia"/>
        </w:rPr>
        <w:t>（1）原料准备</w:t>
      </w:r>
    </w:p>
    <w:p w14:paraId="0E2D845C">
      <w:pPr>
        <w:ind w:firstLine="480"/>
      </w:pPr>
      <w:r>
        <w:rPr>
          <w:rFonts w:hint="eastAsia"/>
        </w:rPr>
        <w:t>本项目润滑脂生产原料为一期产品润滑油，在润滑油储罐中储存，经过输油管线输送至润滑脂生产车间内的油罐暂存。</w:t>
      </w:r>
    </w:p>
    <w:p w14:paraId="58B5C875">
      <w:pPr>
        <w:ind w:firstLine="480"/>
      </w:pPr>
      <w:r>
        <w:rPr>
          <w:rFonts w:hint="eastAsia"/>
        </w:rPr>
        <w:t>（2）皂化</w:t>
      </w:r>
    </w:p>
    <w:p w14:paraId="1D1B17A5">
      <w:pPr>
        <w:ind w:firstLine="480"/>
      </w:pPr>
      <w:r>
        <w:rPr>
          <w:rFonts w:hint="eastAsia"/>
        </w:rPr>
        <w:t>通过导热油炉加热，将添加剂通过车间计量后，由人工直接投加，加入反应釜内，升温至100～115℃左右之间进行皂化，同时用水流控制反应釜内液面在反应釜高3/4以下，搅拌速度为60r/min，皂化时间约为4～5h，期间将基础油的总量的1/3间断加入。此时取样冷却后如较硬不粘手，即为皂化结束。</w:t>
      </w:r>
    </w:p>
    <w:p w14:paraId="33A4C4CB">
      <w:pPr>
        <w:ind w:firstLine="480"/>
      </w:pPr>
      <w:r>
        <w:rPr>
          <w:rFonts w:hint="eastAsia"/>
        </w:rPr>
        <w:t>皂化过程中主要是发生以下化学反应：</w:t>
      </w:r>
    </w:p>
    <w:p w14:paraId="4570107E">
      <w:pPr>
        <w:ind w:firstLine="480"/>
      </w:pPr>
      <w:r>
        <w:rPr>
          <w:rFonts w:hint="eastAsia"/>
        </w:rPr>
        <w:t>R-COOH+LiOH→R-COOLi+H2O</w:t>
      </w:r>
    </w:p>
    <w:p w14:paraId="42C9D2B1">
      <w:pPr>
        <w:ind w:firstLine="480"/>
      </w:pPr>
      <w:r>
        <w:rPr>
          <w:rFonts w:hint="eastAsia"/>
        </w:rPr>
        <w:t>2R-COOH+Ca(OH)2→(R-COO)2Ca+2H2O</w:t>
      </w:r>
    </w:p>
    <w:p w14:paraId="52FEFDBE">
      <w:pPr>
        <w:ind w:firstLine="480"/>
      </w:pPr>
      <w:r>
        <w:rPr>
          <w:rFonts w:hint="eastAsia"/>
        </w:rPr>
        <w:t>皂化反应完毕后，停止水流，通过导热油炉将釜内升温至120～140℃，釜内物料为粘稠拉丝状时水分以水蒸气的形式全部脱出。取样分析，将游离的碱控制在0.1～0.2%之间。</w:t>
      </w:r>
    </w:p>
    <w:p w14:paraId="1A61FA61">
      <w:pPr>
        <w:ind w:firstLine="480"/>
      </w:pPr>
      <w:r>
        <w:rPr>
          <w:rFonts w:hint="eastAsia"/>
        </w:rPr>
        <w:t>（3）冷却</w:t>
      </w:r>
    </w:p>
    <w:p w14:paraId="389C1F8B">
      <w:pPr>
        <w:ind w:firstLine="480"/>
      </w:pPr>
      <w:r>
        <w:rPr>
          <w:rFonts w:hint="eastAsia"/>
        </w:rPr>
        <w:t>利用夹套通冷却水进行冷却至100℃以下。快冷生成致密细小的皂纤维，润滑脂具有良好的胶体安全性。慢冷生成较粗的皂纤维，润滑脂具有良好的机械安定性。快冷和慢冷工艺结合，生成兼有细皂纤维和粗皂纤维结构，润滑脂具有良好的胶体安定性和机械安定性。</w:t>
      </w:r>
    </w:p>
    <w:p w14:paraId="6F828E9F">
      <w:pPr>
        <w:ind w:firstLine="480"/>
      </w:pPr>
      <w:r>
        <w:rPr>
          <w:rFonts w:hint="eastAsia"/>
        </w:rPr>
        <w:t>（4）研磨脱气</w:t>
      </w:r>
    </w:p>
    <w:p w14:paraId="176184A7">
      <w:pPr>
        <w:ind w:firstLine="480"/>
      </w:pPr>
      <w:r>
        <w:rPr>
          <w:rFonts w:hint="eastAsia"/>
        </w:rPr>
        <w:t>物料通过泵从调和釜打入密闭均质机内，均质机通过转子高速平稳的旋转，形成高频、强烈的圆周切线速度、角向速度等综合动能。在定子的作用下，定子、转子合理狭窄的间隙中形成强烈、往复的液力剪切、摩擦、离心挤压、液流碰撞等综合效应，物料在容器中循环往复以上工作过程，从而去除润滑脂中的气泡，使物料混合的更加均匀和细腻，均质时间约30min。润滑脂经均质后进行成品检测检测其滴点等物理性能，检验合格后进入脱气工序，若不满足返回稠化工序调和釜。</w:t>
      </w:r>
    </w:p>
    <w:p w14:paraId="237E0DD6">
      <w:pPr>
        <w:ind w:firstLine="480"/>
      </w:pPr>
      <w:r>
        <w:rPr>
          <w:rFonts w:hint="eastAsia"/>
        </w:rPr>
        <w:t>（5）暂存</w:t>
      </w:r>
    </w:p>
    <w:p w14:paraId="5CE83B87">
      <w:pPr>
        <w:ind w:firstLine="480"/>
      </w:pPr>
      <w:r>
        <w:rPr>
          <w:rFonts w:hint="eastAsia"/>
        </w:rPr>
        <w:t>均质后的产品，经检验合格后进入全自动电子灌装机，灌装入包装桶，在二期成品堆场储存区暂存，作为产品外售。</w:t>
      </w:r>
    </w:p>
    <w:p w14:paraId="4531AC5E">
      <w:pPr>
        <w:ind w:firstLine="480"/>
      </w:pPr>
      <w:r>
        <w:rPr>
          <w:rFonts w:hint="eastAsia"/>
        </w:rPr>
        <w:t>具体工艺流程见图3.3-</w:t>
      </w:r>
      <w:r>
        <w:t>2</w:t>
      </w:r>
      <w:r>
        <w:rPr>
          <w:rFonts w:hint="eastAsia"/>
        </w:rPr>
        <w:t>。</w:t>
      </w:r>
    </w:p>
    <w:p w14:paraId="426C454B">
      <w:pPr>
        <w:spacing w:line="240" w:lineRule="auto"/>
        <w:ind w:firstLine="0" w:firstLineChars="0"/>
        <w:jc w:val="center"/>
      </w:pPr>
      <w:r>
        <w:t xml:space="preserve"> </w:t>
      </w:r>
      <w:r>
        <w:drawing>
          <wp:inline distT="0" distB="0" distL="114300" distR="114300">
            <wp:extent cx="4076700" cy="4514850"/>
            <wp:effectExtent l="0" t="0" r="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42"/>
                    <a:stretch>
                      <a:fillRect/>
                    </a:stretch>
                  </pic:blipFill>
                  <pic:spPr>
                    <a:xfrm>
                      <a:off x="0" y="0"/>
                      <a:ext cx="4076700" cy="4514850"/>
                    </a:xfrm>
                    <a:prstGeom prst="rect">
                      <a:avLst/>
                    </a:prstGeom>
                    <a:noFill/>
                    <a:ln>
                      <a:noFill/>
                    </a:ln>
                  </pic:spPr>
                </pic:pic>
              </a:graphicData>
            </a:graphic>
          </wp:inline>
        </w:drawing>
      </w:r>
    </w:p>
    <w:p w14:paraId="1D05EBD2">
      <w:pPr>
        <w:pStyle w:val="49"/>
        <w:spacing w:before="163" w:after="163"/>
      </w:pPr>
      <w:r>
        <w:rPr>
          <w:rFonts w:hint="eastAsia"/>
        </w:rPr>
        <w:t>图3</w:t>
      </w:r>
      <w:r>
        <w:t xml:space="preserve">.3-2   </w:t>
      </w:r>
      <w:r>
        <w:rPr>
          <w:rFonts w:hint="eastAsia"/>
        </w:rPr>
        <w:t>润滑脂生产工艺流程图</w:t>
      </w:r>
    </w:p>
    <w:p w14:paraId="43F84658">
      <w:pPr>
        <w:pStyle w:val="43"/>
      </w:pPr>
      <w:r>
        <w:rPr>
          <w:rFonts w:hint="eastAsia"/>
        </w:rPr>
        <w:t>罐区装卸工艺</w:t>
      </w:r>
    </w:p>
    <w:p w14:paraId="22FD4AC2">
      <w:pPr>
        <w:ind w:firstLine="480"/>
      </w:pPr>
      <w:r>
        <w:rPr>
          <w:rFonts w:hint="eastAsia"/>
        </w:rPr>
        <w:t>本项目厂区占地面积共</w:t>
      </w:r>
      <w:r>
        <w:t>66171.6</w:t>
      </w:r>
      <w:r>
        <w:rPr>
          <w:rFonts w:hint="eastAsia"/>
        </w:rPr>
        <w:t>m</w:t>
      </w:r>
      <w:r>
        <w:rPr>
          <w:rFonts w:hint="eastAsia"/>
          <w:vertAlign w:val="superscript"/>
        </w:rPr>
        <w:t>2</w:t>
      </w:r>
      <w:r>
        <w:rPr>
          <w:rFonts w:hint="eastAsia"/>
        </w:rPr>
        <w:t>，其中1#罐区占地面积为7</w:t>
      </w:r>
      <w:r>
        <w:t>553.46</w:t>
      </w:r>
      <w:r>
        <w:rPr>
          <w:rFonts w:hint="eastAsia"/>
        </w:rPr>
        <w:t>m</w:t>
      </w:r>
      <w:r>
        <w:rPr>
          <w:vertAlign w:val="superscript"/>
        </w:rPr>
        <w:t>2</w:t>
      </w:r>
      <w:r>
        <w:rPr>
          <w:rFonts w:hint="eastAsia"/>
        </w:rPr>
        <w:t>，2</w:t>
      </w:r>
      <w:r>
        <w:t>#</w:t>
      </w:r>
      <w:r>
        <w:rPr>
          <w:rFonts w:hint="eastAsia"/>
        </w:rPr>
        <w:t>罐区占地面积为3</w:t>
      </w:r>
      <w:r>
        <w:t>433.96</w:t>
      </w:r>
      <w:r>
        <w:rPr>
          <w:rFonts w:hint="eastAsia"/>
        </w:rPr>
        <w:t>m</w:t>
      </w:r>
      <w:r>
        <w:rPr>
          <w:vertAlign w:val="superscript"/>
        </w:rPr>
        <w:t>2</w:t>
      </w:r>
      <w:r>
        <w:rPr>
          <w:rFonts w:hint="eastAsia"/>
        </w:rPr>
        <w:t>，仅2个罐区的面积就占了总平面面积的1</w:t>
      </w:r>
      <w:r>
        <w:t>6.6%</w:t>
      </w:r>
      <w:r>
        <w:rPr>
          <w:rFonts w:hint="eastAsia"/>
        </w:rPr>
        <w:t>，且本项目的原料、产品均在两处罐区中进行周转，主要是通过管道、油泵将物料从储罐转入油罐车，或者从油罐车中送入储罐。</w:t>
      </w:r>
    </w:p>
    <w:p w14:paraId="4C619ABB">
      <w:pPr>
        <w:ind w:firstLine="480"/>
      </w:pPr>
    </w:p>
    <w:p w14:paraId="6C7E858A">
      <w:pPr>
        <w:ind w:firstLine="480"/>
        <w:sectPr>
          <w:footerReference r:id="rId19" w:type="default"/>
          <w:pgSz w:w="11906" w:h="16838"/>
          <w:pgMar w:top="1440" w:right="1588" w:bottom="1440" w:left="1588" w:header="709" w:footer="680" w:gutter="0"/>
          <w:pgBorders>
            <w:top w:val="none" w:sz="0" w:space="0"/>
            <w:left w:val="none" w:sz="0" w:space="0"/>
            <w:bottom w:val="none" w:sz="0" w:space="0"/>
            <w:right w:val="none" w:sz="0" w:space="0"/>
          </w:pgBorders>
          <w:pgNumType w:fmt="numberInDash"/>
          <w:cols w:space="425" w:num="1"/>
          <w:docGrid w:type="linesAndChars" w:linePitch="326" w:charSpace="0"/>
        </w:sectPr>
      </w:pPr>
    </w:p>
    <w:p w14:paraId="1157A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p w14:paraId="0ABEBE23">
      <w:pPr>
        <w:pStyle w:val="41"/>
      </w:pPr>
      <w:bookmarkStart w:id="181" w:name="_Toc152864170"/>
      <w:r>
        <w:rPr>
          <w:rFonts w:hint="eastAsia"/>
        </w:rPr>
        <w:t>平衡分析</w:t>
      </w:r>
      <w:bookmarkEnd w:id="181"/>
    </w:p>
    <w:p w14:paraId="75CFDF3D">
      <w:pPr>
        <w:ind w:firstLine="480"/>
        <w:rPr>
          <w:lang w:val="zh-CN"/>
        </w:rPr>
      </w:pPr>
      <w:r>
        <w:rPr>
          <w:rFonts w:hint="eastAsia"/>
          <w:lang w:val="zh-CN"/>
        </w:rPr>
        <w:t>本项目物料平衡见表3</w:t>
      </w:r>
      <w:r>
        <w:rPr>
          <w:lang w:val="zh-CN"/>
        </w:rPr>
        <w:t>.3-1</w:t>
      </w:r>
      <w:r>
        <w:rPr>
          <w:rFonts w:hint="eastAsia"/>
          <w:lang w:val="zh-CN"/>
        </w:rPr>
        <w:t>。</w:t>
      </w:r>
    </w:p>
    <w:p w14:paraId="0B73C57E">
      <w:pPr>
        <w:pStyle w:val="47"/>
        <w:spacing w:before="65"/>
      </w:pPr>
      <w:r>
        <w:rPr>
          <w:rFonts w:hint="eastAsia"/>
        </w:rPr>
        <w:t>表3</w:t>
      </w:r>
      <w:r>
        <w:t xml:space="preserve">.3-1   </w:t>
      </w:r>
      <w:r>
        <w:rPr>
          <w:rFonts w:hint="eastAsia"/>
        </w:rPr>
        <w:t>本项目物料平衡表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7"/>
        <w:gridCol w:w="1825"/>
        <w:gridCol w:w="663"/>
        <w:gridCol w:w="1266"/>
        <w:gridCol w:w="608"/>
        <w:gridCol w:w="1825"/>
        <w:gridCol w:w="663"/>
        <w:gridCol w:w="1273"/>
      </w:tblGrid>
      <w:tr w14:paraId="2F4DB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44461928">
            <w:pPr>
              <w:pStyle w:val="90"/>
            </w:pPr>
            <w:r>
              <w:rPr>
                <w:rFonts w:hint="eastAsia"/>
              </w:rPr>
              <w:t>物料平衡表</w:t>
            </w:r>
          </w:p>
        </w:tc>
      </w:tr>
      <w:tr w14:paraId="63A51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498" w:type="pct"/>
            <w:gridSpan w:val="4"/>
            <w:shd w:val="clear" w:color="auto" w:fill="auto"/>
            <w:vAlign w:val="center"/>
          </w:tcPr>
          <w:p w14:paraId="1AA5E401">
            <w:pPr>
              <w:pStyle w:val="90"/>
            </w:pPr>
            <w:r>
              <w:rPr>
                <w:rFonts w:hint="eastAsia"/>
              </w:rPr>
              <w:t>原料</w:t>
            </w:r>
          </w:p>
        </w:tc>
        <w:tc>
          <w:tcPr>
            <w:tcW w:w="2502" w:type="pct"/>
            <w:gridSpan w:val="4"/>
            <w:shd w:val="clear" w:color="auto" w:fill="auto"/>
            <w:vAlign w:val="center"/>
          </w:tcPr>
          <w:p w14:paraId="0A071EFF">
            <w:pPr>
              <w:pStyle w:val="90"/>
            </w:pPr>
            <w:r>
              <w:rPr>
                <w:rFonts w:hint="eastAsia"/>
              </w:rPr>
              <w:t>产品</w:t>
            </w:r>
          </w:p>
        </w:tc>
      </w:tr>
      <w:tr w14:paraId="6823F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3ADD00A4">
            <w:pPr>
              <w:pStyle w:val="90"/>
            </w:pPr>
            <w:r>
              <w:rPr>
                <w:rFonts w:hint="eastAsia"/>
              </w:rPr>
              <w:t>序号</w:t>
            </w:r>
          </w:p>
        </w:tc>
        <w:tc>
          <w:tcPr>
            <w:tcW w:w="1045" w:type="pct"/>
            <w:shd w:val="clear" w:color="auto" w:fill="auto"/>
            <w:vAlign w:val="center"/>
          </w:tcPr>
          <w:p w14:paraId="49F893E3">
            <w:pPr>
              <w:pStyle w:val="90"/>
            </w:pPr>
            <w:r>
              <w:rPr>
                <w:rFonts w:hint="eastAsia"/>
              </w:rPr>
              <w:t>名称</w:t>
            </w:r>
          </w:p>
        </w:tc>
        <w:tc>
          <w:tcPr>
            <w:tcW w:w="380" w:type="pct"/>
            <w:shd w:val="clear" w:color="auto" w:fill="auto"/>
            <w:vAlign w:val="center"/>
          </w:tcPr>
          <w:p w14:paraId="1B16EFFA">
            <w:pPr>
              <w:pStyle w:val="90"/>
            </w:pPr>
            <w:r>
              <w:rPr>
                <w:rFonts w:hint="eastAsia"/>
              </w:rPr>
              <w:t>比例</w:t>
            </w:r>
          </w:p>
        </w:tc>
        <w:tc>
          <w:tcPr>
            <w:tcW w:w="725" w:type="pct"/>
            <w:shd w:val="clear" w:color="auto" w:fill="auto"/>
            <w:vAlign w:val="center"/>
          </w:tcPr>
          <w:p w14:paraId="7515F7B6">
            <w:pPr>
              <w:pStyle w:val="90"/>
            </w:pPr>
            <w:r>
              <w:rPr>
                <w:rFonts w:hint="eastAsia"/>
              </w:rPr>
              <w:t>数量（</w:t>
            </w:r>
            <w:r>
              <w:rPr>
                <w:lang w:val="en-GB"/>
              </w:rPr>
              <w:t>t/a</w:t>
            </w:r>
            <w:r>
              <w:rPr>
                <w:rFonts w:hint="eastAsia"/>
              </w:rPr>
              <w:t>）</w:t>
            </w:r>
          </w:p>
        </w:tc>
        <w:tc>
          <w:tcPr>
            <w:tcW w:w="348" w:type="pct"/>
            <w:shd w:val="clear" w:color="auto" w:fill="auto"/>
            <w:vAlign w:val="center"/>
          </w:tcPr>
          <w:p w14:paraId="0705337A">
            <w:pPr>
              <w:pStyle w:val="90"/>
              <w:rPr>
                <w:rFonts w:ascii="Calibri" w:hAnsi="Calibri"/>
                <w:szCs w:val="24"/>
              </w:rPr>
            </w:pPr>
            <w:r>
              <w:rPr>
                <w:rFonts w:hint="eastAsia"/>
              </w:rPr>
              <w:t>序号</w:t>
            </w:r>
          </w:p>
        </w:tc>
        <w:tc>
          <w:tcPr>
            <w:tcW w:w="1045" w:type="pct"/>
            <w:shd w:val="clear" w:color="auto" w:fill="auto"/>
            <w:vAlign w:val="center"/>
          </w:tcPr>
          <w:p w14:paraId="0B2D7179">
            <w:pPr>
              <w:pStyle w:val="90"/>
              <w:rPr>
                <w:rFonts w:ascii="Calibri" w:hAnsi="Calibri"/>
                <w:szCs w:val="24"/>
              </w:rPr>
            </w:pPr>
            <w:r>
              <w:rPr>
                <w:rFonts w:hint="eastAsia"/>
              </w:rPr>
              <w:t>名称</w:t>
            </w:r>
          </w:p>
        </w:tc>
        <w:tc>
          <w:tcPr>
            <w:tcW w:w="380" w:type="pct"/>
            <w:shd w:val="clear" w:color="auto" w:fill="auto"/>
            <w:vAlign w:val="center"/>
          </w:tcPr>
          <w:p w14:paraId="3EDDD20B">
            <w:pPr>
              <w:pStyle w:val="90"/>
              <w:rPr>
                <w:rFonts w:ascii="Calibri" w:hAnsi="Calibri"/>
                <w:szCs w:val="24"/>
              </w:rPr>
            </w:pPr>
            <w:r>
              <w:rPr>
                <w:rFonts w:hint="eastAsia"/>
              </w:rPr>
              <w:t>比例</w:t>
            </w:r>
          </w:p>
        </w:tc>
        <w:tc>
          <w:tcPr>
            <w:tcW w:w="729" w:type="pct"/>
            <w:shd w:val="clear" w:color="auto" w:fill="auto"/>
            <w:vAlign w:val="center"/>
          </w:tcPr>
          <w:p w14:paraId="549AB62C">
            <w:pPr>
              <w:pStyle w:val="90"/>
              <w:rPr>
                <w:rFonts w:ascii="Calibri" w:hAnsi="Calibri"/>
                <w:szCs w:val="24"/>
              </w:rPr>
            </w:pPr>
            <w:r>
              <w:rPr>
                <w:rFonts w:hint="eastAsia"/>
              </w:rPr>
              <w:t>数量（</w:t>
            </w:r>
            <w:r>
              <w:rPr>
                <w:lang w:val="en-GB"/>
              </w:rPr>
              <w:t>t/a</w:t>
            </w:r>
            <w:r>
              <w:rPr>
                <w:rFonts w:hint="eastAsia"/>
              </w:rPr>
              <w:t>）</w:t>
            </w:r>
          </w:p>
        </w:tc>
      </w:tr>
      <w:tr w14:paraId="0C0A4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56A7B246">
            <w:pPr>
              <w:pStyle w:val="90"/>
            </w:pPr>
            <w:r>
              <w:rPr>
                <w:rFonts w:hint="eastAsia"/>
              </w:rPr>
              <w:t>加酸沉淀</w:t>
            </w:r>
          </w:p>
        </w:tc>
      </w:tr>
      <w:tr w14:paraId="0E90B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14FBD628">
            <w:pPr>
              <w:pStyle w:val="90"/>
            </w:pPr>
            <w:r>
              <w:rPr>
                <w:rFonts w:hint="eastAsia"/>
              </w:rPr>
              <w:t>1</w:t>
            </w:r>
          </w:p>
        </w:tc>
        <w:tc>
          <w:tcPr>
            <w:tcW w:w="1045" w:type="pct"/>
            <w:shd w:val="clear" w:color="auto" w:fill="auto"/>
            <w:vAlign w:val="center"/>
          </w:tcPr>
          <w:p w14:paraId="634F7F18">
            <w:pPr>
              <w:pStyle w:val="90"/>
              <w:rPr>
                <w:rFonts w:ascii="Calibri" w:hAnsi="Calibri"/>
                <w:szCs w:val="24"/>
              </w:rPr>
            </w:pPr>
            <w:r>
              <w:rPr>
                <w:rFonts w:hint="eastAsia"/>
              </w:rPr>
              <w:t>减线油</w:t>
            </w:r>
          </w:p>
        </w:tc>
        <w:tc>
          <w:tcPr>
            <w:tcW w:w="380" w:type="pct"/>
            <w:shd w:val="clear" w:color="auto" w:fill="auto"/>
            <w:vAlign w:val="center"/>
          </w:tcPr>
          <w:p w14:paraId="30C26A59">
            <w:pPr>
              <w:pStyle w:val="90"/>
            </w:pPr>
            <w:r>
              <w:rPr>
                <w:rFonts w:hint="eastAsia"/>
              </w:rPr>
              <w:t>0.999</w:t>
            </w:r>
          </w:p>
        </w:tc>
        <w:tc>
          <w:tcPr>
            <w:tcW w:w="725" w:type="pct"/>
            <w:shd w:val="clear" w:color="auto" w:fill="auto"/>
            <w:vAlign w:val="center"/>
          </w:tcPr>
          <w:p w14:paraId="78AF70F6">
            <w:pPr>
              <w:pStyle w:val="90"/>
            </w:pPr>
            <w:r>
              <w:t>79640</w:t>
            </w:r>
          </w:p>
        </w:tc>
        <w:tc>
          <w:tcPr>
            <w:tcW w:w="348" w:type="pct"/>
            <w:shd w:val="clear" w:color="auto" w:fill="auto"/>
            <w:vAlign w:val="center"/>
          </w:tcPr>
          <w:p w14:paraId="7BA28471">
            <w:pPr>
              <w:pStyle w:val="90"/>
            </w:pPr>
            <w:r>
              <w:rPr>
                <w:rFonts w:hint="eastAsia"/>
              </w:rPr>
              <w:t>1</w:t>
            </w:r>
          </w:p>
        </w:tc>
        <w:tc>
          <w:tcPr>
            <w:tcW w:w="1045" w:type="pct"/>
            <w:shd w:val="clear" w:color="auto" w:fill="auto"/>
            <w:vAlign w:val="center"/>
          </w:tcPr>
          <w:p w14:paraId="6D6DE73C">
            <w:pPr>
              <w:pStyle w:val="90"/>
            </w:pPr>
            <w:r>
              <w:rPr>
                <w:rFonts w:hint="eastAsia"/>
              </w:rPr>
              <w:t>精制油（中间品）</w:t>
            </w:r>
          </w:p>
        </w:tc>
        <w:tc>
          <w:tcPr>
            <w:tcW w:w="380" w:type="pct"/>
            <w:shd w:val="clear" w:color="auto" w:fill="auto"/>
            <w:vAlign w:val="center"/>
          </w:tcPr>
          <w:p w14:paraId="151E0AAB">
            <w:pPr>
              <w:pStyle w:val="90"/>
            </w:pPr>
            <w:r>
              <w:rPr>
                <w:rFonts w:hint="eastAsia"/>
              </w:rPr>
              <w:t>0.9</w:t>
            </w:r>
            <w:r>
              <w:rPr>
                <w:rFonts w:hint="eastAsia"/>
                <w:lang w:val="en-US" w:eastAsia="zh-CN"/>
              </w:rPr>
              <w:t>7</w:t>
            </w:r>
            <w:r>
              <w:rPr>
                <w:rFonts w:hint="eastAsia"/>
              </w:rPr>
              <w:t>0</w:t>
            </w:r>
          </w:p>
        </w:tc>
        <w:tc>
          <w:tcPr>
            <w:tcW w:w="729" w:type="pct"/>
            <w:shd w:val="clear" w:color="auto" w:fill="auto"/>
            <w:vAlign w:val="center"/>
          </w:tcPr>
          <w:p w14:paraId="2EFDEEDF">
            <w:pPr>
              <w:pStyle w:val="90"/>
              <w:rPr>
                <w:rFonts w:hint="default" w:eastAsia="宋体"/>
                <w:lang w:val="en-US" w:eastAsia="zh-CN"/>
              </w:rPr>
            </w:pPr>
            <w:r>
              <w:rPr>
                <w:rFonts w:hint="eastAsia"/>
                <w:lang w:val="en-US" w:eastAsia="zh-CN"/>
              </w:rPr>
              <w:t>77328.4</w:t>
            </w:r>
          </w:p>
        </w:tc>
      </w:tr>
      <w:tr w14:paraId="319A6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0CDEE071">
            <w:pPr>
              <w:pStyle w:val="90"/>
            </w:pPr>
            <w:r>
              <w:rPr>
                <w:rFonts w:hint="eastAsia"/>
              </w:rPr>
              <w:t>2</w:t>
            </w:r>
          </w:p>
        </w:tc>
        <w:tc>
          <w:tcPr>
            <w:tcW w:w="1045" w:type="pct"/>
            <w:shd w:val="clear" w:color="auto" w:fill="auto"/>
            <w:vAlign w:val="center"/>
          </w:tcPr>
          <w:p w14:paraId="0B2E2071">
            <w:pPr>
              <w:pStyle w:val="90"/>
              <w:rPr>
                <w:rFonts w:ascii="Calibri" w:hAnsi="Calibri"/>
                <w:szCs w:val="24"/>
              </w:rPr>
            </w:pPr>
            <w:r>
              <w:rPr>
                <w:rFonts w:hint="eastAsia"/>
              </w:rPr>
              <w:t>硫酸</w:t>
            </w:r>
          </w:p>
        </w:tc>
        <w:tc>
          <w:tcPr>
            <w:tcW w:w="380" w:type="pct"/>
            <w:shd w:val="clear" w:color="auto" w:fill="auto"/>
            <w:vAlign w:val="center"/>
          </w:tcPr>
          <w:p w14:paraId="4F9BE8EF">
            <w:pPr>
              <w:pStyle w:val="90"/>
            </w:pPr>
            <w:r>
              <w:rPr>
                <w:rFonts w:hint="eastAsia"/>
              </w:rPr>
              <w:t>0.001</w:t>
            </w:r>
          </w:p>
        </w:tc>
        <w:tc>
          <w:tcPr>
            <w:tcW w:w="725" w:type="pct"/>
            <w:shd w:val="clear" w:color="auto" w:fill="auto"/>
            <w:vAlign w:val="center"/>
          </w:tcPr>
          <w:p w14:paraId="0D9F2813">
            <w:pPr>
              <w:pStyle w:val="90"/>
            </w:pPr>
            <w:r>
              <w:t>80</w:t>
            </w:r>
          </w:p>
        </w:tc>
        <w:tc>
          <w:tcPr>
            <w:tcW w:w="348" w:type="pct"/>
            <w:shd w:val="clear" w:color="auto" w:fill="auto"/>
            <w:vAlign w:val="center"/>
          </w:tcPr>
          <w:p w14:paraId="298B86D0">
            <w:pPr>
              <w:pStyle w:val="90"/>
            </w:pPr>
            <w:r>
              <w:rPr>
                <w:rFonts w:hint="eastAsia"/>
              </w:rPr>
              <w:t>2</w:t>
            </w:r>
          </w:p>
        </w:tc>
        <w:tc>
          <w:tcPr>
            <w:tcW w:w="1045" w:type="pct"/>
            <w:shd w:val="clear" w:color="auto" w:fill="auto"/>
            <w:vAlign w:val="center"/>
          </w:tcPr>
          <w:p w14:paraId="71FFF0A9">
            <w:pPr>
              <w:pStyle w:val="90"/>
            </w:pPr>
            <w:r>
              <w:rPr>
                <w:rFonts w:hint="eastAsia"/>
              </w:rPr>
              <w:t>重油</w:t>
            </w:r>
          </w:p>
        </w:tc>
        <w:tc>
          <w:tcPr>
            <w:tcW w:w="380" w:type="pct"/>
            <w:shd w:val="clear" w:color="auto" w:fill="auto"/>
            <w:vAlign w:val="center"/>
          </w:tcPr>
          <w:p w14:paraId="4224DE0A">
            <w:pPr>
              <w:pStyle w:val="90"/>
              <w:rPr>
                <w:rFonts w:hint="default" w:eastAsia="宋体"/>
                <w:lang w:val="en-US" w:eastAsia="zh-CN"/>
              </w:rPr>
            </w:pPr>
            <w:r>
              <w:rPr>
                <w:rFonts w:hint="eastAsia"/>
              </w:rPr>
              <w:t>0.0</w:t>
            </w:r>
            <w:r>
              <w:rPr>
                <w:rFonts w:hint="eastAsia"/>
                <w:lang w:val="en-US" w:eastAsia="zh-CN"/>
              </w:rPr>
              <w:t>29</w:t>
            </w:r>
          </w:p>
        </w:tc>
        <w:tc>
          <w:tcPr>
            <w:tcW w:w="729" w:type="pct"/>
            <w:shd w:val="clear" w:color="auto" w:fill="auto"/>
            <w:vAlign w:val="center"/>
          </w:tcPr>
          <w:p w14:paraId="7551721F">
            <w:pPr>
              <w:pStyle w:val="90"/>
              <w:rPr>
                <w:rFonts w:hint="default" w:eastAsia="宋体"/>
                <w:lang w:val="en-US" w:eastAsia="zh-CN"/>
              </w:rPr>
            </w:pPr>
            <w:r>
              <w:rPr>
                <w:rFonts w:hint="eastAsia"/>
                <w:lang w:val="en-US" w:eastAsia="zh-CN"/>
              </w:rPr>
              <w:t>2311.88</w:t>
            </w:r>
          </w:p>
        </w:tc>
      </w:tr>
      <w:tr w14:paraId="40C8F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1B762815">
            <w:pPr>
              <w:pStyle w:val="90"/>
              <w:rPr>
                <w:rFonts w:hint="eastAsia"/>
              </w:rPr>
            </w:pPr>
          </w:p>
        </w:tc>
        <w:tc>
          <w:tcPr>
            <w:tcW w:w="1045" w:type="pct"/>
            <w:shd w:val="clear" w:color="auto" w:fill="auto"/>
            <w:vAlign w:val="center"/>
          </w:tcPr>
          <w:p w14:paraId="1CCE5026">
            <w:pPr>
              <w:pStyle w:val="90"/>
              <w:rPr>
                <w:rFonts w:hint="eastAsia"/>
              </w:rPr>
            </w:pPr>
          </w:p>
        </w:tc>
        <w:tc>
          <w:tcPr>
            <w:tcW w:w="380" w:type="pct"/>
            <w:shd w:val="clear" w:color="auto" w:fill="auto"/>
            <w:vAlign w:val="center"/>
          </w:tcPr>
          <w:p w14:paraId="4FD84CFA">
            <w:pPr>
              <w:pStyle w:val="90"/>
              <w:rPr>
                <w:rFonts w:hint="eastAsia"/>
              </w:rPr>
            </w:pPr>
          </w:p>
        </w:tc>
        <w:tc>
          <w:tcPr>
            <w:tcW w:w="725" w:type="pct"/>
            <w:shd w:val="clear" w:color="auto" w:fill="auto"/>
            <w:vAlign w:val="center"/>
          </w:tcPr>
          <w:p w14:paraId="3929D580">
            <w:pPr>
              <w:pStyle w:val="90"/>
            </w:pPr>
          </w:p>
        </w:tc>
        <w:tc>
          <w:tcPr>
            <w:tcW w:w="348" w:type="pct"/>
            <w:shd w:val="clear" w:color="auto" w:fill="auto"/>
            <w:vAlign w:val="center"/>
          </w:tcPr>
          <w:p w14:paraId="2E5954CA">
            <w:pPr>
              <w:pStyle w:val="90"/>
              <w:rPr>
                <w:rFonts w:hint="eastAsia" w:eastAsia="宋体"/>
                <w:lang w:val="en-US" w:eastAsia="zh-CN"/>
              </w:rPr>
            </w:pPr>
            <w:r>
              <w:rPr>
                <w:rFonts w:hint="eastAsia"/>
                <w:lang w:val="en-US" w:eastAsia="zh-CN"/>
              </w:rPr>
              <w:t>3</w:t>
            </w:r>
          </w:p>
        </w:tc>
        <w:tc>
          <w:tcPr>
            <w:tcW w:w="1045" w:type="pct"/>
            <w:shd w:val="clear" w:color="auto" w:fill="auto"/>
            <w:vAlign w:val="center"/>
          </w:tcPr>
          <w:p w14:paraId="4A0AE4AF">
            <w:pPr>
              <w:pStyle w:val="90"/>
              <w:rPr>
                <w:rFonts w:hint="default" w:eastAsia="宋体"/>
                <w:lang w:val="en-US" w:eastAsia="zh-CN"/>
              </w:rPr>
            </w:pPr>
            <w:r>
              <w:rPr>
                <w:rFonts w:hint="eastAsia"/>
                <w:lang w:val="en-US" w:eastAsia="zh-CN"/>
              </w:rPr>
              <w:t>有机废气</w:t>
            </w:r>
          </w:p>
        </w:tc>
        <w:tc>
          <w:tcPr>
            <w:tcW w:w="380" w:type="pct"/>
            <w:shd w:val="clear" w:color="auto" w:fill="auto"/>
            <w:vAlign w:val="center"/>
          </w:tcPr>
          <w:p w14:paraId="3FCB9F9A">
            <w:pPr>
              <w:pStyle w:val="90"/>
              <w:rPr>
                <w:rFonts w:hint="default" w:eastAsia="宋体"/>
                <w:lang w:val="en-US" w:eastAsia="zh-CN"/>
              </w:rPr>
            </w:pPr>
            <w:r>
              <w:rPr>
                <w:rFonts w:hint="eastAsia"/>
                <w:lang w:val="en-US" w:eastAsia="zh-CN"/>
              </w:rPr>
              <w:t>0.001</w:t>
            </w:r>
          </w:p>
        </w:tc>
        <w:tc>
          <w:tcPr>
            <w:tcW w:w="729" w:type="pct"/>
            <w:shd w:val="clear" w:color="auto" w:fill="auto"/>
            <w:vAlign w:val="center"/>
          </w:tcPr>
          <w:p w14:paraId="75285A93">
            <w:pPr>
              <w:pStyle w:val="90"/>
              <w:rPr>
                <w:rFonts w:hint="default" w:eastAsia="宋体"/>
                <w:lang w:val="en-US" w:eastAsia="zh-CN"/>
              </w:rPr>
            </w:pPr>
            <w:r>
              <w:rPr>
                <w:rFonts w:hint="eastAsia"/>
                <w:lang w:val="en-US" w:eastAsia="zh-CN"/>
              </w:rPr>
              <w:t>79.72</w:t>
            </w:r>
          </w:p>
        </w:tc>
      </w:tr>
      <w:tr w14:paraId="02768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249D2811">
            <w:pPr>
              <w:pStyle w:val="90"/>
            </w:pPr>
            <w:r>
              <w:rPr>
                <w:rFonts w:hint="eastAsia"/>
              </w:rPr>
              <w:t>白土脱色</w:t>
            </w:r>
          </w:p>
        </w:tc>
      </w:tr>
      <w:tr w14:paraId="5BCE7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002CDE36">
            <w:pPr>
              <w:pStyle w:val="90"/>
            </w:pPr>
            <w:r>
              <w:rPr>
                <w:rFonts w:hint="eastAsia"/>
              </w:rPr>
              <w:t>1</w:t>
            </w:r>
          </w:p>
        </w:tc>
        <w:tc>
          <w:tcPr>
            <w:tcW w:w="1045" w:type="pct"/>
            <w:shd w:val="clear" w:color="auto" w:fill="auto"/>
            <w:vAlign w:val="center"/>
          </w:tcPr>
          <w:p w14:paraId="1B1F979B">
            <w:pPr>
              <w:pStyle w:val="90"/>
            </w:pPr>
            <w:r>
              <w:rPr>
                <w:rFonts w:hint="eastAsia"/>
              </w:rPr>
              <w:t>精制油（中间品）</w:t>
            </w:r>
          </w:p>
        </w:tc>
        <w:tc>
          <w:tcPr>
            <w:tcW w:w="380" w:type="pct"/>
            <w:shd w:val="clear" w:color="auto" w:fill="auto"/>
            <w:vAlign w:val="center"/>
          </w:tcPr>
          <w:p w14:paraId="7754D48E">
            <w:pPr>
              <w:pStyle w:val="90"/>
            </w:pPr>
            <w:r>
              <w:rPr>
                <w:rFonts w:hint="eastAsia"/>
              </w:rPr>
              <w:t>0.971</w:t>
            </w:r>
          </w:p>
        </w:tc>
        <w:tc>
          <w:tcPr>
            <w:tcW w:w="725" w:type="pct"/>
            <w:shd w:val="clear" w:color="auto" w:fill="auto"/>
            <w:vAlign w:val="center"/>
          </w:tcPr>
          <w:p w14:paraId="5537B4D6">
            <w:pPr>
              <w:pStyle w:val="90"/>
              <w:rPr>
                <w:rFonts w:hint="default" w:eastAsia="宋体"/>
                <w:lang w:val="en-US" w:eastAsia="zh-CN"/>
              </w:rPr>
            </w:pPr>
            <w:r>
              <w:rPr>
                <w:rFonts w:hint="eastAsia"/>
                <w:lang w:val="en-US" w:eastAsia="zh-CN"/>
              </w:rPr>
              <w:t>77328.4</w:t>
            </w:r>
          </w:p>
        </w:tc>
        <w:tc>
          <w:tcPr>
            <w:tcW w:w="348" w:type="pct"/>
            <w:shd w:val="clear" w:color="auto" w:fill="auto"/>
            <w:vAlign w:val="center"/>
          </w:tcPr>
          <w:p w14:paraId="5EB23B37">
            <w:pPr>
              <w:pStyle w:val="90"/>
            </w:pPr>
            <w:r>
              <w:rPr>
                <w:rFonts w:hint="eastAsia"/>
              </w:rPr>
              <w:t>1</w:t>
            </w:r>
          </w:p>
        </w:tc>
        <w:tc>
          <w:tcPr>
            <w:tcW w:w="1045" w:type="pct"/>
            <w:shd w:val="clear" w:color="auto" w:fill="auto"/>
            <w:vAlign w:val="center"/>
          </w:tcPr>
          <w:p w14:paraId="2B162FCE">
            <w:pPr>
              <w:pStyle w:val="90"/>
            </w:pPr>
            <w:r>
              <w:rPr>
                <w:rFonts w:hint="eastAsia"/>
              </w:rPr>
              <w:t>基础油（中间品）</w:t>
            </w:r>
          </w:p>
        </w:tc>
        <w:tc>
          <w:tcPr>
            <w:tcW w:w="380" w:type="pct"/>
            <w:shd w:val="clear" w:color="auto" w:fill="auto"/>
            <w:vAlign w:val="center"/>
          </w:tcPr>
          <w:p w14:paraId="0919345D">
            <w:pPr>
              <w:pStyle w:val="90"/>
            </w:pPr>
            <w:r>
              <w:rPr>
                <w:rFonts w:hint="eastAsia"/>
              </w:rPr>
              <w:t>0.815</w:t>
            </w:r>
          </w:p>
        </w:tc>
        <w:tc>
          <w:tcPr>
            <w:tcW w:w="729" w:type="pct"/>
            <w:shd w:val="clear" w:color="auto" w:fill="auto"/>
            <w:vAlign w:val="center"/>
          </w:tcPr>
          <w:p w14:paraId="6FB69F57">
            <w:pPr>
              <w:pStyle w:val="90"/>
              <w:rPr>
                <w:rFonts w:hint="default" w:eastAsia="宋体"/>
                <w:lang w:val="en-US" w:eastAsia="zh-CN"/>
              </w:rPr>
            </w:pPr>
            <w:r>
              <w:rPr>
                <w:rFonts w:hint="eastAsia"/>
                <w:lang w:val="en-US" w:eastAsia="zh-CN"/>
              </w:rPr>
              <w:t>77233.3</w:t>
            </w:r>
          </w:p>
        </w:tc>
      </w:tr>
      <w:tr w14:paraId="7701D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1030C62B">
            <w:pPr>
              <w:pStyle w:val="90"/>
            </w:pPr>
            <w:r>
              <w:rPr>
                <w:rFonts w:hint="eastAsia"/>
              </w:rPr>
              <w:t>2</w:t>
            </w:r>
          </w:p>
        </w:tc>
        <w:tc>
          <w:tcPr>
            <w:tcW w:w="1045" w:type="pct"/>
            <w:shd w:val="clear" w:color="auto" w:fill="auto"/>
            <w:vAlign w:val="center"/>
          </w:tcPr>
          <w:p w14:paraId="4914E17F">
            <w:pPr>
              <w:pStyle w:val="90"/>
            </w:pPr>
            <w:r>
              <w:rPr>
                <w:rFonts w:hint="eastAsia"/>
              </w:rPr>
              <w:t>白土</w:t>
            </w:r>
          </w:p>
        </w:tc>
        <w:tc>
          <w:tcPr>
            <w:tcW w:w="380" w:type="pct"/>
            <w:shd w:val="clear" w:color="auto" w:fill="auto"/>
            <w:vAlign w:val="center"/>
          </w:tcPr>
          <w:p w14:paraId="62E3D742">
            <w:pPr>
              <w:pStyle w:val="90"/>
            </w:pPr>
            <w:r>
              <w:rPr>
                <w:rFonts w:hint="eastAsia"/>
              </w:rPr>
              <w:t>0.029</w:t>
            </w:r>
          </w:p>
        </w:tc>
        <w:tc>
          <w:tcPr>
            <w:tcW w:w="725" w:type="pct"/>
            <w:shd w:val="clear" w:color="auto" w:fill="auto"/>
            <w:vAlign w:val="center"/>
          </w:tcPr>
          <w:p w14:paraId="0704A294">
            <w:pPr>
              <w:pStyle w:val="90"/>
            </w:pPr>
            <w:r>
              <w:t>240</w:t>
            </w:r>
          </w:p>
        </w:tc>
        <w:tc>
          <w:tcPr>
            <w:tcW w:w="348" w:type="pct"/>
            <w:shd w:val="clear" w:color="auto" w:fill="auto"/>
            <w:vAlign w:val="center"/>
          </w:tcPr>
          <w:p w14:paraId="079177C2">
            <w:pPr>
              <w:pStyle w:val="90"/>
            </w:pPr>
            <w:r>
              <w:rPr>
                <w:rFonts w:hint="eastAsia"/>
              </w:rPr>
              <w:t>2</w:t>
            </w:r>
          </w:p>
        </w:tc>
        <w:tc>
          <w:tcPr>
            <w:tcW w:w="1045" w:type="pct"/>
            <w:shd w:val="clear" w:color="auto" w:fill="auto"/>
            <w:vAlign w:val="center"/>
          </w:tcPr>
          <w:p w14:paraId="667DA353">
            <w:pPr>
              <w:pStyle w:val="90"/>
            </w:pPr>
            <w:r>
              <w:rPr>
                <w:rFonts w:hint="eastAsia"/>
              </w:rPr>
              <w:t>白土废渣</w:t>
            </w:r>
          </w:p>
        </w:tc>
        <w:tc>
          <w:tcPr>
            <w:tcW w:w="380" w:type="pct"/>
            <w:shd w:val="clear" w:color="auto" w:fill="auto"/>
            <w:vAlign w:val="center"/>
          </w:tcPr>
          <w:p w14:paraId="16A109BE">
            <w:pPr>
              <w:pStyle w:val="90"/>
              <w:rPr>
                <w:rFonts w:hint="eastAsia" w:eastAsia="宋体"/>
                <w:lang w:eastAsia="zh-CN"/>
              </w:rPr>
            </w:pPr>
            <w:r>
              <w:rPr>
                <w:rFonts w:hint="eastAsia"/>
              </w:rPr>
              <w:t>0.18</w:t>
            </w:r>
            <w:r>
              <w:rPr>
                <w:rFonts w:hint="eastAsia"/>
                <w:lang w:val="en-US" w:eastAsia="zh-CN"/>
              </w:rPr>
              <w:t>4</w:t>
            </w:r>
          </w:p>
        </w:tc>
        <w:tc>
          <w:tcPr>
            <w:tcW w:w="729" w:type="pct"/>
            <w:shd w:val="clear" w:color="auto" w:fill="auto"/>
            <w:vAlign w:val="center"/>
          </w:tcPr>
          <w:p w14:paraId="6616EEC5">
            <w:pPr>
              <w:pStyle w:val="90"/>
            </w:pPr>
            <w:r>
              <w:t>312</w:t>
            </w:r>
          </w:p>
        </w:tc>
      </w:tr>
      <w:tr w14:paraId="1F2D4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1A66B556">
            <w:pPr>
              <w:pStyle w:val="90"/>
              <w:rPr>
                <w:rFonts w:hint="eastAsia"/>
              </w:rPr>
            </w:pPr>
          </w:p>
        </w:tc>
        <w:tc>
          <w:tcPr>
            <w:tcW w:w="1045" w:type="pct"/>
            <w:shd w:val="clear" w:color="auto" w:fill="auto"/>
            <w:vAlign w:val="center"/>
          </w:tcPr>
          <w:p w14:paraId="6A77058F">
            <w:pPr>
              <w:pStyle w:val="90"/>
              <w:rPr>
                <w:rFonts w:hint="eastAsia"/>
              </w:rPr>
            </w:pPr>
          </w:p>
        </w:tc>
        <w:tc>
          <w:tcPr>
            <w:tcW w:w="380" w:type="pct"/>
            <w:shd w:val="clear" w:color="auto" w:fill="auto"/>
            <w:vAlign w:val="center"/>
          </w:tcPr>
          <w:p w14:paraId="1E746E7E">
            <w:pPr>
              <w:pStyle w:val="90"/>
              <w:rPr>
                <w:rFonts w:hint="eastAsia"/>
              </w:rPr>
            </w:pPr>
          </w:p>
        </w:tc>
        <w:tc>
          <w:tcPr>
            <w:tcW w:w="725" w:type="pct"/>
            <w:shd w:val="clear" w:color="auto" w:fill="auto"/>
            <w:vAlign w:val="center"/>
          </w:tcPr>
          <w:p w14:paraId="531CC0B9">
            <w:pPr>
              <w:pStyle w:val="90"/>
            </w:pPr>
          </w:p>
        </w:tc>
        <w:tc>
          <w:tcPr>
            <w:tcW w:w="348" w:type="pct"/>
            <w:shd w:val="clear" w:color="auto" w:fill="auto"/>
            <w:vAlign w:val="center"/>
          </w:tcPr>
          <w:p w14:paraId="37DBA506">
            <w:pPr>
              <w:pStyle w:val="90"/>
              <w:rPr>
                <w:rFonts w:hint="eastAsia" w:eastAsia="宋体"/>
                <w:lang w:val="en-US" w:eastAsia="zh-CN"/>
              </w:rPr>
            </w:pPr>
            <w:r>
              <w:rPr>
                <w:rFonts w:hint="eastAsia"/>
                <w:lang w:val="en-US" w:eastAsia="zh-CN"/>
              </w:rPr>
              <w:t>3</w:t>
            </w:r>
          </w:p>
        </w:tc>
        <w:tc>
          <w:tcPr>
            <w:tcW w:w="1045" w:type="pct"/>
            <w:shd w:val="clear" w:color="auto" w:fill="auto"/>
            <w:vAlign w:val="center"/>
          </w:tcPr>
          <w:p w14:paraId="582D9DE1">
            <w:pPr>
              <w:pStyle w:val="90"/>
              <w:rPr>
                <w:rFonts w:hint="eastAsia"/>
              </w:rPr>
            </w:pPr>
            <w:r>
              <w:rPr>
                <w:rFonts w:hint="eastAsia"/>
                <w:lang w:val="en-US" w:eastAsia="zh-CN"/>
              </w:rPr>
              <w:t>有机废气</w:t>
            </w:r>
          </w:p>
        </w:tc>
        <w:tc>
          <w:tcPr>
            <w:tcW w:w="380" w:type="pct"/>
            <w:shd w:val="clear" w:color="auto" w:fill="auto"/>
            <w:vAlign w:val="center"/>
          </w:tcPr>
          <w:p w14:paraId="465734A2">
            <w:pPr>
              <w:pStyle w:val="90"/>
              <w:rPr>
                <w:rFonts w:hint="default" w:eastAsia="宋体"/>
                <w:lang w:val="en-US" w:eastAsia="zh-CN"/>
              </w:rPr>
            </w:pPr>
            <w:r>
              <w:rPr>
                <w:rFonts w:hint="eastAsia"/>
                <w:lang w:val="en-US" w:eastAsia="zh-CN"/>
              </w:rPr>
              <w:t>0.001</w:t>
            </w:r>
          </w:p>
        </w:tc>
        <w:tc>
          <w:tcPr>
            <w:tcW w:w="729" w:type="pct"/>
            <w:shd w:val="clear" w:color="auto" w:fill="auto"/>
            <w:vAlign w:val="center"/>
          </w:tcPr>
          <w:p w14:paraId="076D8B74">
            <w:pPr>
              <w:pStyle w:val="90"/>
              <w:rPr>
                <w:rFonts w:hint="default" w:eastAsia="宋体"/>
                <w:lang w:val="en-US" w:eastAsia="zh-CN"/>
              </w:rPr>
            </w:pPr>
            <w:r>
              <w:rPr>
                <w:rFonts w:hint="eastAsia"/>
                <w:lang w:val="en-US" w:eastAsia="zh-CN"/>
              </w:rPr>
              <w:t>23.1</w:t>
            </w:r>
          </w:p>
        </w:tc>
      </w:tr>
      <w:tr w14:paraId="31E84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36A6F657">
            <w:pPr>
              <w:pStyle w:val="90"/>
            </w:pPr>
            <w:r>
              <w:rPr>
                <w:rFonts w:hint="eastAsia"/>
              </w:rPr>
              <w:t>中和</w:t>
            </w:r>
          </w:p>
        </w:tc>
      </w:tr>
      <w:tr w14:paraId="3826E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430D56AF">
            <w:pPr>
              <w:pStyle w:val="90"/>
            </w:pPr>
            <w:r>
              <w:rPr>
                <w:rFonts w:hint="eastAsia"/>
              </w:rPr>
              <w:t>1</w:t>
            </w:r>
          </w:p>
        </w:tc>
        <w:tc>
          <w:tcPr>
            <w:tcW w:w="1045" w:type="pct"/>
            <w:shd w:val="clear" w:color="auto" w:fill="auto"/>
            <w:vAlign w:val="center"/>
          </w:tcPr>
          <w:p w14:paraId="2EFF0A80">
            <w:pPr>
              <w:pStyle w:val="90"/>
            </w:pPr>
            <w:r>
              <w:rPr>
                <w:rFonts w:hint="eastAsia"/>
              </w:rPr>
              <w:t>基础油（中间品）</w:t>
            </w:r>
          </w:p>
        </w:tc>
        <w:tc>
          <w:tcPr>
            <w:tcW w:w="380" w:type="pct"/>
            <w:shd w:val="clear" w:color="auto" w:fill="auto"/>
            <w:vAlign w:val="center"/>
          </w:tcPr>
          <w:p w14:paraId="5B9C4A2B">
            <w:pPr>
              <w:pStyle w:val="90"/>
            </w:pPr>
            <w:r>
              <w:rPr>
                <w:rFonts w:hint="eastAsia"/>
              </w:rPr>
              <w:t>0.994</w:t>
            </w:r>
          </w:p>
        </w:tc>
        <w:tc>
          <w:tcPr>
            <w:tcW w:w="725" w:type="pct"/>
            <w:shd w:val="clear" w:color="auto" w:fill="auto"/>
            <w:vAlign w:val="center"/>
          </w:tcPr>
          <w:p w14:paraId="79725724">
            <w:pPr>
              <w:pStyle w:val="90"/>
              <w:rPr>
                <w:rFonts w:hint="default" w:eastAsia="宋体"/>
                <w:lang w:val="en-US" w:eastAsia="zh-CN"/>
              </w:rPr>
            </w:pPr>
            <w:r>
              <w:rPr>
                <w:rFonts w:hint="eastAsia"/>
                <w:lang w:val="en-US" w:eastAsia="zh-CN"/>
              </w:rPr>
              <w:t>77233.3</w:t>
            </w:r>
          </w:p>
        </w:tc>
        <w:tc>
          <w:tcPr>
            <w:tcW w:w="348" w:type="pct"/>
            <w:shd w:val="clear" w:color="auto" w:fill="auto"/>
            <w:vAlign w:val="center"/>
          </w:tcPr>
          <w:p w14:paraId="2265113F">
            <w:pPr>
              <w:pStyle w:val="90"/>
            </w:pPr>
            <w:r>
              <w:rPr>
                <w:rFonts w:hint="eastAsia"/>
              </w:rPr>
              <w:t>1</w:t>
            </w:r>
          </w:p>
        </w:tc>
        <w:tc>
          <w:tcPr>
            <w:tcW w:w="1045" w:type="pct"/>
            <w:shd w:val="clear" w:color="auto" w:fill="auto"/>
            <w:vAlign w:val="center"/>
          </w:tcPr>
          <w:p w14:paraId="1A5B9C2B">
            <w:pPr>
              <w:pStyle w:val="90"/>
            </w:pPr>
            <w:r>
              <w:rPr>
                <w:rFonts w:hint="eastAsia"/>
              </w:rPr>
              <w:t>润滑油</w:t>
            </w:r>
          </w:p>
        </w:tc>
        <w:tc>
          <w:tcPr>
            <w:tcW w:w="380" w:type="pct"/>
            <w:shd w:val="clear" w:color="auto" w:fill="auto"/>
            <w:vAlign w:val="center"/>
          </w:tcPr>
          <w:p w14:paraId="1D03CD3C">
            <w:pPr>
              <w:pStyle w:val="90"/>
            </w:pPr>
            <w:r>
              <w:rPr>
                <w:rFonts w:hint="eastAsia"/>
              </w:rPr>
              <w:t>1</w:t>
            </w:r>
          </w:p>
        </w:tc>
        <w:tc>
          <w:tcPr>
            <w:tcW w:w="729" w:type="pct"/>
            <w:shd w:val="clear" w:color="auto" w:fill="auto"/>
            <w:vAlign w:val="center"/>
          </w:tcPr>
          <w:p w14:paraId="5B40ADB8">
            <w:pPr>
              <w:pStyle w:val="90"/>
              <w:rPr>
                <w:rFonts w:hint="default" w:eastAsia="宋体"/>
                <w:lang w:val="en-US" w:eastAsia="zh-CN"/>
              </w:rPr>
            </w:pPr>
            <w:r>
              <w:rPr>
                <w:rFonts w:hint="eastAsia"/>
                <w:lang w:val="en-US" w:eastAsia="zh-CN"/>
              </w:rPr>
              <w:t>77273.3</w:t>
            </w:r>
          </w:p>
        </w:tc>
      </w:tr>
      <w:tr w14:paraId="585E7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793E1171">
            <w:pPr>
              <w:pStyle w:val="90"/>
            </w:pPr>
            <w:r>
              <w:rPr>
                <w:rFonts w:hint="eastAsia"/>
              </w:rPr>
              <w:t>2</w:t>
            </w:r>
          </w:p>
        </w:tc>
        <w:tc>
          <w:tcPr>
            <w:tcW w:w="1045" w:type="pct"/>
            <w:shd w:val="clear" w:color="auto" w:fill="auto"/>
            <w:vAlign w:val="center"/>
          </w:tcPr>
          <w:p w14:paraId="2B177172">
            <w:pPr>
              <w:pStyle w:val="90"/>
            </w:pPr>
            <w:r>
              <w:rPr>
                <w:rFonts w:hint="eastAsia"/>
              </w:rPr>
              <w:t>5%氨水</w:t>
            </w:r>
          </w:p>
        </w:tc>
        <w:tc>
          <w:tcPr>
            <w:tcW w:w="380" w:type="pct"/>
            <w:shd w:val="clear" w:color="auto" w:fill="auto"/>
            <w:vAlign w:val="center"/>
          </w:tcPr>
          <w:p w14:paraId="3F8601E1">
            <w:pPr>
              <w:pStyle w:val="90"/>
            </w:pPr>
            <w:r>
              <w:rPr>
                <w:rFonts w:hint="eastAsia"/>
              </w:rPr>
              <w:t>0.006</w:t>
            </w:r>
          </w:p>
        </w:tc>
        <w:tc>
          <w:tcPr>
            <w:tcW w:w="725" w:type="pct"/>
            <w:shd w:val="clear" w:color="auto" w:fill="auto"/>
            <w:vAlign w:val="center"/>
          </w:tcPr>
          <w:p w14:paraId="4773018C">
            <w:pPr>
              <w:pStyle w:val="90"/>
            </w:pPr>
            <w:r>
              <w:t>40</w:t>
            </w:r>
          </w:p>
        </w:tc>
        <w:tc>
          <w:tcPr>
            <w:tcW w:w="348" w:type="pct"/>
            <w:shd w:val="clear" w:color="auto" w:fill="auto"/>
            <w:vAlign w:val="center"/>
          </w:tcPr>
          <w:p w14:paraId="1A35FA87">
            <w:pPr>
              <w:pStyle w:val="90"/>
            </w:pPr>
          </w:p>
        </w:tc>
        <w:tc>
          <w:tcPr>
            <w:tcW w:w="1045" w:type="pct"/>
            <w:shd w:val="clear" w:color="auto" w:fill="auto"/>
            <w:vAlign w:val="center"/>
          </w:tcPr>
          <w:p w14:paraId="21EF5C54">
            <w:pPr>
              <w:pStyle w:val="90"/>
            </w:pPr>
          </w:p>
        </w:tc>
        <w:tc>
          <w:tcPr>
            <w:tcW w:w="380" w:type="pct"/>
            <w:shd w:val="clear" w:color="auto" w:fill="auto"/>
            <w:vAlign w:val="center"/>
          </w:tcPr>
          <w:p w14:paraId="6E284C1F">
            <w:pPr>
              <w:pStyle w:val="90"/>
            </w:pPr>
          </w:p>
        </w:tc>
        <w:tc>
          <w:tcPr>
            <w:tcW w:w="729" w:type="pct"/>
            <w:shd w:val="clear" w:color="auto" w:fill="auto"/>
            <w:vAlign w:val="center"/>
          </w:tcPr>
          <w:p w14:paraId="54EAA76F">
            <w:pPr>
              <w:pStyle w:val="90"/>
            </w:pPr>
          </w:p>
        </w:tc>
      </w:tr>
      <w:tr w14:paraId="501A2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45F1757C">
            <w:pPr>
              <w:pStyle w:val="90"/>
            </w:pPr>
            <w:r>
              <w:rPr>
                <w:rFonts w:hint="eastAsia"/>
              </w:rPr>
              <w:t>沥青加工</w:t>
            </w:r>
          </w:p>
        </w:tc>
      </w:tr>
      <w:tr w14:paraId="6629B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0D655080">
            <w:pPr>
              <w:pStyle w:val="90"/>
            </w:pPr>
            <w:r>
              <w:rPr>
                <w:rFonts w:hint="eastAsia"/>
              </w:rPr>
              <w:t>1</w:t>
            </w:r>
          </w:p>
        </w:tc>
        <w:tc>
          <w:tcPr>
            <w:tcW w:w="1045" w:type="pct"/>
            <w:shd w:val="clear" w:color="auto" w:fill="auto"/>
            <w:vAlign w:val="center"/>
          </w:tcPr>
          <w:p w14:paraId="280DAC6D">
            <w:pPr>
              <w:pStyle w:val="90"/>
            </w:pPr>
            <w:r>
              <w:rPr>
                <w:rFonts w:hint="eastAsia"/>
              </w:rPr>
              <w:t>重油</w:t>
            </w:r>
          </w:p>
        </w:tc>
        <w:tc>
          <w:tcPr>
            <w:tcW w:w="380" w:type="pct"/>
            <w:shd w:val="clear" w:color="auto" w:fill="auto"/>
            <w:vAlign w:val="center"/>
          </w:tcPr>
          <w:p w14:paraId="29131071">
            <w:pPr>
              <w:pStyle w:val="90"/>
            </w:pPr>
            <w:r>
              <w:rPr>
                <w:rFonts w:hint="eastAsia"/>
              </w:rPr>
              <w:t>0.994</w:t>
            </w:r>
          </w:p>
        </w:tc>
        <w:tc>
          <w:tcPr>
            <w:tcW w:w="725" w:type="pct"/>
            <w:shd w:val="clear" w:color="auto" w:fill="auto"/>
            <w:vAlign w:val="center"/>
          </w:tcPr>
          <w:p w14:paraId="50D2CC61">
            <w:pPr>
              <w:pStyle w:val="90"/>
              <w:rPr>
                <w:rFonts w:hint="default" w:eastAsia="宋体"/>
                <w:lang w:val="en-US" w:eastAsia="zh-CN"/>
              </w:rPr>
            </w:pPr>
            <w:r>
              <w:rPr>
                <w:rFonts w:hint="eastAsia"/>
                <w:lang w:val="en-US" w:eastAsia="zh-CN"/>
              </w:rPr>
              <w:t>2311.88</w:t>
            </w:r>
          </w:p>
        </w:tc>
        <w:tc>
          <w:tcPr>
            <w:tcW w:w="348" w:type="pct"/>
            <w:shd w:val="clear" w:color="auto" w:fill="auto"/>
            <w:vAlign w:val="center"/>
          </w:tcPr>
          <w:p w14:paraId="4A7E2991">
            <w:pPr>
              <w:pStyle w:val="90"/>
            </w:pPr>
            <w:r>
              <w:rPr>
                <w:rFonts w:hint="eastAsia"/>
              </w:rPr>
              <w:t>1</w:t>
            </w:r>
          </w:p>
        </w:tc>
        <w:tc>
          <w:tcPr>
            <w:tcW w:w="1045" w:type="pct"/>
            <w:shd w:val="clear" w:color="auto" w:fill="auto"/>
            <w:vAlign w:val="center"/>
          </w:tcPr>
          <w:p w14:paraId="0F251596">
            <w:pPr>
              <w:pStyle w:val="90"/>
            </w:pPr>
            <w:r>
              <w:rPr>
                <w:rFonts w:hint="eastAsia"/>
              </w:rPr>
              <w:t>沥青</w:t>
            </w:r>
          </w:p>
        </w:tc>
        <w:tc>
          <w:tcPr>
            <w:tcW w:w="380" w:type="pct"/>
            <w:shd w:val="clear" w:color="auto" w:fill="auto"/>
            <w:vAlign w:val="center"/>
          </w:tcPr>
          <w:p w14:paraId="1498F38B">
            <w:pPr>
              <w:pStyle w:val="90"/>
            </w:pPr>
            <w:r>
              <w:rPr>
                <w:rFonts w:hint="eastAsia"/>
              </w:rPr>
              <w:t>1</w:t>
            </w:r>
          </w:p>
        </w:tc>
        <w:tc>
          <w:tcPr>
            <w:tcW w:w="729" w:type="pct"/>
            <w:shd w:val="clear" w:color="auto" w:fill="auto"/>
            <w:vAlign w:val="center"/>
          </w:tcPr>
          <w:p w14:paraId="081CDCB9">
            <w:pPr>
              <w:pStyle w:val="90"/>
              <w:rPr>
                <w:rFonts w:hint="default" w:eastAsia="宋体"/>
                <w:lang w:val="en-US" w:eastAsia="zh-CN"/>
              </w:rPr>
            </w:pPr>
            <w:r>
              <w:rPr>
                <w:rFonts w:hint="eastAsia"/>
                <w:lang w:val="en-US" w:eastAsia="zh-CN"/>
              </w:rPr>
              <w:t>2323.4</w:t>
            </w:r>
          </w:p>
        </w:tc>
      </w:tr>
      <w:tr w14:paraId="25408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5F90F60F">
            <w:pPr>
              <w:pStyle w:val="90"/>
            </w:pPr>
            <w:r>
              <w:rPr>
                <w:rFonts w:hint="eastAsia"/>
              </w:rPr>
              <w:t>2</w:t>
            </w:r>
          </w:p>
        </w:tc>
        <w:tc>
          <w:tcPr>
            <w:tcW w:w="1045" w:type="pct"/>
            <w:shd w:val="clear" w:color="auto" w:fill="auto"/>
            <w:vAlign w:val="center"/>
          </w:tcPr>
          <w:p w14:paraId="589C40A7">
            <w:pPr>
              <w:pStyle w:val="90"/>
            </w:pPr>
            <w:r>
              <w:rPr>
                <w:rFonts w:hint="eastAsia"/>
              </w:rPr>
              <w:t>5%氨水</w:t>
            </w:r>
          </w:p>
        </w:tc>
        <w:tc>
          <w:tcPr>
            <w:tcW w:w="380" w:type="pct"/>
            <w:shd w:val="clear" w:color="auto" w:fill="auto"/>
            <w:vAlign w:val="center"/>
          </w:tcPr>
          <w:p w14:paraId="6F2F7E85">
            <w:pPr>
              <w:pStyle w:val="90"/>
            </w:pPr>
            <w:r>
              <w:rPr>
                <w:rFonts w:hint="eastAsia"/>
              </w:rPr>
              <w:t>0.006</w:t>
            </w:r>
          </w:p>
        </w:tc>
        <w:tc>
          <w:tcPr>
            <w:tcW w:w="725" w:type="pct"/>
            <w:shd w:val="clear" w:color="auto" w:fill="auto"/>
            <w:vAlign w:val="center"/>
          </w:tcPr>
          <w:p w14:paraId="74066494">
            <w:pPr>
              <w:pStyle w:val="90"/>
            </w:pPr>
            <w:r>
              <w:rPr>
                <w:rFonts w:hint="eastAsia"/>
              </w:rPr>
              <w:t>11.52</w:t>
            </w:r>
          </w:p>
        </w:tc>
        <w:tc>
          <w:tcPr>
            <w:tcW w:w="348" w:type="pct"/>
            <w:shd w:val="clear" w:color="auto" w:fill="auto"/>
            <w:vAlign w:val="center"/>
          </w:tcPr>
          <w:p w14:paraId="392C0152">
            <w:pPr>
              <w:pStyle w:val="90"/>
            </w:pPr>
          </w:p>
        </w:tc>
        <w:tc>
          <w:tcPr>
            <w:tcW w:w="1045" w:type="pct"/>
            <w:shd w:val="clear" w:color="auto" w:fill="auto"/>
            <w:vAlign w:val="center"/>
          </w:tcPr>
          <w:p w14:paraId="22F763F3">
            <w:pPr>
              <w:pStyle w:val="90"/>
            </w:pPr>
          </w:p>
        </w:tc>
        <w:tc>
          <w:tcPr>
            <w:tcW w:w="380" w:type="pct"/>
            <w:shd w:val="clear" w:color="auto" w:fill="auto"/>
            <w:vAlign w:val="center"/>
          </w:tcPr>
          <w:p w14:paraId="3AD8884A">
            <w:pPr>
              <w:pStyle w:val="90"/>
            </w:pPr>
          </w:p>
        </w:tc>
        <w:tc>
          <w:tcPr>
            <w:tcW w:w="729" w:type="pct"/>
            <w:shd w:val="clear" w:color="auto" w:fill="auto"/>
            <w:vAlign w:val="center"/>
          </w:tcPr>
          <w:p w14:paraId="1B30A0CE">
            <w:pPr>
              <w:pStyle w:val="90"/>
            </w:pPr>
          </w:p>
        </w:tc>
      </w:tr>
      <w:tr w14:paraId="7A998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40D8421E">
            <w:pPr>
              <w:pStyle w:val="90"/>
            </w:pPr>
            <w:r>
              <w:rPr>
                <w:rFonts w:hint="eastAsia"/>
              </w:rPr>
              <w:t>润滑脂生产（皂化）</w:t>
            </w:r>
          </w:p>
        </w:tc>
      </w:tr>
      <w:tr w14:paraId="353FA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2DFB8396">
            <w:pPr>
              <w:pStyle w:val="90"/>
            </w:pPr>
            <w:r>
              <w:rPr>
                <w:rFonts w:hint="eastAsia"/>
              </w:rPr>
              <w:t>1</w:t>
            </w:r>
          </w:p>
        </w:tc>
        <w:tc>
          <w:tcPr>
            <w:tcW w:w="1045" w:type="pct"/>
            <w:shd w:val="clear" w:color="auto" w:fill="auto"/>
            <w:vAlign w:val="center"/>
          </w:tcPr>
          <w:p w14:paraId="06508873">
            <w:pPr>
              <w:pStyle w:val="90"/>
            </w:pPr>
            <w:r>
              <w:rPr>
                <w:rFonts w:hint="eastAsia"/>
              </w:rPr>
              <w:t>润滑油（1</w:t>
            </w:r>
            <w:r>
              <w:t>/3</w:t>
            </w:r>
            <w:r>
              <w:rPr>
                <w:rFonts w:hint="eastAsia"/>
              </w:rPr>
              <w:t>）</w:t>
            </w:r>
          </w:p>
        </w:tc>
        <w:tc>
          <w:tcPr>
            <w:tcW w:w="380" w:type="pct"/>
            <w:shd w:val="clear" w:color="auto" w:fill="auto"/>
            <w:vAlign w:val="center"/>
          </w:tcPr>
          <w:p w14:paraId="701279C6">
            <w:pPr>
              <w:pStyle w:val="90"/>
            </w:pPr>
            <w:r>
              <w:rPr>
                <w:rFonts w:hint="eastAsia"/>
              </w:rPr>
              <w:t>0</w:t>
            </w:r>
            <w:r>
              <w:t>.936</w:t>
            </w:r>
          </w:p>
        </w:tc>
        <w:tc>
          <w:tcPr>
            <w:tcW w:w="725" w:type="pct"/>
            <w:shd w:val="clear" w:color="auto" w:fill="auto"/>
            <w:vAlign w:val="center"/>
          </w:tcPr>
          <w:p w14:paraId="657A901D">
            <w:pPr>
              <w:pStyle w:val="90"/>
            </w:pPr>
            <w:r>
              <w:rPr>
                <w:rFonts w:hint="eastAsia"/>
              </w:rPr>
              <w:t>6</w:t>
            </w:r>
            <w:r>
              <w:t>550</w:t>
            </w:r>
          </w:p>
        </w:tc>
        <w:tc>
          <w:tcPr>
            <w:tcW w:w="348" w:type="pct"/>
            <w:shd w:val="clear" w:color="auto" w:fill="auto"/>
            <w:vAlign w:val="center"/>
          </w:tcPr>
          <w:p w14:paraId="054FE701">
            <w:pPr>
              <w:pStyle w:val="90"/>
            </w:pPr>
            <w:r>
              <w:t>1</w:t>
            </w:r>
          </w:p>
        </w:tc>
        <w:tc>
          <w:tcPr>
            <w:tcW w:w="1045" w:type="pct"/>
            <w:shd w:val="clear" w:color="auto" w:fill="auto"/>
            <w:vAlign w:val="center"/>
          </w:tcPr>
          <w:p w14:paraId="0C0AC334">
            <w:pPr>
              <w:pStyle w:val="90"/>
            </w:pPr>
            <w:r>
              <w:rPr>
                <w:rFonts w:hint="eastAsia"/>
              </w:rPr>
              <w:t>润滑脂（中间品）</w:t>
            </w:r>
          </w:p>
        </w:tc>
        <w:tc>
          <w:tcPr>
            <w:tcW w:w="380" w:type="pct"/>
            <w:shd w:val="clear" w:color="auto" w:fill="auto"/>
            <w:vAlign w:val="center"/>
          </w:tcPr>
          <w:p w14:paraId="77FC4ACB">
            <w:pPr>
              <w:pStyle w:val="90"/>
            </w:pPr>
            <w:r>
              <w:rPr>
                <w:rFonts w:hint="eastAsia"/>
              </w:rPr>
              <w:t>1</w:t>
            </w:r>
          </w:p>
        </w:tc>
        <w:tc>
          <w:tcPr>
            <w:tcW w:w="729" w:type="pct"/>
            <w:shd w:val="clear" w:color="auto" w:fill="auto"/>
            <w:vAlign w:val="center"/>
          </w:tcPr>
          <w:p w14:paraId="290543F6">
            <w:pPr>
              <w:pStyle w:val="90"/>
            </w:pPr>
            <w:r>
              <w:rPr>
                <w:rFonts w:hint="eastAsia"/>
              </w:rPr>
              <w:t>7</w:t>
            </w:r>
            <w:r>
              <w:t>000</w:t>
            </w:r>
          </w:p>
        </w:tc>
      </w:tr>
      <w:tr w14:paraId="5D812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6DBFA8FD">
            <w:pPr>
              <w:pStyle w:val="90"/>
            </w:pPr>
            <w:r>
              <w:rPr>
                <w:rFonts w:hint="eastAsia"/>
              </w:rPr>
              <w:t>2</w:t>
            </w:r>
          </w:p>
        </w:tc>
        <w:tc>
          <w:tcPr>
            <w:tcW w:w="1045" w:type="pct"/>
            <w:shd w:val="clear" w:color="auto" w:fill="auto"/>
            <w:vAlign w:val="center"/>
          </w:tcPr>
          <w:p w14:paraId="65912946">
            <w:pPr>
              <w:pStyle w:val="90"/>
            </w:pPr>
            <w:r>
              <w:rPr>
                <w:rFonts w:hint="eastAsia"/>
              </w:rPr>
              <w:t>十二羟基硬脂酸</w:t>
            </w:r>
          </w:p>
        </w:tc>
        <w:tc>
          <w:tcPr>
            <w:tcW w:w="380" w:type="pct"/>
            <w:shd w:val="clear" w:color="auto" w:fill="auto"/>
            <w:vAlign w:val="center"/>
          </w:tcPr>
          <w:p w14:paraId="33B8AE62">
            <w:pPr>
              <w:pStyle w:val="90"/>
            </w:pPr>
            <w:r>
              <w:rPr>
                <w:rFonts w:hint="eastAsia"/>
              </w:rPr>
              <w:t>0</w:t>
            </w:r>
            <w:r>
              <w:t>.029</w:t>
            </w:r>
          </w:p>
        </w:tc>
        <w:tc>
          <w:tcPr>
            <w:tcW w:w="725" w:type="pct"/>
            <w:shd w:val="clear" w:color="auto" w:fill="auto"/>
            <w:vAlign w:val="center"/>
          </w:tcPr>
          <w:p w14:paraId="6C6E4826">
            <w:pPr>
              <w:pStyle w:val="90"/>
            </w:pPr>
            <w:r>
              <w:rPr>
                <w:rFonts w:hint="eastAsia"/>
              </w:rPr>
              <w:t>2</w:t>
            </w:r>
            <w:r>
              <w:t>00</w:t>
            </w:r>
          </w:p>
        </w:tc>
        <w:tc>
          <w:tcPr>
            <w:tcW w:w="348" w:type="pct"/>
            <w:shd w:val="clear" w:color="auto" w:fill="auto"/>
            <w:vAlign w:val="center"/>
          </w:tcPr>
          <w:p w14:paraId="3F6FC476">
            <w:pPr>
              <w:pStyle w:val="90"/>
            </w:pPr>
          </w:p>
        </w:tc>
        <w:tc>
          <w:tcPr>
            <w:tcW w:w="1045" w:type="pct"/>
            <w:shd w:val="clear" w:color="auto" w:fill="auto"/>
            <w:vAlign w:val="center"/>
          </w:tcPr>
          <w:p w14:paraId="6A0BD2EB">
            <w:pPr>
              <w:pStyle w:val="90"/>
            </w:pPr>
          </w:p>
        </w:tc>
        <w:tc>
          <w:tcPr>
            <w:tcW w:w="380" w:type="pct"/>
            <w:shd w:val="clear" w:color="auto" w:fill="auto"/>
            <w:vAlign w:val="center"/>
          </w:tcPr>
          <w:p w14:paraId="39CFBB4D">
            <w:pPr>
              <w:pStyle w:val="90"/>
            </w:pPr>
          </w:p>
        </w:tc>
        <w:tc>
          <w:tcPr>
            <w:tcW w:w="729" w:type="pct"/>
            <w:shd w:val="clear" w:color="auto" w:fill="auto"/>
            <w:vAlign w:val="center"/>
          </w:tcPr>
          <w:p w14:paraId="57F7B663">
            <w:pPr>
              <w:pStyle w:val="90"/>
            </w:pPr>
          </w:p>
        </w:tc>
      </w:tr>
      <w:tr w14:paraId="76D52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467F59E3">
            <w:pPr>
              <w:pStyle w:val="90"/>
            </w:pPr>
            <w:r>
              <w:rPr>
                <w:rFonts w:hint="eastAsia"/>
              </w:rPr>
              <w:t>3</w:t>
            </w:r>
          </w:p>
        </w:tc>
        <w:tc>
          <w:tcPr>
            <w:tcW w:w="1045" w:type="pct"/>
            <w:shd w:val="clear" w:color="auto" w:fill="auto"/>
            <w:vAlign w:val="center"/>
          </w:tcPr>
          <w:p w14:paraId="006A9A9B">
            <w:pPr>
              <w:pStyle w:val="90"/>
            </w:pPr>
            <w:r>
              <w:rPr>
                <w:rFonts w:hint="eastAsia"/>
              </w:rPr>
              <w:t>硬脂酸</w:t>
            </w:r>
          </w:p>
        </w:tc>
        <w:tc>
          <w:tcPr>
            <w:tcW w:w="380" w:type="pct"/>
            <w:shd w:val="clear" w:color="auto" w:fill="auto"/>
            <w:vAlign w:val="center"/>
          </w:tcPr>
          <w:p w14:paraId="0B8F4E02">
            <w:pPr>
              <w:pStyle w:val="90"/>
            </w:pPr>
            <w:r>
              <w:rPr>
                <w:rFonts w:hint="eastAsia"/>
              </w:rPr>
              <w:t>0</w:t>
            </w:r>
            <w:r>
              <w:t>.029</w:t>
            </w:r>
          </w:p>
        </w:tc>
        <w:tc>
          <w:tcPr>
            <w:tcW w:w="725" w:type="pct"/>
            <w:shd w:val="clear" w:color="auto" w:fill="auto"/>
            <w:vAlign w:val="center"/>
          </w:tcPr>
          <w:p w14:paraId="028EE0C3">
            <w:pPr>
              <w:pStyle w:val="90"/>
            </w:pPr>
            <w:r>
              <w:rPr>
                <w:rFonts w:hint="eastAsia"/>
              </w:rPr>
              <w:t>2</w:t>
            </w:r>
            <w:r>
              <w:t>00</w:t>
            </w:r>
          </w:p>
        </w:tc>
        <w:tc>
          <w:tcPr>
            <w:tcW w:w="348" w:type="pct"/>
            <w:shd w:val="clear" w:color="auto" w:fill="auto"/>
            <w:vAlign w:val="center"/>
          </w:tcPr>
          <w:p w14:paraId="55120AC2">
            <w:pPr>
              <w:pStyle w:val="90"/>
            </w:pPr>
          </w:p>
        </w:tc>
        <w:tc>
          <w:tcPr>
            <w:tcW w:w="1045" w:type="pct"/>
            <w:shd w:val="clear" w:color="auto" w:fill="auto"/>
            <w:vAlign w:val="center"/>
          </w:tcPr>
          <w:p w14:paraId="6B60EC57">
            <w:pPr>
              <w:pStyle w:val="90"/>
            </w:pPr>
          </w:p>
        </w:tc>
        <w:tc>
          <w:tcPr>
            <w:tcW w:w="380" w:type="pct"/>
            <w:shd w:val="clear" w:color="auto" w:fill="auto"/>
            <w:vAlign w:val="center"/>
          </w:tcPr>
          <w:p w14:paraId="6A06BA19">
            <w:pPr>
              <w:pStyle w:val="90"/>
            </w:pPr>
          </w:p>
        </w:tc>
        <w:tc>
          <w:tcPr>
            <w:tcW w:w="729" w:type="pct"/>
            <w:shd w:val="clear" w:color="auto" w:fill="auto"/>
            <w:vAlign w:val="center"/>
          </w:tcPr>
          <w:p w14:paraId="78D587E2">
            <w:pPr>
              <w:pStyle w:val="90"/>
            </w:pPr>
          </w:p>
        </w:tc>
      </w:tr>
      <w:tr w14:paraId="14B08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7A931431">
            <w:pPr>
              <w:pStyle w:val="90"/>
            </w:pPr>
            <w:r>
              <w:rPr>
                <w:rFonts w:hint="eastAsia"/>
              </w:rPr>
              <w:t>4</w:t>
            </w:r>
          </w:p>
        </w:tc>
        <w:tc>
          <w:tcPr>
            <w:tcW w:w="1045" w:type="pct"/>
            <w:shd w:val="clear" w:color="auto" w:fill="auto"/>
            <w:vAlign w:val="center"/>
          </w:tcPr>
          <w:p w14:paraId="673E5D95">
            <w:pPr>
              <w:pStyle w:val="90"/>
            </w:pPr>
            <w:r>
              <w:rPr>
                <w:rFonts w:hint="eastAsia"/>
              </w:rPr>
              <w:t>氢氧化锂</w:t>
            </w:r>
          </w:p>
        </w:tc>
        <w:tc>
          <w:tcPr>
            <w:tcW w:w="380" w:type="pct"/>
            <w:shd w:val="clear" w:color="auto" w:fill="auto"/>
            <w:vAlign w:val="center"/>
          </w:tcPr>
          <w:p w14:paraId="3D911097">
            <w:pPr>
              <w:pStyle w:val="90"/>
            </w:pPr>
            <w:r>
              <w:rPr>
                <w:rFonts w:hint="eastAsia"/>
              </w:rPr>
              <w:t>0</w:t>
            </w:r>
            <w:r>
              <w:t>.006</w:t>
            </w:r>
          </w:p>
        </w:tc>
        <w:tc>
          <w:tcPr>
            <w:tcW w:w="725" w:type="pct"/>
            <w:shd w:val="clear" w:color="auto" w:fill="auto"/>
            <w:vAlign w:val="center"/>
          </w:tcPr>
          <w:p w14:paraId="6167F06B">
            <w:pPr>
              <w:pStyle w:val="90"/>
            </w:pPr>
            <w:r>
              <w:rPr>
                <w:rFonts w:hint="eastAsia"/>
              </w:rPr>
              <w:t>5</w:t>
            </w:r>
            <w:r>
              <w:t>0</w:t>
            </w:r>
          </w:p>
        </w:tc>
        <w:tc>
          <w:tcPr>
            <w:tcW w:w="348" w:type="pct"/>
            <w:shd w:val="clear" w:color="auto" w:fill="auto"/>
            <w:vAlign w:val="center"/>
          </w:tcPr>
          <w:p w14:paraId="6979C0C4">
            <w:pPr>
              <w:pStyle w:val="90"/>
            </w:pPr>
          </w:p>
        </w:tc>
        <w:tc>
          <w:tcPr>
            <w:tcW w:w="1045" w:type="pct"/>
            <w:shd w:val="clear" w:color="auto" w:fill="auto"/>
            <w:vAlign w:val="center"/>
          </w:tcPr>
          <w:p w14:paraId="78FA37B7">
            <w:pPr>
              <w:pStyle w:val="90"/>
            </w:pPr>
          </w:p>
        </w:tc>
        <w:tc>
          <w:tcPr>
            <w:tcW w:w="380" w:type="pct"/>
            <w:shd w:val="clear" w:color="auto" w:fill="auto"/>
            <w:vAlign w:val="center"/>
          </w:tcPr>
          <w:p w14:paraId="735B0651">
            <w:pPr>
              <w:pStyle w:val="90"/>
            </w:pPr>
          </w:p>
        </w:tc>
        <w:tc>
          <w:tcPr>
            <w:tcW w:w="729" w:type="pct"/>
            <w:shd w:val="clear" w:color="auto" w:fill="auto"/>
            <w:vAlign w:val="center"/>
          </w:tcPr>
          <w:p w14:paraId="116EBE00">
            <w:pPr>
              <w:pStyle w:val="90"/>
            </w:pPr>
          </w:p>
        </w:tc>
      </w:tr>
      <w:tr w14:paraId="1FCF5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000" w:type="pct"/>
            <w:gridSpan w:val="8"/>
            <w:shd w:val="clear" w:color="auto" w:fill="auto"/>
            <w:vAlign w:val="center"/>
          </w:tcPr>
          <w:p w14:paraId="26F102B9">
            <w:pPr>
              <w:pStyle w:val="90"/>
            </w:pPr>
            <w:r>
              <w:rPr>
                <w:rFonts w:hint="eastAsia"/>
              </w:rPr>
              <w:t>润滑脂生产（稠化）</w:t>
            </w:r>
          </w:p>
        </w:tc>
      </w:tr>
      <w:tr w14:paraId="46B5E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5998BC3B">
            <w:pPr>
              <w:pStyle w:val="90"/>
            </w:pPr>
            <w:r>
              <w:rPr>
                <w:rFonts w:hint="eastAsia"/>
              </w:rPr>
              <w:t>1</w:t>
            </w:r>
          </w:p>
        </w:tc>
        <w:tc>
          <w:tcPr>
            <w:tcW w:w="1045" w:type="pct"/>
            <w:shd w:val="clear" w:color="auto" w:fill="auto"/>
            <w:vAlign w:val="center"/>
          </w:tcPr>
          <w:p w14:paraId="19E99A19">
            <w:pPr>
              <w:pStyle w:val="90"/>
              <w:rPr>
                <w:lang w:val="en-US"/>
              </w:rPr>
            </w:pPr>
            <w:r>
              <w:rPr>
                <w:rFonts w:hint="eastAsia"/>
              </w:rPr>
              <w:t>润滑脂（中间品）</w:t>
            </w:r>
          </w:p>
        </w:tc>
        <w:tc>
          <w:tcPr>
            <w:tcW w:w="380" w:type="pct"/>
            <w:shd w:val="clear" w:color="auto" w:fill="auto"/>
            <w:vAlign w:val="center"/>
          </w:tcPr>
          <w:p w14:paraId="2ABE58FF">
            <w:pPr>
              <w:pStyle w:val="90"/>
            </w:pPr>
            <w:r>
              <w:rPr>
                <w:rFonts w:hint="eastAsia"/>
              </w:rPr>
              <w:t>0</w:t>
            </w:r>
            <w:r>
              <w:t>.33</w:t>
            </w:r>
          </w:p>
        </w:tc>
        <w:tc>
          <w:tcPr>
            <w:tcW w:w="725" w:type="pct"/>
            <w:shd w:val="clear" w:color="auto" w:fill="auto"/>
            <w:vAlign w:val="center"/>
          </w:tcPr>
          <w:p w14:paraId="0BB26D9C">
            <w:pPr>
              <w:pStyle w:val="90"/>
            </w:pPr>
            <w:r>
              <w:rPr>
                <w:rFonts w:hint="eastAsia"/>
              </w:rPr>
              <w:t>7</w:t>
            </w:r>
            <w:r>
              <w:t>000</w:t>
            </w:r>
          </w:p>
        </w:tc>
        <w:tc>
          <w:tcPr>
            <w:tcW w:w="348" w:type="pct"/>
            <w:shd w:val="clear" w:color="auto" w:fill="auto"/>
            <w:vAlign w:val="center"/>
          </w:tcPr>
          <w:p w14:paraId="444E29F7">
            <w:pPr>
              <w:pStyle w:val="90"/>
            </w:pPr>
            <w:r>
              <w:rPr>
                <w:rFonts w:hint="eastAsia"/>
              </w:rPr>
              <w:t>1</w:t>
            </w:r>
          </w:p>
        </w:tc>
        <w:tc>
          <w:tcPr>
            <w:tcW w:w="1045" w:type="pct"/>
            <w:shd w:val="clear" w:color="auto" w:fill="auto"/>
            <w:vAlign w:val="center"/>
          </w:tcPr>
          <w:p w14:paraId="385D445B">
            <w:pPr>
              <w:pStyle w:val="90"/>
            </w:pPr>
            <w:r>
              <w:rPr>
                <w:rFonts w:hint="eastAsia"/>
              </w:rPr>
              <w:t>润滑脂</w:t>
            </w:r>
          </w:p>
        </w:tc>
        <w:tc>
          <w:tcPr>
            <w:tcW w:w="380" w:type="pct"/>
            <w:shd w:val="clear" w:color="auto" w:fill="auto"/>
            <w:vAlign w:val="center"/>
          </w:tcPr>
          <w:p w14:paraId="4BAA1B6F">
            <w:pPr>
              <w:pStyle w:val="90"/>
            </w:pPr>
            <w:r>
              <w:rPr>
                <w:rFonts w:hint="eastAsia"/>
              </w:rPr>
              <w:t>1</w:t>
            </w:r>
          </w:p>
        </w:tc>
        <w:tc>
          <w:tcPr>
            <w:tcW w:w="729" w:type="pct"/>
            <w:shd w:val="clear" w:color="auto" w:fill="auto"/>
            <w:vAlign w:val="center"/>
          </w:tcPr>
          <w:p w14:paraId="45D3A5AE">
            <w:pPr>
              <w:pStyle w:val="90"/>
            </w:pPr>
            <w:r>
              <w:rPr>
                <w:rFonts w:hint="eastAsia"/>
              </w:rPr>
              <w:t>2</w:t>
            </w:r>
            <w:r>
              <w:t>0000</w:t>
            </w:r>
          </w:p>
        </w:tc>
      </w:tr>
      <w:tr w14:paraId="0AE0E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48" w:type="pct"/>
            <w:shd w:val="clear" w:color="auto" w:fill="auto"/>
            <w:vAlign w:val="center"/>
          </w:tcPr>
          <w:p w14:paraId="7FAF266F">
            <w:pPr>
              <w:pStyle w:val="90"/>
            </w:pPr>
            <w:r>
              <w:rPr>
                <w:rFonts w:hint="eastAsia"/>
              </w:rPr>
              <w:t>2</w:t>
            </w:r>
          </w:p>
        </w:tc>
        <w:tc>
          <w:tcPr>
            <w:tcW w:w="1045" w:type="pct"/>
            <w:shd w:val="clear" w:color="auto" w:fill="auto"/>
            <w:vAlign w:val="center"/>
          </w:tcPr>
          <w:p w14:paraId="550E70A5">
            <w:pPr>
              <w:pStyle w:val="90"/>
            </w:pPr>
            <w:r>
              <w:rPr>
                <w:rFonts w:hint="eastAsia"/>
              </w:rPr>
              <w:t>润滑油（</w:t>
            </w:r>
            <w:r>
              <w:t>2/3</w:t>
            </w:r>
            <w:r>
              <w:rPr>
                <w:rFonts w:hint="eastAsia"/>
              </w:rPr>
              <w:t>）</w:t>
            </w:r>
          </w:p>
        </w:tc>
        <w:tc>
          <w:tcPr>
            <w:tcW w:w="380" w:type="pct"/>
            <w:shd w:val="clear" w:color="auto" w:fill="auto"/>
            <w:vAlign w:val="center"/>
          </w:tcPr>
          <w:p w14:paraId="093FF0F9">
            <w:pPr>
              <w:pStyle w:val="90"/>
            </w:pPr>
            <w:r>
              <w:rPr>
                <w:rFonts w:hint="eastAsia"/>
              </w:rPr>
              <w:t>0</w:t>
            </w:r>
            <w:r>
              <w:t>.67</w:t>
            </w:r>
          </w:p>
        </w:tc>
        <w:tc>
          <w:tcPr>
            <w:tcW w:w="725" w:type="pct"/>
            <w:shd w:val="clear" w:color="auto" w:fill="auto"/>
            <w:vAlign w:val="center"/>
          </w:tcPr>
          <w:p w14:paraId="3953D8C6">
            <w:pPr>
              <w:pStyle w:val="90"/>
            </w:pPr>
            <w:r>
              <w:rPr>
                <w:rFonts w:hint="eastAsia"/>
              </w:rPr>
              <w:t>1</w:t>
            </w:r>
            <w:r>
              <w:t>3000</w:t>
            </w:r>
          </w:p>
        </w:tc>
        <w:tc>
          <w:tcPr>
            <w:tcW w:w="348" w:type="pct"/>
            <w:shd w:val="clear" w:color="auto" w:fill="auto"/>
            <w:vAlign w:val="center"/>
          </w:tcPr>
          <w:p w14:paraId="17892776">
            <w:pPr>
              <w:pStyle w:val="90"/>
            </w:pPr>
          </w:p>
        </w:tc>
        <w:tc>
          <w:tcPr>
            <w:tcW w:w="1045" w:type="pct"/>
            <w:shd w:val="clear" w:color="auto" w:fill="auto"/>
            <w:vAlign w:val="center"/>
          </w:tcPr>
          <w:p w14:paraId="4C6982FC">
            <w:pPr>
              <w:pStyle w:val="90"/>
            </w:pPr>
          </w:p>
        </w:tc>
        <w:tc>
          <w:tcPr>
            <w:tcW w:w="380" w:type="pct"/>
            <w:shd w:val="clear" w:color="auto" w:fill="auto"/>
            <w:vAlign w:val="center"/>
          </w:tcPr>
          <w:p w14:paraId="41BE8922">
            <w:pPr>
              <w:pStyle w:val="90"/>
            </w:pPr>
          </w:p>
        </w:tc>
        <w:tc>
          <w:tcPr>
            <w:tcW w:w="729" w:type="pct"/>
            <w:shd w:val="clear" w:color="auto" w:fill="auto"/>
            <w:vAlign w:val="center"/>
          </w:tcPr>
          <w:p w14:paraId="36FB51F1">
            <w:pPr>
              <w:pStyle w:val="90"/>
            </w:pPr>
          </w:p>
        </w:tc>
      </w:tr>
    </w:tbl>
    <w:p w14:paraId="4190A9B5">
      <w:pPr>
        <w:ind w:firstLine="480"/>
      </w:pPr>
      <w:bookmarkStart w:id="182" w:name="_Toc152864171"/>
      <w:r>
        <w:rPr>
          <w:rFonts w:hint="eastAsia"/>
        </w:rPr>
        <w:t>本项目水平衡见图3</w:t>
      </w:r>
      <w:r>
        <w:t>.3-1</w:t>
      </w:r>
      <w:r>
        <w:rPr>
          <w:rFonts w:hint="eastAsia"/>
        </w:rPr>
        <w:t>。</w:t>
      </w:r>
    </w:p>
    <w:p w14:paraId="7A6485A3">
      <w:pPr>
        <w:adjustRightInd w:val="0"/>
        <w:snapToGrid w:val="0"/>
        <w:spacing w:line="240" w:lineRule="auto"/>
        <w:ind w:firstLine="0" w:firstLineChars="0"/>
        <w:jc w:val="center"/>
      </w:pPr>
      <w:r>
        <w:drawing>
          <wp:inline distT="0" distB="0" distL="114300" distR="114300">
            <wp:extent cx="5543550" cy="2019300"/>
            <wp:effectExtent l="0" t="0" r="0" b="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43"/>
                    <a:stretch>
                      <a:fillRect/>
                    </a:stretch>
                  </pic:blipFill>
                  <pic:spPr>
                    <a:xfrm>
                      <a:off x="0" y="0"/>
                      <a:ext cx="5543550" cy="2019300"/>
                    </a:xfrm>
                    <a:prstGeom prst="rect">
                      <a:avLst/>
                    </a:prstGeom>
                    <a:noFill/>
                    <a:ln>
                      <a:noFill/>
                    </a:ln>
                  </pic:spPr>
                </pic:pic>
              </a:graphicData>
            </a:graphic>
          </wp:inline>
        </w:drawing>
      </w:r>
    </w:p>
    <w:p w14:paraId="6C12A966">
      <w:pPr>
        <w:pStyle w:val="49"/>
        <w:spacing w:before="97" w:beforeLines="30" w:after="0" w:afterLines="0"/>
        <w:rPr>
          <w:rFonts w:eastAsia="宋体"/>
          <w:lang w:val="en-US"/>
        </w:rPr>
      </w:pPr>
      <w:r>
        <w:rPr>
          <w:rFonts w:hint="eastAsia"/>
          <w:lang w:val="en-US"/>
        </w:rPr>
        <w:t>图3.3-1   水平衡图（单位：m</w:t>
      </w:r>
      <w:r>
        <w:rPr>
          <w:rFonts w:hint="eastAsia"/>
          <w:vertAlign w:val="superscript"/>
          <w:lang w:val="en-US"/>
        </w:rPr>
        <w:t>3</w:t>
      </w:r>
      <w:r>
        <w:rPr>
          <w:rFonts w:hint="eastAsia"/>
          <w:lang w:val="en-US"/>
        </w:rPr>
        <w:t>/a）</w:t>
      </w:r>
    </w:p>
    <w:p w14:paraId="064D1245">
      <w:pPr>
        <w:pStyle w:val="41"/>
      </w:pPr>
      <w:r>
        <w:rPr>
          <w:rFonts w:hint="eastAsia"/>
        </w:rPr>
        <w:t>污染源强核算</w:t>
      </w:r>
      <w:bookmarkEnd w:id="182"/>
    </w:p>
    <w:p w14:paraId="4C87AAC1">
      <w:pPr>
        <w:ind w:firstLine="480"/>
        <w:rPr>
          <w:lang w:val="zh-CN"/>
        </w:rPr>
      </w:pPr>
      <w:r>
        <w:rPr>
          <w:rFonts w:hint="eastAsia"/>
        </w:rPr>
        <w:t>本项目分两期建设，考虑到一期产品作为二期原料，因此，本次项目污染物源强核算一期和二期合并计算。</w:t>
      </w:r>
    </w:p>
    <w:p w14:paraId="7D51678A">
      <w:pPr>
        <w:pStyle w:val="43"/>
      </w:pPr>
      <w:bookmarkStart w:id="183" w:name="_Toc79515447"/>
      <w:bookmarkStart w:id="184" w:name="_Toc77007776"/>
      <w:bookmarkStart w:id="185" w:name="_Toc80193076"/>
      <w:bookmarkStart w:id="186" w:name="_Toc82518755"/>
      <w:bookmarkStart w:id="187" w:name="_Toc81214070"/>
      <w:bookmarkStart w:id="188" w:name="_Toc80973502"/>
      <w:bookmarkStart w:id="189" w:name="_Toc152864172"/>
      <w:r>
        <w:rPr>
          <w:rFonts w:hint="eastAsia"/>
        </w:rPr>
        <w:t>废气污染物</w:t>
      </w:r>
      <w:bookmarkEnd w:id="183"/>
      <w:bookmarkEnd w:id="184"/>
      <w:bookmarkEnd w:id="185"/>
      <w:bookmarkEnd w:id="186"/>
      <w:bookmarkEnd w:id="187"/>
      <w:bookmarkEnd w:id="188"/>
      <w:bookmarkEnd w:id="189"/>
    </w:p>
    <w:p w14:paraId="57C914FF">
      <w:pPr>
        <w:ind w:firstLine="480"/>
      </w:pPr>
      <w:r>
        <w:rPr>
          <w:rFonts w:hint="eastAsia"/>
        </w:rPr>
        <w:t>本项目运营过程废气产生</w:t>
      </w:r>
      <w:r>
        <w:t>主要包括</w:t>
      </w:r>
      <w:r>
        <w:rPr>
          <w:rFonts w:hint="eastAsia"/>
        </w:rPr>
        <w:t>生产车间设备与管线组件密封点泄漏挥发性有机物废气、挥发性有机液体储罐排放的挥发性有机物和罐区装卸过程挥发性有机物；同时，本项目设置天然气导热油炉1座，运行过程产生导热油炉烟气。</w:t>
      </w:r>
    </w:p>
    <w:p w14:paraId="5C36A592">
      <w:pPr>
        <w:ind w:firstLine="480"/>
      </w:pPr>
      <w:r>
        <w:rPr>
          <w:rFonts w:hint="eastAsia"/>
        </w:rPr>
        <w:t>本项目按照《关于印发&lt;石化行业VOCs污染源排查工作指南&gt;及&lt;石化企业泄漏检测与修复工作指南&gt;的通知》（环办〔2015〕104号）对污染物进行核算，同时参考《排污许可证申请与核发技术规范 石化工业》（HJ853-2017）中的“5</w:t>
      </w:r>
      <w:r>
        <w:t>.2.3</w:t>
      </w:r>
      <w:r>
        <w:rPr>
          <w:rFonts w:hint="eastAsia"/>
        </w:rPr>
        <w:t>许可排放量”章节核算方法，具体如下：</w:t>
      </w:r>
    </w:p>
    <w:p w14:paraId="722AB825">
      <w:pPr>
        <w:pStyle w:val="45"/>
        <w:spacing w:before="65" w:after="65"/>
      </w:pPr>
      <w:r>
        <w:rPr>
          <w:rFonts w:hint="eastAsia"/>
        </w:rPr>
        <w:t>生产车间</w:t>
      </w:r>
    </w:p>
    <w:p w14:paraId="14D3A852">
      <w:pPr>
        <w:ind w:firstLine="48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连接件挥发性有机物</w:t>
      </w:r>
    </w:p>
    <w:p w14:paraId="79F6D656">
      <w:pPr>
        <w:ind w:firstLine="480"/>
      </w:pPr>
      <w:r>
        <w:rPr>
          <w:rFonts w:hint="eastAsia"/>
        </w:rPr>
        <w:t>本项目生产车间包括润滑油、润滑脂生产车间，生产车间废气主要是设备与管线组件密封点泄漏的挥发性有机物废气，按照如下公式进行计算：</w:t>
      </w:r>
    </w:p>
    <w:p w14:paraId="112EEA54">
      <w:pPr>
        <w:spacing w:after="163" w:afterLines="50"/>
        <w:ind w:firstLine="0" w:firstLineChars="0"/>
        <w:jc w:val="center"/>
      </w:pPr>
      <w:r>
        <w:drawing>
          <wp:inline distT="0" distB="0" distL="114300" distR="114300">
            <wp:extent cx="2990850" cy="590550"/>
            <wp:effectExtent l="0" t="0" r="0" b="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44"/>
                    <a:stretch>
                      <a:fillRect/>
                    </a:stretch>
                  </pic:blipFill>
                  <pic:spPr>
                    <a:xfrm>
                      <a:off x="0" y="0"/>
                      <a:ext cx="2990850" cy="590550"/>
                    </a:xfrm>
                    <a:prstGeom prst="rect">
                      <a:avLst/>
                    </a:prstGeom>
                    <a:noFill/>
                    <a:ln>
                      <a:noFill/>
                    </a:ln>
                  </pic:spPr>
                </pic:pic>
              </a:graphicData>
            </a:graphic>
          </wp:inline>
        </w:drawing>
      </w:r>
    </w:p>
    <w:p w14:paraId="6E0BF4AA">
      <w:pPr>
        <w:adjustRightInd w:val="0"/>
        <w:snapToGrid w:val="0"/>
        <w:ind w:firstLine="480"/>
        <w:rPr>
          <w:rFonts w:cs="宋体"/>
          <w:szCs w:val="24"/>
        </w:rPr>
      </w:pPr>
      <w:r>
        <w:rPr>
          <w:rFonts w:hint="eastAsia" w:cs="宋体"/>
          <w:szCs w:val="24"/>
        </w:rPr>
        <w:t>式中：E</w:t>
      </w:r>
      <w:r>
        <w:rPr>
          <w:rFonts w:hint="eastAsia" w:cs="宋体"/>
          <w:szCs w:val="24"/>
          <w:vertAlign w:val="subscript"/>
        </w:rPr>
        <w:t>设备</w:t>
      </w:r>
      <w:r>
        <w:rPr>
          <w:rFonts w:hint="eastAsia" w:cs="宋体"/>
          <w:szCs w:val="24"/>
        </w:rPr>
        <w:t>——设备与管线组件密封点泄漏的挥发性有机物年许可排放量，kg</w:t>
      </w:r>
      <w:r>
        <w:rPr>
          <w:rFonts w:cs="宋体"/>
          <w:szCs w:val="24"/>
        </w:rPr>
        <w:t>/a</w:t>
      </w:r>
      <w:r>
        <w:rPr>
          <w:rFonts w:hint="eastAsia" w:cs="宋体"/>
          <w:szCs w:val="24"/>
        </w:rPr>
        <w:t>；</w:t>
      </w:r>
    </w:p>
    <w:p w14:paraId="1EF3334D">
      <w:pPr>
        <w:adjustRightInd w:val="0"/>
        <w:snapToGrid w:val="0"/>
        <w:ind w:firstLine="480"/>
        <w:rPr>
          <w:rFonts w:cs="宋体"/>
          <w:szCs w:val="24"/>
        </w:rPr>
      </w:pPr>
      <w:r>
        <w:rPr>
          <w:rFonts w:hint="eastAsia" w:cs="宋体"/>
          <w:szCs w:val="24"/>
        </w:rPr>
        <w:t xml:space="preserve"> </w:t>
      </w:r>
      <w:r>
        <w:rPr>
          <w:rFonts w:cs="宋体"/>
          <w:szCs w:val="24"/>
        </w:rPr>
        <w:t xml:space="preserve">     </w:t>
      </w:r>
      <w:r>
        <w:rPr>
          <w:rFonts w:hint="eastAsia" w:cs="宋体"/>
          <w:szCs w:val="24"/>
        </w:rPr>
        <w:t>t</w:t>
      </w:r>
      <w:r>
        <w:rPr>
          <w:rFonts w:hint="eastAsia" w:cs="宋体"/>
          <w:szCs w:val="24"/>
          <w:vertAlign w:val="subscript"/>
        </w:rPr>
        <w:t>i</w:t>
      </w:r>
      <w:r>
        <w:rPr>
          <w:rFonts w:hint="eastAsia" w:cs="宋体"/>
          <w:szCs w:val="24"/>
        </w:rPr>
        <w:t>——密封点i的年运行时间，h</w:t>
      </w:r>
      <w:r>
        <w:rPr>
          <w:rFonts w:cs="宋体"/>
          <w:szCs w:val="24"/>
        </w:rPr>
        <w:t>/a</w:t>
      </w:r>
      <w:r>
        <w:rPr>
          <w:rFonts w:hint="eastAsia" w:cs="宋体"/>
          <w:szCs w:val="24"/>
        </w:rPr>
        <w:t>，本项目取值</w:t>
      </w:r>
      <w:r>
        <w:rPr>
          <w:rFonts w:cs="宋体"/>
          <w:szCs w:val="24"/>
        </w:rPr>
        <w:t>7200</w:t>
      </w:r>
      <w:r>
        <w:rPr>
          <w:rFonts w:hint="eastAsia" w:cs="宋体"/>
          <w:szCs w:val="24"/>
        </w:rPr>
        <w:t>；</w:t>
      </w:r>
    </w:p>
    <w:p w14:paraId="69E66323">
      <w:pPr>
        <w:adjustRightInd w:val="0"/>
        <w:snapToGrid w:val="0"/>
        <w:ind w:firstLine="480"/>
        <w:rPr>
          <w:rFonts w:cs="宋体"/>
          <w:szCs w:val="24"/>
        </w:rPr>
      </w:pPr>
      <w:r>
        <w:rPr>
          <w:rFonts w:hint="eastAsia" w:cs="宋体"/>
          <w:szCs w:val="24"/>
        </w:rPr>
        <w:t xml:space="preserve"> </w:t>
      </w:r>
      <w:r>
        <w:rPr>
          <w:rFonts w:cs="宋体"/>
          <w:szCs w:val="24"/>
        </w:rPr>
        <w:t xml:space="preserve">     </w:t>
      </w:r>
      <w:r>
        <w:rPr>
          <w:rFonts w:hint="eastAsia" w:cs="宋体"/>
          <w:szCs w:val="24"/>
        </w:rPr>
        <w:t>e</w:t>
      </w:r>
      <w:r>
        <w:rPr>
          <w:rFonts w:hint="eastAsia" w:cs="宋体"/>
          <w:szCs w:val="24"/>
          <w:vertAlign w:val="subscript"/>
        </w:rPr>
        <w:t>TOC，i</w:t>
      </w:r>
      <w:r>
        <w:rPr>
          <w:rFonts w:hint="eastAsia" w:cs="宋体"/>
          <w:szCs w:val="24"/>
        </w:rPr>
        <w:t>——密封点i的总有机碳（TOC）排放速率，kg</w:t>
      </w:r>
      <w:r>
        <w:rPr>
          <w:rFonts w:cs="宋体"/>
          <w:szCs w:val="24"/>
        </w:rPr>
        <w:t>/</w:t>
      </w:r>
      <w:r>
        <w:rPr>
          <w:rFonts w:hint="eastAsia" w:cs="宋体"/>
          <w:szCs w:val="24"/>
        </w:rPr>
        <w:t>h，见表</w:t>
      </w:r>
      <w:r>
        <w:rPr>
          <w:rFonts w:cs="宋体"/>
          <w:szCs w:val="24"/>
        </w:rPr>
        <w:t>3.4-1</w:t>
      </w:r>
      <w:r>
        <w:rPr>
          <w:rFonts w:hint="eastAsia" w:cs="宋体"/>
          <w:szCs w:val="24"/>
        </w:rPr>
        <w:t>；</w:t>
      </w:r>
    </w:p>
    <w:p w14:paraId="619CDF40">
      <w:pPr>
        <w:adjustRightInd w:val="0"/>
        <w:snapToGrid w:val="0"/>
        <w:ind w:firstLine="480"/>
        <w:rPr>
          <w:rFonts w:cs="宋体"/>
          <w:szCs w:val="24"/>
        </w:rPr>
      </w:pPr>
      <w:r>
        <w:rPr>
          <w:rFonts w:hint="eastAsia" w:cs="宋体"/>
          <w:szCs w:val="24"/>
        </w:rPr>
        <w:t xml:space="preserve"> </w:t>
      </w:r>
      <w:r>
        <w:rPr>
          <w:rFonts w:cs="宋体"/>
          <w:szCs w:val="24"/>
        </w:rPr>
        <w:t xml:space="preserve">     </w:t>
      </w:r>
      <w:r>
        <w:rPr>
          <w:rFonts w:hint="eastAsia" w:cs="宋体"/>
          <w:szCs w:val="24"/>
        </w:rPr>
        <w:t>WF</w:t>
      </w:r>
      <w:r>
        <w:rPr>
          <w:rFonts w:hint="eastAsia" w:cs="宋体"/>
          <w:szCs w:val="24"/>
          <w:vertAlign w:val="subscript"/>
        </w:rPr>
        <w:t>VOCs，i</w:t>
      </w:r>
      <w:r>
        <w:rPr>
          <w:rFonts w:hint="eastAsia" w:cs="宋体"/>
          <w:szCs w:val="24"/>
        </w:rPr>
        <w:t>——流经密封点i的物料中挥发性有机物平均质量分数，根据设计文件取值，本项目管线中流经的物料主要是润滑油、润滑脂，质量分数在1</w:t>
      </w:r>
      <w:r>
        <w:rPr>
          <w:rFonts w:cs="宋体"/>
          <w:szCs w:val="24"/>
        </w:rPr>
        <w:t>00</w:t>
      </w:r>
      <w:r>
        <w:rPr>
          <w:rFonts w:hint="eastAsia" w:cs="宋体"/>
          <w:szCs w:val="24"/>
        </w:rPr>
        <w:t>～9</w:t>
      </w:r>
      <w:r>
        <w:rPr>
          <w:rFonts w:cs="宋体"/>
          <w:szCs w:val="24"/>
        </w:rPr>
        <w:t>00</w:t>
      </w:r>
      <w:r>
        <w:rPr>
          <w:rFonts w:hint="eastAsia" w:cs="宋体"/>
          <w:szCs w:val="24"/>
        </w:rPr>
        <w:t>之间，本次按照最不利计算，取值9</w:t>
      </w:r>
      <w:r>
        <w:rPr>
          <w:rFonts w:cs="宋体"/>
          <w:szCs w:val="24"/>
        </w:rPr>
        <w:t>00</w:t>
      </w:r>
      <w:r>
        <w:rPr>
          <w:rFonts w:hint="eastAsia" w:cs="宋体"/>
          <w:szCs w:val="24"/>
        </w:rPr>
        <w:t>；</w:t>
      </w:r>
    </w:p>
    <w:p w14:paraId="405C9DED">
      <w:pPr>
        <w:adjustRightInd w:val="0"/>
        <w:snapToGrid w:val="0"/>
        <w:ind w:firstLine="480"/>
        <w:rPr>
          <w:rFonts w:cs="宋体"/>
          <w:szCs w:val="24"/>
        </w:rPr>
      </w:pPr>
      <w:r>
        <w:rPr>
          <w:rFonts w:hint="eastAsia" w:cs="宋体"/>
          <w:szCs w:val="24"/>
        </w:rPr>
        <w:t xml:space="preserve"> </w:t>
      </w:r>
      <w:r>
        <w:rPr>
          <w:rFonts w:cs="宋体"/>
          <w:szCs w:val="24"/>
        </w:rPr>
        <w:t xml:space="preserve">     </w:t>
      </w:r>
      <w:r>
        <w:rPr>
          <w:rFonts w:hint="eastAsia" w:cs="宋体"/>
          <w:szCs w:val="24"/>
        </w:rPr>
        <w:t>WF</w:t>
      </w:r>
      <w:r>
        <w:rPr>
          <w:rFonts w:hint="eastAsia" w:cs="宋体"/>
          <w:szCs w:val="24"/>
          <w:vertAlign w:val="subscript"/>
        </w:rPr>
        <w:t>TOC，i</w:t>
      </w:r>
      <w:r>
        <w:rPr>
          <w:rFonts w:hint="eastAsia" w:cs="宋体"/>
          <w:szCs w:val="24"/>
        </w:rPr>
        <w:t>——流经密封点i的物料中总有机碳（TOC）平均质量分数，根据设计文件取值，总有机碳的平均质量分数为</w:t>
      </w:r>
      <w:r>
        <w:rPr>
          <w:rFonts w:cs="宋体"/>
          <w:szCs w:val="24"/>
        </w:rPr>
        <w:t>900</w:t>
      </w:r>
      <w:r>
        <w:rPr>
          <w:rFonts w:hint="eastAsia" w:cs="宋体"/>
          <w:szCs w:val="24"/>
        </w:rPr>
        <w:t>；</w:t>
      </w:r>
    </w:p>
    <w:p w14:paraId="016A5734">
      <w:pPr>
        <w:ind w:firstLine="480"/>
      </w:pPr>
      <w:r>
        <w:rPr>
          <w:rFonts w:hint="eastAsia" w:cs="宋体"/>
          <w:szCs w:val="24"/>
        </w:rPr>
        <w:t xml:space="preserve"> </w:t>
      </w:r>
      <w:r>
        <w:rPr>
          <w:rFonts w:cs="宋体"/>
          <w:szCs w:val="24"/>
        </w:rPr>
        <w:t xml:space="preserve">     </w:t>
      </w:r>
      <w:r>
        <w:rPr>
          <w:rFonts w:hint="eastAsia" w:cs="宋体"/>
          <w:szCs w:val="24"/>
        </w:rPr>
        <w:t>n——挥发性有机物流经的设备与管线组件密封点数，按照附录B中的表B</w:t>
      </w:r>
      <w:r>
        <w:rPr>
          <w:rFonts w:cs="宋体"/>
          <w:szCs w:val="24"/>
        </w:rPr>
        <w:t>.1</w:t>
      </w:r>
      <w:r>
        <w:rPr>
          <w:rFonts w:hint="eastAsia" w:cs="宋体"/>
          <w:szCs w:val="24"/>
        </w:rPr>
        <w:t>的实际填报，具体见表3</w:t>
      </w:r>
      <w:r>
        <w:rPr>
          <w:rFonts w:cs="宋体"/>
          <w:szCs w:val="24"/>
        </w:rPr>
        <w:t>.4-2</w:t>
      </w:r>
      <w:r>
        <w:rPr>
          <w:rFonts w:hint="eastAsia" w:cs="宋体"/>
          <w:szCs w:val="24"/>
        </w:rPr>
        <w:t>。</w:t>
      </w:r>
    </w:p>
    <w:p w14:paraId="5066B55B">
      <w:pPr>
        <w:pStyle w:val="47"/>
        <w:spacing w:before="65"/>
        <w:rPr>
          <w:lang w:val="en-US"/>
        </w:rPr>
      </w:pPr>
      <w:r>
        <w:rPr>
          <w:rFonts w:hint="eastAsia"/>
        </w:rPr>
        <w:t>表3</w:t>
      </w:r>
      <w:r>
        <w:t xml:space="preserve">.4-1   </w:t>
      </w:r>
      <w:r>
        <w:rPr>
          <w:rFonts w:hint="eastAsia"/>
        </w:rPr>
        <w:t>设备与管线组件eTOC，i取值参数表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10"/>
        <w:gridCol w:w="2911"/>
        <w:gridCol w:w="2909"/>
      </w:tblGrid>
      <w:tr w14:paraId="5E340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525B0666">
            <w:pPr>
              <w:pStyle w:val="90"/>
            </w:pPr>
            <w:r>
              <w:rPr>
                <w:rFonts w:hint="eastAsia"/>
              </w:rPr>
              <w:t>类型</w:t>
            </w:r>
          </w:p>
        </w:tc>
        <w:tc>
          <w:tcPr>
            <w:tcW w:w="1667" w:type="pct"/>
            <w:shd w:val="clear" w:color="auto" w:fill="auto"/>
            <w:vAlign w:val="center"/>
          </w:tcPr>
          <w:p w14:paraId="6872CE03">
            <w:pPr>
              <w:pStyle w:val="90"/>
            </w:pPr>
            <w:r>
              <w:rPr>
                <w:rFonts w:hint="eastAsia"/>
              </w:rPr>
              <w:t>设备类型</w:t>
            </w:r>
          </w:p>
        </w:tc>
        <w:tc>
          <w:tcPr>
            <w:tcW w:w="1667" w:type="pct"/>
            <w:shd w:val="clear" w:color="auto" w:fill="auto"/>
            <w:vAlign w:val="center"/>
          </w:tcPr>
          <w:p w14:paraId="1AA91C01">
            <w:pPr>
              <w:pStyle w:val="90"/>
            </w:pPr>
            <w:r>
              <w:rPr>
                <w:rFonts w:hint="eastAsia"/>
              </w:rPr>
              <w:t>排放速率e</w:t>
            </w:r>
            <w:r>
              <w:rPr>
                <w:rFonts w:hint="eastAsia"/>
                <w:vertAlign w:val="subscript"/>
              </w:rPr>
              <w:t>TOC，i</w:t>
            </w:r>
            <w:r>
              <w:t>/</w:t>
            </w:r>
            <w:r>
              <w:rPr>
                <w:rFonts w:hint="eastAsia"/>
              </w:rPr>
              <w:t>（kg</w:t>
            </w:r>
            <w:r>
              <w:t>/h</w:t>
            </w:r>
            <w:r>
              <w:rPr>
                <w:rFonts w:hint="eastAsia"/>
              </w:rPr>
              <w:t>排放源）</w:t>
            </w:r>
          </w:p>
        </w:tc>
      </w:tr>
      <w:tr w14:paraId="40D53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vMerge w:val="restart"/>
            <w:shd w:val="clear" w:color="auto" w:fill="auto"/>
            <w:vAlign w:val="center"/>
          </w:tcPr>
          <w:p w14:paraId="074F71C7">
            <w:pPr>
              <w:pStyle w:val="90"/>
            </w:pPr>
            <w:r>
              <w:rPr>
                <w:rFonts w:hint="eastAsia"/>
              </w:rPr>
              <w:t>石油化学工业</w:t>
            </w:r>
          </w:p>
        </w:tc>
        <w:tc>
          <w:tcPr>
            <w:tcW w:w="1667" w:type="pct"/>
            <w:shd w:val="clear" w:color="auto" w:fill="auto"/>
            <w:vAlign w:val="center"/>
          </w:tcPr>
          <w:p w14:paraId="43EFD280">
            <w:pPr>
              <w:pStyle w:val="90"/>
            </w:pPr>
            <w:r>
              <w:rPr>
                <w:rFonts w:hint="eastAsia"/>
              </w:rPr>
              <w:t>气体阀门</w:t>
            </w:r>
          </w:p>
        </w:tc>
        <w:tc>
          <w:tcPr>
            <w:tcW w:w="1667" w:type="pct"/>
            <w:shd w:val="clear" w:color="auto" w:fill="auto"/>
            <w:vAlign w:val="center"/>
          </w:tcPr>
          <w:p w14:paraId="7374870C">
            <w:pPr>
              <w:pStyle w:val="90"/>
            </w:pPr>
            <w:r>
              <w:rPr>
                <w:rFonts w:hint="eastAsia"/>
              </w:rPr>
              <w:t>0</w:t>
            </w:r>
            <w:r>
              <w:t>.024</w:t>
            </w:r>
          </w:p>
        </w:tc>
      </w:tr>
      <w:tr w14:paraId="62E8C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vMerge w:val="continue"/>
            <w:shd w:val="clear" w:color="auto" w:fill="auto"/>
            <w:vAlign w:val="center"/>
          </w:tcPr>
          <w:p w14:paraId="4E9B92A8">
            <w:pPr>
              <w:pStyle w:val="90"/>
            </w:pPr>
          </w:p>
        </w:tc>
        <w:tc>
          <w:tcPr>
            <w:tcW w:w="1667" w:type="pct"/>
            <w:shd w:val="clear" w:color="auto" w:fill="auto"/>
            <w:vAlign w:val="center"/>
          </w:tcPr>
          <w:p w14:paraId="62F286FB">
            <w:pPr>
              <w:pStyle w:val="90"/>
            </w:pPr>
            <w:r>
              <w:rPr>
                <w:rFonts w:hint="eastAsia"/>
              </w:rPr>
              <w:t>开口阀或开口管线</w:t>
            </w:r>
          </w:p>
        </w:tc>
        <w:tc>
          <w:tcPr>
            <w:tcW w:w="1667" w:type="pct"/>
            <w:shd w:val="clear" w:color="auto" w:fill="auto"/>
            <w:vAlign w:val="center"/>
          </w:tcPr>
          <w:p w14:paraId="6B10083E">
            <w:pPr>
              <w:pStyle w:val="90"/>
            </w:pPr>
            <w:r>
              <w:rPr>
                <w:rFonts w:hint="eastAsia"/>
              </w:rPr>
              <w:t>0</w:t>
            </w:r>
            <w:r>
              <w:t>.03</w:t>
            </w:r>
          </w:p>
        </w:tc>
      </w:tr>
      <w:tr w14:paraId="3A326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vMerge w:val="continue"/>
            <w:shd w:val="clear" w:color="auto" w:fill="auto"/>
            <w:vAlign w:val="center"/>
          </w:tcPr>
          <w:p w14:paraId="6A2E5E93">
            <w:pPr>
              <w:pStyle w:val="90"/>
            </w:pPr>
          </w:p>
        </w:tc>
        <w:tc>
          <w:tcPr>
            <w:tcW w:w="1667" w:type="pct"/>
            <w:shd w:val="clear" w:color="auto" w:fill="auto"/>
            <w:vAlign w:val="center"/>
          </w:tcPr>
          <w:p w14:paraId="4498C844">
            <w:pPr>
              <w:pStyle w:val="90"/>
            </w:pPr>
            <w:r>
              <w:rPr>
                <w:rFonts w:hint="eastAsia"/>
              </w:rPr>
              <w:t>有机液体阀门</w:t>
            </w:r>
          </w:p>
        </w:tc>
        <w:tc>
          <w:tcPr>
            <w:tcW w:w="1667" w:type="pct"/>
            <w:shd w:val="clear" w:color="auto" w:fill="auto"/>
            <w:vAlign w:val="center"/>
          </w:tcPr>
          <w:p w14:paraId="4E630B06">
            <w:pPr>
              <w:pStyle w:val="90"/>
            </w:pPr>
            <w:r>
              <w:rPr>
                <w:rFonts w:hint="eastAsia"/>
              </w:rPr>
              <w:t>0</w:t>
            </w:r>
            <w:r>
              <w:t>.036</w:t>
            </w:r>
          </w:p>
        </w:tc>
      </w:tr>
      <w:tr w14:paraId="495C2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vMerge w:val="continue"/>
            <w:shd w:val="clear" w:color="auto" w:fill="auto"/>
            <w:vAlign w:val="center"/>
          </w:tcPr>
          <w:p w14:paraId="767323FC">
            <w:pPr>
              <w:pStyle w:val="90"/>
            </w:pPr>
          </w:p>
        </w:tc>
        <w:tc>
          <w:tcPr>
            <w:tcW w:w="1667" w:type="pct"/>
            <w:shd w:val="clear" w:color="auto" w:fill="auto"/>
            <w:vAlign w:val="center"/>
          </w:tcPr>
          <w:p w14:paraId="153B1751">
            <w:pPr>
              <w:pStyle w:val="90"/>
            </w:pPr>
            <w:r>
              <w:rPr>
                <w:rFonts w:hint="eastAsia"/>
              </w:rPr>
              <w:t>法兰或连接件</w:t>
            </w:r>
          </w:p>
        </w:tc>
        <w:tc>
          <w:tcPr>
            <w:tcW w:w="1667" w:type="pct"/>
            <w:shd w:val="clear" w:color="auto" w:fill="auto"/>
            <w:vAlign w:val="center"/>
          </w:tcPr>
          <w:p w14:paraId="163958AC">
            <w:pPr>
              <w:pStyle w:val="90"/>
            </w:pPr>
            <w:r>
              <w:rPr>
                <w:rFonts w:hint="eastAsia"/>
              </w:rPr>
              <w:t>0</w:t>
            </w:r>
            <w:r>
              <w:t>.044</w:t>
            </w:r>
          </w:p>
        </w:tc>
      </w:tr>
      <w:tr w14:paraId="0A736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vMerge w:val="continue"/>
            <w:shd w:val="clear" w:color="auto" w:fill="auto"/>
            <w:vAlign w:val="center"/>
          </w:tcPr>
          <w:p w14:paraId="5769FBC2">
            <w:pPr>
              <w:pStyle w:val="90"/>
            </w:pPr>
          </w:p>
        </w:tc>
        <w:tc>
          <w:tcPr>
            <w:tcW w:w="1667" w:type="pct"/>
            <w:shd w:val="clear" w:color="auto" w:fill="auto"/>
            <w:vAlign w:val="center"/>
          </w:tcPr>
          <w:p w14:paraId="69D66FB5">
            <w:pPr>
              <w:pStyle w:val="90"/>
            </w:pPr>
            <w:r>
              <w:rPr>
                <w:rFonts w:hint="eastAsia"/>
              </w:rPr>
              <w:t>泵、压缩机、搅拌器、泄压设备</w:t>
            </w:r>
          </w:p>
        </w:tc>
        <w:tc>
          <w:tcPr>
            <w:tcW w:w="1667" w:type="pct"/>
            <w:shd w:val="clear" w:color="auto" w:fill="auto"/>
            <w:vAlign w:val="center"/>
          </w:tcPr>
          <w:p w14:paraId="39F94A0C">
            <w:pPr>
              <w:pStyle w:val="90"/>
            </w:pPr>
            <w:r>
              <w:rPr>
                <w:rFonts w:hint="eastAsia"/>
              </w:rPr>
              <w:t>0</w:t>
            </w:r>
            <w:r>
              <w:t>.14</w:t>
            </w:r>
          </w:p>
        </w:tc>
      </w:tr>
      <w:tr w14:paraId="2B2FD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vMerge w:val="continue"/>
            <w:shd w:val="clear" w:color="auto" w:fill="auto"/>
            <w:vAlign w:val="center"/>
          </w:tcPr>
          <w:p w14:paraId="0A72D4E8">
            <w:pPr>
              <w:pStyle w:val="90"/>
            </w:pPr>
          </w:p>
        </w:tc>
        <w:tc>
          <w:tcPr>
            <w:tcW w:w="1667" w:type="pct"/>
            <w:shd w:val="clear" w:color="auto" w:fill="auto"/>
            <w:vAlign w:val="center"/>
          </w:tcPr>
          <w:p w14:paraId="7641A5F7">
            <w:pPr>
              <w:pStyle w:val="90"/>
            </w:pPr>
            <w:r>
              <w:rPr>
                <w:rFonts w:hint="eastAsia"/>
              </w:rPr>
              <w:t>其他</w:t>
            </w:r>
          </w:p>
        </w:tc>
        <w:tc>
          <w:tcPr>
            <w:tcW w:w="1667" w:type="pct"/>
            <w:shd w:val="clear" w:color="auto" w:fill="auto"/>
            <w:vAlign w:val="center"/>
          </w:tcPr>
          <w:p w14:paraId="0A9CE008">
            <w:pPr>
              <w:pStyle w:val="90"/>
            </w:pPr>
            <w:r>
              <w:rPr>
                <w:rFonts w:hint="eastAsia"/>
              </w:rPr>
              <w:t>0</w:t>
            </w:r>
            <w:r>
              <w:t>.073</w:t>
            </w:r>
          </w:p>
        </w:tc>
      </w:tr>
    </w:tbl>
    <w:p w14:paraId="612B7DC3">
      <w:pPr>
        <w:pStyle w:val="47"/>
        <w:spacing w:before="65"/>
      </w:pPr>
      <w:r>
        <w:rPr>
          <w:rFonts w:hint="eastAsia"/>
        </w:rPr>
        <w:t>表3</w:t>
      </w:r>
      <w:r>
        <w:t xml:space="preserve">.4-2   </w:t>
      </w:r>
      <w:r>
        <w:rPr>
          <w:rFonts w:hint="eastAsia"/>
        </w:rPr>
        <w:t>本项目设备与管线组件密封点数量统计表</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10"/>
        <w:gridCol w:w="2911"/>
        <w:gridCol w:w="2909"/>
      </w:tblGrid>
      <w:tr w14:paraId="6FA2EA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334" w:type="pct"/>
            <w:gridSpan w:val="2"/>
            <w:tcBorders>
              <w:top w:val="single" w:color="auto" w:sz="12" w:space="0"/>
            </w:tcBorders>
            <w:shd w:val="clear" w:color="auto" w:fill="auto"/>
            <w:vAlign w:val="center"/>
          </w:tcPr>
          <w:p w14:paraId="62DA47BE">
            <w:pPr>
              <w:pStyle w:val="90"/>
            </w:pPr>
            <w:r>
              <w:rPr>
                <w:rFonts w:hint="eastAsia"/>
              </w:rPr>
              <w:t>装置名称</w:t>
            </w:r>
          </w:p>
        </w:tc>
        <w:tc>
          <w:tcPr>
            <w:tcW w:w="1666" w:type="pct"/>
            <w:tcBorders>
              <w:top w:val="single" w:color="auto" w:sz="12" w:space="0"/>
            </w:tcBorders>
            <w:shd w:val="clear" w:color="auto" w:fill="auto"/>
            <w:vAlign w:val="center"/>
          </w:tcPr>
          <w:p w14:paraId="4A4EDF12">
            <w:pPr>
              <w:pStyle w:val="90"/>
            </w:pPr>
            <w:r>
              <w:rPr>
                <w:rFonts w:hint="eastAsia"/>
              </w:rPr>
              <w:t>装置编号：</w:t>
            </w:r>
          </w:p>
        </w:tc>
      </w:tr>
      <w:tr w14:paraId="154333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22E7F588">
            <w:pPr>
              <w:pStyle w:val="90"/>
            </w:pPr>
            <w:r>
              <w:rPr>
                <w:rFonts w:hint="eastAsia"/>
              </w:rPr>
              <w:t>密封点类型</w:t>
            </w:r>
          </w:p>
        </w:tc>
        <w:tc>
          <w:tcPr>
            <w:tcW w:w="1667" w:type="pct"/>
            <w:shd w:val="clear" w:color="auto" w:fill="auto"/>
            <w:vAlign w:val="center"/>
          </w:tcPr>
          <w:p w14:paraId="1C134D94">
            <w:pPr>
              <w:pStyle w:val="90"/>
            </w:pPr>
            <w:r>
              <w:rPr>
                <w:rFonts w:hint="eastAsia"/>
              </w:rPr>
              <w:t>介质状态</w:t>
            </w:r>
          </w:p>
        </w:tc>
        <w:tc>
          <w:tcPr>
            <w:tcW w:w="1666" w:type="pct"/>
            <w:shd w:val="clear" w:color="auto" w:fill="auto"/>
            <w:vAlign w:val="center"/>
          </w:tcPr>
          <w:p w14:paraId="3537C9B6">
            <w:pPr>
              <w:pStyle w:val="90"/>
            </w:pPr>
            <w:r>
              <w:rPr>
                <w:rFonts w:hint="eastAsia"/>
              </w:rPr>
              <w:t>数量（个）</w:t>
            </w:r>
          </w:p>
        </w:tc>
      </w:tr>
      <w:tr w14:paraId="78F975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772FFF08">
            <w:pPr>
              <w:pStyle w:val="90"/>
            </w:pPr>
            <w:r>
              <w:rPr>
                <w:rFonts w:hint="eastAsia"/>
              </w:rPr>
              <w:t>开口阀或开口管线</w:t>
            </w:r>
          </w:p>
        </w:tc>
        <w:tc>
          <w:tcPr>
            <w:tcW w:w="1667" w:type="pct"/>
            <w:shd w:val="clear" w:color="auto" w:fill="auto"/>
            <w:vAlign w:val="center"/>
          </w:tcPr>
          <w:p w14:paraId="283D14AC">
            <w:pPr>
              <w:pStyle w:val="90"/>
            </w:pPr>
            <w:r>
              <w:rPr>
                <w:rFonts w:hint="eastAsia"/>
              </w:rPr>
              <w:t>液态</w:t>
            </w:r>
          </w:p>
        </w:tc>
        <w:tc>
          <w:tcPr>
            <w:tcW w:w="2909" w:type="dxa"/>
            <w:shd w:val="clear" w:color="auto" w:fill="auto"/>
            <w:vAlign w:val="center"/>
          </w:tcPr>
          <w:p w14:paraId="3AF4DE59">
            <w:pPr>
              <w:pStyle w:val="90"/>
              <w:ind w:firstLine="0" w:firstLineChars="0"/>
            </w:pPr>
            <w:r>
              <w:rPr>
                <w:rFonts w:hint="default"/>
                <w:lang w:val="en-US"/>
              </w:rPr>
              <w:t>6</w:t>
            </w:r>
          </w:p>
        </w:tc>
      </w:tr>
      <w:tr w14:paraId="5A068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0BA8B38B">
            <w:pPr>
              <w:pStyle w:val="90"/>
            </w:pPr>
            <w:r>
              <w:rPr>
                <w:rFonts w:hint="eastAsia"/>
              </w:rPr>
              <w:t>有机液体阀门</w:t>
            </w:r>
          </w:p>
        </w:tc>
        <w:tc>
          <w:tcPr>
            <w:tcW w:w="1667" w:type="pct"/>
            <w:shd w:val="clear" w:color="auto" w:fill="auto"/>
            <w:vAlign w:val="center"/>
          </w:tcPr>
          <w:p w14:paraId="70E2D988">
            <w:pPr>
              <w:pStyle w:val="90"/>
            </w:pPr>
            <w:r>
              <w:rPr>
                <w:rFonts w:hint="eastAsia"/>
              </w:rPr>
              <w:t>液态</w:t>
            </w:r>
          </w:p>
        </w:tc>
        <w:tc>
          <w:tcPr>
            <w:tcW w:w="2909" w:type="dxa"/>
            <w:shd w:val="clear" w:color="auto" w:fill="auto"/>
            <w:vAlign w:val="center"/>
          </w:tcPr>
          <w:p w14:paraId="4B8252E0">
            <w:pPr>
              <w:pStyle w:val="90"/>
              <w:ind w:firstLine="0" w:firstLineChars="0"/>
              <w:rPr>
                <w:rFonts w:hint="default" w:eastAsia="宋体"/>
                <w:lang w:val="en-US" w:eastAsia="zh-CN"/>
              </w:rPr>
            </w:pPr>
            <w:r>
              <w:rPr>
                <w:rFonts w:hint="eastAsia"/>
                <w:lang w:val="en-US" w:eastAsia="zh-CN"/>
              </w:rPr>
              <w:t>354</w:t>
            </w:r>
          </w:p>
        </w:tc>
      </w:tr>
      <w:tr w14:paraId="0C968D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0234471B">
            <w:pPr>
              <w:pStyle w:val="90"/>
            </w:pPr>
            <w:r>
              <w:rPr>
                <w:rFonts w:hint="eastAsia"/>
              </w:rPr>
              <w:t>法兰或连接件</w:t>
            </w:r>
          </w:p>
        </w:tc>
        <w:tc>
          <w:tcPr>
            <w:tcW w:w="1667" w:type="pct"/>
            <w:shd w:val="clear" w:color="auto" w:fill="auto"/>
            <w:vAlign w:val="center"/>
          </w:tcPr>
          <w:p w14:paraId="0D9E4975">
            <w:pPr>
              <w:pStyle w:val="90"/>
            </w:pPr>
            <w:r>
              <w:rPr>
                <w:rFonts w:hint="eastAsia"/>
              </w:rPr>
              <w:t>液态</w:t>
            </w:r>
          </w:p>
        </w:tc>
        <w:tc>
          <w:tcPr>
            <w:tcW w:w="2909" w:type="dxa"/>
            <w:shd w:val="clear" w:color="auto" w:fill="auto"/>
            <w:vAlign w:val="center"/>
          </w:tcPr>
          <w:p w14:paraId="23041168">
            <w:pPr>
              <w:pStyle w:val="90"/>
              <w:ind w:firstLine="0" w:firstLineChars="0"/>
              <w:rPr>
                <w:rFonts w:hint="default" w:eastAsia="宋体"/>
                <w:lang w:val="en-US" w:eastAsia="zh-CN"/>
              </w:rPr>
            </w:pPr>
            <w:r>
              <w:rPr>
                <w:rFonts w:hint="eastAsia"/>
                <w:lang w:val="en-US" w:eastAsia="zh-CN"/>
              </w:rPr>
              <w:t>1103</w:t>
            </w:r>
          </w:p>
        </w:tc>
      </w:tr>
      <w:tr w14:paraId="15AA8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6A22AF0F">
            <w:pPr>
              <w:pStyle w:val="90"/>
            </w:pPr>
            <w:r>
              <w:rPr>
                <w:rFonts w:hint="eastAsia"/>
              </w:rPr>
              <w:t>泵、压缩机、搅拌器、泄压设备</w:t>
            </w:r>
          </w:p>
        </w:tc>
        <w:tc>
          <w:tcPr>
            <w:tcW w:w="1667" w:type="pct"/>
            <w:shd w:val="clear" w:color="auto" w:fill="auto"/>
            <w:vAlign w:val="center"/>
          </w:tcPr>
          <w:p w14:paraId="7E8B6466">
            <w:pPr>
              <w:pStyle w:val="90"/>
            </w:pPr>
            <w:r>
              <w:rPr>
                <w:rFonts w:hint="eastAsia"/>
              </w:rPr>
              <w:t>液态</w:t>
            </w:r>
          </w:p>
        </w:tc>
        <w:tc>
          <w:tcPr>
            <w:tcW w:w="2909" w:type="dxa"/>
            <w:shd w:val="clear" w:color="auto" w:fill="auto"/>
            <w:vAlign w:val="center"/>
          </w:tcPr>
          <w:p w14:paraId="1D68E3A2">
            <w:pPr>
              <w:pStyle w:val="90"/>
              <w:ind w:firstLine="0" w:firstLineChars="0"/>
            </w:pPr>
            <w:r>
              <w:rPr>
                <w:rFonts w:hint="default"/>
                <w:lang w:val="en-US"/>
              </w:rPr>
              <w:t>37</w:t>
            </w:r>
          </w:p>
        </w:tc>
      </w:tr>
      <w:tr w14:paraId="3F10C8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7" w:type="pct"/>
            <w:shd w:val="clear" w:color="auto" w:fill="auto"/>
            <w:vAlign w:val="center"/>
          </w:tcPr>
          <w:p w14:paraId="0EEC471B">
            <w:pPr>
              <w:pStyle w:val="90"/>
            </w:pPr>
            <w:r>
              <w:rPr>
                <w:rFonts w:hint="eastAsia"/>
              </w:rPr>
              <w:t>其他</w:t>
            </w:r>
          </w:p>
        </w:tc>
        <w:tc>
          <w:tcPr>
            <w:tcW w:w="1667" w:type="pct"/>
            <w:shd w:val="clear" w:color="auto" w:fill="auto"/>
            <w:vAlign w:val="center"/>
          </w:tcPr>
          <w:p w14:paraId="43DEBD00">
            <w:pPr>
              <w:pStyle w:val="90"/>
            </w:pPr>
            <w:r>
              <w:rPr>
                <w:rFonts w:hint="eastAsia"/>
              </w:rPr>
              <w:t>/</w:t>
            </w:r>
          </w:p>
        </w:tc>
        <w:tc>
          <w:tcPr>
            <w:tcW w:w="1666" w:type="pct"/>
            <w:shd w:val="clear" w:color="auto" w:fill="auto"/>
            <w:vAlign w:val="center"/>
          </w:tcPr>
          <w:p w14:paraId="182A0779">
            <w:pPr>
              <w:pStyle w:val="90"/>
            </w:pPr>
            <w:r>
              <w:rPr>
                <w:rFonts w:hint="eastAsia"/>
              </w:rPr>
              <w:t>/</w:t>
            </w:r>
          </w:p>
        </w:tc>
      </w:tr>
      <w:tr w14:paraId="1BC58F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3334" w:type="pct"/>
            <w:gridSpan w:val="2"/>
            <w:tcBorders>
              <w:bottom w:val="single" w:color="auto" w:sz="12" w:space="0"/>
            </w:tcBorders>
            <w:shd w:val="clear" w:color="auto" w:fill="auto"/>
            <w:vAlign w:val="center"/>
          </w:tcPr>
          <w:p w14:paraId="4DDD9EB4">
            <w:pPr>
              <w:pStyle w:val="90"/>
            </w:pPr>
            <w:r>
              <w:rPr>
                <w:rFonts w:hint="eastAsia"/>
              </w:rPr>
              <w:t>合计</w:t>
            </w:r>
          </w:p>
        </w:tc>
        <w:tc>
          <w:tcPr>
            <w:tcW w:w="1666" w:type="pct"/>
            <w:tcBorders>
              <w:bottom w:val="single" w:color="auto" w:sz="12" w:space="0"/>
            </w:tcBorders>
            <w:shd w:val="clear" w:color="auto" w:fill="auto"/>
            <w:vAlign w:val="center"/>
          </w:tcPr>
          <w:p w14:paraId="558AB63F">
            <w:pPr>
              <w:pStyle w:val="90"/>
              <w:rPr>
                <w:rFonts w:hint="default" w:eastAsia="宋体"/>
                <w:lang w:val="en-US" w:eastAsia="zh-CN"/>
              </w:rPr>
            </w:pPr>
            <w:r>
              <w:rPr>
                <w:rFonts w:hint="eastAsia"/>
                <w:lang w:val="en-US" w:eastAsia="zh-CN"/>
              </w:rPr>
              <w:t>1500</w:t>
            </w:r>
          </w:p>
        </w:tc>
      </w:tr>
    </w:tbl>
    <w:p w14:paraId="414E2FAB">
      <w:pPr>
        <w:ind w:firstLine="480"/>
        <w:rPr>
          <w:rFonts w:hint="eastAsia" w:cs="宋体"/>
          <w:szCs w:val="24"/>
        </w:rPr>
      </w:pPr>
      <w:r>
        <w:rPr>
          <w:rFonts w:hint="eastAsia" w:cs="宋体"/>
          <w:szCs w:val="24"/>
        </w:rPr>
        <w:t>则根据上述公式计算可知，本项目设备与管线组件密封点泄漏的挥发性有机物无组织年排放量为</w:t>
      </w:r>
      <w:r>
        <w:rPr>
          <w:rFonts w:hint="eastAsia" w:cs="宋体"/>
          <w:szCs w:val="24"/>
          <w:lang w:val="en-US" w:eastAsia="zh-CN"/>
        </w:rPr>
        <w:t>1439.34</w:t>
      </w:r>
      <w:r>
        <w:rPr>
          <w:rFonts w:hint="eastAsia" w:cs="宋体"/>
          <w:szCs w:val="24"/>
        </w:rPr>
        <w:t>kg，即</w:t>
      </w:r>
      <w:r>
        <w:rPr>
          <w:rFonts w:hint="eastAsia" w:cs="宋体"/>
          <w:szCs w:val="24"/>
          <w:lang w:val="en-US" w:eastAsia="zh-CN"/>
        </w:rPr>
        <w:t>1.44</w:t>
      </w:r>
      <w:r>
        <w:rPr>
          <w:rFonts w:hint="eastAsia" w:cs="宋体"/>
          <w:szCs w:val="24"/>
        </w:rPr>
        <w:t>t</w:t>
      </w:r>
      <w:r>
        <w:rPr>
          <w:rFonts w:cs="宋体"/>
          <w:szCs w:val="24"/>
        </w:rPr>
        <w:t>/a</w:t>
      </w:r>
      <w:r>
        <w:rPr>
          <w:rFonts w:hint="eastAsia" w:cs="宋体"/>
          <w:szCs w:val="24"/>
        </w:rPr>
        <w:t>。</w:t>
      </w:r>
    </w:p>
    <w:p w14:paraId="4AEB41EB">
      <w:pPr>
        <w:ind w:firstLine="480"/>
        <w:rPr>
          <w:rFonts w:hint="default" w:cs="宋体"/>
          <w:szCs w:val="24"/>
          <w:lang w:val="en-US" w:eastAsia="zh-CN"/>
        </w:rPr>
      </w:pPr>
      <w:r>
        <w:rPr>
          <w:rFonts w:hint="eastAsia" w:cs="宋体"/>
          <w:szCs w:val="24"/>
          <w:lang w:eastAsia="zh-CN"/>
        </w:rPr>
        <w:t>（</w:t>
      </w:r>
      <w:r>
        <w:rPr>
          <w:rFonts w:hint="eastAsia" w:cs="宋体"/>
          <w:szCs w:val="24"/>
          <w:lang w:val="en-US" w:eastAsia="zh-CN"/>
        </w:rPr>
        <w:t>2</w:t>
      </w:r>
      <w:r>
        <w:rPr>
          <w:rFonts w:hint="eastAsia" w:cs="宋体"/>
          <w:szCs w:val="24"/>
          <w:lang w:eastAsia="zh-CN"/>
        </w:rPr>
        <w:t>）</w:t>
      </w:r>
      <w:r>
        <w:rPr>
          <w:rFonts w:hint="eastAsia" w:cs="宋体"/>
          <w:szCs w:val="24"/>
          <w:lang w:val="en-US" w:eastAsia="zh-CN"/>
        </w:rPr>
        <w:t>洗油沉淀罐酸性废气</w:t>
      </w:r>
    </w:p>
    <w:p w14:paraId="7FB681BB">
      <w:pPr>
        <w:ind w:firstLine="480"/>
        <w:rPr>
          <w:rFonts w:hint="default" w:cs="宋体"/>
          <w:szCs w:val="24"/>
          <w:lang w:val="en-US" w:eastAsia="zh-CN"/>
        </w:rPr>
      </w:pPr>
      <w:r>
        <w:rPr>
          <w:rFonts w:hint="eastAsia" w:cs="宋体"/>
          <w:szCs w:val="24"/>
          <w:lang w:val="en-US" w:eastAsia="zh-CN"/>
        </w:rPr>
        <w:t>本项目在沥青脱出工段，通过高位硫酸槽向洗油沉淀罐中加入98%浓硫酸，并搅拌，该过程会产生酸性废气，主要污染物为硫酸雾，在洗油沉淀罐罐顶设置收集管道，100%收集后送碱洗喷淋+活性炭吸附装置处理后通过15m排气筒排放。</w:t>
      </w:r>
    </w:p>
    <w:p w14:paraId="6FEA06B7">
      <w:pPr>
        <w:ind w:firstLine="480"/>
      </w:pPr>
      <w:r>
        <w:rPr>
          <w:rFonts w:hint="eastAsia"/>
        </w:rPr>
        <w:t>酸雾产生量可按下式计算：</w:t>
      </w:r>
    </w:p>
    <w:p w14:paraId="139BC5C3">
      <w:pPr>
        <w:spacing w:line="240" w:lineRule="auto"/>
        <w:ind w:firstLine="0" w:firstLineChars="0"/>
        <w:jc w:val="center"/>
        <w:rPr>
          <w:rFonts w:hint="eastAsia"/>
        </w:rPr>
      </w:pPr>
      <w:r>
        <w:rPr>
          <w:rFonts w:hint="default" w:ascii="Times New Roman" w:hAnsi="Times New Roman" w:cs="Times New Roman"/>
          <w:position w:val="-12"/>
        </w:rPr>
        <w:object>
          <v:shape id="_x0000_i1025" o:spt="75" type="#_x0000_t75" style="height:19pt;width:282pt;" o:ole="t" filled="f" o:preferrelative="t" stroked="f" coordsize="21600,21600">
            <v:path/>
            <v:fill on="f" alignshape="1" focussize="0,0"/>
            <v:stroke on="f"/>
            <v:imagedata r:id="rId46" o:title=""/>
            <o:lock v:ext="edit" aspectratio="t"/>
            <w10:wrap type="none"/>
            <w10:anchorlock/>
          </v:shape>
          <o:OLEObject Type="Embed" ProgID="Equation.3" ShapeID="_x0000_i1025" DrawAspect="Content" ObjectID="_1468075725" r:id="rId45">
            <o:LockedField>false</o:LockedField>
          </o:OLEObject>
        </w:object>
      </w:r>
    </w:p>
    <w:p w14:paraId="2AE97E98">
      <w:pPr>
        <w:ind w:firstLine="480"/>
      </w:pPr>
      <w:r>
        <w:rPr>
          <w:rFonts w:hint="eastAsia"/>
        </w:rPr>
        <w:t>式中：G</w:t>
      </w:r>
      <w:r>
        <w:rPr>
          <w:rFonts w:hint="eastAsia"/>
          <w:vertAlign w:val="subscript"/>
        </w:rPr>
        <w:t>Z</w:t>
      </w:r>
      <w:r>
        <w:rPr>
          <w:rFonts w:hint="eastAsia"/>
        </w:rPr>
        <w:t>——酸雾排放速率（kg</w:t>
      </w:r>
      <w:r>
        <w:t>/</w:t>
      </w:r>
      <w:r>
        <w:rPr>
          <w:rFonts w:hint="eastAsia"/>
        </w:rPr>
        <w:t>h）；</w:t>
      </w:r>
    </w:p>
    <w:p w14:paraId="550614FE">
      <w:pPr>
        <w:ind w:firstLine="480"/>
      </w:pPr>
      <w:r>
        <w:rPr>
          <w:rFonts w:hint="eastAsia"/>
        </w:rPr>
        <w:t xml:space="preserve"> </w:t>
      </w:r>
      <w:r>
        <w:t xml:space="preserve">     </w:t>
      </w:r>
      <w:r>
        <w:rPr>
          <w:rFonts w:hint="eastAsia"/>
        </w:rPr>
        <w:t>M——液体分子量，硫酸为9</w:t>
      </w:r>
      <w:r>
        <w:t>8</w:t>
      </w:r>
      <w:r>
        <w:rPr>
          <w:rFonts w:hint="eastAsia"/>
        </w:rPr>
        <w:t>；</w:t>
      </w:r>
    </w:p>
    <w:p w14:paraId="4CFB0623">
      <w:pPr>
        <w:ind w:firstLine="480"/>
      </w:pPr>
      <w:r>
        <w:rPr>
          <w:rFonts w:hint="eastAsia"/>
        </w:rPr>
        <w:t xml:space="preserve"> </w:t>
      </w:r>
      <w:r>
        <w:t xml:space="preserve">     </w:t>
      </w:r>
      <w:r>
        <w:rPr>
          <w:rFonts w:hint="eastAsia"/>
        </w:rPr>
        <w:t>U——蒸发液面表面上的空气流速（m/</w:t>
      </w:r>
      <w:r>
        <w:t>s</w:t>
      </w:r>
      <w:r>
        <w:rPr>
          <w:rFonts w:hint="eastAsia"/>
        </w:rPr>
        <w:t>），应以实测数据为准。无条件实测时，可取0</w:t>
      </w:r>
      <w:r>
        <w:t>.2</w:t>
      </w:r>
      <w:r>
        <w:rPr>
          <w:rFonts w:hint="eastAsia"/>
        </w:rPr>
        <w:t>～0</w:t>
      </w:r>
      <w:r>
        <w:t>.5</w:t>
      </w:r>
      <w:r>
        <w:rPr>
          <w:rFonts w:hint="eastAsia"/>
        </w:rPr>
        <w:t>m</w:t>
      </w:r>
      <w:r>
        <w:t>/s</w:t>
      </w:r>
      <w:r>
        <w:rPr>
          <w:rFonts w:hint="eastAsia"/>
        </w:rPr>
        <w:t>或者查表计算；U取值0</w:t>
      </w:r>
      <w:r>
        <w:t>.5</w:t>
      </w:r>
      <w:r>
        <w:rPr>
          <w:rFonts w:hint="eastAsia"/>
        </w:rPr>
        <w:t>m</w:t>
      </w:r>
      <w:r>
        <w:t>/s</w:t>
      </w:r>
      <w:r>
        <w:rPr>
          <w:rFonts w:hint="eastAsia"/>
        </w:rPr>
        <w:t>；</w:t>
      </w:r>
    </w:p>
    <w:p w14:paraId="77559915">
      <w:pPr>
        <w:ind w:firstLine="480"/>
      </w:pPr>
      <w:r>
        <w:rPr>
          <w:rFonts w:hint="eastAsia"/>
        </w:rPr>
        <w:t xml:space="preserve"> </w:t>
      </w:r>
      <w:r>
        <w:t xml:space="preserve">     </w:t>
      </w:r>
      <w:r>
        <w:rPr>
          <w:rFonts w:hint="eastAsia"/>
        </w:rPr>
        <w:t>P——相应于液体温度下空气中的饱和蒸汽分压力，（mmHg）；</w:t>
      </w:r>
      <w:r>
        <w:rPr>
          <w:rFonts w:hint="eastAsia"/>
          <w:lang w:val="en-US" w:eastAsia="zh-CN"/>
        </w:rPr>
        <w:t>洗油沉淀</w:t>
      </w:r>
      <w:r>
        <w:rPr>
          <w:rFonts w:hint="eastAsia"/>
        </w:rPr>
        <w:t>工段为5</w:t>
      </w:r>
      <w:r>
        <w:t>9</w:t>
      </w:r>
      <w:r>
        <w:rPr>
          <w:rFonts w:hint="eastAsia"/>
        </w:rPr>
        <w:t>mmHg；</w:t>
      </w:r>
    </w:p>
    <w:p w14:paraId="55ED62C4">
      <w:pPr>
        <w:ind w:firstLine="480"/>
      </w:pPr>
      <w:r>
        <w:rPr>
          <w:rFonts w:hint="eastAsia"/>
        </w:rPr>
        <w:t xml:space="preserve"> </w:t>
      </w:r>
      <w:r>
        <w:t xml:space="preserve">     </w:t>
      </w:r>
      <w:r>
        <w:rPr>
          <w:rFonts w:hint="eastAsia"/>
        </w:rPr>
        <w:t>F——蒸发面的面积，m</w:t>
      </w:r>
      <w:r>
        <w:rPr>
          <w:vertAlign w:val="superscript"/>
        </w:rPr>
        <w:t>2</w:t>
      </w:r>
      <w:r>
        <w:rPr>
          <w:rFonts w:hint="eastAsia"/>
        </w:rPr>
        <w:t>；本项目采取圆形</w:t>
      </w:r>
      <w:r>
        <w:rPr>
          <w:rFonts w:hint="eastAsia"/>
          <w:lang w:val="en-US" w:eastAsia="zh-CN"/>
        </w:rPr>
        <w:t>沉淀</w:t>
      </w:r>
      <w:r>
        <w:rPr>
          <w:rFonts w:hint="eastAsia"/>
        </w:rPr>
        <w:t>罐，蒸发面的面积为</w:t>
      </w:r>
      <w:r>
        <w:rPr>
          <w:rFonts w:hint="eastAsia"/>
          <w:lang w:val="en-US" w:eastAsia="zh-CN"/>
        </w:rPr>
        <w:t>11.94</w:t>
      </w:r>
      <w:r>
        <w:rPr>
          <w:rFonts w:hint="eastAsia"/>
        </w:rPr>
        <w:t>m</w:t>
      </w:r>
      <w:r>
        <w:rPr>
          <w:vertAlign w:val="superscript"/>
        </w:rPr>
        <w:t>2</w:t>
      </w:r>
      <w:r>
        <w:rPr>
          <w:rFonts w:hint="eastAsia"/>
        </w:rPr>
        <w:t>；</w:t>
      </w:r>
    </w:p>
    <w:p w14:paraId="3ACF63D3">
      <w:pPr>
        <w:ind w:firstLine="480"/>
      </w:pPr>
      <w:r>
        <w:rPr>
          <w:rFonts w:hint="eastAsia"/>
        </w:rPr>
        <w:t xml:space="preserve"> </w:t>
      </w:r>
      <w:r>
        <w:t xml:space="preserve">     </w:t>
      </w:r>
      <w:r>
        <w:rPr>
          <w:rFonts w:hint="eastAsia"/>
        </w:rPr>
        <w:t>V</w:t>
      </w:r>
      <w:r>
        <w:rPr>
          <w:rFonts w:hint="eastAsia"/>
          <w:vertAlign w:val="subscript"/>
        </w:rPr>
        <w:t>水</w:t>
      </w:r>
      <w:r>
        <w:rPr>
          <w:rFonts w:hint="eastAsia"/>
        </w:rPr>
        <w:t>——单位面积水蒸气蒸发速率，硫酸蒸发表面温度8</w:t>
      </w:r>
      <w:r>
        <w:t>0</w:t>
      </w:r>
      <w:r>
        <w:rPr>
          <w:rFonts w:hint="eastAsia"/>
        </w:rPr>
        <w:t>～9</w:t>
      </w:r>
      <w:r>
        <w:t>0</w:t>
      </w:r>
      <w:r>
        <w:rPr>
          <w:rFonts w:hint="eastAsia"/>
        </w:rPr>
        <w:t>℃时为4</w:t>
      </w:r>
      <w:r>
        <w:t>.2</w:t>
      </w:r>
      <w:r>
        <w:rPr>
          <w:rFonts w:hint="eastAsia"/>
        </w:rPr>
        <w:t>L</w:t>
      </w:r>
      <w:r>
        <w:t>/</w:t>
      </w:r>
      <w:r>
        <w:rPr>
          <w:rFonts w:hint="eastAsia"/>
        </w:rPr>
        <w:t>m</w:t>
      </w:r>
      <w:r>
        <w:rPr>
          <w:vertAlign w:val="superscript"/>
        </w:rPr>
        <w:t>2</w:t>
      </w:r>
      <w:r>
        <w:rPr>
          <w:rFonts w:hint="eastAsia"/>
        </w:rPr>
        <w:t>·h。</w:t>
      </w:r>
    </w:p>
    <w:p w14:paraId="2FB75C08">
      <w:pPr>
        <w:ind w:firstLine="480"/>
      </w:pPr>
      <w:r>
        <w:rPr>
          <w:rFonts w:hint="eastAsia"/>
        </w:rPr>
        <w:t>计算结果：</w:t>
      </w:r>
    </w:p>
    <w:p w14:paraId="2202FAEB">
      <w:pPr>
        <w:ind w:firstLine="480"/>
      </w:pPr>
      <w:r>
        <w:rPr>
          <w:rFonts w:hint="eastAsia"/>
        </w:rPr>
        <w:t>G</w:t>
      </w:r>
      <w:r>
        <w:rPr>
          <w:rFonts w:hint="eastAsia"/>
          <w:vertAlign w:val="subscript"/>
        </w:rPr>
        <w:t>Z</w:t>
      </w:r>
      <w:r>
        <w:rPr>
          <w:rFonts w:hint="eastAsia"/>
        </w:rPr>
        <w:t>（H</w:t>
      </w:r>
      <w:r>
        <w:rPr>
          <w:vertAlign w:val="subscript"/>
        </w:rPr>
        <w:t>2</w:t>
      </w:r>
      <w:r>
        <w:rPr>
          <w:rFonts w:hint="eastAsia"/>
        </w:rPr>
        <w:t>SO</w:t>
      </w:r>
      <w:r>
        <w:rPr>
          <w:vertAlign w:val="subscript"/>
        </w:rPr>
        <w:t>4</w:t>
      </w:r>
      <w:r>
        <w:rPr>
          <w:rFonts w:hint="eastAsia"/>
        </w:rPr>
        <w:t>）=</w:t>
      </w:r>
      <w:r>
        <w:t>98</w:t>
      </w:r>
      <w:r>
        <w:rPr>
          <w:rFonts w:hint="eastAsia"/>
        </w:rPr>
        <w:t>×（0</w:t>
      </w:r>
      <w:r>
        <w:t>.000352+0.000786</w:t>
      </w:r>
      <w:r>
        <w:rPr>
          <w:rFonts w:hint="eastAsia"/>
        </w:rPr>
        <w:t>×0</w:t>
      </w:r>
      <w:r>
        <w:t>.5</w:t>
      </w:r>
      <w:r>
        <w:rPr>
          <w:rFonts w:hint="eastAsia"/>
        </w:rPr>
        <w:t>）×5</w:t>
      </w:r>
      <w:r>
        <w:t>9</w:t>
      </w:r>
      <w:r>
        <w:rPr>
          <w:rFonts w:hint="eastAsia"/>
        </w:rPr>
        <w:t>×</w:t>
      </w:r>
      <w:r>
        <w:rPr>
          <w:rFonts w:hint="eastAsia"/>
          <w:lang w:val="en-US" w:eastAsia="zh-CN"/>
        </w:rPr>
        <w:t>11.94</w:t>
      </w:r>
      <w:r>
        <w:t>-</w:t>
      </w:r>
      <w:r>
        <w:rPr>
          <w:rFonts w:hint="eastAsia"/>
          <w:lang w:val="en-US" w:eastAsia="zh-CN"/>
        </w:rPr>
        <w:t>4.2</w:t>
      </w:r>
      <w:r>
        <w:rPr>
          <w:rFonts w:hint="eastAsia"/>
        </w:rPr>
        <w:t>×</w:t>
      </w:r>
      <w:r>
        <w:rPr>
          <w:rFonts w:hint="eastAsia"/>
          <w:lang w:val="en-US" w:eastAsia="zh-CN"/>
        </w:rPr>
        <w:t>11.94</w:t>
      </w:r>
      <w:r>
        <w:rPr>
          <w:rFonts w:hint="eastAsia"/>
        </w:rPr>
        <w:t>＝</w:t>
      </w:r>
      <w:r>
        <w:rPr>
          <w:rFonts w:hint="eastAsia"/>
          <w:lang w:val="en-US" w:eastAsia="zh-CN"/>
        </w:rPr>
        <w:t>1.285</w:t>
      </w:r>
      <w:r>
        <w:rPr>
          <w:rFonts w:hint="eastAsia"/>
        </w:rPr>
        <w:t>kg</w:t>
      </w:r>
      <w:r>
        <w:t>/h</w:t>
      </w:r>
      <w:r>
        <w:rPr>
          <w:rFonts w:hint="eastAsia"/>
        </w:rPr>
        <w:t>。</w:t>
      </w:r>
    </w:p>
    <w:p w14:paraId="735F68CC">
      <w:pPr>
        <w:ind w:firstLine="480"/>
        <w:rPr>
          <w:rFonts w:hint="eastAsia" w:cs="宋体"/>
          <w:szCs w:val="24"/>
          <w:lang w:eastAsia="zh-CN"/>
        </w:rPr>
      </w:pPr>
      <w:r>
        <w:rPr>
          <w:rFonts w:hint="eastAsia"/>
        </w:rPr>
        <w:t>本项目</w:t>
      </w:r>
      <w:r>
        <w:rPr>
          <w:rFonts w:hint="eastAsia"/>
          <w:lang w:val="en-US" w:eastAsia="zh-CN"/>
        </w:rPr>
        <w:t>年运行7200h，则硫酸雾产生量为9249.3kg/a（9.25t/a），经碱洗喷淋+活性炭吸附装置处理后经15m排气筒（DA003）排放，类比其他企业，碱洗喷淋对酸性废气的去除率可达99%，风机风量为70000Nm</w:t>
      </w:r>
      <w:r>
        <w:rPr>
          <w:rFonts w:hint="eastAsia"/>
          <w:vertAlign w:val="superscript"/>
          <w:lang w:val="en-US" w:eastAsia="zh-CN"/>
        </w:rPr>
        <w:t>3</w:t>
      </w:r>
      <w:r>
        <w:rPr>
          <w:rFonts w:hint="eastAsia"/>
          <w:vertAlign w:val="baseline"/>
          <w:lang w:val="en-US" w:eastAsia="zh-CN"/>
        </w:rPr>
        <w:t>/h，</w:t>
      </w:r>
      <w:r>
        <w:rPr>
          <w:rFonts w:hint="eastAsia"/>
          <w:lang w:val="en-US" w:eastAsia="zh-CN"/>
        </w:rPr>
        <w:t>则本项目硫酸雾产生浓度为18.36mg/m</w:t>
      </w:r>
      <w:r>
        <w:rPr>
          <w:rFonts w:hint="eastAsia"/>
          <w:vertAlign w:val="superscript"/>
          <w:lang w:val="en-US" w:eastAsia="zh-CN"/>
        </w:rPr>
        <w:t>3</w:t>
      </w:r>
      <w:r>
        <w:rPr>
          <w:rFonts w:hint="eastAsia"/>
          <w:vertAlign w:val="baseline"/>
          <w:lang w:val="en-US" w:eastAsia="zh-CN"/>
        </w:rPr>
        <w:t>、产生速率为1.285kg/h；</w:t>
      </w:r>
      <w:r>
        <w:rPr>
          <w:rFonts w:hint="eastAsia"/>
          <w:lang w:val="en-US" w:eastAsia="zh-CN"/>
        </w:rPr>
        <w:t>排放浓度为0.18mg/m</w:t>
      </w:r>
      <w:r>
        <w:rPr>
          <w:rFonts w:hint="eastAsia"/>
          <w:vertAlign w:val="superscript"/>
          <w:lang w:val="en-US" w:eastAsia="zh-CN"/>
        </w:rPr>
        <w:t>3</w:t>
      </w:r>
      <w:r>
        <w:rPr>
          <w:rFonts w:hint="eastAsia"/>
          <w:vertAlign w:val="baseline"/>
          <w:lang w:val="en-US" w:eastAsia="zh-CN"/>
        </w:rPr>
        <w:t>、排放速率为0.013kg/h、排放量为0.093t/a</w:t>
      </w:r>
      <w:r>
        <w:rPr>
          <w:rFonts w:hint="eastAsia"/>
        </w:rPr>
        <w:t>。</w:t>
      </w:r>
    </w:p>
    <w:p w14:paraId="03F6E058">
      <w:pPr>
        <w:pStyle w:val="45"/>
        <w:spacing w:before="65" w:after="65"/>
      </w:pPr>
      <w:r>
        <w:rPr>
          <w:rFonts w:hint="eastAsia"/>
        </w:rPr>
        <w:t>罐区</w:t>
      </w:r>
    </w:p>
    <w:p w14:paraId="04A07C25">
      <w:pPr>
        <w:ind w:firstLine="480"/>
      </w:pPr>
      <w:r>
        <w:rPr>
          <w:rFonts w:hint="eastAsia"/>
        </w:rPr>
        <w:t>本项目罐区挥发性有机液体储罐排放的挥发性有机物废气和装载过程的挥发性有机废气污染物排放量核算按照如下计算公式计算：</w:t>
      </w:r>
    </w:p>
    <w:p w14:paraId="46AC8D56">
      <w:pPr>
        <w:ind w:firstLine="480"/>
      </w:pPr>
      <w:r>
        <w:rPr>
          <w:rFonts w:hint="eastAsia"/>
        </w:rPr>
        <w:t>（一）挥发性有机液体储罐</w:t>
      </w:r>
    </w:p>
    <w:p w14:paraId="45551125">
      <w:pPr>
        <w:ind w:firstLine="480"/>
      </w:pPr>
      <w:r>
        <w:rPr>
          <w:rFonts w:hint="eastAsia"/>
        </w:rPr>
        <w:t>（1）核算公式</w:t>
      </w:r>
    </w:p>
    <w:p w14:paraId="56D42D81">
      <w:pPr>
        <w:ind w:firstLine="480"/>
      </w:pPr>
      <w:r>
        <w:rPr>
          <w:rFonts w:hint="eastAsia"/>
        </w:rPr>
        <w:t>本项目共2处储罐区，分别是1</w:t>
      </w:r>
      <w:r>
        <w:t>#</w:t>
      </w:r>
      <w:r>
        <w:rPr>
          <w:rFonts w:hint="eastAsia"/>
        </w:rPr>
        <w:t>和2</w:t>
      </w:r>
      <w:r>
        <w:t>#</w:t>
      </w:r>
      <w:r>
        <w:rPr>
          <w:rFonts w:hint="eastAsia"/>
        </w:rPr>
        <w:t>，均按照《排污许可证申请与核发技术规范 石化工业》（HJ853-2017）中的“5</w:t>
      </w:r>
      <w:r>
        <w:t xml:space="preserve">.2.3.1.3 </w:t>
      </w:r>
      <w:r>
        <w:rPr>
          <w:rFonts w:hint="eastAsia"/>
        </w:rPr>
        <w:t>挥发性有机液体储罐排放的挥发性有机物年许可排放量”计算。</w:t>
      </w:r>
    </w:p>
    <w:p w14:paraId="58FE4F7B">
      <w:pPr>
        <w:ind w:firstLine="480"/>
      </w:pPr>
      <w:r>
        <w:rPr>
          <w:rFonts w:hint="eastAsia"/>
        </w:rPr>
        <w:t>本项目2储罐区的储罐均采用固定顶罐，因此，公式如下：</w:t>
      </w:r>
    </w:p>
    <w:p w14:paraId="3C8B4A7E">
      <w:pPr>
        <w:spacing w:line="240" w:lineRule="auto"/>
        <w:ind w:firstLine="0" w:firstLineChars="0"/>
        <w:jc w:val="center"/>
      </w:pPr>
      <w:r>
        <w:drawing>
          <wp:inline distT="0" distB="0" distL="114300" distR="114300">
            <wp:extent cx="2914650" cy="1476375"/>
            <wp:effectExtent l="0" t="0" r="0" b="9525"/>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47"/>
                    <a:stretch>
                      <a:fillRect/>
                    </a:stretch>
                  </pic:blipFill>
                  <pic:spPr>
                    <a:xfrm>
                      <a:off x="0" y="0"/>
                      <a:ext cx="2914650" cy="1476375"/>
                    </a:xfrm>
                    <a:prstGeom prst="rect">
                      <a:avLst/>
                    </a:prstGeom>
                    <a:noFill/>
                    <a:ln>
                      <a:noFill/>
                    </a:ln>
                  </pic:spPr>
                </pic:pic>
              </a:graphicData>
            </a:graphic>
          </wp:inline>
        </w:drawing>
      </w:r>
    </w:p>
    <w:p w14:paraId="5C98BC27">
      <w:pPr>
        <w:ind w:firstLine="480"/>
      </w:pPr>
      <w:r>
        <w:rPr>
          <w:rFonts w:hint="eastAsia"/>
        </w:rPr>
        <w:t>上述公式中符号解释具体参见《石化行业VOCs污染源排查工作指南》（环办〔2</w:t>
      </w:r>
      <w:r>
        <w:t>015</w:t>
      </w:r>
      <w:r>
        <w:rPr>
          <w:rFonts w:hint="eastAsia"/>
        </w:rPr>
        <w:t>〕1</w:t>
      </w:r>
      <w:r>
        <w:t>04</w:t>
      </w:r>
      <w:r>
        <w:rPr>
          <w:rFonts w:hint="eastAsia"/>
        </w:rPr>
        <w:t>号）文件，具体如下：</w:t>
      </w:r>
    </w:p>
    <w:p w14:paraId="648B693F">
      <w:pPr>
        <w:ind w:firstLine="480"/>
      </w:pPr>
      <w:r>
        <w:rPr>
          <w:rFonts w:hint="eastAsia"/>
        </w:rPr>
        <w:t>E</w:t>
      </w:r>
      <w:r>
        <w:rPr>
          <w:rFonts w:hint="eastAsia"/>
          <w:vertAlign w:val="subscript"/>
        </w:rPr>
        <w:t>S</w:t>
      </w:r>
      <w:r>
        <w:rPr>
          <w:rFonts w:hint="eastAsia"/>
        </w:rPr>
        <w:t>——静止储藏损失，lb</w:t>
      </w:r>
      <w:r>
        <w:t>/</w:t>
      </w:r>
      <w:r>
        <w:rPr>
          <w:rFonts w:hint="eastAsia"/>
        </w:rPr>
        <w:t>a；</w:t>
      </w:r>
    </w:p>
    <w:p w14:paraId="650B3EC5">
      <w:pPr>
        <w:ind w:firstLine="480"/>
      </w:pPr>
      <w:r>
        <w:rPr>
          <w:rFonts w:hint="eastAsia"/>
        </w:rPr>
        <w:t>D——罐径，ft；H</w:t>
      </w:r>
      <w:r>
        <w:rPr>
          <w:rFonts w:hint="eastAsia"/>
          <w:vertAlign w:val="subscript"/>
        </w:rPr>
        <w:t>VO</w:t>
      </w:r>
      <w:r>
        <w:rPr>
          <w:rFonts w:hint="eastAsia"/>
        </w:rPr>
        <w:t>——气相空间高度，ft；W</w:t>
      </w:r>
      <w:r>
        <w:rPr>
          <w:rFonts w:hint="eastAsia"/>
          <w:vertAlign w:val="subscript"/>
        </w:rPr>
        <w:t>V</w:t>
      </w:r>
      <w:r>
        <w:rPr>
          <w:rFonts w:hint="eastAsia"/>
        </w:rPr>
        <w:t>——储藏气相密度，lb</w:t>
      </w:r>
      <w:r>
        <w:t>/</w:t>
      </w:r>
      <w:r>
        <w:rPr>
          <w:rFonts w:hint="eastAsia"/>
        </w:rPr>
        <w:t>ft</w:t>
      </w:r>
      <w:r>
        <w:rPr>
          <w:vertAlign w:val="superscript"/>
        </w:rPr>
        <w:t>3</w:t>
      </w:r>
      <w:r>
        <w:rPr>
          <w:rFonts w:hint="eastAsia"/>
        </w:rPr>
        <w:t>；</w:t>
      </w:r>
    </w:p>
    <w:p w14:paraId="4BF4EBBE">
      <w:pPr>
        <w:ind w:firstLine="480"/>
      </w:pPr>
      <w:r>
        <w:rPr>
          <w:rFonts w:hint="eastAsia"/>
        </w:rPr>
        <w:t>K</w:t>
      </w:r>
      <w:r>
        <w:rPr>
          <w:rFonts w:hint="eastAsia"/>
          <w:vertAlign w:val="subscript"/>
        </w:rPr>
        <w:t>E</w:t>
      </w:r>
      <w:r>
        <w:rPr>
          <w:rFonts w:hint="eastAsia"/>
        </w:rPr>
        <w:t>——气相空间膨胀因子，无量纲量；K</w:t>
      </w:r>
      <w:r>
        <w:rPr>
          <w:rFonts w:hint="eastAsia"/>
          <w:vertAlign w:val="subscript"/>
        </w:rPr>
        <w:t>S</w:t>
      </w:r>
      <w:r>
        <w:rPr>
          <w:rFonts w:hint="eastAsia"/>
        </w:rPr>
        <w:t>——排放蒸汽饱和因子，无量纲量；</w:t>
      </w:r>
    </w:p>
    <w:p w14:paraId="20D66A62">
      <w:pPr>
        <w:ind w:firstLine="480"/>
      </w:pPr>
      <w:r>
        <w:rPr>
          <w:rFonts w:hint="eastAsia"/>
        </w:rPr>
        <w:t>E</w:t>
      </w:r>
      <w:r>
        <w:rPr>
          <w:rFonts w:hint="eastAsia"/>
          <w:vertAlign w:val="subscript"/>
        </w:rPr>
        <w:t>W</w:t>
      </w:r>
      <w:r>
        <w:rPr>
          <w:rFonts w:hint="eastAsia"/>
        </w:rPr>
        <w:t>——工作损失，lb</w:t>
      </w:r>
      <w:r>
        <w:t>/</w:t>
      </w:r>
      <w:r>
        <w:rPr>
          <w:rFonts w:hint="eastAsia"/>
        </w:rPr>
        <w:t>a；</w:t>
      </w:r>
    </w:p>
    <w:p w14:paraId="7D6CCBFF">
      <w:pPr>
        <w:ind w:firstLine="480"/>
      </w:pPr>
      <w:r>
        <w:t>M</w:t>
      </w:r>
      <w:r>
        <w:rPr>
          <w:vertAlign w:val="subscript"/>
        </w:rPr>
        <w:t>V</w:t>
      </w:r>
      <w:r>
        <w:rPr>
          <w:rFonts w:hint="eastAsia"/>
        </w:rPr>
        <w:t>——气相分子量，lb</w:t>
      </w:r>
      <w:r>
        <w:t>/</w:t>
      </w:r>
      <w:r>
        <w:rPr>
          <w:rFonts w:hint="eastAsia"/>
        </w:rPr>
        <w:t>lb</w:t>
      </w:r>
      <w:r>
        <w:t>-</w:t>
      </w:r>
      <w:r>
        <w:rPr>
          <w:rFonts w:hint="eastAsia"/>
        </w:rPr>
        <w:t>mol；P</w:t>
      </w:r>
      <w:r>
        <w:rPr>
          <w:rFonts w:hint="eastAsia"/>
          <w:vertAlign w:val="subscript"/>
        </w:rPr>
        <w:t>VA</w:t>
      </w:r>
      <w:r>
        <w:rPr>
          <w:rFonts w:hint="eastAsia"/>
        </w:rPr>
        <w:t>——真实蒸气压，psia；</w:t>
      </w:r>
    </w:p>
    <w:p w14:paraId="4F70FB43">
      <w:pPr>
        <w:ind w:firstLine="480"/>
      </w:pPr>
      <w:r>
        <w:rPr>
          <w:rFonts w:hint="eastAsia"/>
        </w:rPr>
        <w:t>Q——年周转量，bbl</w:t>
      </w:r>
      <w:r>
        <w:t>/a</w:t>
      </w:r>
      <w:r>
        <w:rPr>
          <w:rFonts w:hint="eastAsia"/>
        </w:rPr>
        <w:t>；K</w:t>
      </w:r>
      <w:r>
        <w:rPr>
          <w:rFonts w:hint="eastAsia"/>
          <w:vertAlign w:val="subscript"/>
        </w:rPr>
        <w:t>N</w:t>
      </w:r>
      <w:r>
        <w:rPr>
          <w:rFonts w:hint="eastAsia"/>
        </w:rPr>
        <w:t>——工作排放周转（饱和）因子，无量纲量；</w:t>
      </w:r>
    </w:p>
    <w:p w14:paraId="6F7FDED0">
      <w:pPr>
        <w:ind w:firstLine="480"/>
      </w:pPr>
      <w:r>
        <w:rPr>
          <w:rFonts w:hint="eastAsia"/>
        </w:rPr>
        <w:t>K</w:t>
      </w:r>
      <w:r>
        <w:rPr>
          <w:rFonts w:hint="eastAsia"/>
          <w:vertAlign w:val="subscript"/>
        </w:rPr>
        <w:t>P</w:t>
      </w:r>
      <w:r>
        <w:rPr>
          <w:rFonts w:hint="eastAsia"/>
        </w:rPr>
        <w:t>——工作损耗产品因子，无量纲量（对于原油K</w:t>
      </w:r>
      <w:r>
        <w:rPr>
          <w:rFonts w:hint="eastAsia"/>
          <w:vertAlign w:val="subscript"/>
        </w:rPr>
        <w:t>P</w:t>
      </w:r>
      <w:r>
        <w:t>=0.75</w:t>
      </w:r>
      <w:r>
        <w:rPr>
          <w:rFonts w:hint="eastAsia"/>
        </w:rPr>
        <w:t>、对于其他有机液体K</w:t>
      </w:r>
      <w:r>
        <w:rPr>
          <w:rFonts w:hint="eastAsia"/>
          <w:vertAlign w:val="subscript"/>
        </w:rPr>
        <w:t>P</w:t>
      </w:r>
      <w:r>
        <w:t>=1</w:t>
      </w:r>
      <w:r>
        <w:rPr>
          <w:rFonts w:hint="eastAsia"/>
        </w:rPr>
        <w:t>）；K</w:t>
      </w:r>
      <w:r>
        <w:rPr>
          <w:rFonts w:hint="eastAsia"/>
          <w:vertAlign w:val="subscript"/>
        </w:rPr>
        <w:t>B</w:t>
      </w:r>
      <w:r>
        <w:rPr>
          <w:rFonts w:hint="eastAsia"/>
        </w:rPr>
        <w:t>——呼吸阀工作校正因子；T</w:t>
      </w:r>
      <w:r>
        <w:rPr>
          <w:rFonts w:hint="eastAsia"/>
          <w:vertAlign w:val="subscript"/>
        </w:rPr>
        <w:t>LA</w:t>
      </w:r>
      <w:r>
        <w:rPr>
          <w:rFonts w:hint="eastAsia"/>
        </w:rPr>
        <w:t>——日平均液体表面温度，</w:t>
      </w:r>
      <w:r>
        <w:t>°</w:t>
      </w:r>
      <w:r>
        <w:rPr>
          <w:rFonts w:hint="eastAsia"/>
        </w:rPr>
        <w:t>R。</w:t>
      </w:r>
    </w:p>
    <w:p w14:paraId="7A28E0D0">
      <w:pPr>
        <w:ind w:firstLine="480"/>
      </w:pPr>
      <w:r>
        <w:rPr>
          <w:rFonts w:hint="eastAsia"/>
        </w:rPr>
        <w:t>（2）核算公式参数选择</w:t>
      </w:r>
    </w:p>
    <w:p w14:paraId="0659AB5D">
      <w:pPr>
        <w:ind w:firstLine="480"/>
      </w:pPr>
      <w:r>
        <w:rPr>
          <w:rFonts w:hint="eastAsia"/>
        </w:rPr>
        <w:t>上述计算公式中涉及的各计算参数及选取过程如下：</w:t>
      </w:r>
    </w:p>
    <w:p w14:paraId="6BF47A72">
      <w:pPr>
        <w:ind w:firstLine="482"/>
      </w:pPr>
      <w:r>
        <w:rPr>
          <w:rFonts w:hint="eastAsia" w:ascii="宋体" w:hAnsi="宋体" w:cs="宋体"/>
          <w:b/>
        </w:rPr>
        <w:t>①</w:t>
      </w:r>
      <w:r>
        <w:rPr>
          <w:rFonts w:hint="eastAsia"/>
          <w:b/>
        </w:rPr>
        <w:t>D罐径</w:t>
      </w:r>
      <w:r>
        <w:rPr>
          <w:rFonts w:hint="eastAsia"/>
        </w:rPr>
        <w:t>：根据前文“3</w:t>
      </w:r>
      <w:r>
        <w:t>.1.5</w:t>
      </w:r>
      <w:r>
        <w:rPr>
          <w:rFonts w:hint="eastAsia"/>
        </w:rPr>
        <w:t>主要设备”章节的表3</w:t>
      </w:r>
      <w:r>
        <w:t>.1-8</w:t>
      </w:r>
      <w:r>
        <w:rPr>
          <w:rFonts w:hint="eastAsia"/>
        </w:rPr>
        <w:t>和表3</w:t>
      </w:r>
      <w:r>
        <w:t>.1-9</w:t>
      </w:r>
      <w:r>
        <w:rPr>
          <w:rFonts w:hint="eastAsia"/>
        </w:rPr>
        <w:t>设备统计表中可知，本项目罐区储罐规格均为体积1</w:t>
      </w:r>
      <w:r>
        <w:t>000</w:t>
      </w:r>
      <w:r>
        <w:rPr>
          <w:rFonts w:hint="eastAsia"/>
        </w:rPr>
        <w:t>m</w:t>
      </w:r>
      <w:r>
        <w:rPr>
          <w:vertAlign w:val="superscript"/>
        </w:rPr>
        <w:t>3</w:t>
      </w:r>
      <w:r>
        <w:rPr>
          <w:rFonts w:hint="eastAsia"/>
        </w:rPr>
        <w:t>，高度H</w:t>
      </w:r>
      <w:r>
        <w:t>=10.5</w:t>
      </w:r>
      <w:r>
        <w:rPr>
          <w:rFonts w:hint="eastAsia"/>
        </w:rPr>
        <w:t>m，共计2</w:t>
      </w:r>
      <w:r>
        <w:t>9</w:t>
      </w:r>
      <w:r>
        <w:rPr>
          <w:rFonts w:hint="eastAsia"/>
        </w:rPr>
        <w:t>个，则D</w:t>
      </w:r>
      <w:r>
        <w:t>=11</w:t>
      </w:r>
      <w:r>
        <w:rPr>
          <w:rFonts w:hint="eastAsia"/>
        </w:rPr>
        <w:t>m</w:t>
      </w:r>
      <w:r>
        <w:t>=36.0892</w:t>
      </w:r>
      <w:r>
        <w:rPr>
          <w:rFonts w:hint="eastAsia"/>
        </w:rPr>
        <w:t>ft（英尺）。</w:t>
      </w:r>
    </w:p>
    <w:p w14:paraId="704B9BDB">
      <w:pPr>
        <w:ind w:firstLine="482"/>
      </w:pPr>
      <w:r>
        <w:rPr>
          <w:rFonts w:hint="eastAsia" w:ascii="宋体" w:hAnsi="宋体" w:cs="宋体"/>
          <w:b/>
        </w:rPr>
        <w:t>②</w:t>
      </w:r>
      <w:r>
        <w:rPr>
          <w:rFonts w:hint="eastAsia"/>
          <w:b/>
        </w:rPr>
        <w:t>H</w:t>
      </w:r>
      <w:r>
        <w:rPr>
          <w:rFonts w:hint="eastAsia"/>
          <w:b/>
          <w:vertAlign w:val="subscript"/>
        </w:rPr>
        <w:t>VO</w:t>
      </w:r>
      <w:r>
        <w:rPr>
          <w:rFonts w:hint="eastAsia"/>
          <w:b/>
        </w:rPr>
        <w:t>气相空间高度</w:t>
      </w:r>
      <w:r>
        <w:rPr>
          <w:rFonts w:hint="eastAsia"/>
        </w:rPr>
        <w:t>：此项参数是指管径气相空间的高度，按如下公式计算；</w:t>
      </w:r>
    </w:p>
    <w:p w14:paraId="48D04E23">
      <w:pPr>
        <w:spacing w:line="240" w:lineRule="auto"/>
        <w:ind w:firstLine="0" w:firstLineChars="0"/>
        <w:jc w:val="center"/>
      </w:pPr>
      <w:r>
        <w:drawing>
          <wp:inline distT="0" distB="0" distL="114300" distR="114300">
            <wp:extent cx="2333625" cy="390525"/>
            <wp:effectExtent l="0" t="0" r="9525" b="9525"/>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48"/>
                    <a:stretch>
                      <a:fillRect/>
                    </a:stretch>
                  </pic:blipFill>
                  <pic:spPr>
                    <a:xfrm>
                      <a:off x="0" y="0"/>
                      <a:ext cx="2333625" cy="390525"/>
                    </a:xfrm>
                    <a:prstGeom prst="rect">
                      <a:avLst/>
                    </a:prstGeom>
                    <a:noFill/>
                    <a:ln>
                      <a:noFill/>
                    </a:ln>
                  </pic:spPr>
                </pic:pic>
              </a:graphicData>
            </a:graphic>
          </wp:inline>
        </w:drawing>
      </w:r>
    </w:p>
    <w:p w14:paraId="744B5E13">
      <w:pPr>
        <w:ind w:firstLine="480"/>
      </w:pPr>
      <w:r>
        <w:rPr>
          <w:rFonts w:hint="eastAsia"/>
        </w:rPr>
        <w:t>式中：H</w:t>
      </w:r>
      <w:r>
        <w:rPr>
          <w:rFonts w:hint="eastAsia"/>
          <w:vertAlign w:val="subscript"/>
        </w:rPr>
        <w:t>S</w:t>
      </w:r>
      <w:r>
        <w:rPr>
          <w:rFonts w:hint="eastAsia"/>
        </w:rPr>
        <w:t>——罐体高度，ft，本项目为1</w:t>
      </w:r>
      <w:r>
        <w:t>0.5</w:t>
      </w:r>
      <w:r>
        <w:rPr>
          <w:rFonts w:hint="eastAsia"/>
        </w:rPr>
        <w:t>m</w:t>
      </w:r>
      <w:r>
        <w:t>=34.4488</w:t>
      </w:r>
      <w:r>
        <w:rPr>
          <w:rFonts w:hint="eastAsia"/>
        </w:rPr>
        <w:t>ft；H</w:t>
      </w:r>
      <w:r>
        <w:rPr>
          <w:rFonts w:hint="eastAsia"/>
          <w:vertAlign w:val="subscript"/>
        </w:rPr>
        <w:t>L</w:t>
      </w:r>
      <w:r>
        <w:rPr>
          <w:rFonts w:hint="eastAsia"/>
        </w:rPr>
        <w:t>——液体高度，ft，按照本项目设计要求，罐区每个储罐的最大装载量不超过罐容的8</w:t>
      </w:r>
      <w:r>
        <w:t>0%</w:t>
      </w:r>
      <w:r>
        <w:rPr>
          <w:rFonts w:hint="eastAsia"/>
        </w:rPr>
        <w:t>，推算出H</w:t>
      </w:r>
      <w:r>
        <w:rPr>
          <w:rFonts w:hint="eastAsia"/>
          <w:vertAlign w:val="subscript"/>
        </w:rPr>
        <w:t>L</w:t>
      </w:r>
      <w:r>
        <w:t>=10.5</w:t>
      </w:r>
      <w:r>
        <w:rPr>
          <w:rFonts w:hint="eastAsia"/>
        </w:rPr>
        <w:t>×8</w:t>
      </w:r>
      <w:r>
        <w:t>0%=8.4</w:t>
      </w:r>
      <w:r>
        <w:rPr>
          <w:rFonts w:hint="eastAsia"/>
        </w:rPr>
        <w:t>m</w:t>
      </w:r>
      <w:r>
        <w:t>=27.5591</w:t>
      </w:r>
      <w:r>
        <w:rPr>
          <w:rFonts w:hint="eastAsia"/>
        </w:rPr>
        <w:t>ft（英尺）；H</w:t>
      </w:r>
      <w:r>
        <w:rPr>
          <w:rFonts w:hint="eastAsia"/>
          <w:vertAlign w:val="subscript"/>
        </w:rPr>
        <w:t>RO</w:t>
      </w:r>
      <w:r>
        <w:rPr>
          <w:rFonts w:hint="eastAsia"/>
        </w:rPr>
        <w:t>——罐顶计量高度，ft，按照锥顶罐，如下公式计算：</w:t>
      </w:r>
    </w:p>
    <w:p w14:paraId="421496CD">
      <w:pPr>
        <w:adjustRightInd w:val="0"/>
        <w:snapToGrid w:val="0"/>
        <w:spacing w:line="240" w:lineRule="auto"/>
        <w:ind w:firstLine="0" w:firstLineChars="0"/>
        <w:jc w:val="center"/>
      </w:pPr>
      <w:r>
        <w:drawing>
          <wp:inline distT="0" distB="0" distL="114300" distR="114300">
            <wp:extent cx="1609725" cy="438150"/>
            <wp:effectExtent l="0" t="0" r="9525"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49"/>
                    <a:stretch>
                      <a:fillRect/>
                    </a:stretch>
                  </pic:blipFill>
                  <pic:spPr>
                    <a:xfrm>
                      <a:off x="0" y="0"/>
                      <a:ext cx="1609725" cy="438150"/>
                    </a:xfrm>
                    <a:prstGeom prst="rect">
                      <a:avLst/>
                    </a:prstGeom>
                    <a:noFill/>
                    <a:ln>
                      <a:noFill/>
                    </a:ln>
                  </pic:spPr>
                </pic:pic>
              </a:graphicData>
            </a:graphic>
          </wp:inline>
        </w:drawing>
      </w:r>
      <w:r>
        <w:t xml:space="preserve"> </w:t>
      </w:r>
      <w:r>
        <w:drawing>
          <wp:inline distT="0" distB="0" distL="114300" distR="114300">
            <wp:extent cx="1447800" cy="428625"/>
            <wp:effectExtent l="0" t="0" r="0" b="952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50"/>
                    <a:stretch>
                      <a:fillRect/>
                    </a:stretch>
                  </pic:blipFill>
                  <pic:spPr>
                    <a:xfrm>
                      <a:off x="0" y="0"/>
                      <a:ext cx="1447800" cy="428625"/>
                    </a:xfrm>
                    <a:prstGeom prst="rect">
                      <a:avLst/>
                    </a:prstGeom>
                    <a:noFill/>
                    <a:ln>
                      <a:noFill/>
                    </a:ln>
                  </pic:spPr>
                </pic:pic>
              </a:graphicData>
            </a:graphic>
          </wp:inline>
        </w:drawing>
      </w:r>
    </w:p>
    <w:p w14:paraId="485996DA">
      <w:pPr>
        <w:ind w:firstLine="480"/>
      </w:pPr>
      <w:r>
        <w:rPr>
          <w:rFonts w:hint="eastAsia"/>
        </w:rPr>
        <w:t>S</w:t>
      </w:r>
      <w:r>
        <w:rPr>
          <w:rFonts w:hint="eastAsia"/>
          <w:vertAlign w:val="subscript"/>
        </w:rPr>
        <w:t>R</w:t>
      </w:r>
      <w:r>
        <w:rPr>
          <w:rFonts w:hint="eastAsia"/>
        </w:rPr>
        <w:t>——罐锥顶斜率，ft</w:t>
      </w:r>
      <w:r>
        <w:t>/</w:t>
      </w:r>
      <w:r>
        <w:rPr>
          <w:rFonts w:hint="eastAsia"/>
        </w:rPr>
        <w:t>ft，未知，按照标准值0</w:t>
      </w:r>
      <w:r>
        <w:t>.0625</w:t>
      </w:r>
      <w:r>
        <w:rPr>
          <w:rFonts w:hint="eastAsia"/>
        </w:rPr>
        <w:t>计算；R</w:t>
      </w:r>
      <w:r>
        <w:rPr>
          <w:rFonts w:hint="eastAsia"/>
          <w:vertAlign w:val="subscript"/>
        </w:rPr>
        <w:t>S</w:t>
      </w:r>
      <w:r>
        <w:rPr>
          <w:rFonts w:hint="eastAsia"/>
        </w:rPr>
        <w:t>——罐壳半径，ft，经计算，取值为1</w:t>
      </w:r>
      <w:r>
        <w:t>8.0446</w:t>
      </w:r>
      <w:r>
        <w:rPr>
          <w:rFonts w:hint="eastAsia"/>
        </w:rPr>
        <w:t>ft，则上述H</w:t>
      </w:r>
      <w:r>
        <w:rPr>
          <w:rFonts w:hint="eastAsia"/>
          <w:vertAlign w:val="subscript"/>
        </w:rPr>
        <w:t>VO</w:t>
      </w:r>
      <w:r>
        <w:t>=34.4488-27.5591+1/3</w:t>
      </w:r>
      <w:r>
        <w:rPr>
          <w:rFonts w:hint="eastAsia"/>
        </w:rPr>
        <w:t>×0</w:t>
      </w:r>
      <w:r>
        <w:t>.0625</w:t>
      </w:r>
      <w:r>
        <w:rPr>
          <w:rFonts w:hint="eastAsia"/>
        </w:rPr>
        <w:t>×1</w:t>
      </w:r>
      <w:r>
        <w:t>8.1446=7.2677</w:t>
      </w:r>
      <w:r>
        <w:rPr>
          <w:rFonts w:hint="eastAsia"/>
        </w:rPr>
        <w:t>ft。</w:t>
      </w:r>
    </w:p>
    <w:p w14:paraId="13B6D458">
      <w:pPr>
        <w:wordWrap w:val="0"/>
        <w:ind w:firstLine="482"/>
      </w:pPr>
      <w:r>
        <w:rPr>
          <w:rFonts w:hint="eastAsia" w:ascii="宋体" w:hAnsi="宋体" w:cs="宋体"/>
          <w:b/>
        </w:rPr>
        <w:t>③</w:t>
      </w:r>
      <w:r>
        <w:rPr>
          <w:rFonts w:hint="eastAsia"/>
          <w:b/>
        </w:rPr>
        <w:t>W</w:t>
      </w:r>
      <w:r>
        <w:rPr>
          <w:rFonts w:hint="eastAsia"/>
          <w:b/>
          <w:vertAlign w:val="subscript"/>
        </w:rPr>
        <w:t>V</w:t>
      </w:r>
      <w:r>
        <w:rPr>
          <w:rFonts w:hint="eastAsia"/>
          <w:b/>
        </w:rPr>
        <w:t>储藏气象密度</w:t>
      </w:r>
    </w:p>
    <w:p w14:paraId="519D13D9">
      <w:pPr>
        <w:wordWrap w:val="0"/>
        <w:ind w:firstLine="480"/>
      </w:pPr>
      <w:r>
        <w:rPr>
          <w:rFonts w:hint="eastAsia"/>
        </w:rPr>
        <w:t>计算公式如下：</w:t>
      </w:r>
    </w:p>
    <w:p w14:paraId="37A04837">
      <w:pPr>
        <w:wordWrap w:val="0"/>
        <w:spacing w:line="240" w:lineRule="auto"/>
        <w:ind w:firstLine="0" w:firstLineChars="0"/>
        <w:jc w:val="center"/>
      </w:pPr>
      <w:r>
        <w:drawing>
          <wp:inline distT="0" distB="0" distL="114300" distR="114300">
            <wp:extent cx="1152525" cy="647700"/>
            <wp:effectExtent l="0" t="0" r="9525"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pic:cNvPicPr>
                  </pic:nvPicPr>
                  <pic:blipFill>
                    <a:blip r:embed="rId51"/>
                    <a:srcRect l="15384" r="13017" b="11688"/>
                    <a:stretch>
                      <a:fillRect/>
                    </a:stretch>
                  </pic:blipFill>
                  <pic:spPr>
                    <a:xfrm>
                      <a:off x="0" y="0"/>
                      <a:ext cx="1152525" cy="647700"/>
                    </a:xfrm>
                    <a:prstGeom prst="rect">
                      <a:avLst/>
                    </a:prstGeom>
                    <a:noFill/>
                    <a:ln>
                      <a:noFill/>
                    </a:ln>
                  </pic:spPr>
                </pic:pic>
              </a:graphicData>
            </a:graphic>
          </wp:inline>
        </w:drawing>
      </w:r>
    </w:p>
    <w:p w14:paraId="19D2B589">
      <w:pPr>
        <w:wordWrap w:val="0"/>
        <w:ind w:firstLine="480"/>
      </w:pPr>
      <w:r>
        <w:rPr>
          <w:rFonts w:hint="eastAsia"/>
        </w:rPr>
        <w:t>式中：M</w:t>
      </w:r>
      <w:r>
        <w:rPr>
          <w:rFonts w:hint="eastAsia"/>
          <w:vertAlign w:val="subscript"/>
        </w:rPr>
        <w:t>V</w:t>
      </w:r>
      <w:r>
        <w:rPr>
          <w:rFonts w:hint="eastAsia"/>
        </w:rPr>
        <w:t>——气相分子量，lb</w:t>
      </w:r>
      <w:r>
        <w:t>/</w:t>
      </w:r>
      <w:r>
        <w:rPr>
          <w:rFonts w:hint="eastAsia"/>
        </w:rPr>
        <w:t>lb</w:t>
      </w:r>
      <w:r>
        <w:t>-</w:t>
      </w:r>
      <w:r>
        <w:rPr>
          <w:rFonts w:hint="eastAsia"/>
        </w:rPr>
        <w:t>mol，按照本项目所用原料减二线、减三线油（C</w:t>
      </w:r>
      <w:r>
        <w:rPr>
          <w:vertAlign w:val="subscript"/>
        </w:rPr>
        <w:t>33</w:t>
      </w:r>
      <w:r>
        <w:rPr>
          <w:rFonts w:hint="eastAsia"/>
        </w:rPr>
        <w:t>H</w:t>
      </w:r>
      <w:r>
        <w:rPr>
          <w:vertAlign w:val="subscript"/>
        </w:rPr>
        <w:t>62</w:t>
      </w:r>
      <w:r>
        <w:rPr>
          <w:rFonts w:hint="eastAsia"/>
        </w:rPr>
        <w:t>O</w:t>
      </w:r>
      <w:r>
        <w:rPr>
          <w:vertAlign w:val="subscript"/>
        </w:rPr>
        <w:t>6</w:t>
      </w:r>
      <w:r>
        <w:rPr>
          <w:rFonts w:hint="eastAsia"/>
        </w:rPr>
        <w:t>）的气相分子量为5</w:t>
      </w:r>
      <w:r>
        <w:t>54</w:t>
      </w:r>
      <w:r>
        <w:rPr>
          <w:rFonts w:hint="eastAsia"/>
        </w:rPr>
        <w:t>g</w:t>
      </w:r>
      <w:r>
        <w:t>/</w:t>
      </w:r>
      <w:r>
        <w:rPr>
          <w:rFonts w:hint="eastAsia"/>
        </w:rPr>
        <w:t>mol</w:t>
      </w:r>
      <w:r>
        <w:t>=1.2214</w:t>
      </w:r>
      <w:r>
        <w:rPr>
          <w:rFonts w:hint="eastAsia"/>
        </w:rPr>
        <w:t>lb</w:t>
      </w:r>
      <w:r>
        <w:t>/</w:t>
      </w:r>
      <w:r>
        <w:rPr>
          <w:rFonts w:hint="eastAsia"/>
        </w:rPr>
        <w:t>lb</w:t>
      </w:r>
      <w:r>
        <w:t>-</w:t>
      </w:r>
      <w:r>
        <w:rPr>
          <w:rFonts w:hint="eastAsia"/>
        </w:rPr>
        <w:t>mol；R——理想气体状态常数，1</w:t>
      </w:r>
      <w:r>
        <w:t>0.741</w:t>
      </w:r>
      <w:r>
        <w:rPr>
          <w:rFonts w:hint="eastAsia"/>
        </w:rPr>
        <w:t>lb</w:t>
      </w:r>
      <w:r>
        <w:t>/</w:t>
      </w:r>
      <w:r>
        <w:rPr>
          <w:rFonts w:hint="eastAsia"/>
        </w:rPr>
        <w:t>lb</w:t>
      </w:r>
      <w:r>
        <w:t>-</w:t>
      </w:r>
      <w:r>
        <w:rPr>
          <w:rFonts w:hint="eastAsia"/>
        </w:rPr>
        <w:t>mol·ft·</w:t>
      </w:r>
      <w:r>
        <w:t>°R</w:t>
      </w:r>
      <w:r>
        <w:rPr>
          <w:rFonts w:hint="eastAsia"/>
        </w:rPr>
        <w:t>；T</w:t>
      </w:r>
      <w:r>
        <w:rPr>
          <w:rFonts w:hint="eastAsia"/>
          <w:vertAlign w:val="subscript"/>
        </w:rPr>
        <w:t>LA</w:t>
      </w:r>
      <w:r>
        <w:rPr>
          <w:rFonts w:hint="eastAsia"/>
        </w:rPr>
        <w:t>日平均液体表面温度按照如下公式计算：</w:t>
      </w:r>
    </w:p>
    <w:p w14:paraId="0048557A">
      <w:pPr>
        <w:wordWrap w:val="0"/>
        <w:spacing w:line="240" w:lineRule="auto"/>
        <w:ind w:firstLine="0" w:firstLineChars="0"/>
        <w:jc w:val="center"/>
      </w:pPr>
      <w:r>
        <w:drawing>
          <wp:inline distT="0" distB="0" distL="114300" distR="114300">
            <wp:extent cx="3028950" cy="361950"/>
            <wp:effectExtent l="0" t="0" r="0" b="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52"/>
                    <a:stretch>
                      <a:fillRect/>
                    </a:stretch>
                  </pic:blipFill>
                  <pic:spPr>
                    <a:xfrm>
                      <a:off x="0" y="0"/>
                      <a:ext cx="3028950" cy="361950"/>
                    </a:xfrm>
                    <a:prstGeom prst="rect">
                      <a:avLst/>
                    </a:prstGeom>
                    <a:noFill/>
                    <a:ln>
                      <a:noFill/>
                    </a:ln>
                  </pic:spPr>
                </pic:pic>
              </a:graphicData>
            </a:graphic>
          </wp:inline>
        </w:drawing>
      </w:r>
    </w:p>
    <w:p w14:paraId="424CF12D">
      <w:pPr>
        <w:wordWrap w:val="0"/>
        <w:ind w:firstLine="480"/>
      </w:pPr>
      <w:r>
        <w:rPr>
          <w:rFonts w:hint="eastAsia"/>
        </w:rPr>
        <w:t>式中：T</w:t>
      </w:r>
      <w:r>
        <w:rPr>
          <w:rFonts w:hint="eastAsia"/>
          <w:vertAlign w:val="subscript"/>
        </w:rPr>
        <w:t>AA</w:t>
      </w:r>
      <w:r>
        <w:rPr>
          <w:rFonts w:hint="eastAsia"/>
        </w:rPr>
        <w:t>为日平均环境温度，T</w:t>
      </w:r>
      <w:r>
        <w:rPr>
          <w:rFonts w:hint="eastAsia"/>
          <w:vertAlign w:val="subscript"/>
        </w:rPr>
        <w:t>AA</w:t>
      </w:r>
      <w:r>
        <w:t>=</w:t>
      </w:r>
      <w:r>
        <w:rPr>
          <w:rFonts w:hint="eastAsia"/>
        </w:rPr>
        <w:t>（T</w:t>
      </w:r>
      <w:r>
        <w:rPr>
          <w:rFonts w:hint="eastAsia"/>
          <w:vertAlign w:val="subscript"/>
        </w:rPr>
        <w:t>AX</w:t>
      </w:r>
      <w:r>
        <w:t>+</w:t>
      </w:r>
      <w:r>
        <w:rPr>
          <w:rFonts w:hint="eastAsia"/>
        </w:rPr>
        <w:t>T</w:t>
      </w:r>
      <w:r>
        <w:rPr>
          <w:rFonts w:hint="eastAsia"/>
          <w:vertAlign w:val="subscript"/>
        </w:rPr>
        <w:t>AN</w:t>
      </w:r>
      <w:r>
        <w:rPr>
          <w:rFonts w:hint="eastAsia"/>
        </w:rPr>
        <w:t>）÷2</w:t>
      </w:r>
      <w:r>
        <w:t>=</w:t>
      </w:r>
      <w:r>
        <w:rPr>
          <w:rFonts w:hint="eastAsia"/>
        </w:rPr>
        <w:t>（</w:t>
      </w:r>
      <w:r>
        <w:t>25.8-</w:t>
      </w:r>
      <w:r>
        <w:rPr>
          <w:rFonts w:hint="eastAsia"/>
        </w:rPr>
        <w:t>（-</w:t>
      </w:r>
      <w:r>
        <w:t>13.6</w:t>
      </w:r>
      <w:r>
        <w:rPr>
          <w:rFonts w:hint="eastAsia"/>
        </w:rPr>
        <w:t>））÷2</w:t>
      </w:r>
      <w:r>
        <w:t>=119.7</w:t>
      </w:r>
      <w:r>
        <w:rPr>
          <w:rFonts w:hint="eastAsia"/>
        </w:rPr>
        <w:t>℃</w:t>
      </w:r>
      <w:r>
        <w:t>=527.13°R</w:t>
      </w:r>
      <w:r>
        <w:rPr>
          <w:rFonts w:hint="eastAsia"/>
        </w:rPr>
        <w:t>，其中T</w:t>
      </w:r>
      <w:r>
        <w:rPr>
          <w:rFonts w:hint="eastAsia"/>
          <w:vertAlign w:val="subscript"/>
        </w:rPr>
        <w:t>AX</w:t>
      </w:r>
      <w:r>
        <w:rPr>
          <w:rFonts w:hint="eastAsia"/>
        </w:rPr>
        <w:t>和T</w:t>
      </w:r>
      <w:r>
        <w:rPr>
          <w:rFonts w:hint="eastAsia"/>
          <w:vertAlign w:val="subscript"/>
        </w:rPr>
        <w:t>AN</w:t>
      </w:r>
      <w:r>
        <w:rPr>
          <w:rFonts w:hint="eastAsia"/>
        </w:rPr>
        <w:t>分别为日最高、最低环境温度，根据本报告“4</w:t>
      </w:r>
      <w:r>
        <w:t>.1.5</w:t>
      </w:r>
      <w:r>
        <w:rPr>
          <w:rFonts w:hint="eastAsia"/>
        </w:rPr>
        <w:t>气候气象”章节确定，由于无日均数据，采用每年7月（最高温度）和1月（最低温度）核算；</w:t>
      </w:r>
    </w:p>
    <w:p w14:paraId="6BF5536D">
      <w:pPr>
        <w:wordWrap w:val="0"/>
        <w:ind w:firstLine="480"/>
      </w:pPr>
      <w:r>
        <w:rPr>
          <w:rFonts w:hint="eastAsia"/>
        </w:rPr>
        <w:t>T</w:t>
      </w:r>
      <w:r>
        <w:rPr>
          <w:rFonts w:hint="eastAsia"/>
          <w:vertAlign w:val="subscript"/>
        </w:rPr>
        <w:t>B</w:t>
      </w:r>
      <w:r>
        <w:rPr>
          <w:rFonts w:hint="eastAsia"/>
        </w:rPr>
        <w:t>为储液主体温度，T</w:t>
      </w:r>
      <w:r>
        <w:rPr>
          <w:rFonts w:hint="eastAsia"/>
          <w:vertAlign w:val="subscript"/>
        </w:rPr>
        <w:t>B</w:t>
      </w:r>
      <w:r>
        <w:t>=</w:t>
      </w:r>
      <w:r>
        <w:rPr>
          <w:rFonts w:hint="eastAsia"/>
        </w:rPr>
        <w:t>T</w:t>
      </w:r>
      <w:r>
        <w:rPr>
          <w:rFonts w:hint="eastAsia"/>
          <w:vertAlign w:val="subscript"/>
        </w:rPr>
        <w:t>AA</w:t>
      </w:r>
      <w:r>
        <w:t>+6</w:t>
      </w:r>
      <w:r>
        <w:rPr>
          <w:rFonts w:hint="eastAsia"/>
        </w:rPr>
        <w:t>α</w:t>
      </w:r>
      <w:r>
        <w:t>-1</w:t>
      </w:r>
      <w:r>
        <w:rPr>
          <w:rFonts w:hint="eastAsia"/>
        </w:rPr>
        <w:t>，其中α是罐漆太阳能吸收率，无量纲量，根据《石化行业VOCs污染源排查工作指南》（环办〔2</w:t>
      </w:r>
      <w:r>
        <w:t>015</w:t>
      </w:r>
      <w:r>
        <w:rPr>
          <w:rFonts w:hint="eastAsia"/>
        </w:rPr>
        <w:t>〕1</w:t>
      </w:r>
      <w:r>
        <w:t>04</w:t>
      </w:r>
      <w:r>
        <w:rPr>
          <w:rFonts w:hint="eastAsia"/>
        </w:rPr>
        <w:t>号）文件中附表二-</w:t>
      </w:r>
      <w:r>
        <w:t>14</w:t>
      </w:r>
      <w:r>
        <w:rPr>
          <w:rFonts w:hint="eastAsia"/>
        </w:rPr>
        <w:t>取值为0</w:t>
      </w:r>
      <w:r>
        <w:t>.17</w:t>
      </w:r>
      <w:r>
        <w:rPr>
          <w:rFonts w:hint="eastAsia"/>
        </w:rPr>
        <w:t>（罐漆：白色，状况：好），则T</w:t>
      </w:r>
      <w:r>
        <w:rPr>
          <w:rFonts w:hint="eastAsia"/>
          <w:vertAlign w:val="subscript"/>
        </w:rPr>
        <w:t>B</w:t>
      </w:r>
      <w:r>
        <w:t>=527.13+6</w:t>
      </w:r>
      <w:r>
        <w:rPr>
          <w:rFonts w:hint="eastAsia"/>
        </w:rPr>
        <w:t>×0</w:t>
      </w:r>
      <w:r>
        <w:t>.17-1=527.15°R</w:t>
      </w:r>
      <w:r>
        <w:rPr>
          <w:rFonts w:hint="eastAsia"/>
        </w:rPr>
        <w:t>；</w:t>
      </w:r>
    </w:p>
    <w:p w14:paraId="78ECE13B">
      <w:pPr>
        <w:wordWrap w:val="0"/>
        <w:ind w:firstLine="480"/>
      </w:pPr>
      <w:r>
        <w:rPr>
          <w:rFonts w:hint="eastAsia"/>
        </w:rPr>
        <w:t>I——太阳辐射强度，Btu</w:t>
      </w:r>
      <w:r>
        <w:t>/</w:t>
      </w:r>
      <w:r>
        <w:rPr>
          <w:rFonts w:hint="eastAsia"/>
        </w:rPr>
        <w:t>ft</w:t>
      </w:r>
      <w:r>
        <w:rPr>
          <w:vertAlign w:val="superscript"/>
        </w:rPr>
        <w:t>2</w:t>
      </w:r>
      <w:r>
        <w:rPr>
          <w:rFonts w:hint="eastAsia"/>
        </w:rPr>
        <w:t>·day，本项目选址位于胡杨河经济技术开发区内，该区域的太阳辐射强度在5×1</w:t>
      </w:r>
      <w:r>
        <w:t>0</w:t>
      </w:r>
      <w:r>
        <w:rPr>
          <w:vertAlign w:val="superscript"/>
        </w:rPr>
        <w:t>5</w:t>
      </w:r>
      <w:r>
        <w:rPr>
          <w:rFonts w:hint="eastAsia"/>
        </w:rPr>
        <w:t>～6</w:t>
      </w:r>
      <w:r>
        <w:t>.5</w:t>
      </w:r>
      <w:r>
        <w:rPr>
          <w:rFonts w:hint="eastAsia"/>
        </w:rPr>
        <w:t>×1</w:t>
      </w:r>
      <w:r>
        <w:t>0</w:t>
      </w:r>
      <w:r>
        <w:rPr>
          <w:vertAlign w:val="superscript"/>
        </w:rPr>
        <w:t>5</w:t>
      </w:r>
      <w:r>
        <w:rPr>
          <w:rFonts w:hint="eastAsia"/>
        </w:rPr>
        <w:t>J</w:t>
      </w:r>
      <w:r>
        <w:t>/</w:t>
      </w:r>
      <w:r>
        <w:rPr>
          <w:rFonts w:hint="eastAsia"/>
        </w:rPr>
        <w:t>（cm</w:t>
      </w:r>
      <w:r>
        <w:rPr>
          <w:vertAlign w:val="superscript"/>
        </w:rPr>
        <w:t>2</w:t>
      </w:r>
      <w:r>
        <w:t>/a</w:t>
      </w:r>
      <w:r>
        <w:rPr>
          <w:rFonts w:hint="eastAsia"/>
        </w:rPr>
        <w:t>），年均值为</w:t>
      </w:r>
      <w:r>
        <w:t>5.8</w:t>
      </w:r>
      <w:r>
        <w:rPr>
          <w:rFonts w:hint="eastAsia"/>
        </w:rPr>
        <w:t>×1</w:t>
      </w:r>
      <w:r>
        <w:t>0</w:t>
      </w:r>
      <w:r>
        <w:rPr>
          <w:vertAlign w:val="superscript"/>
        </w:rPr>
        <w:t>5</w:t>
      </w:r>
      <w:r>
        <w:rPr>
          <w:rFonts w:hint="eastAsia"/>
        </w:rPr>
        <w:t>J</w:t>
      </w:r>
      <w:r>
        <w:t>/</w:t>
      </w:r>
      <w:r>
        <w:rPr>
          <w:rFonts w:hint="eastAsia"/>
        </w:rPr>
        <w:t>（cm</w:t>
      </w:r>
      <w:r>
        <w:rPr>
          <w:vertAlign w:val="superscript"/>
        </w:rPr>
        <w:t>2</w:t>
      </w:r>
      <w:r>
        <w:t>/a</w:t>
      </w:r>
      <w:r>
        <w:rPr>
          <w:rFonts w:hint="eastAsia"/>
        </w:rPr>
        <w:t>），则I</w:t>
      </w:r>
      <w:r>
        <w:t>=5.8</w:t>
      </w:r>
      <w:r>
        <w:rPr>
          <w:rFonts w:hint="eastAsia"/>
        </w:rPr>
        <w:t>×1</w:t>
      </w:r>
      <w:r>
        <w:t>0</w:t>
      </w:r>
      <w:r>
        <w:rPr>
          <w:vertAlign w:val="superscript"/>
        </w:rPr>
        <w:t>5</w:t>
      </w:r>
      <w:r>
        <w:rPr>
          <w:rFonts w:hint="eastAsia"/>
        </w:rPr>
        <w:t>J</w:t>
      </w:r>
      <w:r>
        <w:t>/</w:t>
      </w:r>
      <w:r>
        <w:rPr>
          <w:rFonts w:hint="eastAsia"/>
        </w:rPr>
        <w:t>（cm</w:t>
      </w:r>
      <w:r>
        <w:rPr>
          <w:vertAlign w:val="superscript"/>
        </w:rPr>
        <w:t>2</w:t>
      </w:r>
      <w:r>
        <w:t>/a</w:t>
      </w:r>
      <w:r>
        <w:rPr>
          <w:rFonts w:hint="eastAsia"/>
        </w:rPr>
        <w:t>）÷3</w:t>
      </w:r>
      <w:r>
        <w:t>65</w:t>
      </w:r>
      <w:r>
        <w:rPr>
          <w:rFonts w:hint="eastAsia"/>
        </w:rPr>
        <w:t>day</w:t>
      </w:r>
      <w:r>
        <w:t>=1.589</w:t>
      </w:r>
      <w:r>
        <w:rPr>
          <w:rFonts w:hint="eastAsia"/>
        </w:rPr>
        <w:t>×1</w:t>
      </w:r>
      <w:r>
        <w:t>0</w:t>
      </w:r>
      <w:r>
        <w:rPr>
          <w:vertAlign w:val="superscript"/>
        </w:rPr>
        <w:t>3</w:t>
      </w:r>
      <w:r>
        <w:rPr>
          <w:rFonts w:hint="eastAsia"/>
        </w:rPr>
        <w:t>J</w:t>
      </w:r>
      <w:r>
        <w:t>/</w:t>
      </w:r>
      <w:r>
        <w:rPr>
          <w:rFonts w:hint="eastAsia"/>
        </w:rPr>
        <w:t>（cm</w:t>
      </w:r>
      <w:r>
        <w:rPr>
          <w:vertAlign w:val="superscript"/>
        </w:rPr>
        <w:t>2</w:t>
      </w:r>
      <w:r>
        <w:t>/</w:t>
      </w:r>
      <w:r>
        <w:rPr>
          <w:rFonts w:hint="eastAsia"/>
        </w:rPr>
        <w:t>day）=</w:t>
      </w:r>
      <w:r>
        <w:t>1.5</w:t>
      </w:r>
      <w:r>
        <w:rPr>
          <w:rFonts w:hint="eastAsia"/>
        </w:rPr>
        <w:t>Btu</w:t>
      </w:r>
      <w:r>
        <w:t>/0.0011</w:t>
      </w:r>
      <w:r>
        <w:rPr>
          <w:rFonts w:hint="eastAsia"/>
        </w:rPr>
        <w:t>ft</w:t>
      </w:r>
      <w:r>
        <w:rPr>
          <w:vertAlign w:val="superscript"/>
        </w:rPr>
        <w:t>2</w:t>
      </w:r>
      <w:r>
        <w:rPr>
          <w:rFonts w:hint="eastAsia"/>
        </w:rPr>
        <w:t>·day</w:t>
      </w:r>
      <w:r>
        <w:t>=1363.6364</w:t>
      </w:r>
      <w:r>
        <w:rPr>
          <w:rFonts w:hint="eastAsia"/>
        </w:rPr>
        <w:t>Btu</w:t>
      </w:r>
      <w:r>
        <w:t>/</w:t>
      </w:r>
      <w:r>
        <w:rPr>
          <w:rFonts w:hint="eastAsia"/>
        </w:rPr>
        <w:t>ft</w:t>
      </w:r>
      <w:r>
        <w:rPr>
          <w:vertAlign w:val="superscript"/>
        </w:rPr>
        <w:t>2</w:t>
      </w:r>
      <w:r>
        <w:rPr>
          <w:rFonts w:hint="eastAsia"/>
        </w:rPr>
        <w:t>·day。</w:t>
      </w:r>
    </w:p>
    <w:p w14:paraId="7EC654BA">
      <w:pPr>
        <w:wordWrap w:val="0"/>
        <w:ind w:firstLine="480"/>
      </w:pPr>
      <w:r>
        <w:rPr>
          <w:rFonts w:hint="eastAsia"/>
        </w:rPr>
        <w:t>则T</w:t>
      </w:r>
      <w:r>
        <w:rPr>
          <w:rFonts w:hint="eastAsia"/>
          <w:vertAlign w:val="subscript"/>
        </w:rPr>
        <w:t>LA</w:t>
      </w:r>
      <w:r>
        <w:t>=0.44</w:t>
      </w:r>
      <w:r>
        <w:rPr>
          <w:rFonts w:hint="eastAsia"/>
        </w:rPr>
        <w:t>×5</w:t>
      </w:r>
      <w:r>
        <w:t>27.13</w:t>
      </w:r>
      <w:r>
        <w:rPr>
          <w:rFonts w:hint="eastAsia"/>
        </w:rPr>
        <w:t>+</w:t>
      </w:r>
      <w:r>
        <w:t>0.56</w:t>
      </w:r>
      <w:r>
        <w:rPr>
          <w:rFonts w:hint="eastAsia"/>
        </w:rPr>
        <w:t>×5</w:t>
      </w:r>
      <w:r>
        <w:t>27.15+0.0079</w:t>
      </w:r>
      <w:r>
        <w:rPr>
          <w:rFonts w:hint="eastAsia"/>
        </w:rPr>
        <w:t>×0</w:t>
      </w:r>
      <w:r>
        <w:t>.17</w:t>
      </w:r>
      <w:r>
        <w:rPr>
          <w:rFonts w:hint="eastAsia"/>
        </w:rPr>
        <w:t>×1</w:t>
      </w:r>
      <w:r>
        <w:t>363.6364=528.9726°R</w:t>
      </w:r>
      <w:r>
        <w:rPr>
          <w:rFonts w:hint="eastAsia"/>
        </w:rPr>
        <w:t>。</w:t>
      </w:r>
    </w:p>
    <w:p w14:paraId="167C300D">
      <w:pPr>
        <w:wordWrap w:val="0"/>
        <w:ind w:firstLine="480"/>
      </w:pPr>
      <w:r>
        <w:rPr>
          <w:rFonts w:hint="eastAsia"/>
        </w:rPr>
        <w:t>P</w:t>
      </w:r>
      <w:r>
        <w:rPr>
          <w:rFonts w:hint="eastAsia"/>
          <w:vertAlign w:val="subscript"/>
        </w:rPr>
        <w:t>VA</w:t>
      </w:r>
      <w:r>
        <w:rPr>
          <w:rFonts w:hint="eastAsia"/>
        </w:rPr>
        <w:t>——日平均液面温度下的饱和蒸气压，按照如下公式计算：</w:t>
      </w:r>
    </w:p>
    <w:p w14:paraId="6A3C9A0A">
      <w:pPr>
        <w:wordWrap w:val="0"/>
        <w:spacing w:line="240" w:lineRule="auto"/>
        <w:ind w:firstLine="0" w:firstLineChars="0"/>
        <w:jc w:val="center"/>
      </w:pPr>
      <w:r>
        <w:drawing>
          <wp:inline distT="0" distB="0" distL="114300" distR="114300">
            <wp:extent cx="1695450" cy="685800"/>
            <wp:effectExtent l="0" t="0" r="0" b="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53"/>
                    <a:stretch>
                      <a:fillRect/>
                    </a:stretch>
                  </pic:blipFill>
                  <pic:spPr>
                    <a:xfrm>
                      <a:off x="0" y="0"/>
                      <a:ext cx="1695450" cy="685800"/>
                    </a:xfrm>
                    <a:prstGeom prst="rect">
                      <a:avLst/>
                    </a:prstGeom>
                    <a:noFill/>
                    <a:ln>
                      <a:noFill/>
                    </a:ln>
                  </pic:spPr>
                </pic:pic>
              </a:graphicData>
            </a:graphic>
          </wp:inline>
        </w:drawing>
      </w:r>
    </w:p>
    <w:p w14:paraId="6733A399">
      <w:pPr>
        <w:wordWrap w:val="0"/>
        <w:ind w:firstLine="480"/>
      </w:pPr>
      <w:r>
        <w:rPr>
          <w:rFonts w:hint="eastAsia"/>
        </w:rPr>
        <w:t>蒸汽压公式中的常数A，无量纲量，本次计算按照原油取值，A</w:t>
      </w:r>
      <w:r>
        <w:t>=12.82-0.9672</w:t>
      </w:r>
      <w:r>
        <w:rPr>
          <w:rFonts w:hint="eastAsia"/>
        </w:rPr>
        <w:t>ln（RVP），其中RVP</w:t>
      </w:r>
      <w:r>
        <w:t>=10</w:t>
      </w:r>
      <w:r>
        <w:rPr>
          <w:rFonts w:hint="eastAsia"/>
        </w:rPr>
        <w:t>psi，则A</w:t>
      </w:r>
      <w:r>
        <w:t>=10.5929</w:t>
      </w:r>
      <w:r>
        <w:rPr>
          <w:rFonts w:hint="eastAsia"/>
        </w:rPr>
        <w:t>；B</w:t>
      </w:r>
      <w:r>
        <w:t>=7261-1216</w:t>
      </w:r>
      <w:r>
        <w:rPr>
          <w:rFonts w:hint="eastAsia"/>
        </w:rPr>
        <w:t>ln（RVP）=</w:t>
      </w:r>
      <w:r>
        <w:t>4460.0565°R</w:t>
      </w:r>
      <w:r>
        <w:rPr>
          <w:rFonts w:hint="eastAsia"/>
        </w:rPr>
        <w:t>。</w:t>
      </w:r>
    </w:p>
    <w:p w14:paraId="10755183">
      <w:pPr>
        <w:wordWrap w:val="0"/>
        <w:ind w:firstLine="480"/>
      </w:pPr>
      <w:r>
        <w:rPr>
          <w:rFonts w:hint="eastAsia"/>
        </w:rPr>
        <w:t>则，P</w:t>
      </w:r>
      <w:r>
        <w:rPr>
          <w:rFonts w:hint="eastAsia"/>
          <w:vertAlign w:val="subscript"/>
        </w:rPr>
        <w:t>VA</w:t>
      </w:r>
      <w:r>
        <w:t>=</w:t>
      </w:r>
      <w:r>
        <w:rPr>
          <w:rFonts w:hint="eastAsia"/>
        </w:rPr>
        <w:t>exp（1</w:t>
      </w:r>
      <w:r>
        <w:t>0.5929-</w:t>
      </w:r>
      <w:r>
        <w:rPr>
          <w:rFonts w:hint="eastAsia"/>
        </w:rPr>
        <w:t>（4</w:t>
      </w:r>
      <w:r>
        <w:t>460.0565</w:t>
      </w:r>
      <w:r>
        <w:rPr>
          <w:rFonts w:hint="eastAsia"/>
        </w:rPr>
        <w:t>÷5</w:t>
      </w:r>
      <w:r>
        <w:t>26.67</w:t>
      </w:r>
      <w:r>
        <w:rPr>
          <w:rFonts w:hint="eastAsia"/>
        </w:rPr>
        <w:t>））=</w:t>
      </w:r>
      <w:r>
        <w:t>2.1245</w:t>
      </w:r>
      <w:r>
        <w:rPr>
          <w:rFonts w:hint="eastAsia"/>
        </w:rPr>
        <w:t>psia。</w:t>
      </w:r>
    </w:p>
    <w:p w14:paraId="3905EB18">
      <w:pPr>
        <w:wordWrap w:val="0"/>
        <w:ind w:firstLine="482"/>
        <w:rPr>
          <w:b/>
        </w:rPr>
      </w:pPr>
      <w:r>
        <w:rPr>
          <w:rFonts w:hint="eastAsia"/>
          <w:b/>
        </w:rPr>
        <w:t>则，W</w:t>
      </w:r>
      <w:r>
        <w:rPr>
          <w:rFonts w:hint="eastAsia"/>
          <w:b/>
          <w:vertAlign w:val="subscript"/>
        </w:rPr>
        <w:t>V</w:t>
      </w:r>
      <w:r>
        <w:rPr>
          <w:b/>
        </w:rPr>
        <w:t>=1.2214</w:t>
      </w:r>
      <w:r>
        <w:rPr>
          <w:rFonts w:hint="eastAsia"/>
          <w:b/>
        </w:rPr>
        <w:t>×2</w:t>
      </w:r>
      <w:r>
        <w:rPr>
          <w:b/>
        </w:rPr>
        <w:t>.1245</w:t>
      </w:r>
      <w:r>
        <w:rPr>
          <w:rFonts w:hint="eastAsia"/>
          <w:b/>
        </w:rPr>
        <w:t>÷（1</w:t>
      </w:r>
      <w:r>
        <w:rPr>
          <w:b/>
        </w:rPr>
        <w:t>0.741</w:t>
      </w:r>
      <w:r>
        <w:rPr>
          <w:rFonts w:hint="eastAsia"/>
          <w:b/>
        </w:rPr>
        <w:t>×5</w:t>
      </w:r>
      <w:r>
        <w:rPr>
          <w:b/>
        </w:rPr>
        <w:t>28.9726</w:t>
      </w:r>
      <w:r>
        <w:rPr>
          <w:rFonts w:hint="eastAsia"/>
          <w:b/>
        </w:rPr>
        <w:t>）=</w:t>
      </w:r>
      <w:r>
        <w:rPr>
          <w:b/>
        </w:rPr>
        <w:t>0.0005</w:t>
      </w:r>
      <w:r>
        <w:rPr>
          <w:rFonts w:hint="eastAsia"/>
          <w:b/>
        </w:rPr>
        <w:t>lb</w:t>
      </w:r>
      <w:r>
        <w:rPr>
          <w:b/>
        </w:rPr>
        <w:t>/</w:t>
      </w:r>
      <w:r>
        <w:rPr>
          <w:rFonts w:hint="eastAsia"/>
          <w:b/>
        </w:rPr>
        <w:t>ft</w:t>
      </w:r>
      <w:r>
        <w:rPr>
          <w:b/>
          <w:vertAlign w:val="superscript"/>
        </w:rPr>
        <w:t>3</w:t>
      </w:r>
      <w:r>
        <w:rPr>
          <w:rFonts w:hint="eastAsia"/>
          <w:b/>
        </w:rPr>
        <w:t>。</w:t>
      </w:r>
    </w:p>
    <w:p w14:paraId="6F11AB7C">
      <w:pPr>
        <w:wordWrap w:val="0"/>
        <w:ind w:firstLine="482"/>
      </w:pPr>
      <w:r>
        <w:rPr>
          <w:rFonts w:hint="eastAsia" w:ascii="宋体" w:hAnsi="宋体" w:cs="宋体"/>
          <w:b/>
        </w:rPr>
        <w:t>④</w:t>
      </w:r>
      <w:r>
        <w:rPr>
          <w:rFonts w:hint="eastAsia"/>
          <w:b/>
        </w:rPr>
        <w:t>K</w:t>
      </w:r>
      <w:r>
        <w:rPr>
          <w:rFonts w:hint="eastAsia"/>
          <w:b/>
          <w:vertAlign w:val="subscript"/>
        </w:rPr>
        <w:t>E</w:t>
      </w:r>
      <w:r>
        <w:rPr>
          <w:rFonts w:hint="eastAsia"/>
          <w:b/>
        </w:rPr>
        <w:t>气相空间膨胀因子</w:t>
      </w:r>
      <w:r>
        <w:rPr>
          <w:rFonts w:hint="eastAsia"/>
        </w:rPr>
        <w:t>：此项参数值的确定主要与储罐中液体的特性和呼吸阀的设置有关，计算公式如下：</w:t>
      </w:r>
    </w:p>
    <w:p w14:paraId="46F5FE14">
      <w:pPr>
        <w:wordWrap w:val="0"/>
        <w:spacing w:line="240" w:lineRule="auto"/>
        <w:ind w:firstLine="0" w:firstLineChars="0"/>
        <w:jc w:val="center"/>
      </w:pPr>
      <w:r>
        <w:drawing>
          <wp:inline distT="0" distB="0" distL="114300" distR="114300">
            <wp:extent cx="2524125" cy="609600"/>
            <wp:effectExtent l="0" t="0" r="9525"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54"/>
                    <a:stretch>
                      <a:fillRect/>
                    </a:stretch>
                  </pic:blipFill>
                  <pic:spPr>
                    <a:xfrm>
                      <a:off x="0" y="0"/>
                      <a:ext cx="2524125" cy="609600"/>
                    </a:xfrm>
                    <a:prstGeom prst="rect">
                      <a:avLst/>
                    </a:prstGeom>
                    <a:noFill/>
                    <a:ln>
                      <a:noFill/>
                    </a:ln>
                  </pic:spPr>
                </pic:pic>
              </a:graphicData>
            </a:graphic>
          </wp:inline>
        </w:drawing>
      </w:r>
    </w:p>
    <w:p w14:paraId="0E9AD86E">
      <w:pPr>
        <w:ind w:firstLine="480"/>
      </w:pPr>
      <w:r>
        <w:rPr>
          <w:rFonts w:hint="eastAsia"/>
        </w:rPr>
        <w:t>式中：ΔT</w:t>
      </w:r>
      <w:r>
        <w:rPr>
          <w:rFonts w:hint="eastAsia"/>
          <w:vertAlign w:val="subscript"/>
        </w:rPr>
        <w:t>V</w:t>
      </w:r>
      <w:r>
        <w:rPr>
          <w:rFonts w:hint="eastAsia"/>
        </w:rPr>
        <w:t>——日蒸汽温度范围，</w:t>
      </w:r>
      <w:r>
        <w:t>°R</w:t>
      </w:r>
      <w:r>
        <w:rPr>
          <w:rFonts w:hint="eastAsia"/>
        </w:rPr>
        <w:t>，ΔT</w:t>
      </w:r>
      <w:r>
        <w:rPr>
          <w:rFonts w:hint="eastAsia"/>
          <w:vertAlign w:val="subscript"/>
        </w:rPr>
        <w:t>V</w:t>
      </w:r>
      <w:r>
        <w:t>=0.72</w:t>
      </w:r>
      <w:r>
        <w:rPr>
          <w:rFonts w:hint="eastAsia"/>
        </w:rPr>
        <w:t>ΔT</w:t>
      </w:r>
      <w:r>
        <w:rPr>
          <w:rFonts w:hint="eastAsia"/>
          <w:vertAlign w:val="subscript"/>
        </w:rPr>
        <w:t>A</w:t>
      </w:r>
      <w:r>
        <w:t>+0.028</w:t>
      </w:r>
      <w:r>
        <w:rPr>
          <w:rFonts w:hint="eastAsia"/>
        </w:rPr>
        <w:t>αI</w:t>
      </w:r>
      <w:r>
        <w:t>=0.72</w:t>
      </w:r>
      <w:r>
        <w:rPr>
          <w:rFonts w:hint="eastAsia"/>
        </w:rPr>
        <w:t>×（2</w:t>
      </w:r>
      <w:r>
        <w:t>5.8-</w:t>
      </w:r>
      <w:r>
        <w:rPr>
          <w:rFonts w:hint="eastAsia"/>
        </w:rPr>
        <w:t>（1</w:t>
      </w:r>
      <w:r>
        <w:t>3.6</w:t>
      </w:r>
      <w:r>
        <w:rPr>
          <w:rFonts w:hint="eastAsia"/>
        </w:rPr>
        <w:t>）+</w:t>
      </w:r>
      <w:r>
        <w:t>0.0028</w:t>
      </w:r>
      <w:r>
        <w:rPr>
          <w:rFonts w:hint="eastAsia"/>
        </w:rPr>
        <w:t>×0</w:t>
      </w:r>
      <w:r>
        <w:t>.17</w:t>
      </w:r>
      <w:r>
        <w:rPr>
          <w:rFonts w:hint="eastAsia"/>
        </w:rPr>
        <w:t>×1</w:t>
      </w:r>
      <w:r>
        <w:t>363.6364=29.0171°R</w:t>
      </w:r>
      <w:r>
        <w:rPr>
          <w:rFonts w:hint="eastAsia"/>
        </w:rPr>
        <w:t>；</w:t>
      </w:r>
    </w:p>
    <w:p w14:paraId="04D12E0E">
      <w:pPr>
        <w:ind w:firstLine="480"/>
      </w:pPr>
      <w:r>
        <w:rPr>
          <w:rFonts w:hint="eastAsia"/>
        </w:rPr>
        <w:t>ΔP</w:t>
      </w:r>
      <w:r>
        <w:rPr>
          <w:rFonts w:hint="eastAsia"/>
          <w:vertAlign w:val="subscript"/>
        </w:rPr>
        <w:t>V</w:t>
      </w:r>
      <w:r>
        <w:rPr>
          <w:rFonts w:hint="eastAsia"/>
        </w:rPr>
        <w:t>——日蒸气压范围，psi，ΔP</w:t>
      </w:r>
      <w:r>
        <w:rPr>
          <w:rFonts w:hint="eastAsia"/>
          <w:vertAlign w:val="subscript"/>
        </w:rPr>
        <w:t>V</w:t>
      </w:r>
      <w:r>
        <w:t>=0.50</w:t>
      </w:r>
      <w:r>
        <w:rPr>
          <w:rFonts w:hint="eastAsia"/>
        </w:rPr>
        <w:t>BP</w:t>
      </w:r>
      <w:r>
        <w:rPr>
          <w:rFonts w:hint="eastAsia"/>
          <w:vertAlign w:val="subscript"/>
        </w:rPr>
        <w:t>VA</w:t>
      </w:r>
      <w:r>
        <w:rPr>
          <w:rFonts w:hint="eastAsia"/>
        </w:rPr>
        <w:t>ΔT</w:t>
      </w:r>
      <w:r>
        <w:rPr>
          <w:rFonts w:hint="eastAsia"/>
          <w:vertAlign w:val="subscript"/>
        </w:rPr>
        <w:t>V</w:t>
      </w:r>
      <w:r>
        <w:t>/</w:t>
      </w:r>
      <w:r>
        <w:rPr>
          <w:rFonts w:hint="eastAsia"/>
        </w:rPr>
        <w:t>T</w:t>
      </w:r>
      <w:r>
        <w:rPr>
          <w:rFonts w:hint="eastAsia"/>
          <w:vertAlign w:val="subscript"/>
        </w:rPr>
        <w:t>LA</w:t>
      </w:r>
      <w:r>
        <w:rPr>
          <w:vertAlign w:val="superscript"/>
        </w:rPr>
        <w:t>2</w:t>
      </w:r>
      <w:r>
        <w:t>=0.50</w:t>
      </w:r>
      <w:r>
        <w:rPr>
          <w:rFonts w:hint="eastAsia"/>
        </w:rPr>
        <w:t>×4</w:t>
      </w:r>
      <w:r>
        <w:t>460.0565</w:t>
      </w:r>
      <w:r>
        <w:rPr>
          <w:rFonts w:hint="eastAsia"/>
        </w:rPr>
        <w:t>×2</w:t>
      </w:r>
      <w:r>
        <w:t>.1245</w:t>
      </w:r>
      <w:r>
        <w:rPr>
          <w:rFonts w:hint="eastAsia"/>
        </w:rPr>
        <w:t>×2</w:t>
      </w:r>
      <w:r>
        <w:t>9.0171</w:t>
      </w:r>
      <w:r>
        <w:rPr>
          <w:rFonts w:hint="eastAsia"/>
        </w:rPr>
        <w:t>÷（5</w:t>
      </w:r>
      <w:r>
        <w:t>28.9726</w:t>
      </w:r>
      <w:r>
        <w:rPr>
          <w:rFonts w:hint="eastAsia"/>
        </w:rPr>
        <w:t>）</w:t>
      </w:r>
      <w:r>
        <w:rPr>
          <w:rFonts w:hint="eastAsia"/>
          <w:vertAlign w:val="superscript"/>
        </w:rPr>
        <w:t>2</w:t>
      </w:r>
      <w:r>
        <w:t>=0.4913</w:t>
      </w:r>
      <w:r>
        <w:rPr>
          <w:rFonts w:hint="eastAsia"/>
        </w:rPr>
        <w:t>；</w:t>
      </w:r>
    </w:p>
    <w:p w14:paraId="6E0D0367">
      <w:pPr>
        <w:ind w:firstLine="480"/>
      </w:pPr>
      <w:r>
        <w:rPr>
          <w:rFonts w:hint="eastAsia"/>
        </w:rPr>
        <w:t>ΔP</w:t>
      </w:r>
      <w:r>
        <w:rPr>
          <w:rFonts w:hint="eastAsia"/>
          <w:vertAlign w:val="subscript"/>
        </w:rPr>
        <w:t>B</w:t>
      </w:r>
      <w:r>
        <w:rPr>
          <w:rFonts w:hint="eastAsia"/>
        </w:rPr>
        <w:t>——呼吸阀压力设定范围，psig，根据同类项目设定值0</w:t>
      </w:r>
      <w:r>
        <w:t>.07</w:t>
      </w:r>
      <w:r>
        <w:rPr>
          <w:rFonts w:hint="eastAsia"/>
        </w:rPr>
        <w:t>MPa</w:t>
      </w:r>
      <w:r>
        <w:t>=0.001</w:t>
      </w:r>
      <w:r>
        <w:rPr>
          <w:rFonts w:hint="eastAsia"/>
        </w:rPr>
        <w:t>psi，真空设定压力为0</w:t>
      </w:r>
      <w:r>
        <w:t>.04</w:t>
      </w:r>
      <w:r>
        <w:rPr>
          <w:rFonts w:hint="eastAsia"/>
        </w:rPr>
        <w:t>MPa</w:t>
      </w:r>
      <w:r>
        <w:t>=0.00058</w:t>
      </w:r>
      <w:r>
        <w:rPr>
          <w:rFonts w:hint="eastAsia"/>
        </w:rPr>
        <w:t>psig，油罐顶部呼吸阀设定值为，ΔP</w:t>
      </w:r>
      <w:r>
        <w:rPr>
          <w:rFonts w:hint="eastAsia"/>
          <w:vertAlign w:val="subscript"/>
        </w:rPr>
        <w:t>B</w:t>
      </w:r>
      <w:r>
        <w:t>=</w:t>
      </w:r>
      <w:r>
        <w:rPr>
          <w:rFonts w:hint="eastAsia"/>
        </w:rPr>
        <w:t>P</w:t>
      </w:r>
      <w:r>
        <w:rPr>
          <w:rFonts w:hint="eastAsia"/>
          <w:vertAlign w:val="subscript"/>
        </w:rPr>
        <w:t>BP</w:t>
      </w:r>
      <w:r>
        <w:t>-</w:t>
      </w:r>
      <w:r>
        <w:rPr>
          <w:rFonts w:hint="eastAsia"/>
        </w:rPr>
        <w:t>P</w:t>
      </w:r>
      <w:r>
        <w:rPr>
          <w:rFonts w:hint="eastAsia"/>
          <w:vertAlign w:val="subscript"/>
        </w:rPr>
        <w:t>BV</w:t>
      </w:r>
      <w:r>
        <w:t>=0.00042</w:t>
      </w:r>
      <w:r>
        <w:rPr>
          <w:rFonts w:hint="eastAsia"/>
        </w:rPr>
        <w:t>psig；</w:t>
      </w:r>
    </w:p>
    <w:p w14:paraId="655D9E49">
      <w:pPr>
        <w:ind w:firstLine="480"/>
      </w:pPr>
      <w:r>
        <w:rPr>
          <w:rFonts w:hint="eastAsia"/>
        </w:rPr>
        <w:t>P</w:t>
      </w:r>
      <w:r>
        <w:rPr>
          <w:rFonts w:hint="eastAsia"/>
          <w:vertAlign w:val="subscript"/>
        </w:rPr>
        <w:t>A</w:t>
      </w:r>
      <w:r>
        <w:rPr>
          <w:rFonts w:hint="eastAsia"/>
        </w:rPr>
        <w:t>——大气压力，psia，本项目所在区域大气压力为0</w:t>
      </w:r>
      <w:r>
        <w:t>.09</w:t>
      </w:r>
      <w:r>
        <w:rPr>
          <w:rFonts w:hint="eastAsia"/>
        </w:rPr>
        <w:t>MPa</w:t>
      </w:r>
      <w:r>
        <w:t>=0.0013</w:t>
      </w:r>
      <w:r>
        <w:rPr>
          <w:rFonts w:hint="eastAsia"/>
        </w:rPr>
        <w:t>psi。</w:t>
      </w:r>
    </w:p>
    <w:p w14:paraId="1588A9A4">
      <w:pPr>
        <w:ind w:firstLine="480"/>
      </w:pPr>
      <w:r>
        <w:rPr>
          <w:rFonts w:hint="eastAsia"/>
        </w:rPr>
        <w:t>则K</w:t>
      </w:r>
      <w:r>
        <w:rPr>
          <w:rFonts w:hint="eastAsia"/>
          <w:vertAlign w:val="subscript"/>
        </w:rPr>
        <w:t>E</w:t>
      </w:r>
      <w:r>
        <w:rPr>
          <w:rFonts w:hint="eastAsia"/>
        </w:rPr>
        <w:t>=</w:t>
      </w:r>
      <w:r>
        <w:t>29.0171</w:t>
      </w:r>
      <w:r>
        <w:rPr>
          <w:rFonts w:hint="eastAsia"/>
        </w:rPr>
        <w:t>÷5</w:t>
      </w:r>
      <w:r>
        <w:t>28.9726+</w:t>
      </w:r>
      <w:r>
        <w:rPr>
          <w:rFonts w:hint="eastAsia"/>
        </w:rPr>
        <w:t>（0</w:t>
      </w:r>
      <w:r>
        <w:t>.4913-0.00042</w:t>
      </w:r>
      <w:r>
        <w:rPr>
          <w:rFonts w:hint="eastAsia"/>
        </w:rPr>
        <w:t>）÷（0</w:t>
      </w:r>
      <w:r>
        <w:t>.0013-2.1245</w:t>
      </w:r>
      <w:r>
        <w:rPr>
          <w:rFonts w:hint="eastAsia"/>
        </w:rPr>
        <w:t>）＜</w:t>
      </w:r>
      <w:r>
        <w:t>0=0.0549</w:t>
      </w:r>
      <w:r>
        <w:rPr>
          <w:rFonts w:hint="eastAsia"/>
        </w:rPr>
        <w:t>。</w:t>
      </w:r>
    </w:p>
    <w:p w14:paraId="6C90DFAD">
      <w:pPr>
        <w:ind w:firstLine="482"/>
      </w:pPr>
      <w:r>
        <w:rPr>
          <w:rFonts w:hint="eastAsia" w:ascii="宋体" w:hAnsi="宋体" w:cs="宋体"/>
          <w:b/>
        </w:rPr>
        <w:t>⑤</w:t>
      </w:r>
      <w:r>
        <w:rPr>
          <w:rFonts w:hint="eastAsia"/>
          <w:b/>
        </w:rPr>
        <w:t>K</w:t>
      </w:r>
      <w:r>
        <w:rPr>
          <w:rFonts w:hint="eastAsia"/>
          <w:b/>
          <w:vertAlign w:val="subscript"/>
        </w:rPr>
        <w:t>S</w:t>
      </w:r>
      <w:r>
        <w:rPr>
          <w:rFonts w:hint="eastAsia"/>
          <w:b/>
        </w:rPr>
        <w:t>排放蒸汽饱和因子</w:t>
      </w:r>
      <w:r>
        <w:rPr>
          <w:rFonts w:hint="eastAsia"/>
        </w:rPr>
        <w:t>，计算公式如下：</w:t>
      </w:r>
    </w:p>
    <w:p w14:paraId="5FF49F5F">
      <w:pPr>
        <w:spacing w:line="240" w:lineRule="auto"/>
        <w:ind w:firstLine="0" w:firstLineChars="0"/>
        <w:jc w:val="center"/>
      </w:pPr>
      <w:r>
        <w:drawing>
          <wp:inline distT="0" distB="0" distL="114300" distR="114300">
            <wp:extent cx="2057400" cy="647700"/>
            <wp:effectExtent l="0" t="0" r="0"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55"/>
                    <a:stretch>
                      <a:fillRect/>
                    </a:stretch>
                  </pic:blipFill>
                  <pic:spPr>
                    <a:xfrm>
                      <a:off x="0" y="0"/>
                      <a:ext cx="2057400" cy="647700"/>
                    </a:xfrm>
                    <a:prstGeom prst="rect">
                      <a:avLst/>
                    </a:prstGeom>
                    <a:noFill/>
                    <a:ln>
                      <a:noFill/>
                    </a:ln>
                  </pic:spPr>
                </pic:pic>
              </a:graphicData>
            </a:graphic>
          </wp:inline>
        </w:drawing>
      </w:r>
    </w:p>
    <w:p w14:paraId="43E64FA2">
      <w:pPr>
        <w:ind w:firstLine="480"/>
      </w:pPr>
      <w:r>
        <w:rPr>
          <w:rFonts w:hint="eastAsia"/>
        </w:rPr>
        <w:t>则K</w:t>
      </w:r>
      <w:r>
        <w:rPr>
          <w:rFonts w:hint="eastAsia"/>
          <w:vertAlign w:val="subscript"/>
        </w:rPr>
        <w:t>S</w:t>
      </w:r>
      <w:r>
        <w:t>=1</w:t>
      </w:r>
      <w:r>
        <w:rPr>
          <w:rFonts w:hint="eastAsia"/>
        </w:rPr>
        <w:t>÷（1</w:t>
      </w:r>
      <w:r>
        <w:t>+0.053</w:t>
      </w:r>
      <w:r>
        <w:rPr>
          <w:rFonts w:hint="eastAsia"/>
        </w:rPr>
        <w:t>×2</w:t>
      </w:r>
      <w:r>
        <w:t>.1245</w:t>
      </w:r>
      <w:r>
        <w:rPr>
          <w:rFonts w:hint="eastAsia"/>
        </w:rPr>
        <w:t>×7</w:t>
      </w:r>
      <w:r>
        <w:t>.2677</w:t>
      </w:r>
      <w:r>
        <w:rPr>
          <w:rFonts w:hint="eastAsia"/>
        </w:rPr>
        <w:t>）=</w:t>
      </w:r>
      <w:r>
        <w:t>0.55</w:t>
      </w:r>
      <w:r>
        <w:rPr>
          <w:rFonts w:hint="eastAsia"/>
        </w:rPr>
        <w:t>。</w:t>
      </w:r>
    </w:p>
    <w:p w14:paraId="550505F2">
      <w:pPr>
        <w:ind w:firstLine="482"/>
      </w:pPr>
      <w:r>
        <w:rPr>
          <w:rFonts w:hint="eastAsia" w:ascii="宋体" w:hAnsi="宋体" w:cs="宋体"/>
          <w:b/>
        </w:rPr>
        <w:t>⑥</w:t>
      </w:r>
      <w:r>
        <w:rPr>
          <w:rFonts w:hint="eastAsia"/>
          <w:b/>
        </w:rPr>
        <w:t>Q年周转量</w:t>
      </w:r>
      <w:r>
        <w:rPr>
          <w:rFonts w:hint="eastAsia"/>
        </w:rPr>
        <w:t>，根据项目设计，2储罐区共计2</w:t>
      </w:r>
      <w:r>
        <w:t>9</w:t>
      </w:r>
      <w:r>
        <w:rPr>
          <w:rFonts w:hint="eastAsia"/>
        </w:rPr>
        <w:t>个储罐，容积为1</w:t>
      </w:r>
      <w:r>
        <w:t>000</w:t>
      </w:r>
      <w:r>
        <w:rPr>
          <w:rFonts w:hint="eastAsia"/>
        </w:rPr>
        <w:t>m</w:t>
      </w:r>
      <w:r>
        <w:rPr>
          <w:vertAlign w:val="superscript"/>
        </w:rPr>
        <w:t>3</w:t>
      </w:r>
      <w:r>
        <w:t>/</w:t>
      </w:r>
      <w:r>
        <w:rPr>
          <w:rFonts w:hint="eastAsia"/>
        </w:rPr>
        <w:t>个，按照8</w:t>
      </w:r>
      <w:r>
        <w:t>0%</w:t>
      </w:r>
      <w:r>
        <w:rPr>
          <w:rFonts w:hint="eastAsia"/>
        </w:rPr>
        <w:t>储量计算，年周转量为2</w:t>
      </w:r>
      <w:r>
        <w:t>9</w:t>
      </w:r>
      <w:r>
        <w:rPr>
          <w:rFonts w:hint="eastAsia"/>
        </w:rPr>
        <w:t>×1</w:t>
      </w:r>
      <w:r>
        <w:t>000</w:t>
      </w:r>
      <w:r>
        <w:rPr>
          <w:rFonts w:hint="eastAsia"/>
        </w:rPr>
        <w:t>×8</w:t>
      </w:r>
      <w:r>
        <w:t>0%=23200</w:t>
      </w:r>
      <w:r>
        <w:rPr>
          <w:rFonts w:hint="eastAsia"/>
        </w:rPr>
        <w:t>m</w:t>
      </w:r>
      <w:r>
        <w:rPr>
          <w:vertAlign w:val="superscript"/>
        </w:rPr>
        <w:t>3</w:t>
      </w:r>
      <w:r>
        <w:t>/a=1417.6597=1418</w:t>
      </w:r>
      <w:r>
        <w:rPr>
          <w:rFonts w:hint="eastAsia"/>
        </w:rPr>
        <w:t>bbl</w:t>
      </w:r>
      <w:r>
        <w:t>/a</w:t>
      </w:r>
      <w:r>
        <w:rPr>
          <w:rFonts w:hint="eastAsia"/>
        </w:rPr>
        <w:t>。</w:t>
      </w:r>
    </w:p>
    <w:p w14:paraId="400F9826">
      <w:pPr>
        <w:ind w:firstLine="482"/>
      </w:pPr>
      <w:r>
        <w:rPr>
          <w:rFonts w:hint="eastAsia" w:ascii="宋体" w:hAnsi="宋体" w:cs="宋体"/>
          <w:b/>
        </w:rPr>
        <w:t>⑦</w:t>
      </w:r>
      <w:r>
        <w:rPr>
          <w:rFonts w:hint="eastAsia"/>
          <w:b/>
        </w:rPr>
        <w:t>K</w:t>
      </w:r>
      <w:r>
        <w:rPr>
          <w:rFonts w:hint="eastAsia"/>
          <w:b/>
          <w:vertAlign w:val="subscript"/>
        </w:rPr>
        <w:t>N</w:t>
      </w:r>
      <w:r>
        <w:rPr>
          <w:rFonts w:hint="eastAsia"/>
          <w:b/>
        </w:rPr>
        <w:t>工作排放周转（饱和）因子</w:t>
      </w:r>
      <w:r>
        <w:rPr>
          <w:rFonts w:hint="eastAsia"/>
        </w:rPr>
        <w:t>，该项参数选取按照如下公式和条件确定：</w:t>
      </w:r>
    </w:p>
    <w:p w14:paraId="1AC485BE">
      <w:pPr>
        <w:spacing w:line="240" w:lineRule="auto"/>
        <w:ind w:firstLine="0" w:firstLineChars="0"/>
        <w:jc w:val="center"/>
      </w:pPr>
      <w:r>
        <w:drawing>
          <wp:inline distT="0" distB="0" distL="114300" distR="114300">
            <wp:extent cx="1304925" cy="495300"/>
            <wp:effectExtent l="0" t="0" r="9525" b="0"/>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pic:cNvPicPr>
                      <a:picLocks noChangeAspect="1"/>
                    </pic:cNvPicPr>
                  </pic:nvPicPr>
                  <pic:blipFill>
                    <a:blip r:embed="rId56"/>
                    <a:stretch>
                      <a:fillRect/>
                    </a:stretch>
                  </pic:blipFill>
                  <pic:spPr>
                    <a:xfrm>
                      <a:off x="0" y="0"/>
                      <a:ext cx="1304925" cy="495300"/>
                    </a:xfrm>
                    <a:prstGeom prst="rect">
                      <a:avLst/>
                    </a:prstGeom>
                    <a:noFill/>
                    <a:ln>
                      <a:noFill/>
                    </a:ln>
                  </pic:spPr>
                </pic:pic>
              </a:graphicData>
            </a:graphic>
          </wp:inline>
        </w:drawing>
      </w:r>
    </w:p>
    <w:p w14:paraId="3E786173">
      <w:pPr>
        <w:ind w:firstLine="480"/>
      </w:pPr>
      <w:r>
        <w:rPr>
          <w:rFonts w:hint="eastAsia"/>
        </w:rPr>
        <w:t>其中，V取储罐最大储存容积，bbl，如果最大储存容积未知，取公称容积的0</w:t>
      </w:r>
      <w:r>
        <w:t>.85</w:t>
      </w:r>
      <w:r>
        <w:rPr>
          <w:rFonts w:hint="eastAsia"/>
        </w:rPr>
        <w:t>倍，当周转数＞3</w:t>
      </w:r>
      <w:r>
        <w:t>6</w:t>
      </w:r>
      <w:r>
        <w:rPr>
          <w:rFonts w:hint="eastAsia"/>
        </w:rPr>
        <w:t>，K</w:t>
      </w:r>
      <w:r>
        <w:rPr>
          <w:rFonts w:hint="eastAsia"/>
          <w:vertAlign w:val="subscript"/>
        </w:rPr>
        <w:t>N</w:t>
      </w:r>
      <w:r>
        <w:t>=</w:t>
      </w:r>
      <w:r>
        <w:rPr>
          <w:rFonts w:hint="eastAsia"/>
        </w:rPr>
        <w:t>（1</w:t>
      </w:r>
      <w:r>
        <w:t>80+</w:t>
      </w:r>
      <w:r>
        <w:rPr>
          <w:rFonts w:hint="eastAsia"/>
        </w:rPr>
        <w:t>N）/</w:t>
      </w:r>
      <w:r>
        <w:t>6</w:t>
      </w:r>
      <w:r>
        <w:rPr>
          <w:rFonts w:hint="eastAsia"/>
        </w:rPr>
        <w:t>N；当周转数≤</w:t>
      </w:r>
      <w:r>
        <w:t>36</w:t>
      </w:r>
      <w:r>
        <w:rPr>
          <w:rFonts w:hint="eastAsia"/>
        </w:rPr>
        <w:t>，K</w:t>
      </w:r>
      <w:r>
        <w:rPr>
          <w:rFonts w:hint="eastAsia"/>
          <w:vertAlign w:val="subscript"/>
        </w:rPr>
        <w:t>N</w:t>
      </w:r>
      <w:r>
        <w:t>=1</w:t>
      </w:r>
      <w:r>
        <w:rPr>
          <w:rFonts w:hint="eastAsia"/>
        </w:rPr>
        <w:t>。</w:t>
      </w:r>
    </w:p>
    <w:p w14:paraId="17120FC6">
      <w:pPr>
        <w:ind w:firstLine="480"/>
      </w:pPr>
      <w:r>
        <w:rPr>
          <w:rFonts w:hint="eastAsia"/>
        </w:rPr>
        <w:t>根据上述计算公式可知：周转数=</w:t>
      </w:r>
      <w:r>
        <w:t>1418</w:t>
      </w:r>
      <w:r>
        <w:rPr>
          <w:rFonts w:hint="eastAsia"/>
        </w:rPr>
        <w:t>÷7÷2</w:t>
      </w:r>
      <w:r>
        <w:t>9=6.9852=7</w:t>
      </w:r>
      <w:r>
        <w:rPr>
          <w:rFonts w:hint="eastAsia"/>
        </w:rPr>
        <w:t>＜3</w:t>
      </w:r>
      <w:r>
        <w:t>6</w:t>
      </w:r>
      <w:r>
        <w:rPr>
          <w:rFonts w:hint="eastAsia"/>
        </w:rPr>
        <w:t>，因子，K</w:t>
      </w:r>
      <w:r>
        <w:rPr>
          <w:rFonts w:hint="eastAsia"/>
          <w:vertAlign w:val="subscript"/>
        </w:rPr>
        <w:t>N</w:t>
      </w:r>
      <w:r>
        <w:t>=1</w:t>
      </w:r>
      <w:r>
        <w:rPr>
          <w:rFonts w:hint="eastAsia"/>
        </w:rPr>
        <w:t>。</w:t>
      </w:r>
    </w:p>
    <w:p w14:paraId="215EFEB9">
      <w:pPr>
        <w:ind w:firstLine="482"/>
      </w:pPr>
      <w:r>
        <w:rPr>
          <w:rFonts w:hint="eastAsia" w:ascii="宋体" w:hAnsi="宋体" w:cs="宋体"/>
          <w:b/>
        </w:rPr>
        <w:t>⑧</w:t>
      </w:r>
      <w:r>
        <w:rPr>
          <w:rFonts w:hint="eastAsia"/>
          <w:b/>
        </w:rPr>
        <w:t>K</w:t>
      </w:r>
      <w:r>
        <w:rPr>
          <w:rFonts w:hint="eastAsia"/>
          <w:b/>
          <w:vertAlign w:val="subscript"/>
        </w:rPr>
        <w:t>B</w:t>
      </w:r>
      <w:r>
        <w:rPr>
          <w:rFonts w:hint="eastAsia"/>
          <w:b/>
        </w:rPr>
        <w:t>呼吸阀工作校正因子</w:t>
      </w:r>
      <w:r>
        <w:rPr>
          <w:rFonts w:hint="eastAsia"/>
        </w:rPr>
        <w:t>，按照如下计算公式和情况判定：</w:t>
      </w:r>
    </w:p>
    <w:p w14:paraId="717FB7CE">
      <w:pPr>
        <w:ind w:firstLine="480"/>
      </w:pPr>
      <w:r>
        <w:rPr>
          <w:rFonts w:hint="eastAsia"/>
        </w:rPr>
        <w:t>当</w:t>
      </w:r>
      <w:r>
        <w:drawing>
          <wp:inline distT="0" distB="0" distL="114300" distR="114300">
            <wp:extent cx="1866900" cy="771525"/>
            <wp:effectExtent l="0" t="0" r="0" b="9525"/>
            <wp:docPr id="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pic:cNvPicPr>
                      <a:picLocks noChangeAspect="1"/>
                    </pic:cNvPicPr>
                  </pic:nvPicPr>
                  <pic:blipFill>
                    <a:blip r:embed="rId57"/>
                    <a:srcRect l="8453" r="3334"/>
                    <a:stretch>
                      <a:fillRect/>
                    </a:stretch>
                  </pic:blipFill>
                  <pic:spPr>
                    <a:xfrm>
                      <a:off x="0" y="0"/>
                      <a:ext cx="1866900" cy="771525"/>
                    </a:xfrm>
                    <a:prstGeom prst="rect">
                      <a:avLst/>
                    </a:prstGeom>
                    <a:noFill/>
                    <a:ln>
                      <a:noFill/>
                    </a:ln>
                  </pic:spPr>
                </pic:pic>
              </a:graphicData>
            </a:graphic>
          </wp:inline>
        </w:drawing>
      </w:r>
      <w:r>
        <w:rPr>
          <w:rFonts w:hint="eastAsia"/>
        </w:rPr>
        <w:t>，</w:t>
      </w:r>
      <w:r>
        <w:drawing>
          <wp:inline distT="0" distB="0" distL="114300" distR="114300">
            <wp:extent cx="2143125" cy="828675"/>
            <wp:effectExtent l="0" t="0" r="9525" b="9525"/>
            <wp:docPr id="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pic:cNvPicPr>
                      <a:picLocks noChangeAspect="1"/>
                    </pic:cNvPicPr>
                  </pic:nvPicPr>
                  <pic:blipFill>
                    <a:blip r:embed="rId58"/>
                    <a:stretch>
                      <a:fillRect/>
                    </a:stretch>
                  </pic:blipFill>
                  <pic:spPr>
                    <a:xfrm>
                      <a:off x="0" y="0"/>
                      <a:ext cx="2143125" cy="828675"/>
                    </a:xfrm>
                    <a:prstGeom prst="rect">
                      <a:avLst/>
                    </a:prstGeom>
                    <a:noFill/>
                    <a:ln>
                      <a:noFill/>
                    </a:ln>
                  </pic:spPr>
                </pic:pic>
              </a:graphicData>
            </a:graphic>
          </wp:inline>
        </w:drawing>
      </w:r>
      <w:r>
        <w:rPr>
          <w:rFonts w:hint="eastAsia"/>
        </w:rPr>
        <w:t>；</w:t>
      </w:r>
    </w:p>
    <w:p w14:paraId="1F93F122">
      <w:pPr>
        <w:ind w:firstLine="480"/>
      </w:pPr>
      <w:r>
        <w:rPr>
          <w:rFonts w:hint="eastAsia"/>
        </w:rPr>
        <w:t>当</w:t>
      </w:r>
      <w:r>
        <w:drawing>
          <wp:inline distT="0" distB="0" distL="114300" distR="114300">
            <wp:extent cx="2047875" cy="752475"/>
            <wp:effectExtent l="0" t="0" r="9525" b="9525"/>
            <wp:docPr id="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pic:cNvPicPr>
                      <a:picLocks noChangeAspect="1"/>
                    </pic:cNvPicPr>
                  </pic:nvPicPr>
                  <pic:blipFill>
                    <a:blip r:embed="rId59"/>
                    <a:stretch>
                      <a:fillRect/>
                    </a:stretch>
                  </pic:blipFill>
                  <pic:spPr>
                    <a:xfrm>
                      <a:off x="0" y="0"/>
                      <a:ext cx="2047875" cy="752475"/>
                    </a:xfrm>
                    <a:prstGeom prst="rect">
                      <a:avLst/>
                    </a:prstGeom>
                    <a:noFill/>
                    <a:ln>
                      <a:noFill/>
                    </a:ln>
                  </pic:spPr>
                </pic:pic>
              </a:graphicData>
            </a:graphic>
          </wp:inline>
        </w:drawing>
      </w:r>
      <w:r>
        <w:rPr>
          <w:rFonts w:hint="eastAsia"/>
        </w:rPr>
        <w:t>，</w:t>
      </w:r>
      <w:r>
        <w:drawing>
          <wp:inline distT="0" distB="0" distL="114300" distR="114300">
            <wp:extent cx="762000" cy="333375"/>
            <wp:effectExtent l="0" t="0" r="0" b="9525"/>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pic:cNvPicPr>
                      <a:picLocks noChangeAspect="1"/>
                    </pic:cNvPicPr>
                  </pic:nvPicPr>
                  <pic:blipFill>
                    <a:blip r:embed="rId60"/>
                    <a:stretch>
                      <a:fillRect/>
                    </a:stretch>
                  </pic:blipFill>
                  <pic:spPr>
                    <a:xfrm>
                      <a:off x="0" y="0"/>
                      <a:ext cx="762000" cy="333375"/>
                    </a:xfrm>
                    <a:prstGeom prst="rect">
                      <a:avLst/>
                    </a:prstGeom>
                    <a:noFill/>
                    <a:ln>
                      <a:noFill/>
                    </a:ln>
                  </pic:spPr>
                </pic:pic>
              </a:graphicData>
            </a:graphic>
          </wp:inline>
        </w:drawing>
      </w:r>
      <w:r>
        <w:rPr>
          <w:rFonts w:hint="eastAsia"/>
        </w:rPr>
        <w:t>。</w:t>
      </w:r>
    </w:p>
    <w:p w14:paraId="226D36CE">
      <w:pPr>
        <w:ind w:firstLine="480"/>
      </w:pPr>
      <w:r>
        <w:rPr>
          <w:rFonts w:hint="eastAsia"/>
        </w:rPr>
        <w:t>根据前文参数计算，K</w:t>
      </w:r>
      <w:r>
        <w:rPr>
          <w:rFonts w:hint="eastAsia"/>
          <w:vertAlign w:val="subscript"/>
        </w:rPr>
        <w:t>N</w:t>
      </w:r>
      <w:r>
        <w:rPr>
          <w:rFonts w:hint="eastAsia"/>
        </w:rPr>
        <w:t>［（P</w:t>
      </w:r>
      <w:r>
        <w:rPr>
          <w:rFonts w:hint="eastAsia"/>
          <w:vertAlign w:val="subscript"/>
        </w:rPr>
        <w:t>BP</w:t>
      </w:r>
      <w:r>
        <w:t>+</w:t>
      </w:r>
      <w:r>
        <w:rPr>
          <w:rFonts w:hint="eastAsia"/>
        </w:rPr>
        <w:t>P</w:t>
      </w:r>
      <w:r>
        <w:rPr>
          <w:rFonts w:hint="eastAsia"/>
          <w:vertAlign w:val="subscript"/>
        </w:rPr>
        <w:t>A</w:t>
      </w:r>
      <w:r>
        <w:rPr>
          <w:rFonts w:hint="eastAsia"/>
        </w:rPr>
        <w:t>）÷（P</w:t>
      </w:r>
      <w:r>
        <w:rPr>
          <w:rFonts w:hint="eastAsia"/>
          <w:vertAlign w:val="subscript"/>
        </w:rPr>
        <w:t>I</w:t>
      </w:r>
      <w:r>
        <w:t>+</w:t>
      </w:r>
      <w:r>
        <w:rPr>
          <w:rFonts w:hint="eastAsia"/>
        </w:rPr>
        <w:t>P</w:t>
      </w:r>
      <w:r>
        <w:rPr>
          <w:rFonts w:hint="eastAsia"/>
          <w:vertAlign w:val="subscript"/>
        </w:rPr>
        <w:t>A</w:t>
      </w:r>
      <w:r>
        <w:rPr>
          <w:rFonts w:hint="eastAsia"/>
        </w:rPr>
        <w:t>）］=</w:t>
      </w:r>
      <w:r>
        <w:t>1</w:t>
      </w:r>
      <w:r>
        <w:rPr>
          <w:rFonts w:hint="eastAsia"/>
        </w:rPr>
        <w:t>×［（0</w:t>
      </w:r>
      <w:r>
        <w:t>.001+0.0013</w:t>
      </w:r>
      <w:r>
        <w:rPr>
          <w:rFonts w:hint="eastAsia"/>
        </w:rPr>
        <w:t>）÷（0</w:t>
      </w:r>
      <w:r>
        <w:t>+0.0013</w:t>
      </w:r>
      <w:r>
        <w:rPr>
          <w:rFonts w:hint="eastAsia"/>
        </w:rPr>
        <w:t>）］=</w:t>
      </w:r>
      <w:r>
        <w:t>1.77</w:t>
      </w:r>
      <w:r>
        <w:rPr>
          <w:rFonts w:hint="eastAsia"/>
        </w:rPr>
        <w:t>＞1，则K</w:t>
      </w:r>
      <w:r>
        <w:rPr>
          <w:rFonts w:hint="eastAsia"/>
          <w:vertAlign w:val="subscript"/>
        </w:rPr>
        <w:t>B</w:t>
      </w:r>
      <w:r>
        <w:t>=</w:t>
      </w:r>
      <w:r>
        <w:rPr>
          <w:rFonts w:hint="eastAsia"/>
        </w:rPr>
        <w:t>（0</w:t>
      </w:r>
      <w:r>
        <w:t>+0.0013-2.1245</w:t>
      </w:r>
      <w:r>
        <w:rPr>
          <w:rFonts w:hint="eastAsia"/>
        </w:rPr>
        <w:t>）÷（0</w:t>
      </w:r>
      <w:r>
        <w:t>.001+0.0013-2.1245</w:t>
      </w:r>
      <w:r>
        <w:rPr>
          <w:rFonts w:hint="eastAsia"/>
        </w:rPr>
        <w:t>）=</w:t>
      </w:r>
      <w:r>
        <w:t>1.0005</w:t>
      </w:r>
      <w:r>
        <w:rPr>
          <w:rFonts w:hint="eastAsia"/>
        </w:rPr>
        <w:t>。</w:t>
      </w:r>
    </w:p>
    <w:p w14:paraId="36669AC8">
      <w:pPr>
        <w:ind w:firstLine="480"/>
      </w:pPr>
      <w:r>
        <w:rPr>
          <w:rFonts w:hint="eastAsia"/>
        </w:rPr>
        <w:t>综上所述，本次估算挥发性有机液体储罐排放的挥发性有机物的参数选择与确定情况具体见表3</w:t>
      </w:r>
      <w:r>
        <w:t>.4-3</w:t>
      </w:r>
      <w:r>
        <w:rPr>
          <w:rFonts w:hint="eastAsia"/>
        </w:rPr>
        <w:t>。</w:t>
      </w:r>
    </w:p>
    <w:p w14:paraId="362E1CE1">
      <w:pPr>
        <w:pStyle w:val="47"/>
        <w:spacing w:before="65"/>
      </w:pPr>
      <w:r>
        <w:rPr>
          <w:rFonts w:hint="eastAsia"/>
        </w:rPr>
        <w:t>表3</w:t>
      </w:r>
      <w:r>
        <w:t xml:space="preserve">.4-3   </w:t>
      </w:r>
      <w:r>
        <w:rPr>
          <w:rFonts w:hint="eastAsia"/>
        </w:rPr>
        <w:t>估算</w:t>
      </w:r>
      <w:r>
        <w:rPr>
          <w:rFonts w:hint="eastAsia"/>
          <w:lang w:val="en-US"/>
        </w:rPr>
        <w:t>储罐排放</w:t>
      </w:r>
      <w:r>
        <w:rPr>
          <w:rFonts w:hint="eastAsia"/>
        </w:rPr>
        <w:t>有机废气量参数一览表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38"/>
        <w:gridCol w:w="1368"/>
        <w:gridCol w:w="1386"/>
        <w:gridCol w:w="1295"/>
        <w:gridCol w:w="1249"/>
        <w:gridCol w:w="1294"/>
      </w:tblGrid>
      <w:tr w14:paraId="739D2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138" w:type="dxa"/>
            <w:shd w:val="clear" w:color="auto" w:fill="auto"/>
            <w:vAlign w:val="center"/>
          </w:tcPr>
          <w:p w14:paraId="4F8D4980">
            <w:pPr>
              <w:pStyle w:val="90"/>
            </w:pPr>
            <w:r>
              <w:rPr>
                <w:rFonts w:hint="eastAsia"/>
              </w:rPr>
              <w:t>D</w:t>
            </w:r>
          </w:p>
        </w:tc>
        <w:tc>
          <w:tcPr>
            <w:tcW w:w="1368" w:type="dxa"/>
            <w:shd w:val="clear" w:color="auto" w:fill="auto"/>
            <w:vAlign w:val="center"/>
          </w:tcPr>
          <w:p w14:paraId="54B7236E">
            <w:pPr>
              <w:pStyle w:val="90"/>
              <w:rPr>
                <w:vertAlign w:val="subscript"/>
              </w:rPr>
            </w:pPr>
            <w:r>
              <w:rPr>
                <w:rFonts w:hint="eastAsia"/>
              </w:rPr>
              <w:t>H</w:t>
            </w:r>
            <w:r>
              <w:rPr>
                <w:rFonts w:hint="eastAsia"/>
                <w:vertAlign w:val="subscript"/>
              </w:rPr>
              <w:t>VO</w:t>
            </w:r>
          </w:p>
        </w:tc>
        <w:tc>
          <w:tcPr>
            <w:tcW w:w="1386" w:type="dxa"/>
            <w:shd w:val="clear" w:color="auto" w:fill="auto"/>
            <w:vAlign w:val="center"/>
          </w:tcPr>
          <w:p w14:paraId="4BDA713E">
            <w:pPr>
              <w:pStyle w:val="90"/>
              <w:rPr>
                <w:vertAlign w:val="subscript"/>
              </w:rPr>
            </w:pPr>
            <w:r>
              <w:rPr>
                <w:rFonts w:hint="eastAsia"/>
              </w:rPr>
              <w:t>W</w:t>
            </w:r>
            <w:r>
              <w:rPr>
                <w:rFonts w:hint="eastAsia"/>
                <w:vertAlign w:val="subscript"/>
              </w:rPr>
              <w:t>V</w:t>
            </w:r>
          </w:p>
        </w:tc>
        <w:tc>
          <w:tcPr>
            <w:tcW w:w="1295" w:type="dxa"/>
            <w:shd w:val="clear" w:color="auto" w:fill="auto"/>
            <w:vAlign w:val="center"/>
          </w:tcPr>
          <w:p w14:paraId="251A8E97">
            <w:pPr>
              <w:pStyle w:val="90"/>
              <w:rPr>
                <w:vertAlign w:val="subscript"/>
              </w:rPr>
            </w:pPr>
            <w:r>
              <w:rPr>
                <w:rFonts w:hint="eastAsia"/>
              </w:rPr>
              <w:t>K</w:t>
            </w:r>
            <w:r>
              <w:rPr>
                <w:rFonts w:hint="eastAsia"/>
                <w:vertAlign w:val="subscript"/>
              </w:rPr>
              <w:t>E</w:t>
            </w:r>
          </w:p>
        </w:tc>
        <w:tc>
          <w:tcPr>
            <w:tcW w:w="1249" w:type="dxa"/>
            <w:shd w:val="clear" w:color="auto" w:fill="auto"/>
            <w:vAlign w:val="center"/>
          </w:tcPr>
          <w:p w14:paraId="54D4A3DF">
            <w:pPr>
              <w:pStyle w:val="90"/>
              <w:rPr>
                <w:vertAlign w:val="subscript"/>
              </w:rPr>
            </w:pPr>
            <w:r>
              <w:rPr>
                <w:rFonts w:hint="eastAsia"/>
              </w:rPr>
              <w:t>K</w:t>
            </w:r>
            <w:r>
              <w:rPr>
                <w:rFonts w:hint="eastAsia"/>
                <w:vertAlign w:val="subscript"/>
              </w:rPr>
              <w:t>S</w:t>
            </w:r>
          </w:p>
        </w:tc>
        <w:tc>
          <w:tcPr>
            <w:tcW w:w="1294" w:type="dxa"/>
            <w:shd w:val="clear" w:color="auto" w:fill="auto"/>
            <w:vAlign w:val="center"/>
          </w:tcPr>
          <w:p w14:paraId="6364EEF5">
            <w:pPr>
              <w:pStyle w:val="90"/>
              <w:rPr>
                <w:vertAlign w:val="subscript"/>
              </w:rPr>
            </w:pPr>
            <w:r>
              <w:rPr>
                <w:rFonts w:hint="eastAsia"/>
              </w:rPr>
              <w:t>E</w:t>
            </w:r>
            <w:r>
              <w:rPr>
                <w:rFonts w:hint="eastAsia"/>
                <w:vertAlign w:val="subscript"/>
              </w:rPr>
              <w:t>S</w:t>
            </w:r>
          </w:p>
        </w:tc>
      </w:tr>
      <w:tr w14:paraId="45EF6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138" w:type="dxa"/>
            <w:shd w:val="clear" w:color="auto" w:fill="auto"/>
            <w:vAlign w:val="center"/>
          </w:tcPr>
          <w:p w14:paraId="2B41A0C7">
            <w:pPr>
              <w:pStyle w:val="90"/>
            </w:pPr>
            <w:r>
              <w:t>36.0892</w:t>
            </w:r>
            <w:r>
              <w:rPr>
                <w:rFonts w:hint="eastAsia"/>
              </w:rPr>
              <w:t>ft</w:t>
            </w:r>
          </w:p>
        </w:tc>
        <w:tc>
          <w:tcPr>
            <w:tcW w:w="1368" w:type="dxa"/>
            <w:shd w:val="clear" w:color="auto" w:fill="auto"/>
            <w:vAlign w:val="center"/>
          </w:tcPr>
          <w:p w14:paraId="2FD6613C">
            <w:pPr>
              <w:pStyle w:val="90"/>
            </w:pPr>
            <w:r>
              <w:rPr>
                <w:rFonts w:hint="eastAsia"/>
              </w:rPr>
              <w:t>7</w:t>
            </w:r>
            <w:r>
              <w:t>.2677</w:t>
            </w:r>
            <w:r>
              <w:rPr>
                <w:rFonts w:hint="eastAsia"/>
              </w:rPr>
              <w:t>ft</w:t>
            </w:r>
          </w:p>
        </w:tc>
        <w:tc>
          <w:tcPr>
            <w:tcW w:w="1386" w:type="dxa"/>
            <w:shd w:val="clear" w:color="auto" w:fill="auto"/>
            <w:vAlign w:val="center"/>
          </w:tcPr>
          <w:p w14:paraId="7817A48D">
            <w:pPr>
              <w:pStyle w:val="90"/>
            </w:pPr>
            <w:r>
              <w:t>0.0005lb/ft</w:t>
            </w:r>
            <w:r>
              <w:rPr>
                <w:vertAlign w:val="superscript"/>
              </w:rPr>
              <w:t>3</w:t>
            </w:r>
          </w:p>
        </w:tc>
        <w:tc>
          <w:tcPr>
            <w:tcW w:w="1295" w:type="dxa"/>
            <w:shd w:val="clear" w:color="auto" w:fill="auto"/>
            <w:vAlign w:val="center"/>
          </w:tcPr>
          <w:p w14:paraId="338CA724">
            <w:pPr>
              <w:pStyle w:val="90"/>
            </w:pPr>
            <w:r>
              <w:rPr>
                <w:rFonts w:hint="eastAsia"/>
              </w:rPr>
              <w:t>0</w:t>
            </w:r>
            <w:r>
              <w:t>.0549</w:t>
            </w:r>
          </w:p>
        </w:tc>
        <w:tc>
          <w:tcPr>
            <w:tcW w:w="1249" w:type="dxa"/>
            <w:shd w:val="clear" w:color="auto" w:fill="auto"/>
            <w:vAlign w:val="center"/>
          </w:tcPr>
          <w:p w14:paraId="4B0E4C14">
            <w:pPr>
              <w:pStyle w:val="90"/>
            </w:pPr>
            <w:r>
              <w:rPr>
                <w:rFonts w:hint="eastAsia"/>
              </w:rPr>
              <w:t>0</w:t>
            </w:r>
            <w:r>
              <w:t>.55</w:t>
            </w:r>
          </w:p>
        </w:tc>
        <w:tc>
          <w:tcPr>
            <w:tcW w:w="1294" w:type="dxa"/>
            <w:shd w:val="clear" w:color="auto" w:fill="auto"/>
            <w:vAlign w:val="center"/>
          </w:tcPr>
          <w:p w14:paraId="1793BE00">
            <w:pPr>
              <w:pStyle w:val="90"/>
            </w:pPr>
            <w:r>
              <w:rPr>
                <w:rFonts w:hint="eastAsia"/>
              </w:rPr>
              <w:t>4</w:t>
            </w:r>
            <w:r>
              <w:t>0.9675</w:t>
            </w:r>
            <w:r>
              <w:rPr>
                <w:rFonts w:hint="eastAsia"/>
              </w:rPr>
              <w:t>lb</w:t>
            </w:r>
            <w:r>
              <w:t>/</w:t>
            </w:r>
            <w:r>
              <w:rPr>
                <w:rFonts w:hint="eastAsia"/>
              </w:rPr>
              <w:t>a</w:t>
            </w:r>
          </w:p>
        </w:tc>
      </w:tr>
      <w:tr w14:paraId="2D292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138" w:type="dxa"/>
            <w:shd w:val="clear" w:color="auto" w:fill="auto"/>
            <w:vAlign w:val="center"/>
          </w:tcPr>
          <w:p w14:paraId="75CFC080">
            <w:pPr>
              <w:pStyle w:val="90"/>
              <w:rPr>
                <w:vertAlign w:val="subscript"/>
              </w:rPr>
            </w:pPr>
            <w:r>
              <w:rPr>
                <w:rFonts w:hint="eastAsia"/>
              </w:rPr>
              <w:t>M</w:t>
            </w:r>
            <w:r>
              <w:rPr>
                <w:rFonts w:hint="eastAsia"/>
                <w:vertAlign w:val="subscript"/>
              </w:rPr>
              <w:t>V</w:t>
            </w:r>
          </w:p>
        </w:tc>
        <w:tc>
          <w:tcPr>
            <w:tcW w:w="1368" w:type="dxa"/>
            <w:shd w:val="clear" w:color="auto" w:fill="auto"/>
            <w:vAlign w:val="center"/>
          </w:tcPr>
          <w:p w14:paraId="433273A7">
            <w:pPr>
              <w:pStyle w:val="90"/>
              <w:rPr>
                <w:vertAlign w:val="subscript"/>
              </w:rPr>
            </w:pPr>
            <w:r>
              <w:rPr>
                <w:rFonts w:hint="eastAsia"/>
              </w:rPr>
              <w:t>P</w:t>
            </w:r>
            <w:r>
              <w:rPr>
                <w:rFonts w:hint="eastAsia"/>
                <w:vertAlign w:val="subscript"/>
              </w:rPr>
              <w:t>VA</w:t>
            </w:r>
          </w:p>
        </w:tc>
        <w:tc>
          <w:tcPr>
            <w:tcW w:w="1386" w:type="dxa"/>
            <w:shd w:val="clear" w:color="auto" w:fill="auto"/>
            <w:vAlign w:val="center"/>
          </w:tcPr>
          <w:p w14:paraId="485EAF24">
            <w:pPr>
              <w:pStyle w:val="90"/>
            </w:pPr>
            <w:r>
              <w:rPr>
                <w:rFonts w:hint="eastAsia"/>
              </w:rPr>
              <w:t>Q</w:t>
            </w:r>
          </w:p>
        </w:tc>
        <w:tc>
          <w:tcPr>
            <w:tcW w:w="1295" w:type="dxa"/>
            <w:shd w:val="clear" w:color="auto" w:fill="auto"/>
            <w:vAlign w:val="center"/>
          </w:tcPr>
          <w:p w14:paraId="0D7C0813">
            <w:pPr>
              <w:pStyle w:val="90"/>
              <w:rPr>
                <w:vertAlign w:val="subscript"/>
              </w:rPr>
            </w:pPr>
            <w:r>
              <w:rPr>
                <w:rFonts w:hint="eastAsia"/>
              </w:rPr>
              <w:t>K</w:t>
            </w:r>
            <w:r>
              <w:rPr>
                <w:rFonts w:hint="eastAsia"/>
                <w:vertAlign w:val="subscript"/>
              </w:rPr>
              <w:t>N</w:t>
            </w:r>
          </w:p>
        </w:tc>
        <w:tc>
          <w:tcPr>
            <w:tcW w:w="1249" w:type="dxa"/>
            <w:shd w:val="clear" w:color="auto" w:fill="auto"/>
            <w:vAlign w:val="center"/>
          </w:tcPr>
          <w:p w14:paraId="5EEC15CE">
            <w:pPr>
              <w:pStyle w:val="90"/>
              <w:rPr>
                <w:vertAlign w:val="subscript"/>
              </w:rPr>
            </w:pPr>
            <w:r>
              <w:rPr>
                <w:rFonts w:hint="eastAsia"/>
              </w:rPr>
              <w:t>K</w:t>
            </w:r>
            <w:r>
              <w:rPr>
                <w:rFonts w:hint="eastAsia"/>
                <w:vertAlign w:val="subscript"/>
              </w:rPr>
              <w:t>P</w:t>
            </w:r>
          </w:p>
        </w:tc>
        <w:tc>
          <w:tcPr>
            <w:tcW w:w="1294" w:type="dxa"/>
            <w:shd w:val="clear" w:color="auto" w:fill="auto"/>
            <w:vAlign w:val="center"/>
          </w:tcPr>
          <w:p w14:paraId="3B4C7BF1">
            <w:pPr>
              <w:pStyle w:val="90"/>
              <w:rPr>
                <w:vertAlign w:val="subscript"/>
              </w:rPr>
            </w:pPr>
            <w:r>
              <w:rPr>
                <w:rFonts w:hint="eastAsia"/>
              </w:rPr>
              <w:t>K</w:t>
            </w:r>
            <w:r>
              <w:rPr>
                <w:rFonts w:hint="eastAsia"/>
                <w:vertAlign w:val="subscript"/>
              </w:rPr>
              <w:t>B</w:t>
            </w:r>
          </w:p>
        </w:tc>
      </w:tr>
      <w:tr w14:paraId="3DF2F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138" w:type="dxa"/>
            <w:shd w:val="clear" w:color="auto" w:fill="auto"/>
            <w:vAlign w:val="center"/>
          </w:tcPr>
          <w:p w14:paraId="6F10BF27">
            <w:pPr>
              <w:pStyle w:val="90"/>
            </w:pPr>
            <w:r>
              <w:t>1.2214</w:t>
            </w:r>
            <w:r>
              <w:rPr>
                <w:rFonts w:hint="eastAsia"/>
              </w:rPr>
              <w:t>lb</w:t>
            </w:r>
            <w:r>
              <w:t>/</w:t>
            </w:r>
            <w:r>
              <w:rPr>
                <w:rFonts w:hint="eastAsia"/>
              </w:rPr>
              <w:t>lb</w:t>
            </w:r>
            <w:r>
              <w:t>-</w:t>
            </w:r>
            <w:r>
              <w:rPr>
                <w:rFonts w:hint="eastAsia"/>
              </w:rPr>
              <w:t>mol</w:t>
            </w:r>
          </w:p>
        </w:tc>
        <w:tc>
          <w:tcPr>
            <w:tcW w:w="1368" w:type="dxa"/>
            <w:shd w:val="clear" w:color="auto" w:fill="auto"/>
            <w:vAlign w:val="center"/>
          </w:tcPr>
          <w:p w14:paraId="0626E738">
            <w:pPr>
              <w:pStyle w:val="90"/>
            </w:pPr>
            <w:r>
              <w:t>2.1245</w:t>
            </w:r>
            <w:r>
              <w:rPr>
                <w:rFonts w:hint="eastAsia"/>
              </w:rPr>
              <w:t>psia</w:t>
            </w:r>
          </w:p>
        </w:tc>
        <w:tc>
          <w:tcPr>
            <w:tcW w:w="1386" w:type="dxa"/>
            <w:shd w:val="clear" w:color="auto" w:fill="auto"/>
            <w:vAlign w:val="center"/>
          </w:tcPr>
          <w:p w14:paraId="48BE27E5">
            <w:pPr>
              <w:pStyle w:val="90"/>
            </w:pPr>
            <w:r>
              <w:t>1418</w:t>
            </w:r>
            <w:r>
              <w:rPr>
                <w:rFonts w:hint="eastAsia"/>
              </w:rPr>
              <w:t>bbl</w:t>
            </w:r>
            <w:r>
              <w:t>/a</w:t>
            </w:r>
          </w:p>
        </w:tc>
        <w:tc>
          <w:tcPr>
            <w:tcW w:w="1295" w:type="dxa"/>
            <w:shd w:val="clear" w:color="auto" w:fill="auto"/>
            <w:vAlign w:val="center"/>
          </w:tcPr>
          <w:p w14:paraId="3321954C">
            <w:pPr>
              <w:pStyle w:val="90"/>
            </w:pPr>
            <w:r>
              <w:rPr>
                <w:rFonts w:hint="eastAsia"/>
              </w:rPr>
              <w:t>1</w:t>
            </w:r>
          </w:p>
        </w:tc>
        <w:tc>
          <w:tcPr>
            <w:tcW w:w="1249" w:type="dxa"/>
            <w:shd w:val="clear" w:color="auto" w:fill="auto"/>
            <w:vAlign w:val="center"/>
          </w:tcPr>
          <w:p w14:paraId="0897FAA2">
            <w:pPr>
              <w:pStyle w:val="90"/>
            </w:pPr>
            <w:r>
              <w:rPr>
                <w:rFonts w:hint="eastAsia"/>
              </w:rPr>
              <w:t>1</w:t>
            </w:r>
          </w:p>
        </w:tc>
        <w:tc>
          <w:tcPr>
            <w:tcW w:w="1294" w:type="dxa"/>
            <w:shd w:val="clear" w:color="auto" w:fill="auto"/>
            <w:vAlign w:val="center"/>
          </w:tcPr>
          <w:p w14:paraId="0891CC52">
            <w:pPr>
              <w:pStyle w:val="90"/>
            </w:pPr>
            <w:r>
              <w:rPr>
                <w:rFonts w:hint="eastAsia"/>
              </w:rPr>
              <w:t>1</w:t>
            </w:r>
            <w:r>
              <w:t>.0005</w:t>
            </w:r>
          </w:p>
        </w:tc>
      </w:tr>
      <w:tr w14:paraId="1CAB0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06" w:type="dxa"/>
            <w:gridSpan w:val="2"/>
            <w:shd w:val="clear" w:color="auto" w:fill="auto"/>
            <w:vAlign w:val="center"/>
          </w:tcPr>
          <w:p w14:paraId="27631F72">
            <w:pPr>
              <w:pStyle w:val="90"/>
              <w:rPr>
                <w:vertAlign w:val="subscript"/>
              </w:rPr>
            </w:pPr>
            <w:r>
              <w:rPr>
                <w:rFonts w:hint="eastAsia"/>
              </w:rPr>
              <w:t>R</w:t>
            </w:r>
          </w:p>
        </w:tc>
        <w:tc>
          <w:tcPr>
            <w:tcW w:w="1386" w:type="dxa"/>
            <w:shd w:val="clear" w:color="auto" w:fill="auto"/>
            <w:vAlign w:val="center"/>
          </w:tcPr>
          <w:p w14:paraId="650CC800">
            <w:pPr>
              <w:pStyle w:val="90"/>
              <w:rPr>
                <w:vertAlign w:val="subscript"/>
              </w:rPr>
            </w:pPr>
            <w:r>
              <w:rPr>
                <w:rFonts w:hint="eastAsia"/>
              </w:rPr>
              <w:t>T</w:t>
            </w:r>
            <w:r>
              <w:rPr>
                <w:rFonts w:hint="eastAsia"/>
                <w:vertAlign w:val="subscript"/>
              </w:rPr>
              <w:t>LA</w:t>
            </w:r>
          </w:p>
        </w:tc>
        <w:tc>
          <w:tcPr>
            <w:tcW w:w="3838" w:type="dxa"/>
            <w:gridSpan w:val="3"/>
            <w:shd w:val="clear" w:color="auto" w:fill="auto"/>
            <w:vAlign w:val="center"/>
          </w:tcPr>
          <w:p w14:paraId="2384FC8B">
            <w:pPr>
              <w:pStyle w:val="90"/>
            </w:pPr>
            <w:r>
              <w:rPr>
                <w:rFonts w:hint="eastAsia"/>
              </w:rPr>
              <w:t>E</w:t>
            </w:r>
            <w:r>
              <w:rPr>
                <w:rFonts w:hint="eastAsia"/>
                <w:vertAlign w:val="subscript"/>
              </w:rPr>
              <w:t>W</w:t>
            </w:r>
          </w:p>
        </w:tc>
      </w:tr>
      <w:tr w14:paraId="75385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06" w:type="dxa"/>
            <w:gridSpan w:val="2"/>
            <w:shd w:val="clear" w:color="auto" w:fill="auto"/>
            <w:vAlign w:val="center"/>
          </w:tcPr>
          <w:p w14:paraId="40DF2C0E">
            <w:pPr>
              <w:pStyle w:val="90"/>
              <w:rPr>
                <w:lang w:val="en-US"/>
              </w:rPr>
            </w:pPr>
            <w:r>
              <w:rPr>
                <w:rFonts w:hint="eastAsia"/>
                <w:lang w:val="en-US"/>
              </w:rPr>
              <w:t>1</w:t>
            </w:r>
            <w:r>
              <w:rPr>
                <w:lang w:val="en-US"/>
              </w:rPr>
              <w:t>0.741</w:t>
            </w:r>
            <w:r>
              <w:rPr>
                <w:rFonts w:hint="eastAsia"/>
                <w:lang w:val="en-US"/>
              </w:rPr>
              <w:t>lb</w:t>
            </w:r>
            <w:r>
              <w:rPr>
                <w:lang w:val="en-US"/>
              </w:rPr>
              <w:t>/</w:t>
            </w:r>
            <w:r>
              <w:rPr>
                <w:rFonts w:hint="eastAsia"/>
                <w:lang w:val="en-US"/>
              </w:rPr>
              <w:t>lb</w:t>
            </w:r>
            <w:r>
              <w:rPr>
                <w:lang w:val="en-US"/>
              </w:rPr>
              <w:t>-</w:t>
            </w:r>
            <w:r>
              <w:rPr>
                <w:rFonts w:hint="eastAsia"/>
                <w:lang w:val="en-US"/>
              </w:rPr>
              <w:t>mol·ft·</w:t>
            </w:r>
            <w:r>
              <w:rPr>
                <w:lang w:val="en-US"/>
              </w:rPr>
              <w:t>°R</w:t>
            </w:r>
          </w:p>
        </w:tc>
        <w:tc>
          <w:tcPr>
            <w:tcW w:w="1386" w:type="dxa"/>
            <w:shd w:val="clear" w:color="auto" w:fill="auto"/>
            <w:vAlign w:val="center"/>
          </w:tcPr>
          <w:p w14:paraId="7C6A43E7">
            <w:pPr>
              <w:pStyle w:val="90"/>
            </w:pPr>
            <w:r>
              <w:t>528.9726°R</w:t>
            </w:r>
          </w:p>
        </w:tc>
        <w:tc>
          <w:tcPr>
            <w:tcW w:w="3838" w:type="dxa"/>
            <w:gridSpan w:val="3"/>
            <w:shd w:val="clear" w:color="auto" w:fill="auto"/>
            <w:vAlign w:val="center"/>
          </w:tcPr>
          <w:p w14:paraId="31273E24">
            <w:pPr>
              <w:pStyle w:val="90"/>
            </w:pPr>
            <w:r>
              <w:rPr>
                <w:rFonts w:hint="eastAsia"/>
              </w:rPr>
              <w:t>3</w:t>
            </w:r>
            <w:r>
              <w:t>.6349</w:t>
            </w:r>
            <w:r>
              <w:rPr>
                <w:rFonts w:hint="eastAsia"/>
              </w:rPr>
              <w:t>lb</w:t>
            </w:r>
            <w:r>
              <w:t>/</w:t>
            </w:r>
            <w:r>
              <w:rPr>
                <w:rFonts w:hint="eastAsia"/>
              </w:rPr>
              <w:t>a</w:t>
            </w:r>
          </w:p>
        </w:tc>
      </w:tr>
    </w:tbl>
    <w:p w14:paraId="6C4971C5">
      <w:pPr>
        <w:ind w:firstLine="482"/>
        <w:rPr>
          <w:b/>
        </w:rPr>
      </w:pPr>
      <w:r>
        <w:rPr>
          <w:rFonts w:hint="eastAsia"/>
          <w:b/>
        </w:rPr>
        <w:t>则E</w:t>
      </w:r>
      <w:r>
        <w:rPr>
          <w:rFonts w:hint="eastAsia"/>
          <w:b/>
          <w:vertAlign w:val="subscript"/>
        </w:rPr>
        <w:t>固定顶罐</w:t>
      </w:r>
      <w:r>
        <w:rPr>
          <w:rFonts w:hint="eastAsia"/>
          <w:b/>
        </w:rPr>
        <w:t>=</w:t>
      </w:r>
      <w:r>
        <w:rPr>
          <w:b/>
        </w:rPr>
        <w:t>40.9675+3.6349=44.6024</w:t>
      </w:r>
      <w:r>
        <w:rPr>
          <w:rFonts w:hint="eastAsia"/>
          <w:b/>
        </w:rPr>
        <w:t>lb</w:t>
      </w:r>
      <w:r>
        <w:rPr>
          <w:b/>
        </w:rPr>
        <w:t>/</w:t>
      </w:r>
      <w:r>
        <w:rPr>
          <w:rFonts w:hint="eastAsia"/>
          <w:b/>
        </w:rPr>
        <w:t>a</w:t>
      </w:r>
      <w:r>
        <w:rPr>
          <w:b/>
        </w:rPr>
        <w:t>=0.0202</w:t>
      </w:r>
      <w:r>
        <w:rPr>
          <w:rFonts w:hint="eastAsia"/>
          <w:b/>
        </w:rPr>
        <w:t>t</w:t>
      </w:r>
      <w:r>
        <w:rPr>
          <w:b/>
        </w:rPr>
        <w:t>/a</w:t>
      </w:r>
      <w:r>
        <w:rPr>
          <w:rFonts w:hint="eastAsia"/>
          <w:b/>
        </w:rPr>
        <w:t>。本项目原料储罐、产品储罐共计2</w:t>
      </w:r>
      <w:r>
        <w:rPr>
          <w:b/>
        </w:rPr>
        <w:t>9</w:t>
      </w:r>
      <w:r>
        <w:rPr>
          <w:rFonts w:hint="eastAsia"/>
          <w:b/>
        </w:rPr>
        <w:t>个，因此，本项目挥发性有机液体储罐非甲烷总烃排放量为0</w:t>
      </w:r>
      <w:r>
        <w:rPr>
          <w:b/>
        </w:rPr>
        <w:t>.0202</w:t>
      </w:r>
      <w:r>
        <w:rPr>
          <w:rFonts w:hint="eastAsia"/>
          <w:b/>
        </w:rPr>
        <w:t>×2</w:t>
      </w:r>
      <w:r>
        <w:rPr>
          <w:b/>
        </w:rPr>
        <w:t>9=0.5858</w:t>
      </w:r>
      <w:r>
        <w:rPr>
          <w:rFonts w:hint="eastAsia"/>
          <w:b/>
        </w:rPr>
        <w:t>t</w:t>
      </w:r>
      <w:r>
        <w:rPr>
          <w:b/>
        </w:rPr>
        <w:t>/a</w:t>
      </w:r>
      <w:r>
        <w:rPr>
          <w:rFonts w:hint="eastAsia"/>
          <w:b/>
        </w:rPr>
        <w:t>。</w:t>
      </w:r>
    </w:p>
    <w:p w14:paraId="798F8AB1">
      <w:pPr>
        <w:ind w:firstLine="480"/>
      </w:pPr>
      <w:r>
        <w:rPr>
          <w:rFonts w:hint="eastAsia"/>
        </w:rPr>
        <w:t>（二）挥发性有机液体装卸</w:t>
      </w:r>
    </w:p>
    <w:p w14:paraId="53B33450">
      <w:pPr>
        <w:ind w:firstLine="480"/>
      </w:pPr>
      <w:r>
        <w:rPr>
          <w:rFonts w:hint="eastAsia"/>
        </w:rPr>
        <w:t>（1）核算公式</w:t>
      </w:r>
    </w:p>
    <w:p w14:paraId="1AFACE2A">
      <w:pPr>
        <w:ind w:firstLine="480"/>
      </w:pPr>
      <w:r>
        <w:rPr>
          <w:rFonts w:hint="eastAsia"/>
        </w:rPr>
        <w:t>挥发性有机液体装载过程的挥发性有机物排放量按照如下公式估算：</w:t>
      </w:r>
    </w:p>
    <w:p w14:paraId="559E47E2">
      <w:pPr>
        <w:spacing w:line="240" w:lineRule="auto"/>
        <w:ind w:firstLine="0" w:firstLineChars="0"/>
        <w:jc w:val="center"/>
      </w:pPr>
      <w:r>
        <w:drawing>
          <wp:inline distT="0" distB="0" distL="114300" distR="114300">
            <wp:extent cx="1609725" cy="447675"/>
            <wp:effectExtent l="0" t="0" r="9525" b="9525"/>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pic:cNvPicPr>
                      <a:picLocks noChangeAspect="1"/>
                    </pic:cNvPicPr>
                  </pic:nvPicPr>
                  <pic:blipFill>
                    <a:blip r:embed="rId61"/>
                    <a:stretch>
                      <a:fillRect/>
                    </a:stretch>
                  </pic:blipFill>
                  <pic:spPr>
                    <a:xfrm>
                      <a:off x="0" y="0"/>
                      <a:ext cx="1609725" cy="447675"/>
                    </a:xfrm>
                    <a:prstGeom prst="rect">
                      <a:avLst/>
                    </a:prstGeom>
                    <a:noFill/>
                    <a:ln>
                      <a:noFill/>
                    </a:ln>
                  </pic:spPr>
                </pic:pic>
              </a:graphicData>
            </a:graphic>
          </wp:inline>
        </w:drawing>
      </w:r>
    </w:p>
    <w:p w14:paraId="3FC78E41">
      <w:pPr>
        <w:ind w:firstLine="480"/>
      </w:pPr>
      <w:r>
        <w:rPr>
          <w:rFonts w:hint="eastAsia"/>
        </w:rPr>
        <w:t>式中：L</w:t>
      </w:r>
      <w:r>
        <w:rPr>
          <w:rFonts w:hint="eastAsia"/>
          <w:vertAlign w:val="subscript"/>
        </w:rPr>
        <w:t>L</w:t>
      </w:r>
      <w:r>
        <w:rPr>
          <w:rFonts w:hint="eastAsia"/>
        </w:rPr>
        <w:t>——挥发性有机液体装载过程排放系数，kg</w:t>
      </w:r>
      <w:r>
        <w:t>/</w:t>
      </w:r>
      <w:r>
        <w:rPr>
          <w:rFonts w:hint="eastAsia"/>
        </w:rPr>
        <w:t>m</w:t>
      </w:r>
      <w:r>
        <w:rPr>
          <w:vertAlign w:val="superscript"/>
        </w:rPr>
        <w:t>3</w:t>
      </w:r>
      <w:r>
        <w:rPr>
          <w:rFonts w:hint="eastAsia"/>
        </w:rPr>
        <w:t>，油轮/远洋驳船装载汽油为0</w:t>
      </w:r>
      <w:r>
        <w:t>.215</w:t>
      </w:r>
      <w:r>
        <w:rPr>
          <w:rFonts w:hint="eastAsia"/>
        </w:rPr>
        <w:t>kg</w:t>
      </w:r>
      <w:r>
        <w:t>/</w:t>
      </w:r>
      <w:r>
        <w:rPr>
          <w:rFonts w:hint="eastAsia"/>
        </w:rPr>
        <w:t>m</w:t>
      </w:r>
      <w:r>
        <w:rPr>
          <w:vertAlign w:val="superscript"/>
        </w:rPr>
        <w:t>3</w:t>
      </w:r>
      <w:r>
        <w:rPr>
          <w:rFonts w:hint="eastAsia"/>
        </w:rPr>
        <w:t>，其他驳船装载汽油为0</w:t>
      </w:r>
      <w:r>
        <w:t>.410</w:t>
      </w:r>
      <w:r>
        <w:rPr>
          <w:rFonts w:hint="eastAsia"/>
        </w:rPr>
        <w:t>kg</w:t>
      </w:r>
      <w:r>
        <w:t>/</w:t>
      </w:r>
      <w:r>
        <w:rPr>
          <w:rFonts w:hint="eastAsia"/>
        </w:rPr>
        <w:t>m</w:t>
      </w:r>
      <w:r>
        <w:rPr>
          <w:vertAlign w:val="superscript"/>
        </w:rPr>
        <w:t>3</w:t>
      </w:r>
      <w:r>
        <w:rPr>
          <w:rFonts w:hint="eastAsia"/>
        </w:rPr>
        <w:t>，其余采用如下公式估算：</w:t>
      </w:r>
    </w:p>
    <w:p w14:paraId="1DD6E0F8">
      <w:pPr>
        <w:spacing w:line="240" w:lineRule="auto"/>
        <w:ind w:firstLine="0" w:firstLineChars="0"/>
        <w:jc w:val="center"/>
      </w:pPr>
      <w:r>
        <w:drawing>
          <wp:inline distT="0" distB="0" distL="114300" distR="114300">
            <wp:extent cx="2257425" cy="476250"/>
            <wp:effectExtent l="0" t="0" r="9525" b="0"/>
            <wp:docPr id="2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pic:cNvPicPr>
                      <a:picLocks noChangeAspect="1"/>
                    </pic:cNvPicPr>
                  </pic:nvPicPr>
                  <pic:blipFill>
                    <a:blip r:embed="rId62"/>
                    <a:stretch>
                      <a:fillRect/>
                    </a:stretch>
                  </pic:blipFill>
                  <pic:spPr>
                    <a:xfrm>
                      <a:off x="0" y="0"/>
                      <a:ext cx="2257425" cy="476250"/>
                    </a:xfrm>
                    <a:prstGeom prst="rect">
                      <a:avLst/>
                    </a:prstGeom>
                    <a:noFill/>
                    <a:ln>
                      <a:noFill/>
                    </a:ln>
                  </pic:spPr>
                </pic:pic>
              </a:graphicData>
            </a:graphic>
          </wp:inline>
        </w:drawing>
      </w:r>
    </w:p>
    <w:p w14:paraId="0791182E">
      <w:pPr>
        <w:ind w:firstLine="480"/>
      </w:pPr>
      <w:r>
        <w:rPr>
          <w:rFonts w:hint="eastAsia"/>
        </w:rPr>
        <w:t>式中：S——饱和系数，无量纲，一般取值0</w:t>
      </w:r>
      <w:r>
        <w:t>.6</w:t>
      </w:r>
      <w:r>
        <w:rPr>
          <w:rFonts w:hint="eastAsia"/>
        </w:rPr>
        <w:t>，船舶装载汽油和原油以外的油品时取值0</w:t>
      </w:r>
      <w:r>
        <w:t>.5</w:t>
      </w:r>
      <w:r>
        <w:rPr>
          <w:rFonts w:hint="eastAsia"/>
        </w:rPr>
        <w:t>；</w:t>
      </w:r>
    </w:p>
    <w:p w14:paraId="777B927C">
      <w:pPr>
        <w:ind w:firstLine="480"/>
      </w:pPr>
      <w:r>
        <w:rPr>
          <w:rFonts w:hint="eastAsia"/>
        </w:rPr>
        <w:t xml:space="preserve"> </w:t>
      </w:r>
      <w:r>
        <w:t xml:space="preserve">     </w:t>
      </w:r>
      <w:r>
        <w:rPr>
          <w:rFonts w:hint="eastAsia"/>
        </w:rPr>
        <w:t>P</w:t>
      </w:r>
      <w:r>
        <w:rPr>
          <w:rFonts w:hint="eastAsia"/>
          <w:vertAlign w:val="subscript"/>
        </w:rPr>
        <w:t>T</w:t>
      </w:r>
      <w:r>
        <w:rPr>
          <w:rFonts w:hint="eastAsia"/>
        </w:rPr>
        <w:t>——温度T时装载物料的真实蒸气压，Pa；</w:t>
      </w:r>
    </w:p>
    <w:p w14:paraId="652960D4">
      <w:pPr>
        <w:ind w:firstLine="480"/>
      </w:pPr>
      <w:r>
        <w:rPr>
          <w:rFonts w:hint="eastAsia"/>
        </w:rPr>
        <w:t xml:space="preserve"> </w:t>
      </w:r>
      <w:r>
        <w:t xml:space="preserve">     </w:t>
      </w:r>
      <w:r>
        <w:rPr>
          <w:rFonts w:hint="eastAsia"/>
        </w:rPr>
        <w:t>M</w:t>
      </w:r>
      <w:r>
        <w:rPr>
          <w:rFonts w:hint="eastAsia"/>
          <w:vertAlign w:val="subscript"/>
        </w:rPr>
        <w:t>vap</w:t>
      </w:r>
      <w:r>
        <w:rPr>
          <w:rFonts w:hint="eastAsia"/>
        </w:rPr>
        <w:t>——油气分子量，g</w:t>
      </w:r>
      <w:r>
        <w:t>/</w:t>
      </w:r>
      <w:r>
        <w:rPr>
          <w:rFonts w:hint="eastAsia"/>
        </w:rPr>
        <w:t>mol；</w:t>
      </w:r>
    </w:p>
    <w:p w14:paraId="737815FB">
      <w:pPr>
        <w:ind w:firstLine="480"/>
      </w:pPr>
      <w:r>
        <w:rPr>
          <w:rFonts w:hint="eastAsia"/>
        </w:rPr>
        <w:t xml:space="preserve"> </w:t>
      </w:r>
      <w:r>
        <w:t xml:space="preserve">     </w:t>
      </w:r>
      <w:r>
        <w:rPr>
          <w:rFonts w:hint="eastAsia"/>
        </w:rPr>
        <w:t>T——装载物料温度，℃，取近1年平均值。</w:t>
      </w:r>
    </w:p>
    <w:p w14:paraId="31AE4930">
      <w:pPr>
        <w:ind w:firstLine="480"/>
      </w:pPr>
      <w:r>
        <w:t xml:space="preserve">      </w:t>
      </w:r>
      <w:r>
        <w:rPr>
          <w:rFonts w:hint="eastAsia"/>
        </w:rPr>
        <w:t>Q——排污单位设计物料装载量，m</w:t>
      </w:r>
      <w:r>
        <w:rPr>
          <w:vertAlign w:val="superscript"/>
        </w:rPr>
        <w:t>3</w:t>
      </w:r>
      <w:r>
        <w:t>/a</w:t>
      </w:r>
      <w:r>
        <w:rPr>
          <w:rFonts w:hint="eastAsia"/>
        </w:rPr>
        <w:t>；</w:t>
      </w:r>
    </w:p>
    <w:p w14:paraId="598DB0D2">
      <w:pPr>
        <w:ind w:firstLine="480"/>
      </w:pPr>
      <w:r>
        <w:t xml:space="preserve">      </w:t>
      </w:r>
      <w:r>
        <w:rPr>
          <w:rFonts w:hint="eastAsia"/>
        </w:rPr>
        <w:t>η</w:t>
      </w:r>
      <w:r>
        <w:rPr>
          <w:rFonts w:hint="eastAsia"/>
          <w:vertAlign w:val="subscript"/>
        </w:rPr>
        <w:t>去除</w:t>
      </w:r>
      <w:r>
        <w:rPr>
          <w:rFonts w:hint="eastAsia"/>
        </w:rPr>
        <w:t>——去除效率，%，一般控制区取9</w:t>
      </w:r>
      <w:r>
        <w:t>5%</w:t>
      </w:r>
      <w:r>
        <w:rPr>
          <w:rFonts w:hint="eastAsia"/>
        </w:rPr>
        <w:t>，重点控制区取9</w:t>
      </w:r>
      <w:r>
        <w:t>7%</w:t>
      </w:r>
      <w:r>
        <w:rPr>
          <w:rFonts w:hint="eastAsia"/>
        </w:rPr>
        <w:t>。</w:t>
      </w:r>
    </w:p>
    <w:p w14:paraId="4FC46304">
      <w:pPr>
        <w:ind w:firstLine="480"/>
      </w:pPr>
      <w:r>
        <w:rPr>
          <w:rFonts w:hint="eastAsia"/>
        </w:rPr>
        <w:t>（2）参数选取与确定</w:t>
      </w:r>
    </w:p>
    <w:p w14:paraId="0CC78046">
      <w:pPr>
        <w:ind w:firstLine="480"/>
      </w:pPr>
      <w:r>
        <w:rPr>
          <w:rFonts w:hint="eastAsia" w:ascii="宋体" w:hAnsi="宋体" w:cs="宋体"/>
        </w:rPr>
        <w:t>①</w:t>
      </w:r>
      <w:r>
        <w:rPr>
          <w:rFonts w:hint="eastAsia"/>
        </w:rPr>
        <w:t>P</w:t>
      </w:r>
      <w:r>
        <w:rPr>
          <w:rFonts w:hint="eastAsia"/>
          <w:vertAlign w:val="subscript"/>
        </w:rPr>
        <w:t>T</w:t>
      </w:r>
      <w:r>
        <w:rPr>
          <w:rFonts w:hint="eastAsia"/>
        </w:rPr>
        <w:t>温度T时装载物料的真实蒸气压，根据减三线油在</w:t>
      </w:r>
      <w:r>
        <w:t>19.7</w:t>
      </w:r>
      <w:r>
        <w:rPr>
          <w:rFonts w:hint="eastAsia"/>
        </w:rPr>
        <w:t>℃的真实蒸气压取值，为1</w:t>
      </w:r>
      <w:r>
        <w:t>1500</w:t>
      </w:r>
      <w:r>
        <w:rPr>
          <w:rFonts w:hint="eastAsia"/>
        </w:rPr>
        <w:t>Pa；</w:t>
      </w:r>
    </w:p>
    <w:p w14:paraId="5D24B070">
      <w:pPr>
        <w:ind w:firstLine="480"/>
      </w:pPr>
      <w:r>
        <w:rPr>
          <w:rFonts w:hint="eastAsia" w:ascii="宋体" w:hAnsi="宋体" w:cs="宋体"/>
        </w:rPr>
        <w:t>②</w:t>
      </w:r>
      <w:r>
        <w:rPr>
          <w:rFonts w:hint="eastAsia"/>
        </w:rPr>
        <w:t>M</w:t>
      </w:r>
      <w:r>
        <w:rPr>
          <w:rFonts w:hint="eastAsia"/>
          <w:vertAlign w:val="subscript"/>
        </w:rPr>
        <w:t>vap</w:t>
      </w:r>
      <w:r>
        <w:rPr>
          <w:rFonts w:hint="eastAsia"/>
        </w:rPr>
        <w:t>油气分子量，根据前文分析，本项目储罐中油气分子量为5</w:t>
      </w:r>
      <w:r>
        <w:t>54</w:t>
      </w:r>
      <w:r>
        <w:rPr>
          <w:rFonts w:hint="eastAsia"/>
        </w:rPr>
        <w:t>g</w:t>
      </w:r>
      <w:r>
        <w:t>/</w:t>
      </w:r>
      <w:r>
        <w:rPr>
          <w:rFonts w:hint="eastAsia"/>
        </w:rPr>
        <w:t>mol；</w:t>
      </w:r>
    </w:p>
    <w:p w14:paraId="01580596">
      <w:pPr>
        <w:ind w:firstLine="480"/>
      </w:pPr>
      <w:r>
        <w:rPr>
          <w:rFonts w:hint="eastAsia" w:ascii="宋体" w:hAnsi="宋体" w:cs="宋体"/>
        </w:rPr>
        <w:t>③</w:t>
      </w:r>
      <w:r>
        <w:rPr>
          <w:rFonts w:hint="eastAsia"/>
        </w:rPr>
        <w:t>T装载温度，根据近1年的平均值，取1</w:t>
      </w:r>
      <w:r>
        <w:t>9.7</w:t>
      </w:r>
      <w:r>
        <w:rPr>
          <w:rFonts w:hint="eastAsia"/>
        </w:rPr>
        <w:t>℃</w:t>
      </w:r>
    </w:p>
    <w:p w14:paraId="0FD25A45">
      <w:pPr>
        <w:ind w:firstLine="480"/>
      </w:pPr>
      <w:r>
        <w:rPr>
          <w:rFonts w:hint="eastAsia" w:ascii="宋体" w:hAnsi="宋体" w:cs="宋体"/>
        </w:rPr>
        <w:t>④</w:t>
      </w:r>
      <w:r>
        <w:rPr>
          <w:rFonts w:hint="eastAsia"/>
        </w:rPr>
        <w:t>Q设计物料装载量为2</w:t>
      </w:r>
      <w:r>
        <w:t>3200</w:t>
      </w:r>
      <w:r>
        <w:rPr>
          <w:rFonts w:hint="eastAsia"/>
        </w:rPr>
        <w:t>m</w:t>
      </w:r>
      <w:r>
        <w:rPr>
          <w:vertAlign w:val="superscript"/>
        </w:rPr>
        <w:t>3</w:t>
      </w:r>
      <w:r>
        <w:t>/a</w:t>
      </w:r>
      <w:r>
        <w:rPr>
          <w:rFonts w:hint="eastAsia"/>
        </w:rPr>
        <w:t>；</w:t>
      </w:r>
    </w:p>
    <w:p w14:paraId="20F02768">
      <w:pPr>
        <w:ind w:firstLine="480"/>
      </w:pPr>
      <w:r>
        <w:rPr>
          <w:rFonts w:hint="eastAsia"/>
        </w:rPr>
        <w:t>综上所述，L</w:t>
      </w:r>
      <w:r>
        <w:rPr>
          <w:rFonts w:hint="eastAsia"/>
          <w:vertAlign w:val="subscript"/>
        </w:rPr>
        <w:t>L</w:t>
      </w:r>
      <w:r>
        <w:t>=1.20</w:t>
      </w:r>
      <w:r>
        <w:rPr>
          <w:rFonts w:hint="eastAsia"/>
        </w:rPr>
        <w:t>×1</w:t>
      </w:r>
      <w:r>
        <w:t>0</w:t>
      </w:r>
      <w:r>
        <w:rPr>
          <w:vertAlign w:val="superscript"/>
        </w:rPr>
        <w:t>-4</w:t>
      </w:r>
      <w:r>
        <w:rPr>
          <w:rFonts w:hint="eastAsia"/>
        </w:rPr>
        <w:t>×（0</w:t>
      </w:r>
      <w:r>
        <w:t>.6</w:t>
      </w:r>
      <w:r>
        <w:rPr>
          <w:rFonts w:hint="eastAsia"/>
        </w:rPr>
        <w:t>×1</w:t>
      </w:r>
      <w:r>
        <w:t>1500</w:t>
      </w:r>
      <w:r>
        <w:rPr>
          <w:rFonts w:hint="eastAsia"/>
        </w:rPr>
        <w:t>×5</w:t>
      </w:r>
      <w:r>
        <w:t>54</w:t>
      </w:r>
      <w:r>
        <w:rPr>
          <w:rFonts w:hint="eastAsia"/>
        </w:rPr>
        <w:t>）÷（2</w:t>
      </w:r>
      <w:r>
        <w:t>73.15+19.7</w:t>
      </w:r>
      <w:r>
        <w:rPr>
          <w:rFonts w:hint="eastAsia"/>
        </w:rPr>
        <w:t>）=</w:t>
      </w:r>
      <w:r>
        <w:t>1.81</w:t>
      </w:r>
      <w:r>
        <w:rPr>
          <w:rFonts w:hint="eastAsia"/>
        </w:rPr>
        <w:t>kg</w:t>
      </w:r>
      <w:r>
        <w:t>/</w:t>
      </w:r>
      <w:r>
        <w:rPr>
          <w:rFonts w:hint="eastAsia"/>
        </w:rPr>
        <w:t>m</w:t>
      </w:r>
      <w:r>
        <w:rPr>
          <w:vertAlign w:val="superscript"/>
        </w:rPr>
        <w:t>3</w:t>
      </w:r>
      <w:r>
        <w:rPr>
          <w:rFonts w:hint="eastAsia"/>
        </w:rPr>
        <w:t>；E</w:t>
      </w:r>
      <w:r>
        <w:rPr>
          <w:rFonts w:hint="eastAsia"/>
          <w:vertAlign w:val="subscript"/>
        </w:rPr>
        <w:t>装载</w:t>
      </w:r>
      <w:r>
        <w:rPr>
          <w:rFonts w:hint="eastAsia"/>
        </w:rPr>
        <w:t>=</w:t>
      </w:r>
      <w:r>
        <w:t>1.81</w:t>
      </w:r>
      <w:r>
        <w:rPr>
          <w:rFonts w:hint="eastAsia"/>
        </w:rPr>
        <w:t>×2</w:t>
      </w:r>
      <w:r>
        <w:t>3200</w:t>
      </w:r>
      <w:r>
        <w:rPr>
          <w:rFonts w:hint="eastAsia"/>
        </w:rPr>
        <w:t>÷1</w:t>
      </w:r>
      <w:r>
        <w:t>000=41.992</w:t>
      </w:r>
      <w:r>
        <w:rPr>
          <w:rFonts w:hint="eastAsia"/>
        </w:rPr>
        <w:t>t</w:t>
      </w:r>
      <w:r>
        <w:t>/a</w:t>
      </w:r>
      <w:r>
        <w:rPr>
          <w:rFonts w:hint="eastAsia"/>
        </w:rPr>
        <w:t>。</w:t>
      </w:r>
    </w:p>
    <w:p w14:paraId="6A5A8861">
      <w:pPr>
        <w:ind w:firstLine="480"/>
      </w:pPr>
      <w:r>
        <w:rPr>
          <w:rFonts w:hint="eastAsia"/>
        </w:rPr>
        <w:t>因此，罐区储罐储存、装卸过程产生的挥发性有机污染物产生量为</w:t>
      </w:r>
      <w:r>
        <w:t>42.58</w:t>
      </w:r>
      <w:r>
        <w:rPr>
          <w:rFonts w:hint="eastAsia"/>
        </w:rPr>
        <w:t>t</w:t>
      </w:r>
      <w:r>
        <w:t>/a</w:t>
      </w:r>
      <w:r>
        <w:rPr>
          <w:rFonts w:hint="eastAsia"/>
        </w:rPr>
        <w:t>（5</w:t>
      </w:r>
      <w:r>
        <w:t>.92</w:t>
      </w:r>
      <w:r>
        <w:rPr>
          <w:rFonts w:hint="eastAsia"/>
        </w:rPr>
        <w:t>kg</w:t>
      </w:r>
      <w:r>
        <w:t>/h</w:t>
      </w:r>
      <w:r>
        <w:rPr>
          <w:rFonts w:hint="eastAsia"/>
        </w:rPr>
        <w:t>），采用收集系统收集+油气回收（冷凝+吸附）处理工艺处理后经1</w:t>
      </w:r>
      <w:r>
        <w:t>5</w:t>
      </w:r>
      <w:r>
        <w:rPr>
          <w:rFonts w:hint="eastAsia"/>
        </w:rPr>
        <w:t>m排气筒排放，收集效率按照9</w:t>
      </w:r>
      <w:r>
        <w:t>0%</w:t>
      </w:r>
      <w:r>
        <w:rPr>
          <w:rFonts w:hint="eastAsia"/>
        </w:rPr>
        <w:t>计算，处理效率根据《排污许可证申请与核发技术规范 石化工业》（HJ853-2017）中“6</w:t>
      </w:r>
      <w:r>
        <w:t>.2.2</w:t>
      </w:r>
      <w:r>
        <w:rPr>
          <w:rFonts w:hint="eastAsia"/>
        </w:rPr>
        <w:t>运行管理要求”中对于执行大气污染物特别排放限值的区域，非甲烷总烃去除率≥9</w:t>
      </w:r>
      <w:r>
        <w:t>7%</w:t>
      </w:r>
      <w:r>
        <w:rPr>
          <w:rFonts w:hint="eastAsia"/>
        </w:rPr>
        <w:t>，本次按基本要求9</w:t>
      </w:r>
      <w:r>
        <w:t>7%</w:t>
      </w:r>
      <w:r>
        <w:rPr>
          <w:rFonts w:hint="eastAsia"/>
        </w:rPr>
        <w:t>去除效率计。</w:t>
      </w:r>
      <w:bookmarkStart w:id="190" w:name="_Toc152864173"/>
      <w:bookmarkStart w:id="191" w:name="_Toc82518756"/>
      <w:bookmarkStart w:id="192" w:name="_Toc81214071"/>
      <w:bookmarkStart w:id="193" w:name="_Toc79515448"/>
      <w:bookmarkStart w:id="194" w:name="_Toc77007777"/>
      <w:bookmarkStart w:id="195" w:name="_Toc80973503"/>
      <w:bookmarkStart w:id="196" w:name="_Toc80193077"/>
    </w:p>
    <w:p w14:paraId="4D35451B">
      <w:pPr>
        <w:pStyle w:val="45"/>
        <w:spacing w:before="65" w:after="65"/>
      </w:pPr>
      <w:r>
        <w:rPr>
          <w:rFonts w:hint="eastAsia"/>
        </w:rPr>
        <w:t>废水集输、储存、处理处置过程逸散</w:t>
      </w:r>
    </w:p>
    <w:p w14:paraId="2CA106ED">
      <w:pPr>
        <w:ind w:firstLine="480"/>
      </w:pPr>
      <w:r>
        <w:rPr>
          <w:rFonts w:hint="eastAsia"/>
        </w:rPr>
        <w:t>根据（</w:t>
      </w:r>
      <w:r>
        <w:rPr>
          <w:rFonts w:hint="eastAsia"/>
          <w:kern w:val="0"/>
          <w:szCs w:val="24"/>
        </w:rPr>
        <w:t>环办〔</w:t>
      </w:r>
      <w:r>
        <w:rPr>
          <w:kern w:val="0"/>
          <w:szCs w:val="24"/>
        </w:rPr>
        <w:t>2015</w:t>
      </w:r>
      <w:r>
        <w:rPr>
          <w:rFonts w:hint="eastAsia"/>
          <w:kern w:val="0"/>
          <w:szCs w:val="24"/>
        </w:rPr>
        <w:t>〕</w:t>
      </w:r>
      <w:r>
        <w:rPr>
          <w:kern w:val="0"/>
          <w:szCs w:val="24"/>
        </w:rPr>
        <w:t>104</w:t>
      </w:r>
      <w:r>
        <w:rPr>
          <w:rFonts w:hint="eastAsia"/>
          <w:kern w:val="0"/>
          <w:szCs w:val="24"/>
        </w:rPr>
        <w:t>号</w:t>
      </w:r>
      <w:r>
        <w:rPr>
          <w:rFonts w:hint="eastAsia"/>
        </w:rPr>
        <w:t>）文件：石化废水收集系统通常包括排水口、收集井、隔油井、水封井、检查井、排水管道、集水井及泵站等；处理系统通常包括调节罐、均质池、隔油池、气浮池、生化处理池、澄清池、浮渣池、污泥消化池和脱水干化设施等，具体如下示意图。</w:t>
      </w:r>
    </w:p>
    <w:p w14:paraId="2C6ED55D">
      <w:pPr>
        <w:spacing w:line="240" w:lineRule="auto"/>
        <w:ind w:firstLine="0" w:firstLineChars="0"/>
        <w:jc w:val="center"/>
      </w:pPr>
      <w:r>
        <w:drawing>
          <wp:inline distT="0" distB="0" distL="114300" distR="114300">
            <wp:extent cx="5543550" cy="3514725"/>
            <wp:effectExtent l="0" t="0" r="0" b="9525"/>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pic:cNvPicPr>
                      <a:picLocks noChangeAspect="1"/>
                    </pic:cNvPicPr>
                  </pic:nvPicPr>
                  <pic:blipFill>
                    <a:blip r:embed="rId63"/>
                    <a:stretch>
                      <a:fillRect/>
                    </a:stretch>
                  </pic:blipFill>
                  <pic:spPr>
                    <a:xfrm>
                      <a:off x="0" y="0"/>
                      <a:ext cx="5543550" cy="3514725"/>
                    </a:xfrm>
                    <a:prstGeom prst="rect">
                      <a:avLst/>
                    </a:prstGeom>
                    <a:noFill/>
                    <a:ln>
                      <a:noFill/>
                    </a:ln>
                  </pic:spPr>
                </pic:pic>
              </a:graphicData>
            </a:graphic>
          </wp:inline>
        </w:drawing>
      </w:r>
    </w:p>
    <w:p w14:paraId="0F101DC0">
      <w:pPr>
        <w:pStyle w:val="49"/>
        <w:spacing w:before="163" w:after="163"/>
      </w:pPr>
      <w:r>
        <w:rPr>
          <w:rFonts w:hint="eastAsia"/>
        </w:rPr>
        <w:t>图3</w:t>
      </w:r>
      <w:r>
        <w:t xml:space="preserve">.4-1   </w:t>
      </w:r>
      <w:r>
        <w:rPr>
          <w:rFonts w:hint="eastAsia"/>
        </w:rPr>
        <w:t>石化企业典型废水收集和处理系统流程示意图</w:t>
      </w:r>
    </w:p>
    <w:p w14:paraId="79B66EDD">
      <w:pPr>
        <w:ind w:firstLine="480"/>
      </w:pPr>
      <w:r>
        <w:rPr>
          <w:rFonts w:hint="eastAsia"/>
        </w:rPr>
        <w:t>由于本项目是新建项目，处于设计阶段，因此，本次对</w:t>
      </w:r>
      <w:r>
        <w:t>废水集输、储存、处理处置过程逸散</w:t>
      </w:r>
      <w:r>
        <w:rPr>
          <w:rFonts w:hint="eastAsia"/>
        </w:rPr>
        <w:t>过程产生和排放的VOCs采用文件中列明的系数核算方法，具体如下：</w:t>
      </w:r>
    </w:p>
    <w:p w14:paraId="79E90476">
      <w:pPr>
        <w:ind w:firstLine="480"/>
      </w:pPr>
      <w:r>
        <w:rPr>
          <w:rFonts w:hint="eastAsia"/>
        </w:rPr>
        <w:t>根据文件中“（三）附录四.</w:t>
      </w:r>
      <w:r>
        <w:t>3</w:t>
      </w:r>
      <w:r>
        <w:rPr>
          <w:rFonts w:hint="eastAsia"/>
        </w:rPr>
        <w:t>核算方法”章节的“附表四-</w:t>
      </w:r>
      <w:r>
        <w:t xml:space="preserve">7  </w:t>
      </w:r>
      <w:r>
        <w:rPr>
          <w:rFonts w:hint="eastAsia"/>
        </w:rPr>
        <w:t>石化废水处理设施VOCs逸散量排放系数”进行核算，核算系数表如下：</w:t>
      </w:r>
    </w:p>
    <w:p w14:paraId="4B09AB85">
      <w:pPr>
        <w:pStyle w:val="47"/>
        <w:spacing w:before="65"/>
      </w:pPr>
      <w:r>
        <w:rPr>
          <w:rFonts w:hint="eastAsia"/>
        </w:rPr>
        <w:t>表3</w:t>
      </w:r>
      <w:r>
        <w:t xml:space="preserve">.4-4   </w:t>
      </w:r>
      <w:r>
        <w:rPr>
          <w:rFonts w:hint="eastAsia"/>
        </w:rPr>
        <w:t>石化废水处理设施VOCs逸散量排放系数</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411"/>
        <w:gridCol w:w="2550"/>
        <w:gridCol w:w="3769"/>
      </w:tblGrid>
      <w:tr w14:paraId="2FF6C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415" w:type="dxa"/>
            <w:shd w:val="clear" w:color="auto" w:fill="auto"/>
            <w:vAlign w:val="center"/>
          </w:tcPr>
          <w:p w14:paraId="21EB6FCB">
            <w:pPr>
              <w:pStyle w:val="90"/>
            </w:pPr>
            <w:r>
              <w:rPr>
                <w:rFonts w:hint="eastAsia"/>
              </w:rPr>
              <w:t>适用范围</w:t>
            </w:r>
          </w:p>
        </w:tc>
        <w:tc>
          <w:tcPr>
            <w:tcW w:w="2552" w:type="dxa"/>
            <w:shd w:val="clear" w:color="auto" w:fill="auto"/>
            <w:vAlign w:val="center"/>
          </w:tcPr>
          <w:p w14:paraId="72347C7D">
            <w:pPr>
              <w:pStyle w:val="90"/>
            </w:pPr>
            <w:r>
              <w:rPr>
                <w:rFonts w:hint="eastAsia"/>
              </w:rPr>
              <w:t>单位排放强度（kg</w:t>
            </w:r>
            <w:r>
              <w:t>/</w:t>
            </w:r>
            <w:r>
              <w:rPr>
                <w:rFonts w:hint="eastAsia"/>
              </w:rPr>
              <w:t>m</w:t>
            </w:r>
            <w:r>
              <w:rPr>
                <w:vertAlign w:val="superscript"/>
              </w:rPr>
              <w:t>3</w:t>
            </w:r>
            <w:r>
              <w:rPr>
                <w:rFonts w:hint="eastAsia"/>
              </w:rPr>
              <w:t>）</w:t>
            </w:r>
          </w:p>
        </w:tc>
        <w:tc>
          <w:tcPr>
            <w:tcW w:w="3773" w:type="dxa"/>
            <w:shd w:val="clear" w:color="auto" w:fill="auto"/>
            <w:vAlign w:val="center"/>
          </w:tcPr>
          <w:p w14:paraId="77383E4D">
            <w:pPr>
              <w:pStyle w:val="90"/>
            </w:pPr>
            <w:r>
              <w:rPr>
                <w:rFonts w:hint="eastAsia"/>
              </w:rPr>
              <w:t>备注</w:t>
            </w:r>
          </w:p>
        </w:tc>
      </w:tr>
      <w:tr w14:paraId="4C3F2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415" w:type="dxa"/>
            <w:shd w:val="clear" w:color="auto" w:fill="auto"/>
            <w:vAlign w:val="center"/>
          </w:tcPr>
          <w:p w14:paraId="35A6272C">
            <w:pPr>
              <w:pStyle w:val="90"/>
            </w:pPr>
            <w:r>
              <w:rPr>
                <w:rFonts w:hint="eastAsia"/>
              </w:rPr>
              <w:t>废水收集系统及油水分离</w:t>
            </w:r>
          </w:p>
        </w:tc>
        <w:tc>
          <w:tcPr>
            <w:tcW w:w="2552" w:type="dxa"/>
            <w:shd w:val="clear" w:color="auto" w:fill="auto"/>
            <w:vAlign w:val="center"/>
          </w:tcPr>
          <w:p w14:paraId="5AC1BFDB">
            <w:pPr>
              <w:pStyle w:val="90"/>
            </w:pPr>
            <w:r>
              <w:rPr>
                <w:rFonts w:hint="eastAsia"/>
              </w:rPr>
              <w:t>0.6</w:t>
            </w:r>
          </w:p>
        </w:tc>
        <w:tc>
          <w:tcPr>
            <w:tcW w:w="3773" w:type="dxa"/>
            <w:shd w:val="clear" w:color="auto" w:fill="auto"/>
            <w:vAlign w:val="center"/>
          </w:tcPr>
          <w:p w14:paraId="0A3F10CB">
            <w:pPr>
              <w:pStyle w:val="90"/>
            </w:pPr>
            <w:r>
              <w:rPr>
                <w:rFonts w:hint="eastAsia"/>
              </w:rPr>
              <w:t>排放量（kg）=排放系数×废水处理量（m</w:t>
            </w:r>
            <w:r>
              <w:rPr>
                <w:vertAlign w:val="superscript"/>
              </w:rPr>
              <w:t>3</w:t>
            </w:r>
            <w:r>
              <w:rPr>
                <w:rFonts w:hint="eastAsia"/>
              </w:rPr>
              <w:t>）</w:t>
            </w:r>
          </w:p>
        </w:tc>
      </w:tr>
      <w:tr w14:paraId="54ECD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415" w:type="dxa"/>
            <w:shd w:val="clear" w:color="auto" w:fill="auto"/>
            <w:vAlign w:val="center"/>
          </w:tcPr>
          <w:p w14:paraId="143870F6">
            <w:pPr>
              <w:pStyle w:val="90"/>
            </w:pPr>
            <w:r>
              <w:rPr>
                <w:rFonts w:hint="eastAsia"/>
              </w:rPr>
              <w:t>废水处理设施</w:t>
            </w:r>
          </w:p>
        </w:tc>
        <w:tc>
          <w:tcPr>
            <w:tcW w:w="2552" w:type="dxa"/>
            <w:shd w:val="clear" w:color="auto" w:fill="auto"/>
            <w:vAlign w:val="center"/>
          </w:tcPr>
          <w:p w14:paraId="0C4B3F7F">
            <w:pPr>
              <w:pStyle w:val="90"/>
            </w:pPr>
            <w:r>
              <w:rPr>
                <w:rFonts w:hint="eastAsia"/>
              </w:rPr>
              <w:t>0</w:t>
            </w:r>
            <w:r>
              <w:t>.005</w:t>
            </w:r>
          </w:p>
        </w:tc>
        <w:tc>
          <w:tcPr>
            <w:tcW w:w="3773" w:type="dxa"/>
            <w:shd w:val="clear" w:color="auto" w:fill="auto"/>
            <w:vAlign w:val="center"/>
          </w:tcPr>
          <w:p w14:paraId="3831D45E">
            <w:pPr>
              <w:pStyle w:val="90"/>
            </w:pPr>
            <w:r>
              <w:rPr>
                <w:rFonts w:hint="eastAsia"/>
              </w:rPr>
              <w:t>排放量（kg）=排放系数×废水处理量（m</w:t>
            </w:r>
            <w:r>
              <w:rPr>
                <w:vertAlign w:val="superscript"/>
              </w:rPr>
              <w:t>3</w:t>
            </w:r>
            <w:r>
              <w:rPr>
                <w:rFonts w:hint="eastAsia"/>
              </w:rPr>
              <w:t>）</w:t>
            </w:r>
          </w:p>
        </w:tc>
      </w:tr>
    </w:tbl>
    <w:p w14:paraId="1883C7FA">
      <w:pPr>
        <w:ind w:firstLine="480"/>
      </w:pPr>
      <w:r>
        <w:rPr>
          <w:rFonts w:hint="eastAsia"/>
        </w:rPr>
        <w:t>根据下文废水排放量核算分析，本项目车间油水分离及收集系统均采用密闭容器及管道收集废水，无VOCs逸散。废水排放量为7</w:t>
      </w:r>
      <w:r>
        <w:t>70</w:t>
      </w:r>
      <w:r>
        <w:rPr>
          <w:rFonts w:hint="eastAsia"/>
        </w:rPr>
        <w:t>m</w:t>
      </w:r>
      <w:r>
        <w:rPr>
          <w:vertAlign w:val="superscript"/>
        </w:rPr>
        <w:t>3</w:t>
      </w:r>
      <w:r>
        <w:t>/a</w:t>
      </w:r>
      <w:r>
        <w:rPr>
          <w:rFonts w:hint="eastAsia"/>
        </w:rPr>
        <w:t>，冲洗废水及循环水排污不计入其中，因此，本项目废水处理设施VOCs排放量为7</w:t>
      </w:r>
      <w:r>
        <w:t>70</w:t>
      </w:r>
      <w:r>
        <w:rPr>
          <w:rFonts w:hint="eastAsia"/>
        </w:rPr>
        <w:t>×0</w:t>
      </w:r>
      <w:r>
        <w:t>.005=3.5</w:t>
      </w:r>
      <w:r>
        <w:rPr>
          <w:rFonts w:hint="eastAsia"/>
        </w:rPr>
        <w:t>kg</w:t>
      </w:r>
      <w:r>
        <w:t>/a=0.005</w:t>
      </w:r>
      <w:r>
        <w:rPr>
          <w:rFonts w:hint="eastAsia"/>
        </w:rPr>
        <w:t>kg</w:t>
      </w:r>
      <w:r>
        <w:t>/h</w:t>
      </w:r>
      <w:r>
        <w:rPr>
          <w:rFonts w:hint="eastAsia"/>
        </w:rPr>
        <w:t>。</w:t>
      </w:r>
    </w:p>
    <w:p w14:paraId="467C83A1">
      <w:pPr>
        <w:ind w:firstLine="480"/>
      </w:pPr>
      <w:r>
        <w:rPr>
          <w:rFonts w:hint="eastAsia"/>
        </w:rPr>
        <w:t>本项目污水处理站设置有隔油池、A</w:t>
      </w:r>
      <w:r>
        <w:t>/</w:t>
      </w:r>
      <w:r>
        <w:rPr>
          <w:rFonts w:hint="eastAsia"/>
        </w:rPr>
        <w:t>O生化池装置，在本项目污水处理站运营期会产生一定的恶臭气体，恶臭源主要分布在进水区（隔油池）和生化处理区（A</w:t>
      </w:r>
      <w:r>
        <w:t>/</w:t>
      </w:r>
      <w:r>
        <w:rPr>
          <w:rFonts w:hint="eastAsia"/>
        </w:rPr>
        <w:t>O生化池），一般污水生化处理单元的恶臭污染相对较小，并且长污泥龄污水处理单元的恶臭污染要小于短污泥龄污水处理单元的。源强参考《城镇污水处理厂臭气处理技术规程》（CJJT243-2016）及《污水处理厂恶臭污染状况分析与评价》（郭静等发表于《中国给水排水》2002年18卷第2期）、《CASS工艺在寒冷地区城市污水处理中的优化运行研究》（郑飞，2011年）、《CASS工艺在城市污水处理厂运行参数的优化及应用的研究》（柴宗学，2014年）等论文对国内运行的污水处理站恶臭实测数据，具体见表3</w:t>
      </w:r>
      <w:r>
        <w:t>.4-5</w:t>
      </w:r>
      <w:r>
        <w:rPr>
          <w:rFonts w:hint="eastAsia"/>
        </w:rPr>
        <w:t>。</w:t>
      </w:r>
    </w:p>
    <w:p w14:paraId="3C0ABF98">
      <w:pPr>
        <w:pStyle w:val="47"/>
        <w:spacing w:before="65"/>
      </w:pPr>
      <w:r>
        <w:rPr>
          <w:rFonts w:hint="eastAsia"/>
        </w:rPr>
        <w:t>表3</w:t>
      </w:r>
      <w:r>
        <w:t xml:space="preserve">.4-5   </w:t>
      </w:r>
      <w:r>
        <w:rPr>
          <w:rFonts w:hint="eastAsia"/>
        </w:rPr>
        <w:t xml:space="preserve">污水处理站单位面积恶臭污染物排放强度 </w:t>
      </w:r>
      <w:r>
        <w:t xml:space="preserve">  </w:t>
      </w:r>
      <w:r>
        <w:rPr>
          <w:rFonts w:hint="eastAsia"/>
        </w:rPr>
        <w:t>单位：mg</w:t>
      </w:r>
      <w:r>
        <w:t>/</w:t>
      </w:r>
      <w:r>
        <w:rPr>
          <w:rFonts w:hint="eastAsia"/>
        </w:rPr>
        <w:t>s·m</w:t>
      </w:r>
      <w:r>
        <w:rPr>
          <w:vertAlign w:val="superscript"/>
        </w:rPr>
        <w:t>2</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82"/>
        <w:gridCol w:w="2182"/>
        <w:gridCol w:w="2183"/>
        <w:gridCol w:w="2183"/>
      </w:tblGrid>
      <w:tr w14:paraId="11A1A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49" w:type="pct"/>
            <w:shd w:val="clear" w:color="auto" w:fill="auto"/>
            <w:vAlign w:val="center"/>
          </w:tcPr>
          <w:p w14:paraId="26769F70">
            <w:pPr>
              <w:pStyle w:val="90"/>
            </w:pPr>
            <w:r>
              <w:rPr>
                <w:rFonts w:hint="eastAsia"/>
              </w:rPr>
              <w:t>构筑物名称</w:t>
            </w:r>
          </w:p>
        </w:tc>
        <w:tc>
          <w:tcPr>
            <w:tcW w:w="1249" w:type="pct"/>
            <w:shd w:val="clear" w:color="auto" w:fill="auto"/>
            <w:vAlign w:val="center"/>
          </w:tcPr>
          <w:p w14:paraId="75C7ED6A">
            <w:pPr>
              <w:pStyle w:val="90"/>
            </w:pPr>
            <w:r>
              <w:rPr>
                <w:rFonts w:hint="eastAsia"/>
              </w:rPr>
              <w:t>NH</w:t>
            </w:r>
            <w:r>
              <w:rPr>
                <w:vertAlign w:val="subscript"/>
              </w:rPr>
              <w:t>3</w:t>
            </w:r>
          </w:p>
        </w:tc>
        <w:tc>
          <w:tcPr>
            <w:tcW w:w="1250" w:type="pct"/>
            <w:shd w:val="clear" w:color="auto" w:fill="auto"/>
            <w:vAlign w:val="center"/>
          </w:tcPr>
          <w:p w14:paraId="0D6C8E90">
            <w:pPr>
              <w:pStyle w:val="90"/>
            </w:pPr>
            <w:r>
              <w:rPr>
                <w:rFonts w:hint="eastAsia"/>
              </w:rPr>
              <w:t>H</w:t>
            </w:r>
            <w:r>
              <w:rPr>
                <w:vertAlign w:val="subscript"/>
              </w:rPr>
              <w:t>2</w:t>
            </w:r>
            <w:r>
              <w:rPr>
                <w:rFonts w:hint="eastAsia"/>
              </w:rPr>
              <w:t>S</w:t>
            </w:r>
          </w:p>
        </w:tc>
        <w:tc>
          <w:tcPr>
            <w:tcW w:w="1250" w:type="pct"/>
            <w:shd w:val="clear" w:color="auto" w:fill="auto"/>
            <w:vAlign w:val="center"/>
          </w:tcPr>
          <w:p w14:paraId="21862DC1">
            <w:pPr>
              <w:pStyle w:val="90"/>
            </w:pPr>
            <w:r>
              <w:rPr>
                <w:rFonts w:hint="eastAsia"/>
              </w:rPr>
              <w:t>备注</w:t>
            </w:r>
          </w:p>
        </w:tc>
      </w:tr>
      <w:tr w14:paraId="11391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9" w:type="pct"/>
            <w:shd w:val="clear" w:color="auto" w:fill="auto"/>
            <w:vAlign w:val="center"/>
          </w:tcPr>
          <w:p w14:paraId="4A59C8D8">
            <w:pPr>
              <w:pStyle w:val="90"/>
            </w:pPr>
            <w:r>
              <w:rPr>
                <w:rFonts w:hint="eastAsia"/>
              </w:rPr>
              <w:t>隔油池</w:t>
            </w:r>
          </w:p>
        </w:tc>
        <w:tc>
          <w:tcPr>
            <w:tcW w:w="1249" w:type="pct"/>
            <w:shd w:val="clear" w:color="auto" w:fill="auto"/>
            <w:vAlign w:val="center"/>
          </w:tcPr>
          <w:p w14:paraId="508FF09C">
            <w:pPr>
              <w:pStyle w:val="90"/>
            </w:pPr>
            <w:r>
              <w:rPr>
                <w:rFonts w:hint="eastAsia"/>
              </w:rPr>
              <w:t>0</w:t>
            </w:r>
            <w:r>
              <w:t>.103</w:t>
            </w:r>
          </w:p>
        </w:tc>
        <w:tc>
          <w:tcPr>
            <w:tcW w:w="1250" w:type="pct"/>
            <w:shd w:val="clear" w:color="auto" w:fill="auto"/>
            <w:vAlign w:val="center"/>
          </w:tcPr>
          <w:p w14:paraId="75106E55">
            <w:pPr>
              <w:pStyle w:val="90"/>
              <w:rPr>
                <w:vertAlign w:val="superscript"/>
              </w:rPr>
            </w:pPr>
            <w:r>
              <w:rPr>
                <w:rFonts w:hint="eastAsia"/>
              </w:rPr>
              <w:t>2</w:t>
            </w:r>
            <w:r>
              <w:t>.6</w:t>
            </w:r>
            <w:r>
              <w:rPr>
                <w:rFonts w:hint="eastAsia"/>
              </w:rPr>
              <w:t>×1</w:t>
            </w:r>
            <w:r>
              <w:t>0</w:t>
            </w:r>
            <w:r>
              <w:rPr>
                <w:vertAlign w:val="superscript"/>
              </w:rPr>
              <w:t>-4</w:t>
            </w:r>
          </w:p>
        </w:tc>
        <w:tc>
          <w:tcPr>
            <w:tcW w:w="1250" w:type="pct"/>
            <w:shd w:val="clear" w:color="auto" w:fill="auto"/>
            <w:vAlign w:val="center"/>
          </w:tcPr>
          <w:p w14:paraId="5BC056A4">
            <w:pPr>
              <w:pStyle w:val="90"/>
            </w:pPr>
            <w:r>
              <w:rPr>
                <w:rFonts w:hint="eastAsia"/>
              </w:rPr>
              <w:t>类比值</w:t>
            </w:r>
          </w:p>
        </w:tc>
      </w:tr>
      <w:tr w14:paraId="731B6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9" w:type="pct"/>
            <w:shd w:val="clear" w:color="auto" w:fill="auto"/>
            <w:vAlign w:val="center"/>
          </w:tcPr>
          <w:p w14:paraId="4365BCFB">
            <w:pPr>
              <w:pStyle w:val="90"/>
            </w:pPr>
            <w:r>
              <w:rPr>
                <w:rFonts w:hint="eastAsia"/>
              </w:rPr>
              <w:t>A</w:t>
            </w:r>
            <w:r>
              <w:t>/</w:t>
            </w:r>
            <w:r>
              <w:rPr>
                <w:rFonts w:hint="eastAsia"/>
              </w:rPr>
              <w:t>O生化池</w:t>
            </w:r>
          </w:p>
        </w:tc>
        <w:tc>
          <w:tcPr>
            <w:tcW w:w="1249" w:type="pct"/>
            <w:shd w:val="clear" w:color="auto" w:fill="auto"/>
            <w:vAlign w:val="center"/>
          </w:tcPr>
          <w:p w14:paraId="1CA40C4F">
            <w:pPr>
              <w:pStyle w:val="90"/>
            </w:pPr>
            <w:r>
              <w:rPr>
                <w:rFonts w:hint="eastAsia"/>
              </w:rPr>
              <w:t>0</w:t>
            </w:r>
            <w:r>
              <w:t>.010</w:t>
            </w:r>
          </w:p>
        </w:tc>
        <w:tc>
          <w:tcPr>
            <w:tcW w:w="1250" w:type="pct"/>
            <w:shd w:val="clear" w:color="auto" w:fill="auto"/>
            <w:vAlign w:val="center"/>
          </w:tcPr>
          <w:p w14:paraId="6DDE9C2E">
            <w:pPr>
              <w:pStyle w:val="90"/>
            </w:pPr>
            <w:r>
              <w:t>1.2</w:t>
            </w:r>
            <w:r>
              <w:rPr>
                <w:rFonts w:hint="eastAsia"/>
              </w:rPr>
              <w:t>×1</w:t>
            </w:r>
            <w:r>
              <w:t>0</w:t>
            </w:r>
            <w:r>
              <w:rPr>
                <w:vertAlign w:val="superscript"/>
              </w:rPr>
              <w:t>-4</w:t>
            </w:r>
          </w:p>
        </w:tc>
        <w:tc>
          <w:tcPr>
            <w:tcW w:w="1250" w:type="pct"/>
            <w:shd w:val="clear" w:color="auto" w:fill="auto"/>
            <w:vAlign w:val="center"/>
          </w:tcPr>
          <w:p w14:paraId="35B8B693">
            <w:pPr>
              <w:pStyle w:val="90"/>
            </w:pPr>
            <w:r>
              <w:rPr>
                <w:rFonts w:hint="eastAsia"/>
              </w:rPr>
              <w:t>类比值</w:t>
            </w:r>
          </w:p>
        </w:tc>
      </w:tr>
      <w:tr w14:paraId="261B6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9" w:type="pct"/>
            <w:shd w:val="clear" w:color="auto" w:fill="auto"/>
            <w:vAlign w:val="center"/>
          </w:tcPr>
          <w:p w14:paraId="3B12E239">
            <w:pPr>
              <w:pStyle w:val="90"/>
            </w:pPr>
            <w:r>
              <w:rPr>
                <w:rFonts w:hint="eastAsia"/>
              </w:rPr>
              <w:t>合计</w:t>
            </w:r>
          </w:p>
        </w:tc>
        <w:tc>
          <w:tcPr>
            <w:tcW w:w="1249" w:type="pct"/>
            <w:shd w:val="clear" w:color="auto" w:fill="auto"/>
            <w:vAlign w:val="center"/>
          </w:tcPr>
          <w:p w14:paraId="75E3DFA8">
            <w:pPr>
              <w:pStyle w:val="90"/>
            </w:pPr>
            <w:r>
              <w:rPr>
                <w:rFonts w:hint="eastAsia"/>
              </w:rPr>
              <w:t>0</w:t>
            </w:r>
            <w:r>
              <w:t>.12</w:t>
            </w:r>
          </w:p>
        </w:tc>
        <w:tc>
          <w:tcPr>
            <w:tcW w:w="1250" w:type="pct"/>
            <w:shd w:val="clear" w:color="auto" w:fill="auto"/>
            <w:vAlign w:val="center"/>
          </w:tcPr>
          <w:p w14:paraId="5D8F30A9">
            <w:pPr>
              <w:pStyle w:val="90"/>
            </w:pPr>
            <w:r>
              <w:rPr>
                <w:rFonts w:hint="eastAsia"/>
              </w:rPr>
              <w:t>5</w:t>
            </w:r>
            <w:r>
              <w:t>.5</w:t>
            </w:r>
            <w:r>
              <w:rPr>
                <w:rFonts w:hint="eastAsia"/>
              </w:rPr>
              <w:t>×1</w:t>
            </w:r>
            <w:r>
              <w:t>0</w:t>
            </w:r>
            <w:r>
              <w:rPr>
                <w:vertAlign w:val="superscript"/>
              </w:rPr>
              <w:t>-4</w:t>
            </w:r>
          </w:p>
        </w:tc>
        <w:tc>
          <w:tcPr>
            <w:tcW w:w="1250" w:type="pct"/>
            <w:shd w:val="clear" w:color="auto" w:fill="auto"/>
            <w:vAlign w:val="center"/>
          </w:tcPr>
          <w:p w14:paraId="147160AA">
            <w:pPr>
              <w:pStyle w:val="90"/>
            </w:pPr>
            <w:r>
              <w:rPr>
                <w:rFonts w:hint="eastAsia"/>
              </w:rPr>
              <w:t>/</w:t>
            </w:r>
          </w:p>
        </w:tc>
      </w:tr>
    </w:tbl>
    <w:p w14:paraId="2C953999">
      <w:pPr>
        <w:ind w:firstLine="480"/>
      </w:pPr>
      <w:r>
        <w:rPr>
          <w:rFonts w:hint="eastAsia"/>
        </w:rPr>
        <w:t>根据本项目的平面设计，污水</w:t>
      </w:r>
      <w:r>
        <w:t>处理站占地面积为</w:t>
      </w:r>
      <w:r>
        <w:rPr>
          <w:rFonts w:hint="eastAsia"/>
        </w:rPr>
        <w:t>1</w:t>
      </w:r>
      <w:r>
        <w:t>86</w:t>
      </w:r>
      <w:r>
        <w:rPr>
          <w:rFonts w:hint="eastAsia"/>
        </w:rPr>
        <w:t>m</w:t>
      </w:r>
      <w:r>
        <w:rPr>
          <w:vertAlign w:val="superscript"/>
        </w:rPr>
        <w:t>2</w:t>
      </w:r>
      <w:r>
        <w:rPr>
          <w:rFonts w:hint="eastAsia"/>
        </w:rPr>
        <w:t>，则本项目主要的恶臭污染物排放速率为NH</w:t>
      </w:r>
      <w:r>
        <w:rPr>
          <w:vertAlign w:val="subscript"/>
        </w:rPr>
        <w:t>3</w:t>
      </w:r>
      <w:r>
        <w:rPr>
          <w:rFonts w:hint="eastAsia"/>
        </w:rPr>
        <w:t>：0</w:t>
      </w:r>
      <w:r>
        <w:t>.081</w:t>
      </w:r>
      <w:r>
        <w:rPr>
          <w:rFonts w:hint="eastAsia"/>
        </w:rPr>
        <w:t>kg</w:t>
      </w:r>
      <w:r>
        <w:t>/h</w:t>
      </w:r>
      <w:r>
        <w:rPr>
          <w:rFonts w:hint="eastAsia"/>
        </w:rPr>
        <w:t>（0</w:t>
      </w:r>
      <w:r>
        <w:t>.6</w:t>
      </w:r>
      <w:r>
        <w:rPr>
          <w:rFonts w:hint="eastAsia"/>
        </w:rPr>
        <w:t>t</w:t>
      </w:r>
      <w:r>
        <w:t>/a</w:t>
      </w:r>
      <w:r>
        <w:rPr>
          <w:rFonts w:hint="eastAsia"/>
        </w:rPr>
        <w:t>）、H</w:t>
      </w:r>
      <w:r>
        <w:rPr>
          <w:vertAlign w:val="subscript"/>
        </w:rPr>
        <w:t>2</w:t>
      </w:r>
      <w:r>
        <w:rPr>
          <w:rFonts w:hint="eastAsia"/>
        </w:rPr>
        <w:t>S：0</w:t>
      </w:r>
      <w:r>
        <w:t>.0004</w:t>
      </w:r>
      <w:r>
        <w:rPr>
          <w:rFonts w:hint="eastAsia"/>
        </w:rPr>
        <w:t>kg</w:t>
      </w:r>
      <w:r>
        <w:t>/h</w:t>
      </w:r>
      <w:r>
        <w:rPr>
          <w:rFonts w:hint="eastAsia"/>
        </w:rPr>
        <w:t>（</w:t>
      </w:r>
      <w:r>
        <w:t>0.003</w:t>
      </w:r>
      <w:r>
        <w:rPr>
          <w:rFonts w:hint="eastAsia"/>
        </w:rPr>
        <w:t>t</w:t>
      </w:r>
      <w:r>
        <w:t>/a</w:t>
      </w:r>
      <w:r>
        <w:rPr>
          <w:rFonts w:hint="eastAsia"/>
        </w:rPr>
        <w:t>）。</w:t>
      </w:r>
    </w:p>
    <w:p w14:paraId="5E3DEC4D">
      <w:pPr>
        <w:ind w:firstLine="480"/>
      </w:pPr>
      <w:r>
        <w:rPr>
          <w:rFonts w:hint="eastAsia"/>
        </w:rPr>
        <w:t>通过隔油池等处理处置设施加盖、密封；定期在各恶臭源区域内喷洒除臭剂，尽可能减少恶臭污染物外产生量和排放量等措施后，本项目污水处理站的恶臭气体排放量较小，对周围影响较小。</w:t>
      </w:r>
    </w:p>
    <w:p w14:paraId="1B95B073">
      <w:pPr>
        <w:pStyle w:val="45"/>
        <w:spacing w:before="65" w:after="65"/>
      </w:pPr>
      <w:r>
        <w:rPr>
          <w:rFonts w:hint="eastAsia"/>
        </w:rPr>
        <w:t>其它源项VOCs污染源</w:t>
      </w:r>
    </w:p>
    <w:p w14:paraId="09B3C48B">
      <w:pPr>
        <w:ind w:firstLine="480"/>
      </w:pPr>
      <w:r>
        <w:rPr>
          <w:rFonts w:hint="eastAsia"/>
        </w:rPr>
        <w:t>根据（</w:t>
      </w:r>
      <w:r>
        <w:rPr>
          <w:rFonts w:hint="eastAsia"/>
          <w:kern w:val="0"/>
          <w:szCs w:val="24"/>
        </w:rPr>
        <w:t>环办〔</w:t>
      </w:r>
      <w:r>
        <w:rPr>
          <w:kern w:val="0"/>
          <w:szCs w:val="24"/>
        </w:rPr>
        <w:t>2015</w:t>
      </w:r>
      <w:r>
        <w:rPr>
          <w:rFonts w:hint="eastAsia"/>
          <w:kern w:val="0"/>
          <w:szCs w:val="24"/>
        </w:rPr>
        <w:t>〕</w:t>
      </w:r>
      <w:r>
        <w:rPr>
          <w:kern w:val="0"/>
          <w:szCs w:val="24"/>
        </w:rPr>
        <w:t>104</w:t>
      </w:r>
      <w:r>
        <w:rPr>
          <w:rFonts w:hint="eastAsia"/>
          <w:kern w:val="0"/>
          <w:szCs w:val="24"/>
        </w:rPr>
        <w:t>号</w:t>
      </w:r>
      <w:r>
        <w:rPr>
          <w:rFonts w:hint="eastAsia"/>
        </w:rPr>
        <w:t>）文件，其它源项VOCs污染源包括：燃烧烟气排放、工艺有组织排放、火炬排放、工艺无组织排放、非正常工况（含开停工及维修）排放、冷却塔及循环水冷却系统释放、事故排放。</w:t>
      </w:r>
    </w:p>
    <w:p w14:paraId="0C14C492">
      <w:pPr>
        <w:ind w:firstLine="480"/>
      </w:pPr>
      <w:r>
        <w:rPr>
          <w:rFonts w:hint="eastAsia"/>
        </w:rPr>
        <w:t>本项目涉及的的其它源项为：工艺有组织排放、循环水冷却系统释放和非正常工况（含开停工及维修）排放，采用（</w:t>
      </w:r>
      <w:r>
        <w:rPr>
          <w:rFonts w:hint="eastAsia"/>
          <w:kern w:val="0"/>
          <w:szCs w:val="24"/>
        </w:rPr>
        <w:t>环办〔</w:t>
      </w:r>
      <w:r>
        <w:rPr>
          <w:kern w:val="0"/>
          <w:szCs w:val="24"/>
        </w:rPr>
        <w:t>2015</w:t>
      </w:r>
      <w:r>
        <w:rPr>
          <w:rFonts w:hint="eastAsia"/>
          <w:kern w:val="0"/>
          <w:szCs w:val="24"/>
        </w:rPr>
        <w:t>〕</w:t>
      </w:r>
      <w:r>
        <w:rPr>
          <w:kern w:val="0"/>
          <w:szCs w:val="24"/>
        </w:rPr>
        <w:t>104</w:t>
      </w:r>
      <w:r>
        <w:rPr>
          <w:rFonts w:hint="eastAsia"/>
          <w:kern w:val="0"/>
          <w:szCs w:val="24"/>
        </w:rPr>
        <w:t>号</w:t>
      </w:r>
      <w:r>
        <w:rPr>
          <w:rFonts w:hint="eastAsia"/>
        </w:rPr>
        <w:t>）文件中“（四）附录五.</w:t>
      </w:r>
      <w:r>
        <w:t>4</w:t>
      </w:r>
      <w:r>
        <w:rPr>
          <w:rFonts w:hint="eastAsia"/>
        </w:rPr>
        <w:t>估算系数”进行核算，具体核算如下：</w:t>
      </w:r>
    </w:p>
    <w:p w14:paraId="7AFB1000">
      <w:pPr>
        <w:ind w:firstLine="480"/>
        <w:rPr>
          <w:rFonts w:hint="eastAsia"/>
        </w:rPr>
      </w:pPr>
      <w:r>
        <w:rPr>
          <w:rFonts w:hint="eastAsia"/>
          <w:lang w:eastAsia="zh-CN"/>
        </w:rPr>
        <w:t>（</w:t>
      </w:r>
      <w:r>
        <w:rPr>
          <w:rFonts w:hint="eastAsia"/>
          <w:lang w:val="en-US" w:eastAsia="zh-CN"/>
        </w:rPr>
        <w:t>1</w:t>
      </w:r>
      <w:r>
        <w:rPr>
          <w:rFonts w:hint="eastAsia"/>
          <w:lang w:eastAsia="zh-CN"/>
        </w:rPr>
        <w:t>）</w:t>
      </w:r>
      <w:r>
        <w:rPr>
          <w:rFonts w:hint="eastAsia"/>
        </w:rPr>
        <w:t>工艺有组织排放</w:t>
      </w:r>
    </w:p>
    <w:p w14:paraId="77577F9F">
      <w:pPr>
        <w:ind w:firstLine="480"/>
        <w:rPr>
          <w:rFonts w:hint="eastAsia"/>
          <w:lang w:val="en-US" w:eastAsia="zh-CN"/>
        </w:rPr>
      </w:pPr>
      <w:r>
        <w:rPr>
          <w:rFonts w:hint="eastAsia"/>
          <w:lang w:val="en-US" w:eastAsia="zh-CN"/>
        </w:rPr>
        <w:t>根据</w:t>
      </w:r>
      <w:r>
        <w:rPr>
          <w:rFonts w:hint="eastAsia"/>
        </w:rPr>
        <w:t>（</w:t>
      </w:r>
      <w:r>
        <w:rPr>
          <w:rFonts w:hint="eastAsia"/>
          <w:kern w:val="0"/>
          <w:szCs w:val="24"/>
        </w:rPr>
        <w:t>环办〔</w:t>
      </w:r>
      <w:r>
        <w:rPr>
          <w:kern w:val="0"/>
          <w:szCs w:val="24"/>
        </w:rPr>
        <w:t>2015</w:t>
      </w:r>
      <w:r>
        <w:rPr>
          <w:rFonts w:hint="eastAsia"/>
          <w:kern w:val="0"/>
          <w:szCs w:val="24"/>
        </w:rPr>
        <w:t>〕</w:t>
      </w:r>
      <w:r>
        <w:rPr>
          <w:kern w:val="0"/>
          <w:szCs w:val="24"/>
        </w:rPr>
        <w:t>104</w:t>
      </w:r>
      <w:r>
        <w:rPr>
          <w:rFonts w:hint="eastAsia"/>
          <w:kern w:val="0"/>
          <w:szCs w:val="24"/>
        </w:rPr>
        <w:t>号</w:t>
      </w:r>
      <w:r>
        <w:rPr>
          <w:rFonts w:hint="eastAsia"/>
        </w:rPr>
        <w:t>）文件</w:t>
      </w:r>
      <w:r>
        <w:rPr>
          <w:rFonts w:hint="eastAsia"/>
          <w:lang w:val="en-US" w:eastAsia="zh-CN"/>
        </w:rPr>
        <w:t>中“六、其它源项V0Cs污染源排查”</w:t>
      </w:r>
      <w:r>
        <w:rPr>
          <w:rFonts w:hint="eastAsia"/>
          <w:lang w:eastAsia="zh-CN"/>
        </w:rPr>
        <w:t>，</w:t>
      </w:r>
      <w:r>
        <w:rPr>
          <w:rFonts w:hint="eastAsia"/>
          <w:lang w:val="en-US" w:eastAsia="zh-CN"/>
        </w:rPr>
        <w:t>工艺有组织排放量的估算方法包括实测法、物料衡算法和排放系数法，本项目未运行，排放系数法仅适用于延迟焦化装置，因此本次采用物料衡算法对工艺有组织排放量进行估算。</w:t>
      </w:r>
    </w:p>
    <w:p w14:paraId="763234EB">
      <w:pPr>
        <w:ind w:firstLine="480"/>
        <w:rPr>
          <w:rFonts w:hint="default"/>
          <w:lang w:val="en-US" w:eastAsia="zh-CN"/>
        </w:rPr>
      </w:pPr>
      <w:r>
        <w:rPr>
          <w:rFonts w:hint="eastAsia"/>
          <w:lang w:val="en-US" w:eastAsia="zh-CN"/>
        </w:rPr>
        <w:t>本项目润滑油生产车间内主要生产设备为洗油沉淀罐和白土脱色锅等，生产过程物料存在挥发，产生有机废气，通过在洗油沉淀罐、白土脱色装置上方安装收集管道，将产生的有机废气收集，由于装置全封闭，收集效率为100%，经收集后的有机废气采用“碱洗喷淋+活性炭吸附”工艺处理后由15m排气筒排放，本项目共设置2套“碱洗喷淋+活性炭吸附”装置，共用1根15m排气筒（DA003）。</w:t>
      </w:r>
    </w:p>
    <w:p w14:paraId="3B0E3C4F">
      <w:pPr>
        <w:ind w:firstLine="480"/>
        <w:rPr>
          <w:rFonts w:hint="eastAsia"/>
          <w:lang w:val="en-US" w:eastAsia="zh-CN"/>
        </w:rPr>
      </w:pPr>
      <w:r>
        <w:rPr>
          <w:rFonts w:hint="eastAsia"/>
          <w:lang w:val="en-US" w:eastAsia="zh-CN"/>
        </w:rPr>
        <w:t>根据建设单位提供资料，“碱洗喷淋+活性炭吸附”装置的参数如下：风机风量：70000Nm</w:t>
      </w:r>
      <w:r>
        <w:rPr>
          <w:rFonts w:hint="eastAsia"/>
          <w:vertAlign w:val="superscript"/>
          <w:lang w:val="en-US" w:eastAsia="zh-CN"/>
        </w:rPr>
        <w:t>3</w:t>
      </w:r>
      <w:r>
        <w:rPr>
          <w:rFonts w:hint="eastAsia"/>
          <w:vertAlign w:val="baseline"/>
          <w:lang w:val="en-US" w:eastAsia="zh-CN"/>
        </w:rPr>
        <w:t>/h</w:t>
      </w:r>
      <w:r>
        <w:rPr>
          <w:rFonts w:hint="eastAsia"/>
          <w:lang w:val="en-US" w:eastAsia="zh-CN"/>
        </w:rPr>
        <w:t>、年运行时间7200h、挥发性有机物去除效率：95%、排气筒高度：15m、内径：1.0m、温度：25℃。</w:t>
      </w:r>
    </w:p>
    <w:p w14:paraId="604E1E5E">
      <w:pPr>
        <w:ind w:firstLine="480"/>
        <w:rPr>
          <w:rFonts w:hint="eastAsia"/>
          <w:lang w:val="en-US" w:eastAsia="zh-CN"/>
        </w:rPr>
      </w:pPr>
      <w:r>
        <w:rPr>
          <w:rFonts w:hint="eastAsia"/>
          <w:lang w:val="en-US" w:eastAsia="zh-CN"/>
        </w:rPr>
        <w:t>根据前文物料衡算可知：洗油沉淀罐（加酸沉淀工序）有机废气产生量为79.72t/a；白土脱色工序有机废气产生量为23.1t/a。因此，工艺有组织废气排放情况见下表。</w:t>
      </w:r>
    </w:p>
    <w:p w14:paraId="1CD1ACB9">
      <w:pPr>
        <w:pStyle w:val="47"/>
        <w:bidi w:val="0"/>
        <w:rPr>
          <w:rFonts w:hint="eastAsia"/>
          <w:highlight w:val="none"/>
          <w:lang w:val="en-US" w:eastAsia="zh-CN"/>
        </w:rPr>
      </w:pPr>
      <w:r>
        <w:rPr>
          <w:rFonts w:hint="eastAsia"/>
          <w:highlight w:val="none"/>
          <w:lang w:val="en-US" w:eastAsia="zh-CN"/>
        </w:rPr>
        <w:t>表3.4-6   工艺有组织排放情况一览表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77"/>
        <w:gridCol w:w="877"/>
        <w:gridCol w:w="1010"/>
        <w:gridCol w:w="1196"/>
        <w:gridCol w:w="1112"/>
        <w:gridCol w:w="1105"/>
        <w:gridCol w:w="1010"/>
        <w:gridCol w:w="878"/>
      </w:tblGrid>
      <w:tr w14:paraId="46B5B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vAlign w:val="center"/>
          </w:tcPr>
          <w:p w14:paraId="1478E9CD">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排放源</w:t>
            </w:r>
          </w:p>
        </w:tc>
        <w:tc>
          <w:tcPr>
            <w:tcW w:w="490" w:type="pct"/>
            <w:tcBorders>
              <w:tl2br w:val="nil"/>
              <w:tr2bl w:val="nil"/>
            </w:tcBorders>
            <w:vAlign w:val="center"/>
          </w:tcPr>
          <w:p w14:paraId="15778EFB">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污染物</w:t>
            </w:r>
          </w:p>
        </w:tc>
        <w:tc>
          <w:tcPr>
            <w:tcW w:w="490" w:type="pct"/>
            <w:tcBorders>
              <w:tl2br w:val="nil"/>
              <w:tr2bl w:val="nil"/>
            </w:tcBorders>
            <w:vAlign w:val="center"/>
          </w:tcPr>
          <w:p w14:paraId="6032AFD7">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产生量（t/a）</w:t>
            </w:r>
          </w:p>
        </w:tc>
        <w:tc>
          <w:tcPr>
            <w:tcW w:w="564" w:type="pct"/>
            <w:tcBorders>
              <w:tl2br w:val="nil"/>
              <w:tr2bl w:val="nil"/>
            </w:tcBorders>
            <w:vAlign w:val="center"/>
          </w:tcPr>
          <w:p w14:paraId="3C3EA43B">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产生速率（kg/h）</w:t>
            </w:r>
          </w:p>
        </w:tc>
        <w:tc>
          <w:tcPr>
            <w:tcW w:w="668" w:type="pct"/>
            <w:tcBorders>
              <w:tl2br w:val="nil"/>
              <w:tr2bl w:val="nil"/>
            </w:tcBorders>
            <w:vAlign w:val="center"/>
          </w:tcPr>
          <w:p w14:paraId="7F8D848D">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产生浓度（mg/m</w:t>
            </w:r>
            <w:r>
              <w:rPr>
                <w:rFonts w:hint="eastAsia"/>
                <w:color w:val="auto"/>
                <w:vertAlign w:val="superscript"/>
                <w:lang w:val="en-US" w:eastAsia="zh-CN"/>
              </w:rPr>
              <w:t>3</w:t>
            </w:r>
            <w:r>
              <w:rPr>
                <w:rFonts w:hint="eastAsia"/>
                <w:color w:val="auto"/>
                <w:lang w:val="en-US" w:eastAsia="zh-CN"/>
              </w:rPr>
              <w:t>）</w:t>
            </w:r>
          </w:p>
        </w:tc>
        <w:tc>
          <w:tcPr>
            <w:tcW w:w="621" w:type="pct"/>
            <w:tcBorders>
              <w:tl2br w:val="nil"/>
              <w:tr2bl w:val="nil"/>
            </w:tcBorders>
            <w:vAlign w:val="center"/>
          </w:tcPr>
          <w:p w14:paraId="103BAF10">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治理措施及效率</w:t>
            </w:r>
          </w:p>
        </w:tc>
        <w:tc>
          <w:tcPr>
            <w:tcW w:w="617" w:type="pct"/>
            <w:tcBorders>
              <w:tl2br w:val="nil"/>
              <w:tr2bl w:val="nil"/>
            </w:tcBorders>
            <w:vAlign w:val="center"/>
          </w:tcPr>
          <w:p w14:paraId="0CC1673E">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排放浓度（mg/m</w:t>
            </w:r>
            <w:r>
              <w:rPr>
                <w:rFonts w:hint="eastAsia"/>
                <w:color w:val="auto"/>
                <w:vertAlign w:val="superscript"/>
                <w:lang w:val="en-US" w:eastAsia="zh-CN"/>
              </w:rPr>
              <w:t>3</w:t>
            </w:r>
            <w:r>
              <w:rPr>
                <w:rFonts w:hint="eastAsia"/>
                <w:color w:val="auto"/>
                <w:lang w:val="en-US" w:eastAsia="zh-CN"/>
              </w:rPr>
              <w:t>）</w:t>
            </w:r>
          </w:p>
        </w:tc>
        <w:tc>
          <w:tcPr>
            <w:tcW w:w="564" w:type="pct"/>
            <w:tcBorders>
              <w:tl2br w:val="nil"/>
              <w:tr2bl w:val="nil"/>
            </w:tcBorders>
            <w:vAlign w:val="center"/>
          </w:tcPr>
          <w:p w14:paraId="01E4455C">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排放速率（kg/h）</w:t>
            </w:r>
          </w:p>
        </w:tc>
        <w:tc>
          <w:tcPr>
            <w:tcW w:w="490" w:type="pct"/>
            <w:tcBorders>
              <w:tl2br w:val="nil"/>
              <w:tr2bl w:val="nil"/>
            </w:tcBorders>
            <w:vAlign w:val="center"/>
          </w:tcPr>
          <w:p w14:paraId="775FB40F">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排放量（t/a）</w:t>
            </w:r>
          </w:p>
        </w:tc>
      </w:tr>
      <w:tr w14:paraId="50E4D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0" w:type="pct"/>
            <w:tcBorders>
              <w:tl2br w:val="nil"/>
              <w:tr2bl w:val="nil"/>
            </w:tcBorders>
            <w:vAlign w:val="center"/>
          </w:tcPr>
          <w:p w14:paraId="505434B7">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洗油沉淀罐</w:t>
            </w:r>
          </w:p>
        </w:tc>
        <w:tc>
          <w:tcPr>
            <w:tcW w:w="490" w:type="pct"/>
            <w:tcBorders>
              <w:tl2br w:val="nil"/>
              <w:tr2bl w:val="nil"/>
            </w:tcBorders>
            <w:vAlign w:val="center"/>
          </w:tcPr>
          <w:p w14:paraId="2EB846E1">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非甲烷总烃</w:t>
            </w:r>
          </w:p>
        </w:tc>
        <w:tc>
          <w:tcPr>
            <w:tcW w:w="490" w:type="pct"/>
            <w:tcBorders>
              <w:tl2br w:val="nil"/>
              <w:tr2bl w:val="nil"/>
            </w:tcBorders>
            <w:vAlign w:val="center"/>
          </w:tcPr>
          <w:p w14:paraId="2E872813">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79.72</w:t>
            </w:r>
          </w:p>
        </w:tc>
        <w:tc>
          <w:tcPr>
            <w:tcW w:w="564" w:type="pct"/>
            <w:tcBorders>
              <w:tl2br w:val="nil"/>
              <w:tr2bl w:val="nil"/>
            </w:tcBorders>
            <w:vAlign w:val="center"/>
          </w:tcPr>
          <w:p w14:paraId="3D701DFF">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11.07</w:t>
            </w:r>
          </w:p>
        </w:tc>
        <w:tc>
          <w:tcPr>
            <w:tcW w:w="668" w:type="pct"/>
            <w:tcBorders>
              <w:tl2br w:val="nil"/>
              <w:tr2bl w:val="nil"/>
            </w:tcBorders>
            <w:vAlign w:val="center"/>
          </w:tcPr>
          <w:p w14:paraId="2622E9CF">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158.17</w:t>
            </w:r>
          </w:p>
        </w:tc>
        <w:tc>
          <w:tcPr>
            <w:tcW w:w="621" w:type="pct"/>
            <w:vMerge w:val="restart"/>
            <w:tcBorders>
              <w:tl2br w:val="nil"/>
              <w:tr2bl w:val="nil"/>
            </w:tcBorders>
            <w:vAlign w:val="center"/>
          </w:tcPr>
          <w:p w14:paraId="2B6861E3">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碱洗喷淋+活性炭吸附+1根15m排气筒（95%）</w:t>
            </w:r>
          </w:p>
        </w:tc>
        <w:tc>
          <w:tcPr>
            <w:tcW w:w="617" w:type="pct"/>
            <w:vMerge w:val="restart"/>
            <w:tcBorders>
              <w:tl2br w:val="nil"/>
              <w:tr2bl w:val="nil"/>
            </w:tcBorders>
            <w:vAlign w:val="center"/>
          </w:tcPr>
          <w:p w14:paraId="57426CCA">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10.2</w:t>
            </w:r>
          </w:p>
        </w:tc>
        <w:tc>
          <w:tcPr>
            <w:tcW w:w="564" w:type="pct"/>
            <w:vMerge w:val="restart"/>
            <w:tcBorders>
              <w:tl2br w:val="nil"/>
              <w:tr2bl w:val="nil"/>
            </w:tcBorders>
            <w:vAlign w:val="center"/>
          </w:tcPr>
          <w:p w14:paraId="23C2D821">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0.714</w:t>
            </w:r>
          </w:p>
        </w:tc>
        <w:tc>
          <w:tcPr>
            <w:tcW w:w="490" w:type="pct"/>
            <w:vMerge w:val="restart"/>
            <w:tcBorders>
              <w:tl2br w:val="nil"/>
              <w:tr2bl w:val="nil"/>
            </w:tcBorders>
            <w:vAlign w:val="center"/>
          </w:tcPr>
          <w:p w14:paraId="12489FFE">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5.141</w:t>
            </w:r>
          </w:p>
        </w:tc>
      </w:tr>
      <w:tr w14:paraId="5401C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 w:type="pct"/>
            <w:tcBorders>
              <w:tl2br w:val="nil"/>
              <w:tr2bl w:val="nil"/>
            </w:tcBorders>
            <w:vAlign w:val="center"/>
          </w:tcPr>
          <w:p w14:paraId="683830C8">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加温白土锅</w:t>
            </w:r>
          </w:p>
        </w:tc>
        <w:tc>
          <w:tcPr>
            <w:tcW w:w="490" w:type="pct"/>
            <w:tcBorders>
              <w:tl2br w:val="nil"/>
              <w:tr2bl w:val="nil"/>
            </w:tcBorders>
            <w:vAlign w:val="center"/>
          </w:tcPr>
          <w:p w14:paraId="3ED44F00">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非甲烷总烃</w:t>
            </w:r>
          </w:p>
        </w:tc>
        <w:tc>
          <w:tcPr>
            <w:tcW w:w="490" w:type="pct"/>
            <w:tcBorders>
              <w:tl2br w:val="nil"/>
              <w:tr2bl w:val="nil"/>
            </w:tcBorders>
            <w:vAlign w:val="center"/>
          </w:tcPr>
          <w:p w14:paraId="0DD4D6F5">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23.1</w:t>
            </w:r>
          </w:p>
        </w:tc>
        <w:tc>
          <w:tcPr>
            <w:tcW w:w="564" w:type="pct"/>
            <w:tcBorders>
              <w:tl2br w:val="nil"/>
              <w:tr2bl w:val="nil"/>
            </w:tcBorders>
            <w:vAlign w:val="center"/>
          </w:tcPr>
          <w:p w14:paraId="2FFE5D4F">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3.21</w:t>
            </w:r>
          </w:p>
        </w:tc>
        <w:tc>
          <w:tcPr>
            <w:tcW w:w="668" w:type="pct"/>
            <w:tcBorders>
              <w:tl2br w:val="nil"/>
              <w:tr2bl w:val="nil"/>
            </w:tcBorders>
            <w:vAlign w:val="center"/>
          </w:tcPr>
          <w:p w14:paraId="636EB391">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48.83</w:t>
            </w:r>
          </w:p>
        </w:tc>
        <w:tc>
          <w:tcPr>
            <w:tcW w:w="621" w:type="pct"/>
            <w:vMerge w:val="continue"/>
            <w:tcBorders>
              <w:tl2br w:val="nil"/>
              <w:tr2bl w:val="nil"/>
            </w:tcBorders>
            <w:vAlign w:val="center"/>
          </w:tcPr>
          <w:p w14:paraId="06DB503F">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p>
        </w:tc>
        <w:tc>
          <w:tcPr>
            <w:tcW w:w="617" w:type="pct"/>
            <w:vMerge w:val="continue"/>
            <w:tcBorders>
              <w:tl2br w:val="nil"/>
              <w:tr2bl w:val="nil"/>
            </w:tcBorders>
            <w:vAlign w:val="center"/>
          </w:tcPr>
          <w:p w14:paraId="06F1AAA5">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p>
        </w:tc>
        <w:tc>
          <w:tcPr>
            <w:tcW w:w="564" w:type="pct"/>
            <w:vMerge w:val="continue"/>
            <w:tcBorders>
              <w:tl2br w:val="nil"/>
              <w:tr2bl w:val="nil"/>
            </w:tcBorders>
            <w:vAlign w:val="center"/>
          </w:tcPr>
          <w:p w14:paraId="6BD854C5">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p>
        </w:tc>
        <w:tc>
          <w:tcPr>
            <w:tcW w:w="490" w:type="pct"/>
            <w:vMerge w:val="continue"/>
            <w:tcBorders>
              <w:tl2br w:val="nil"/>
              <w:tr2bl w:val="nil"/>
            </w:tcBorders>
            <w:vAlign w:val="center"/>
          </w:tcPr>
          <w:p w14:paraId="73A498E5">
            <w:pPr>
              <w:pStyle w:val="90"/>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p>
        </w:tc>
      </w:tr>
    </w:tbl>
    <w:p w14:paraId="46538290">
      <w:pPr>
        <w:ind w:firstLine="48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循环水冷却系统释放</w:t>
      </w:r>
    </w:p>
    <w:p w14:paraId="0ED038FC">
      <w:pPr>
        <w:ind w:firstLine="480"/>
      </w:pPr>
      <w:r>
        <w:rPr>
          <w:rFonts w:hint="eastAsia"/>
        </w:rPr>
        <w:t>根据排放系数法核算循环水冷却系统释放的VOCs与循环水量有直接关系，具体核算系数如下：</w:t>
      </w:r>
    </w:p>
    <w:p w14:paraId="0BFF7562">
      <w:pPr>
        <w:pStyle w:val="47"/>
        <w:spacing w:before="65"/>
      </w:pPr>
      <w:r>
        <w:rPr>
          <w:rFonts w:hint="eastAsia"/>
        </w:rPr>
        <w:t>表3</w:t>
      </w:r>
      <w:r>
        <w:t xml:space="preserve">.4-5   </w:t>
      </w:r>
      <w:r>
        <w:rPr>
          <w:rFonts w:hint="eastAsia"/>
        </w:rPr>
        <w:t>冷却塔、循环水冷却系统VOCs排放系数</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70"/>
        <w:gridCol w:w="4360"/>
      </w:tblGrid>
      <w:tr w14:paraId="4514D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03" w:type="pct"/>
            <w:shd w:val="clear" w:color="auto" w:fill="auto"/>
            <w:vAlign w:val="center"/>
          </w:tcPr>
          <w:p w14:paraId="19F61C13">
            <w:pPr>
              <w:pStyle w:val="90"/>
            </w:pPr>
            <w:r>
              <w:rPr>
                <w:rFonts w:hint="eastAsia"/>
              </w:rPr>
              <w:t>凉水塔类型</w:t>
            </w:r>
          </w:p>
        </w:tc>
        <w:tc>
          <w:tcPr>
            <w:tcW w:w="2497" w:type="pct"/>
            <w:shd w:val="clear" w:color="auto" w:fill="auto"/>
            <w:vAlign w:val="center"/>
          </w:tcPr>
          <w:p w14:paraId="7302F9A9">
            <w:pPr>
              <w:pStyle w:val="90"/>
            </w:pPr>
            <w:r>
              <w:rPr>
                <w:rFonts w:hint="eastAsia"/>
              </w:rPr>
              <w:t>VOCs排放系数（t</w:t>
            </w:r>
            <w:r>
              <w:t>/</w:t>
            </w:r>
            <w:r>
              <w:rPr>
                <w:rFonts w:hint="eastAsia"/>
              </w:rPr>
              <w:t>m</w:t>
            </w:r>
            <w:r>
              <w:rPr>
                <w:vertAlign w:val="superscript"/>
              </w:rPr>
              <w:t>3</w:t>
            </w:r>
            <w:r>
              <w:t>-</w:t>
            </w:r>
            <w:r>
              <w:rPr>
                <w:rFonts w:hint="eastAsia"/>
              </w:rPr>
              <w:t>循环水量）</w:t>
            </w:r>
          </w:p>
        </w:tc>
      </w:tr>
      <w:tr w14:paraId="0DB67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03" w:type="pct"/>
            <w:shd w:val="clear" w:color="auto" w:fill="auto"/>
            <w:vAlign w:val="center"/>
          </w:tcPr>
          <w:p w14:paraId="35FA969D">
            <w:pPr>
              <w:pStyle w:val="90"/>
            </w:pPr>
            <w:r>
              <w:rPr>
                <w:rFonts w:hint="eastAsia"/>
              </w:rPr>
              <w:t>机械通风、逆流</w:t>
            </w:r>
          </w:p>
        </w:tc>
        <w:tc>
          <w:tcPr>
            <w:tcW w:w="2497" w:type="pct"/>
            <w:shd w:val="clear" w:color="auto" w:fill="auto"/>
            <w:vAlign w:val="center"/>
          </w:tcPr>
          <w:p w14:paraId="2B5DFF8F">
            <w:pPr>
              <w:pStyle w:val="90"/>
              <w:rPr>
                <w:vertAlign w:val="superscript"/>
              </w:rPr>
            </w:pPr>
            <w:r>
              <w:rPr>
                <w:rFonts w:hint="eastAsia"/>
              </w:rPr>
              <w:t>7</w:t>
            </w:r>
            <w:r>
              <w:t>.19</w:t>
            </w:r>
            <w:r>
              <w:rPr>
                <w:rFonts w:hint="eastAsia"/>
              </w:rPr>
              <w:t>×1</w:t>
            </w:r>
            <w:r>
              <w:t>0</w:t>
            </w:r>
            <w:r>
              <w:rPr>
                <w:vertAlign w:val="superscript"/>
              </w:rPr>
              <w:t>-7</w:t>
            </w:r>
          </w:p>
        </w:tc>
      </w:tr>
      <w:tr w14:paraId="48ED8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03" w:type="pct"/>
            <w:shd w:val="clear" w:color="auto" w:fill="auto"/>
            <w:vAlign w:val="center"/>
          </w:tcPr>
          <w:p w14:paraId="0ECF5BC2">
            <w:pPr>
              <w:pStyle w:val="90"/>
            </w:pPr>
            <w:r>
              <w:rPr>
                <w:rFonts w:hint="eastAsia"/>
              </w:rPr>
              <w:t>机械通风、横流</w:t>
            </w:r>
          </w:p>
        </w:tc>
        <w:tc>
          <w:tcPr>
            <w:tcW w:w="2497" w:type="pct"/>
            <w:shd w:val="clear" w:color="auto" w:fill="auto"/>
            <w:vAlign w:val="center"/>
          </w:tcPr>
          <w:p w14:paraId="2F1336A5">
            <w:pPr>
              <w:pStyle w:val="90"/>
            </w:pPr>
            <w:r>
              <w:rPr>
                <w:rFonts w:hint="eastAsia"/>
              </w:rPr>
              <w:t>7</w:t>
            </w:r>
            <w:r>
              <w:t>.19</w:t>
            </w:r>
            <w:r>
              <w:rPr>
                <w:rFonts w:hint="eastAsia"/>
              </w:rPr>
              <w:t>×1</w:t>
            </w:r>
            <w:r>
              <w:t>0</w:t>
            </w:r>
            <w:r>
              <w:rPr>
                <w:vertAlign w:val="superscript"/>
              </w:rPr>
              <w:t>-7</w:t>
            </w:r>
          </w:p>
        </w:tc>
      </w:tr>
      <w:tr w14:paraId="0DB2A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03" w:type="pct"/>
            <w:shd w:val="clear" w:color="auto" w:fill="auto"/>
            <w:vAlign w:val="center"/>
          </w:tcPr>
          <w:p w14:paraId="743715C3">
            <w:pPr>
              <w:pStyle w:val="90"/>
            </w:pPr>
            <w:r>
              <w:rPr>
                <w:rFonts w:hint="eastAsia"/>
              </w:rPr>
              <w:t>没有特定气流或流型</w:t>
            </w:r>
          </w:p>
        </w:tc>
        <w:tc>
          <w:tcPr>
            <w:tcW w:w="2497" w:type="pct"/>
            <w:shd w:val="clear" w:color="auto" w:fill="auto"/>
            <w:vAlign w:val="center"/>
          </w:tcPr>
          <w:p w14:paraId="69B6919D">
            <w:pPr>
              <w:pStyle w:val="90"/>
            </w:pPr>
            <w:r>
              <w:rPr>
                <w:rFonts w:hint="eastAsia"/>
              </w:rPr>
              <w:t>7</w:t>
            </w:r>
            <w:r>
              <w:t>.19</w:t>
            </w:r>
            <w:r>
              <w:rPr>
                <w:rFonts w:hint="eastAsia"/>
              </w:rPr>
              <w:t>×1</w:t>
            </w:r>
            <w:r>
              <w:t>0</w:t>
            </w:r>
            <w:r>
              <w:rPr>
                <w:vertAlign w:val="superscript"/>
              </w:rPr>
              <w:t>-7</w:t>
            </w:r>
          </w:p>
        </w:tc>
      </w:tr>
      <w:tr w14:paraId="097D9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03" w:type="pct"/>
            <w:shd w:val="clear" w:color="auto" w:fill="auto"/>
            <w:vAlign w:val="center"/>
          </w:tcPr>
          <w:p w14:paraId="09F9950F">
            <w:pPr>
              <w:pStyle w:val="90"/>
            </w:pPr>
            <w:r>
              <w:rPr>
                <w:rFonts w:hint="eastAsia"/>
              </w:rPr>
              <w:t>自然通风</w:t>
            </w:r>
          </w:p>
        </w:tc>
        <w:tc>
          <w:tcPr>
            <w:tcW w:w="2497" w:type="pct"/>
            <w:shd w:val="clear" w:color="auto" w:fill="auto"/>
            <w:vAlign w:val="center"/>
          </w:tcPr>
          <w:p w14:paraId="45A84ABD">
            <w:pPr>
              <w:pStyle w:val="90"/>
            </w:pPr>
            <w:r>
              <w:rPr>
                <w:rFonts w:hint="eastAsia"/>
              </w:rPr>
              <w:t>7</w:t>
            </w:r>
            <w:r>
              <w:t>.19</w:t>
            </w:r>
            <w:r>
              <w:rPr>
                <w:rFonts w:hint="eastAsia"/>
              </w:rPr>
              <w:t>×1</w:t>
            </w:r>
            <w:r>
              <w:t>0</w:t>
            </w:r>
            <w:r>
              <w:rPr>
                <w:vertAlign w:val="superscript"/>
              </w:rPr>
              <w:t>-7</w:t>
            </w:r>
          </w:p>
        </w:tc>
      </w:tr>
    </w:tbl>
    <w:p w14:paraId="27F6F9C7">
      <w:pPr>
        <w:ind w:firstLine="480"/>
      </w:pPr>
      <w:r>
        <w:rPr>
          <w:rFonts w:hint="eastAsia"/>
        </w:rPr>
        <w:t>本项目的循环水主要用于原料储罐、生产车间原料缓冲罐控温，以每批次</w:t>
      </w:r>
      <w:r>
        <w:t>10</w:t>
      </w:r>
      <w:r>
        <w:rPr>
          <w:rFonts w:hint="eastAsia"/>
        </w:rPr>
        <w:t>吨原料控温计算，每吨原料控温需要3</w:t>
      </w:r>
      <w:r>
        <w:t>0</w:t>
      </w:r>
      <w:r>
        <w:rPr>
          <w:rFonts w:hint="eastAsia"/>
        </w:rPr>
        <w:t>m</w:t>
      </w:r>
      <w:r>
        <w:rPr>
          <w:vertAlign w:val="superscript"/>
        </w:rPr>
        <w:t>3</w:t>
      </w:r>
      <w:r>
        <w:rPr>
          <w:rFonts w:hint="eastAsia"/>
        </w:rPr>
        <w:t>循环水，则本项目循环水量为3</w:t>
      </w:r>
      <w:r>
        <w:t>00</w:t>
      </w:r>
      <w:r>
        <w:rPr>
          <w:rFonts w:hint="eastAsia"/>
        </w:rPr>
        <w:t>m</w:t>
      </w:r>
      <w:r>
        <w:rPr>
          <w:vertAlign w:val="superscript"/>
        </w:rPr>
        <w:t>3</w:t>
      </w:r>
      <w:r>
        <w:rPr>
          <w:rFonts w:hint="eastAsia"/>
        </w:rPr>
        <w:t>。</w:t>
      </w:r>
    </w:p>
    <w:p w14:paraId="584614FF">
      <w:pPr>
        <w:ind w:firstLine="480"/>
        <w:rPr>
          <w:color w:val="FF0000"/>
        </w:rPr>
      </w:pPr>
      <w:r>
        <w:rPr>
          <w:rFonts w:hint="eastAsia"/>
        </w:rPr>
        <w:t>因此，本项目循环水冷却系统VOCs排放量为3</w:t>
      </w:r>
      <w:r>
        <w:t>00</w:t>
      </w:r>
      <w:r>
        <w:rPr>
          <w:rFonts w:hint="eastAsia"/>
        </w:rPr>
        <w:t>×7</w:t>
      </w:r>
      <w:r>
        <w:t>.19</w:t>
      </w:r>
      <w:r>
        <w:rPr>
          <w:rFonts w:hint="eastAsia"/>
        </w:rPr>
        <w:t>×1</w:t>
      </w:r>
      <w:r>
        <w:t>0</w:t>
      </w:r>
      <w:r>
        <w:rPr>
          <w:vertAlign w:val="superscript"/>
        </w:rPr>
        <w:t>-7</w:t>
      </w:r>
      <w:r>
        <w:t>=0.0002</w:t>
      </w:r>
      <w:r>
        <w:rPr>
          <w:rFonts w:hint="eastAsia"/>
        </w:rPr>
        <w:t>t</w:t>
      </w:r>
      <w:r>
        <w:t>/a=0.00003</w:t>
      </w:r>
      <w:r>
        <w:rPr>
          <w:rFonts w:hint="eastAsia"/>
        </w:rPr>
        <w:t>kg</w:t>
      </w:r>
      <w:r>
        <w:t>/h</w:t>
      </w:r>
      <w:r>
        <w:rPr>
          <w:rFonts w:hint="eastAsia"/>
        </w:rPr>
        <w:t>。</w:t>
      </w:r>
    </w:p>
    <w:p w14:paraId="7FC49E63">
      <w:pPr>
        <w:pStyle w:val="45"/>
        <w:spacing w:before="65" w:after="65"/>
      </w:pPr>
      <w:r>
        <w:rPr>
          <w:rFonts w:hint="eastAsia"/>
        </w:rPr>
        <w:t>导热油炉烟气</w:t>
      </w:r>
    </w:p>
    <w:p w14:paraId="42EB8C3D">
      <w:pPr>
        <w:ind w:firstLine="480"/>
      </w:pPr>
      <w:r>
        <w:rPr>
          <w:rFonts w:hint="eastAsia"/>
        </w:rPr>
        <w:t>本项目新建导热油炉一座，采用天</w:t>
      </w:r>
      <w:r>
        <w:rPr>
          <w:rFonts w:hint="eastAsia"/>
          <w:lang w:val="en-US" w:eastAsia="zh-CN"/>
        </w:rPr>
        <w:t>然</w:t>
      </w:r>
      <w:r>
        <w:rPr>
          <w:rFonts w:hint="eastAsia"/>
        </w:rPr>
        <w:t>气作为燃料。生产期间导热油炉每日使用</w:t>
      </w:r>
      <w:r>
        <w:t>10</w:t>
      </w:r>
      <w:r>
        <w:rPr>
          <w:rFonts w:hint="eastAsia"/>
        </w:rPr>
        <w:t>小时，每小时天然气用量为150m</w:t>
      </w:r>
      <w:r>
        <w:rPr>
          <w:rFonts w:hint="eastAsia"/>
          <w:vertAlign w:val="superscript"/>
        </w:rPr>
        <w:t>3</w:t>
      </w:r>
      <w:r>
        <w:rPr>
          <w:rFonts w:hint="eastAsia"/>
        </w:rPr>
        <w:t>（1500m</w:t>
      </w:r>
      <w:r>
        <w:rPr>
          <w:rFonts w:hint="eastAsia"/>
          <w:vertAlign w:val="superscript"/>
        </w:rPr>
        <w:t>3</w:t>
      </w:r>
      <w:r>
        <w:rPr>
          <w:rFonts w:hint="eastAsia"/>
        </w:rPr>
        <w:t>），生产300天，年用量为450</w:t>
      </w:r>
      <w:r>
        <w:t>0</w:t>
      </w:r>
      <w:r>
        <w:rPr>
          <w:rFonts w:hint="eastAsia"/>
        </w:rPr>
        <w:t>00</w:t>
      </w:r>
      <w:r>
        <w:t>m</w:t>
      </w:r>
      <w:r>
        <w:rPr>
          <w:vertAlign w:val="superscript"/>
        </w:rPr>
        <w:t>3</w:t>
      </w:r>
      <w:r>
        <w:rPr>
          <w:rFonts w:hint="eastAsia"/>
        </w:rPr>
        <w:t>。天然气接园区新疆云润能源开发有限公司铺设的天然气管网，压力为0.36兆帕，进厂区之后调压至炉前使用压力为3-5KPA。</w:t>
      </w:r>
    </w:p>
    <w:p w14:paraId="5866F6B2">
      <w:pPr>
        <w:ind w:firstLine="480"/>
      </w:pPr>
      <w:r>
        <w:rPr>
          <w:rFonts w:hint="eastAsia"/>
        </w:rPr>
        <w:t>天然气燃烧产生烟气的污染核算根据《污染源源强核算技术指南锅炉》（HJ</w:t>
      </w:r>
      <w:r>
        <w:t>991-2018</w:t>
      </w:r>
      <w:r>
        <w:rPr>
          <w:rFonts w:hint="eastAsia"/>
        </w:rPr>
        <w:t>）及《排放源统计调查产排污核算方法和系数手册》中“4</w:t>
      </w:r>
      <w:r>
        <w:t>430</w:t>
      </w:r>
      <w:r>
        <w:rPr>
          <w:rFonts w:hint="eastAsia"/>
        </w:rPr>
        <w:t>工业锅炉（热力生产和供应行业）行业系数手册-燃气工业锅炉”，燃烧天然气锅炉烟气排放系数为：</w:t>
      </w:r>
    </w:p>
    <w:p w14:paraId="560EE887">
      <w:pPr>
        <w:ind w:firstLine="480"/>
      </w:pPr>
      <w:r>
        <w:rPr>
          <w:rFonts w:hint="eastAsia"/>
        </w:rPr>
        <w:t>V=</w:t>
      </w:r>
      <w:r>
        <w:t>107753Nm</w:t>
      </w:r>
      <w:r>
        <w:rPr>
          <w:vertAlign w:val="superscript"/>
        </w:rPr>
        <w:t>3</w:t>
      </w:r>
      <w:r>
        <w:rPr>
          <w:rFonts w:hint="eastAsia"/>
        </w:rPr>
        <w:t>/万</w:t>
      </w:r>
      <w:r>
        <w:t>m</w:t>
      </w:r>
      <w:r>
        <w:rPr>
          <w:vertAlign w:val="superscript"/>
        </w:rPr>
        <w:t>3</w:t>
      </w:r>
      <w:r>
        <w:rPr>
          <w:rFonts w:hint="eastAsia"/>
        </w:rPr>
        <w:t>-原料；</w:t>
      </w:r>
    </w:p>
    <w:p w14:paraId="23EF42C3">
      <w:pPr>
        <w:ind w:firstLine="480"/>
      </w:pPr>
      <w:r>
        <w:t>SO</w:t>
      </w:r>
      <w:r>
        <w:rPr>
          <w:vertAlign w:val="subscript"/>
        </w:rPr>
        <w:t>2</w:t>
      </w:r>
      <w:r>
        <w:rPr>
          <w:rFonts w:hint="eastAsia"/>
        </w:rPr>
        <w:t>、</w:t>
      </w:r>
      <w:r>
        <w:t>NO</w:t>
      </w:r>
      <w:r>
        <w:rPr>
          <w:vertAlign w:val="subscript"/>
        </w:rPr>
        <w:t>x</w:t>
      </w:r>
      <w:r>
        <w:rPr>
          <w:rFonts w:hint="eastAsia"/>
        </w:rPr>
        <w:t>的产污系数为：</w:t>
      </w:r>
    </w:p>
    <w:p w14:paraId="05A963FA">
      <w:pPr>
        <w:ind w:firstLine="480"/>
      </w:pPr>
      <w:r>
        <w:rPr>
          <w:rFonts w:hint="eastAsia"/>
        </w:rPr>
        <w:t>①</w:t>
      </w:r>
      <w:r>
        <w:t>SO</w:t>
      </w:r>
      <w:r>
        <w:rPr>
          <w:vertAlign w:val="subscript"/>
        </w:rPr>
        <w:t>2</w:t>
      </w:r>
      <w:r>
        <w:rPr>
          <w:rFonts w:hint="eastAsia"/>
        </w:rPr>
        <w:t>产污系数为</w:t>
      </w:r>
      <w:r>
        <w:t>0.02Skg/</w:t>
      </w:r>
      <w:r>
        <w:rPr>
          <w:rFonts w:hint="eastAsia"/>
        </w:rPr>
        <w:t>万</w:t>
      </w:r>
      <w:r>
        <w:t>m</w:t>
      </w:r>
      <w:r>
        <w:rPr>
          <w:vertAlign w:val="superscript"/>
        </w:rPr>
        <w:t>3</w:t>
      </w:r>
      <w:r>
        <w:rPr>
          <w:rFonts w:hint="eastAsia"/>
        </w:rPr>
        <w:t>-燃料（S硫含量</w:t>
      </w:r>
      <w:r>
        <w:t>，本项目取</w:t>
      </w:r>
      <w:r>
        <w:rPr>
          <w:rFonts w:hint="eastAsia"/>
        </w:rPr>
        <w:t>S=</w:t>
      </w:r>
      <w:r>
        <w:t>20</w:t>
      </w:r>
      <w:r>
        <w:rPr>
          <w:rFonts w:hint="eastAsia"/>
        </w:rPr>
        <w:t>）；</w:t>
      </w:r>
    </w:p>
    <w:p w14:paraId="34A43611">
      <w:pPr>
        <w:ind w:firstLine="480"/>
      </w:pPr>
      <w:r>
        <w:rPr>
          <w:rFonts w:hint="eastAsia"/>
        </w:rPr>
        <w:t>②</w:t>
      </w:r>
      <w:r>
        <w:t>NO</w:t>
      </w:r>
      <w:r>
        <w:rPr>
          <w:vertAlign w:val="subscript"/>
        </w:rPr>
        <w:t>x</w:t>
      </w:r>
      <w:r>
        <w:rPr>
          <w:rFonts w:hint="eastAsia"/>
        </w:rPr>
        <w:t>产污系数为</w:t>
      </w:r>
      <w:r>
        <w:t>3.03kg/</w:t>
      </w:r>
      <w:r>
        <w:rPr>
          <w:rFonts w:hint="eastAsia"/>
        </w:rPr>
        <w:t>万</w:t>
      </w:r>
      <w:r>
        <w:t>m</w:t>
      </w:r>
      <w:r>
        <w:rPr>
          <w:vertAlign w:val="superscript"/>
        </w:rPr>
        <w:t>3</w:t>
      </w:r>
      <w:r>
        <w:rPr>
          <w:rFonts w:hint="eastAsia"/>
        </w:rPr>
        <w:t>-燃料（本项目采用低氮燃烧技术）；</w:t>
      </w:r>
    </w:p>
    <w:p w14:paraId="07A1C0D8">
      <w:pPr>
        <w:ind w:firstLine="480"/>
      </w:pPr>
      <w:r>
        <w:rPr>
          <w:rFonts w:hint="eastAsia"/>
        </w:rPr>
        <w:t>③颗粒物产污系数参考《排污许可证申请与核发技术规范 锅炉》（HJ</w:t>
      </w:r>
      <w:r>
        <w:t>953-2018</w:t>
      </w:r>
      <w:r>
        <w:rPr>
          <w:rFonts w:hint="eastAsia"/>
        </w:rPr>
        <w:t>）中表F</w:t>
      </w:r>
      <w:r>
        <w:t>.3</w:t>
      </w:r>
      <w:r>
        <w:rPr>
          <w:rFonts w:hint="eastAsia"/>
        </w:rPr>
        <w:t>的数据，产物系数为2</w:t>
      </w:r>
      <w:r>
        <w:t>.86 kg/</w:t>
      </w:r>
      <w:r>
        <w:rPr>
          <w:rFonts w:hint="eastAsia"/>
        </w:rPr>
        <w:t>万</w:t>
      </w:r>
      <w:r>
        <w:t>m</w:t>
      </w:r>
      <w:r>
        <w:rPr>
          <w:vertAlign w:val="superscript"/>
        </w:rPr>
        <w:t>3</w:t>
      </w:r>
      <w:r>
        <w:rPr>
          <w:rFonts w:hint="eastAsia"/>
        </w:rPr>
        <w:t>-燃料。</w:t>
      </w:r>
    </w:p>
    <w:p w14:paraId="62930FCB">
      <w:pPr>
        <w:ind w:firstLine="480"/>
      </w:pPr>
      <w:r>
        <w:rPr>
          <w:rFonts w:hint="eastAsia"/>
        </w:rPr>
        <w:t>污染物源强计算公式：</w:t>
      </w:r>
    </w:p>
    <w:p w14:paraId="53318F61">
      <w:pPr>
        <w:spacing w:line="240" w:lineRule="auto"/>
        <w:ind w:firstLine="0" w:firstLineChars="0"/>
        <w:jc w:val="center"/>
      </w:pPr>
      <w:r>
        <w:object>
          <v:shape id="_x0000_i1026" o:spt="75" type="#_x0000_t75" style="height:36pt;width:189.75pt;" o:ole="t" filled="f" o:preferrelative="t" stroked="f" coordsize="21600,21600">
            <v:path/>
            <v:fill on="f" focussize="0,0"/>
            <v:stroke on="f" joinstyle="miter"/>
            <v:imagedata r:id="rId65" o:title=""/>
            <o:lock v:ext="edit" aspectratio="t"/>
            <w10:wrap type="none"/>
            <w10:anchorlock/>
          </v:shape>
          <o:OLEObject Type="Embed" ProgID="Equation.3" ShapeID="_x0000_i1026" DrawAspect="Content" ObjectID="_1468075726" r:id="rId64">
            <o:LockedField>false</o:LockedField>
          </o:OLEObject>
        </w:object>
      </w:r>
    </w:p>
    <w:p w14:paraId="3CCDAFAB">
      <w:pPr>
        <w:ind w:firstLine="480"/>
      </w:pPr>
      <w:r>
        <w:rPr>
          <w:rFonts w:hint="eastAsia"/>
        </w:rPr>
        <w:t>式中：</w:t>
      </w:r>
      <w:r>
        <w:t>E</w:t>
      </w:r>
      <w:r>
        <w:rPr>
          <w:vertAlign w:val="subscript"/>
        </w:rPr>
        <w:t>j</w:t>
      </w:r>
      <w:r>
        <w:rPr>
          <w:rFonts w:hint="eastAsia"/>
        </w:rPr>
        <w:t>—核算时段内第</w:t>
      </w:r>
      <w:r>
        <w:t>j</w:t>
      </w:r>
      <w:r>
        <w:rPr>
          <w:rFonts w:hint="eastAsia"/>
        </w:rPr>
        <w:t>种污染物排放量，t；</w:t>
      </w:r>
    </w:p>
    <w:p w14:paraId="2D849628">
      <w:pPr>
        <w:ind w:firstLine="480"/>
      </w:pPr>
      <w:r>
        <w:t xml:space="preserve">      R</w:t>
      </w:r>
      <w:r>
        <w:rPr>
          <w:rFonts w:hint="eastAsia"/>
        </w:rPr>
        <w:t>—核算时段内燃料消耗量，t或万</w:t>
      </w:r>
      <w:r>
        <w:t>m</w:t>
      </w:r>
      <w:r>
        <w:rPr>
          <w:vertAlign w:val="superscript"/>
        </w:rPr>
        <w:t>3</w:t>
      </w:r>
      <w:r>
        <w:rPr>
          <w:rFonts w:hint="eastAsia"/>
        </w:rPr>
        <w:t>；</w:t>
      </w:r>
    </w:p>
    <w:p w14:paraId="6AB19751">
      <w:pPr>
        <w:ind w:firstLine="480"/>
      </w:pPr>
      <w:r>
        <w:t xml:space="preserve">     </w:t>
      </w:r>
      <w:r>
        <w:object>
          <v:shape id="_x0000_i1027" o:spt="75" type="#_x0000_t75" style="height:15.75pt;width:12pt;" o:ole="t" filled="f" o:preferrelative="t" stroked="f" coordsize="21600,21600">
            <v:path/>
            <v:fill on="f" focussize="0,0"/>
            <v:stroke on="f" joinstyle="miter"/>
            <v:imagedata r:id="rId67" o:title=""/>
            <o:lock v:ext="edit" aspectratio="t"/>
            <w10:wrap type="none"/>
            <w10:anchorlock/>
          </v:shape>
          <o:OLEObject Type="Embed" ProgID="Equation.3" ShapeID="_x0000_i1027" DrawAspect="Content" ObjectID="_1468075727" r:id="rId66">
            <o:LockedField>false</o:LockedField>
          </o:OLEObject>
        </w:object>
      </w:r>
      <w:r>
        <w:rPr>
          <w:rFonts w:hint="eastAsia"/>
          <w:vertAlign w:val="subscript"/>
        </w:rPr>
        <w:t>j</w:t>
      </w:r>
      <w:r>
        <w:rPr>
          <w:rFonts w:hint="eastAsia"/>
        </w:rPr>
        <w:t>—产污系数，k</w:t>
      </w:r>
      <w:r>
        <w:t>g</w:t>
      </w:r>
      <w:r>
        <w:rPr>
          <w:rFonts w:hint="eastAsia"/>
        </w:rPr>
        <w:t>/</w:t>
      </w:r>
      <w:r>
        <w:t>t</w:t>
      </w:r>
      <w:r>
        <w:rPr>
          <w:rFonts w:hint="eastAsia"/>
        </w:rPr>
        <w:t>或k</w:t>
      </w:r>
      <w:r>
        <w:t>g/</w:t>
      </w:r>
      <w:r>
        <w:rPr>
          <w:rFonts w:hint="eastAsia"/>
        </w:rPr>
        <w:t>万</w:t>
      </w:r>
      <w:r>
        <w:t>m</w:t>
      </w:r>
      <w:r>
        <w:rPr>
          <w:vertAlign w:val="superscript"/>
        </w:rPr>
        <w:t>3</w:t>
      </w:r>
      <w:r>
        <w:rPr>
          <w:rFonts w:hint="eastAsia"/>
        </w:rPr>
        <w:t>；</w:t>
      </w:r>
    </w:p>
    <w:p w14:paraId="41283446">
      <w:pPr>
        <w:ind w:firstLine="480"/>
      </w:pPr>
      <w:r>
        <w:t>Η</w:t>
      </w:r>
      <w:r>
        <w:rPr>
          <w:rFonts w:hint="eastAsia"/>
        </w:rPr>
        <w:t>—污染物的脱除效率，%。</w:t>
      </w:r>
    </w:p>
    <w:p w14:paraId="2247EFE1">
      <w:pPr>
        <w:ind w:firstLine="480"/>
      </w:pPr>
      <w:r>
        <w:rPr>
          <w:rFonts w:hint="eastAsia"/>
        </w:rPr>
        <w:t>本项目年耗燃料量为</w:t>
      </w:r>
      <w:r>
        <w:t>45</w:t>
      </w:r>
      <w:r>
        <w:rPr>
          <w:rFonts w:hint="eastAsia"/>
        </w:rPr>
        <w:t>万</w:t>
      </w:r>
      <w:r>
        <w:t>m</w:t>
      </w:r>
      <w:r>
        <w:rPr>
          <w:vertAlign w:val="superscript"/>
        </w:rPr>
        <w:t>3</w:t>
      </w:r>
      <w:r>
        <w:rPr>
          <w:rFonts w:hint="eastAsia"/>
        </w:rPr>
        <w:t>，年工作</w:t>
      </w:r>
      <w:r>
        <w:t>7200</w:t>
      </w:r>
      <w:r>
        <w:rPr>
          <w:rFonts w:hint="eastAsia"/>
        </w:rPr>
        <w:t>h，计算得到，天然气烟气量为4</w:t>
      </w:r>
      <w:r>
        <w:t>5</w:t>
      </w:r>
      <w:r>
        <w:rPr>
          <w:rFonts w:hint="eastAsia"/>
        </w:rPr>
        <w:t>×</w:t>
      </w:r>
      <w:r>
        <w:t>107753=4848885Nm</w:t>
      </w:r>
      <w:r>
        <w:rPr>
          <w:vertAlign w:val="superscript"/>
        </w:rPr>
        <w:t>3</w:t>
      </w:r>
      <w:r>
        <w:t>/a=673.46Nm</w:t>
      </w:r>
      <w:r>
        <w:rPr>
          <w:vertAlign w:val="superscript"/>
        </w:rPr>
        <w:t>3</w:t>
      </w:r>
      <w:r>
        <w:rPr>
          <w:rFonts w:hint="eastAsia"/>
        </w:rPr>
        <w:t>/h，则本项目锅炉烟气量为3</w:t>
      </w:r>
      <w:r>
        <w:t>367.3Nm</w:t>
      </w:r>
      <w:r>
        <w:rPr>
          <w:vertAlign w:val="superscript"/>
        </w:rPr>
        <w:t>3</w:t>
      </w:r>
      <w:r>
        <w:rPr>
          <w:rFonts w:hint="eastAsia"/>
        </w:rPr>
        <w:t>/h；</w:t>
      </w:r>
    </w:p>
    <w:p w14:paraId="0C41738F">
      <w:pPr>
        <w:ind w:firstLine="480"/>
      </w:pPr>
      <w:r>
        <w:t>SO</w:t>
      </w:r>
      <w:r>
        <w:rPr>
          <w:vertAlign w:val="subscript"/>
        </w:rPr>
        <w:t>2</w:t>
      </w:r>
      <w:r>
        <w:rPr>
          <w:rFonts w:hint="eastAsia"/>
        </w:rPr>
        <w:t>产生量为</w:t>
      </w:r>
      <w:r>
        <w:t>0.018t</w:t>
      </w:r>
      <w:r>
        <w:rPr>
          <w:rFonts w:hint="eastAsia"/>
        </w:rPr>
        <w:t>/</w:t>
      </w:r>
      <w:r>
        <w:t>a</w:t>
      </w:r>
      <w:r>
        <w:rPr>
          <w:rFonts w:hint="eastAsia"/>
        </w:rPr>
        <w:t>，产生速率为</w:t>
      </w:r>
      <w:r>
        <w:t>0.0025kg/h</w:t>
      </w:r>
      <w:r>
        <w:rPr>
          <w:rFonts w:hint="eastAsia"/>
        </w:rPr>
        <w:t>，产生浓度为</w:t>
      </w:r>
      <w:r>
        <w:t>0.742mg/m</w:t>
      </w:r>
      <w:r>
        <w:rPr>
          <w:vertAlign w:val="superscript"/>
        </w:rPr>
        <w:t>3</w:t>
      </w:r>
      <w:r>
        <w:rPr>
          <w:rFonts w:hint="eastAsia"/>
        </w:rPr>
        <w:t>；</w:t>
      </w:r>
    </w:p>
    <w:p w14:paraId="68A507C0">
      <w:pPr>
        <w:ind w:firstLine="480"/>
      </w:pPr>
      <w:r>
        <w:t>NO</w:t>
      </w:r>
      <w:r>
        <w:rPr>
          <w:vertAlign w:val="subscript"/>
        </w:rPr>
        <w:t>x</w:t>
      </w:r>
      <w:r>
        <w:rPr>
          <w:rFonts w:hint="eastAsia"/>
        </w:rPr>
        <w:t>产生量为</w:t>
      </w:r>
      <w:r>
        <w:t>0.136t</w:t>
      </w:r>
      <w:r>
        <w:rPr>
          <w:rFonts w:hint="eastAsia"/>
        </w:rPr>
        <w:t>/</w:t>
      </w:r>
      <w:r>
        <w:t>a</w:t>
      </w:r>
      <w:r>
        <w:rPr>
          <w:rFonts w:hint="eastAsia"/>
        </w:rPr>
        <w:t>，产生速率为</w:t>
      </w:r>
      <w:r>
        <w:t>0.019kg/h</w:t>
      </w:r>
      <w:r>
        <w:rPr>
          <w:rFonts w:hint="eastAsia"/>
        </w:rPr>
        <w:t>，产生浓度为</w:t>
      </w:r>
      <w:r>
        <w:t>5.643mg/m</w:t>
      </w:r>
      <w:r>
        <w:rPr>
          <w:vertAlign w:val="superscript"/>
        </w:rPr>
        <w:t>3</w:t>
      </w:r>
      <w:r>
        <w:rPr>
          <w:rFonts w:hint="eastAsia"/>
        </w:rPr>
        <w:t>；</w:t>
      </w:r>
    </w:p>
    <w:p w14:paraId="6E474A8B">
      <w:pPr>
        <w:ind w:firstLine="480"/>
      </w:pPr>
      <w:r>
        <w:rPr>
          <w:rFonts w:hint="eastAsia"/>
        </w:rPr>
        <w:t>颗粒物产生量为0</w:t>
      </w:r>
      <w:r>
        <w:t>.1</w:t>
      </w:r>
      <w:r>
        <w:rPr>
          <w:rFonts w:hint="eastAsia"/>
        </w:rPr>
        <w:t>t</w:t>
      </w:r>
      <w:r>
        <w:t>/a</w:t>
      </w:r>
      <w:r>
        <w:rPr>
          <w:rFonts w:hint="eastAsia"/>
        </w:rPr>
        <w:t>，产生速率为</w:t>
      </w:r>
      <w:r>
        <w:t>0.015kg/h</w:t>
      </w:r>
      <w:r>
        <w:rPr>
          <w:rFonts w:hint="eastAsia"/>
        </w:rPr>
        <w:t>，产生浓度为</w:t>
      </w:r>
      <w:r>
        <w:t>4.455mg/m</w:t>
      </w:r>
      <w:r>
        <w:rPr>
          <w:vertAlign w:val="superscript"/>
        </w:rPr>
        <w:t>3</w:t>
      </w:r>
      <w:r>
        <w:rPr>
          <w:rFonts w:hint="eastAsia"/>
        </w:rPr>
        <w:t>。</w:t>
      </w:r>
    </w:p>
    <w:p w14:paraId="692879B6">
      <w:pPr>
        <w:pStyle w:val="47"/>
        <w:spacing w:before="65"/>
        <w:rPr>
          <w:kern w:val="0"/>
        </w:rPr>
      </w:pPr>
      <w:r>
        <w:t>表</w:t>
      </w:r>
      <w:r>
        <w:rPr>
          <w:rFonts w:hint="eastAsia"/>
        </w:rPr>
        <w:t>3</w:t>
      </w:r>
      <w:r>
        <w:t>.4-4   燃气工业锅炉的废气产排污系数</w:t>
      </w:r>
      <w:r>
        <w:rPr>
          <w:rFonts w:hint="eastAsia"/>
        </w:rPr>
        <w:t>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76"/>
        <w:gridCol w:w="318"/>
        <w:gridCol w:w="489"/>
        <w:gridCol w:w="505"/>
        <w:gridCol w:w="491"/>
        <w:gridCol w:w="835"/>
        <w:gridCol w:w="493"/>
        <w:gridCol w:w="947"/>
        <w:gridCol w:w="456"/>
        <w:gridCol w:w="432"/>
        <w:gridCol w:w="491"/>
        <w:gridCol w:w="835"/>
        <w:gridCol w:w="493"/>
        <w:gridCol w:w="795"/>
        <w:gridCol w:w="674"/>
      </w:tblGrid>
      <w:tr w14:paraId="35BA76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273" w:type="pct"/>
            <w:vMerge w:val="restart"/>
            <w:vAlign w:val="center"/>
          </w:tcPr>
          <w:p w14:paraId="7EF29AF5">
            <w:pPr>
              <w:pStyle w:val="90"/>
            </w:pPr>
            <w:r>
              <w:rPr>
                <w:rFonts w:hint="eastAsia"/>
              </w:rPr>
              <w:t>工序</w:t>
            </w:r>
          </w:p>
        </w:tc>
        <w:tc>
          <w:tcPr>
            <w:tcW w:w="182" w:type="pct"/>
            <w:vMerge w:val="restart"/>
            <w:vAlign w:val="center"/>
          </w:tcPr>
          <w:p w14:paraId="27504EAF">
            <w:pPr>
              <w:pStyle w:val="90"/>
            </w:pPr>
            <w:r>
              <w:rPr>
                <w:rFonts w:hint="eastAsia"/>
              </w:rPr>
              <w:t>装置</w:t>
            </w:r>
          </w:p>
        </w:tc>
        <w:tc>
          <w:tcPr>
            <w:tcW w:w="280" w:type="pct"/>
            <w:vMerge w:val="restart"/>
            <w:vAlign w:val="center"/>
          </w:tcPr>
          <w:p w14:paraId="38C8EB5E">
            <w:pPr>
              <w:pStyle w:val="90"/>
            </w:pPr>
            <w:r>
              <w:rPr>
                <w:rFonts w:hint="eastAsia"/>
              </w:rPr>
              <w:t>污染源</w:t>
            </w:r>
          </w:p>
        </w:tc>
        <w:tc>
          <w:tcPr>
            <w:tcW w:w="289" w:type="pct"/>
            <w:vMerge w:val="restart"/>
            <w:vAlign w:val="center"/>
          </w:tcPr>
          <w:p w14:paraId="12F8A690">
            <w:pPr>
              <w:pStyle w:val="90"/>
            </w:pPr>
            <w:r>
              <w:t>污染</w:t>
            </w:r>
            <w:r>
              <w:rPr>
                <w:rFonts w:hint="eastAsia"/>
              </w:rPr>
              <w:t>物</w:t>
            </w:r>
          </w:p>
        </w:tc>
        <w:tc>
          <w:tcPr>
            <w:tcW w:w="1583" w:type="pct"/>
            <w:gridSpan w:val="4"/>
            <w:vAlign w:val="center"/>
          </w:tcPr>
          <w:p w14:paraId="29B5E4EA">
            <w:pPr>
              <w:pStyle w:val="90"/>
            </w:pPr>
            <w:r>
              <w:t>污染物产生</w:t>
            </w:r>
          </w:p>
        </w:tc>
        <w:tc>
          <w:tcPr>
            <w:tcW w:w="508" w:type="pct"/>
            <w:gridSpan w:val="2"/>
            <w:vAlign w:val="center"/>
          </w:tcPr>
          <w:p w14:paraId="0B2B2F4B">
            <w:pPr>
              <w:pStyle w:val="90"/>
            </w:pPr>
            <w:r>
              <w:t>治理措施</w:t>
            </w:r>
          </w:p>
        </w:tc>
        <w:tc>
          <w:tcPr>
            <w:tcW w:w="1496" w:type="pct"/>
            <w:gridSpan w:val="4"/>
            <w:vAlign w:val="center"/>
          </w:tcPr>
          <w:p w14:paraId="7D7A5DEE">
            <w:pPr>
              <w:pStyle w:val="90"/>
            </w:pPr>
            <w:r>
              <w:rPr>
                <w:rFonts w:hint="eastAsia"/>
              </w:rPr>
              <w:t>污染物</w:t>
            </w:r>
            <w:r>
              <w:t>排放</w:t>
            </w:r>
          </w:p>
        </w:tc>
        <w:tc>
          <w:tcPr>
            <w:tcW w:w="386" w:type="pct"/>
            <w:vMerge w:val="restart"/>
            <w:vAlign w:val="center"/>
          </w:tcPr>
          <w:p w14:paraId="0AB30EDD">
            <w:pPr>
              <w:pStyle w:val="90"/>
            </w:pPr>
            <w:r>
              <w:rPr>
                <w:rFonts w:hint="eastAsia"/>
              </w:rPr>
              <w:t>排放时间/h</w:t>
            </w:r>
          </w:p>
        </w:tc>
      </w:tr>
      <w:tr w14:paraId="03369E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273" w:type="pct"/>
            <w:vMerge w:val="continue"/>
            <w:vAlign w:val="center"/>
          </w:tcPr>
          <w:p w14:paraId="2730962C">
            <w:pPr>
              <w:pStyle w:val="90"/>
            </w:pPr>
          </w:p>
        </w:tc>
        <w:tc>
          <w:tcPr>
            <w:tcW w:w="182" w:type="pct"/>
            <w:vMerge w:val="continue"/>
            <w:vAlign w:val="center"/>
          </w:tcPr>
          <w:p w14:paraId="599D1FED">
            <w:pPr>
              <w:pStyle w:val="90"/>
            </w:pPr>
          </w:p>
        </w:tc>
        <w:tc>
          <w:tcPr>
            <w:tcW w:w="280" w:type="pct"/>
            <w:vMerge w:val="continue"/>
            <w:vAlign w:val="center"/>
          </w:tcPr>
          <w:p w14:paraId="2CBC0EBA">
            <w:pPr>
              <w:pStyle w:val="90"/>
            </w:pPr>
          </w:p>
        </w:tc>
        <w:tc>
          <w:tcPr>
            <w:tcW w:w="289" w:type="pct"/>
            <w:vMerge w:val="continue"/>
            <w:vAlign w:val="center"/>
          </w:tcPr>
          <w:p w14:paraId="2B9ED36E">
            <w:pPr>
              <w:pStyle w:val="90"/>
            </w:pPr>
          </w:p>
        </w:tc>
        <w:tc>
          <w:tcPr>
            <w:tcW w:w="281" w:type="pct"/>
            <w:vAlign w:val="center"/>
          </w:tcPr>
          <w:p w14:paraId="52F698B6">
            <w:pPr>
              <w:pStyle w:val="90"/>
            </w:pPr>
            <w:r>
              <w:rPr>
                <w:rFonts w:hint="eastAsia"/>
              </w:rPr>
              <w:t>核算方法</w:t>
            </w:r>
          </w:p>
        </w:tc>
        <w:tc>
          <w:tcPr>
            <w:tcW w:w="478" w:type="pct"/>
            <w:vAlign w:val="center"/>
          </w:tcPr>
          <w:p w14:paraId="5DC7E2D5">
            <w:pPr>
              <w:pStyle w:val="90"/>
            </w:pPr>
            <w:r>
              <w:rPr>
                <w:rFonts w:hint="eastAsia"/>
              </w:rPr>
              <w:t>烟气量(</w:t>
            </w:r>
            <w:r>
              <w:t>m</w:t>
            </w:r>
            <w:r>
              <w:rPr>
                <w:vertAlign w:val="superscript"/>
              </w:rPr>
              <w:t>3</w:t>
            </w:r>
            <w:r>
              <w:t>/h</w:t>
            </w:r>
            <w:r>
              <w:rPr>
                <w:rFonts w:hint="eastAsia"/>
              </w:rPr>
              <w:t>)</w:t>
            </w:r>
          </w:p>
        </w:tc>
        <w:tc>
          <w:tcPr>
            <w:tcW w:w="282" w:type="pct"/>
            <w:vAlign w:val="center"/>
          </w:tcPr>
          <w:p w14:paraId="3C92FA94">
            <w:pPr>
              <w:pStyle w:val="90"/>
            </w:pPr>
            <w:r>
              <w:t>产生量</w:t>
            </w:r>
          </w:p>
          <w:p w14:paraId="7DAD7FD1">
            <w:pPr>
              <w:pStyle w:val="90"/>
            </w:pPr>
            <w:r>
              <w:t>(</w:t>
            </w:r>
            <w:r>
              <w:rPr>
                <w:rFonts w:hint="eastAsia"/>
              </w:rPr>
              <w:t>t</w:t>
            </w:r>
            <w:r>
              <w:t>/a</w:t>
            </w:r>
            <w:r>
              <w:rPr>
                <w:rFonts w:hint="eastAsia"/>
              </w:rPr>
              <w:t>)</w:t>
            </w:r>
          </w:p>
        </w:tc>
        <w:tc>
          <w:tcPr>
            <w:tcW w:w="541" w:type="pct"/>
            <w:vAlign w:val="center"/>
          </w:tcPr>
          <w:p w14:paraId="6480C9B9">
            <w:pPr>
              <w:pStyle w:val="90"/>
            </w:pPr>
            <w:r>
              <w:rPr>
                <w:rFonts w:hint="eastAsia"/>
              </w:rPr>
              <w:t>产生</w:t>
            </w:r>
            <w:r>
              <w:t>浓度(mg/m</w:t>
            </w:r>
            <w:r>
              <w:rPr>
                <w:vertAlign w:val="superscript"/>
              </w:rPr>
              <w:t>3</w:t>
            </w:r>
            <w:r>
              <w:t>)</w:t>
            </w:r>
          </w:p>
        </w:tc>
        <w:tc>
          <w:tcPr>
            <w:tcW w:w="261" w:type="pct"/>
            <w:vAlign w:val="center"/>
          </w:tcPr>
          <w:p w14:paraId="205CBA37">
            <w:pPr>
              <w:pStyle w:val="90"/>
            </w:pPr>
            <w:r>
              <w:rPr>
                <w:rFonts w:hint="eastAsia"/>
              </w:rPr>
              <w:t>工艺</w:t>
            </w:r>
          </w:p>
        </w:tc>
        <w:tc>
          <w:tcPr>
            <w:tcW w:w="246" w:type="pct"/>
            <w:vAlign w:val="center"/>
          </w:tcPr>
          <w:p w14:paraId="05ED157D">
            <w:pPr>
              <w:pStyle w:val="90"/>
            </w:pPr>
            <w:r>
              <w:rPr>
                <w:rFonts w:hint="eastAsia"/>
              </w:rPr>
              <w:t>效率/</w:t>
            </w:r>
            <w:r>
              <w:t>%</w:t>
            </w:r>
          </w:p>
        </w:tc>
        <w:tc>
          <w:tcPr>
            <w:tcW w:w="281" w:type="pct"/>
            <w:vAlign w:val="center"/>
          </w:tcPr>
          <w:p w14:paraId="05EFE182">
            <w:pPr>
              <w:pStyle w:val="90"/>
            </w:pPr>
            <w:r>
              <w:rPr>
                <w:rFonts w:hint="eastAsia"/>
              </w:rPr>
              <w:t>核算方法</w:t>
            </w:r>
          </w:p>
        </w:tc>
        <w:tc>
          <w:tcPr>
            <w:tcW w:w="478" w:type="pct"/>
            <w:vAlign w:val="center"/>
          </w:tcPr>
          <w:p w14:paraId="32B4B735">
            <w:pPr>
              <w:pStyle w:val="90"/>
            </w:pPr>
            <w:r>
              <w:rPr>
                <w:rFonts w:hint="eastAsia"/>
              </w:rPr>
              <w:t>烟气量</w:t>
            </w:r>
            <w:r>
              <w:t>(m</w:t>
            </w:r>
            <w:r>
              <w:rPr>
                <w:vertAlign w:val="superscript"/>
              </w:rPr>
              <w:t>3</w:t>
            </w:r>
            <w:r>
              <w:t>/h)</w:t>
            </w:r>
          </w:p>
        </w:tc>
        <w:tc>
          <w:tcPr>
            <w:tcW w:w="282" w:type="pct"/>
            <w:vAlign w:val="center"/>
          </w:tcPr>
          <w:p w14:paraId="54624B2D">
            <w:pPr>
              <w:pStyle w:val="90"/>
            </w:pPr>
            <w:r>
              <w:rPr>
                <w:rFonts w:hint="eastAsia"/>
              </w:rPr>
              <w:t>排放</w:t>
            </w:r>
            <w:r>
              <w:t>量</w:t>
            </w:r>
          </w:p>
          <w:p w14:paraId="4F94A27A">
            <w:pPr>
              <w:pStyle w:val="90"/>
            </w:pPr>
            <w:r>
              <w:t>(</w:t>
            </w:r>
            <w:r>
              <w:rPr>
                <w:rFonts w:hint="eastAsia"/>
              </w:rPr>
              <w:t>t</w:t>
            </w:r>
            <w:r>
              <w:t>/a)</w:t>
            </w:r>
          </w:p>
        </w:tc>
        <w:tc>
          <w:tcPr>
            <w:tcW w:w="454" w:type="pct"/>
            <w:vAlign w:val="center"/>
          </w:tcPr>
          <w:p w14:paraId="120C5EFD">
            <w:pPr>
              <w:pStyle w:val="90"/>
            </w:pPr>
            <w:r>
              <w:rPr>
                <w:rFonts w:hint="eastAsia"/>
              </w:rPr>
              <w:t>排放</w:t>
            </w:r>
            <w:r>
              <w:t>浓度</w:t>
            </w:r>
          </w:p>
          <w:p w14:paraId="6F4E5C11">
            <w:pPr>
              <w:pStyle w:val="90"/>
            </w:pPr>
            <w:r>
              <w:t>(mg/m</w:t>
            </w:r>
            <w:r>
              <w:rPr>
                <w:vertAlign w:val="superscript"/>
              </w:rPr>
              <w:t>3</w:t>
            </w:r>
            <w:r>
              <w:t>)</w:t>
            </w:r>
          </w:p>
        </w:tc>
        <w:tc>
          <w:tcPr>
            <w:tcW w:w="386" w:type="pct"/>
            <w:vMerge w:val="continue"/>
            <w:vAlign w:val="center"/>
          </w:tcPr>
          <w:p w14:paraId="34CF9D6F">
            <w:pPr>
              <w:pStyle w:val="90"/>
            </w:pPr>
          </w:p>
        </w:tc>
      </w:tr>
      <w:tr w14:paraId="1644AB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273" w:type="pct"/>
            <w:vMerge w:val="restart"/>
            <w:vAlign w:val="center"/>
          </w:tcPr>
          <w:p w14:paraId="5AEE7C96">
            <w:pPr>
              <w:pStyle w:val="90"/>
            </w:pPr>
            <w:r>
              <w:rPr>
                <w:rFonts w:hint="eastAsia"/>
              </w:rPr>
              <w:t>导热油炉</w:t>
            </w:r>
          </w:p>
        </w:tc>
        <w:tc>
          <w:tcPr>
            <w:tcW w:w="182" w:type="pct"/>
            <w:vMerge w:val="restart"/>
            <w:vAlign w:val="center"/>
          </w:tcPr>
          <w:p w14:paraId="52A17EF9">
            <w:pPr>
              <w:pStyle w:val="90"/>
            </w:pPr>
            <w:r>
              <w:t>锅炉</w:t>
            </w:r>
          </w:p>
        </w:tc>
        <w:tc>
          <w:tcPr>
            <w:tcW w:w="280" w:type="pct"/>
            <w:vMerge w:val="restart"/>
            <w:vAlign w:val="center"/>
          </w:tcPr>
          <w:p w14:paraId="0632DB05">
            <w:pPr>
              <w:pStyle w:val="90"/>
            </w:pPr>
            <w:r>
              <w:rPr>
                <w:rFonts w:hint="eastAsia"/>
              </w:rPr>
              <w:t>导热油炉</w:t>
            </w:r>
          </w:p>
        </w:tc>
        <w:tc>
          <w:tcPr>
            <w:tcW w:w="289" w:type="pct"/>
            <w:vAlign w:val="center"/>
          </w:tcPr>
          <w:p w14:paraId="6BB4B66E">
            <w:pPr>
              <w:pStyle w:val="90"/>
            </w:pPr>
            <w:r>
              <w:t>SO</w:t>
            </w:r>
            <w:r>
              <w:rPr>
                <w:vertAlign w:val="subscript"/>
              </w:rPr>
              <w:t>2</w:t>
            </w:r>
          </w:p>
        </w:tc>
        <w:tc>
          <w:tcPr>
            <w:tcW w:w="281" w:type="pct"/>
            <w:vMerge w:val="restart"/>
            <w:vAlign w:val="center"/>
          </w:tcPr>
          <w:p w14:paraId="54CC3AA9">
            <w:pPr>
              <w:pStyle w:val="90"/>
            </w:pPr>
            <w:r>
              <w:rPr>
                <w:rFonts w:hint="eastAsia"/>
              </w:rPr>
              <w:t>系数法</w:t>
            </w:r>
          </w:p>
        </w:tc>
        <w:tc>
          <w:tcPr>
            <w:tcW w:w="478" w:type="pct"/>
            <w:vMerge w:val="restart"/>
            <w:vAlign w:val="center"/>
          </w:tcPr>
          <w:p w14:paraId="2D658F4B">
            <w:pPr>
              <w:pStyle w:val="90"/>
            </w:pPr>
            <w:r>
              <w:t>3367.3</w:t>
            </w:r>
          </w:p>
        </w:tc>
        <w:tc>
          <w:tcPr>
            <w:tcW w:w="282" w:type="pct"/>
            <w:vAlign w:val="center"/>
          </w:tcPr>
          <w:p w14:paraId="5C519B83">
            <w:pPr>
              <w:pStyle w:val="90"/>
            </w:pPr>
            <w:r>
              <w:rPr>
                <w:rFonts w:hint="eastAsia"/>
              </w:rPr>
              <w:t>0</w:t>
            </w:r>
            <w:r>
              <w:t>.018</w:t>
            </w:r>
          </w:p>
        </w:tc>
        <w:tc>
          <w:tcPr>
            <w:tcW w:w="541" w:type="pct"/>
            <w:vAlign w:val="center"/>
          </w:tcPr>
          <w:p w14:paraId="138CE568">
            <w:pPr>
              <w:pStyle w:val="90"/>
            </w:pPr>
            <w:r>
              <w:t>0.742</w:t>
            </w:r>
          </w:p>
        </w:tc>
        <w:tc>
          <w:tcPr>
            <w:tcW w:w="261" w:type="pct"/>
            <w:vMerge w:val="restart"/>
            <w:vAlign w:val="center"/>
          </w:tcPr>
          <w:p w14:paraId="71638C6F">
            <w:pPr>
              <w:pStyle w:val="90"/>
            </w:pPr>
            <w:r>
              <w:rPr>
                <w:rFonts w:hint="eastAsia"/>
              </w:rPr>
              <w:t>低氮燃烧器</w:t>
            </w:r>
          </w:p>
        </w:tc>
        <w:tc>
          <w:tcPr>
            <w:tcW w:w="246" w:type="pct"/>
            <w:vAlign w:val="center"/>
          </w:tcPr>
          <w:p w14:paraId="31A33C3F">
            <w:pPr>
              <w:pStyle w:val="90"/>
            </w:pPr>
            <w:r>
              <w:t>/</w:t>
            </w:r>
          </w:p>
        </w:tc>
        <w:tc>
          <w:tcPr>
            <w:tcW w:w="281" w:type="pct"/>
            <w:vMerge w:val="restart"/>
            <w:vAlign w:val="center"/>
          </w:tcPr>
          <w:p w14:paraId="00A02A5B">
            <w:pPr>
              <w:pStyle w:val="90"/>
            </w:pPr>
            <w:r>
              <w:rPr>
                <w:rFonts w:hint="eastAsia"/>
              </w:rPr>
              <w:t>系数法</w:t>
            </w:r>
          </w:p>
        </w:tc>
        <w:tc>
          <w:tcPr>
            <w:tcW w:w="478" w:type="pct"/>
            <w:vMerge w:val="restart"/>
            <w:vAlign w:val="center"/>
          </w:tcPr>
          <w:p w14:paraId="24935C69">
            <w:pPr>
              <w:pStyle w:val="90"/>
            </w:pPr>
            <w:r>
              <w:rPr>
                <w:rFonts w:hint="eastAsia"/>
              </w:rPr>
              <w:t>3</w:t>
            </w:r>
            <w:r>
              <w:t>367.3</w:t>
            </w:r>
          </w:p>
        </w:tc>
        <w:tc>
          <w:tcPr>
            <w:tcW w:w="282" w:type="pct"/>
            <w:vAlign w:val="center"/>
          </w:tcPr>
          <w:p w14:paraId="00982C7A">
            <w:pPr>
              <w:pStyle w:val="90"/>
            </w:pPr>
            <w:r>
              <w:rPr>
                <w:rFonts w:hint="eastAsia"/>
              </w:rPr>
              <w:t>0</w:t>
            </w:r>
            <w:r>
              <w:t>.018</w:t>
            </w:r>
          </w:p>
        </w:tc>
        <w:tc>
          <w:tcPr>
            <w:tcW w:w="454" w:type="pct"/>
            <w:vAlign w:val="center"/>
          </w:tcPr>
          <w:p w14:paraId="2DAC4EA6">
            <w:pPr>
              <w:pStyle w:val="90"/>
            </w:pPr>
            <w:r>
              <w:t>0.742</w:t>
            </w:r>
          </w:p>
        </w:tc>
        <w:tc>
          <w:tcPr>
            <w:tcW w:w="386" w:type="pct"/>
            <w:vMerge w:val="restart"/>
            <w:vAlign w:val="center"/>
          </w:tcPr>
          <w:p w14:paraId="341A7CF2">
            <w:pPr>
              <w:pStyle w:val="90"/>
            </w:pPr>
            <w:r>
              <w:t>7200</w:t>
            </w:r>
          </w:p>
        </w:tc>
      </w:tr>
      <w:tr w14:paraId="6D9ECD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273" w:type="pct"/>
            <w:vMerge w:val="continue"/>
            <w:vAlign w:val="center"/>
          </w:tcPr>
          <w:p w14:paraId="5953F0D8">
            <w:pPr>
              <w:pStyle w:val="90"/>
            </w:pPr>
          </w:p>
        </w:tc>
        <w:tc>
          <w:tcPr>
            <w:tcW w:w="182" w:type="pct"/>
            <w:vMerge w:val="continue"/>
            <w:vAlign w:val="center"/>
          </w:tcPr>
          <w:p w14:paraId="68C6842F">
            <w:pPr>
              <w:pStyle w:val="90"/>
            </w:pPr>
          </w:p>
        </w:tc>
        <w:tc>
          <w:tcPr>
            <w:tcW w:w="280" w:type="pct"/>
            <w:vMerge w:val="continue"/>
            <w:vAlign w:val="center"/>
          </w:tcPr>
          <w:p w14:paraId="706D3409">
            <w:pPr>
              <w:pStyle w:val="90"/>
            </w:pPr>
          </w:p>
        </w:tc>
        <w:tc>
          <w:tcPr>
            <w:tcW w:w="289" w:type="pct"/>
            <w:vAlign w:val="center"/>
          </w:tcPr>
          <w:p w14:paraId="487EB7FF">
            <w:pPr>
              <w:pStyle w:val="90"/>
            </w:pPr>
            <w:r>
              <w:t>NO</w:t>
            </w:r>
            <w:r>
              <w:rPr>
                <w:vertAlign w:val="subscript"/>
              </w:rPr>
              <w:t>x</w:t>
            </w:r>
          </w:p>
        </w:tc>
        <w:tc>
          <w:tcPr>
            <w:tcW w:w="281" w:type="pct"/>
            <w:vMerge w:val="continue"/>
            <w:vAlign w:val="center"/>
          </w:tcPr>
          <w:p w14:paraId="0BF7989E">
            <w:pPr>
              <w:pStyle w:val="90"/>
            </w:pPr>
          </w:p>
        </w:tc>
        <w:tc>
          <w:tcPr>
            <w:tcW w:w="478" w:type="pct"/>
            <w:vMerge w:val="continue"/>
            <w:vAlign w:val="center"/>
          </w:tcPr>
          <w:p w14:paraId="1EF530B1">
            <w:pPr>
              <w:pStyle w:val="90"/>
            </w:pPr>
          </w:p>
        </w:tc>
        <w:tc>
          <w:tcPr>
            <w:tcW w:w="282" w:type="pct"/>
            <w:vAlign w:val="center"/>
          </w:tcPr>
          <w:p w14:paraId="74316D0C">
            <w:pPr>
              <w:pStyle w:val="90"/>
            </w:pPr>
            <w:r>
              <w:rPr>
                <w:rFonts w:hint="eastAsia"/>
              </w:rPr>
              <w:t>0</w:t>
            </w:r>
            <w:r>
              <w:t>.136</w:t>
            </w:r>
          </w:p>
        </w:tc>
        <w:tc>
          <w:tcPr>
            <w:tcW w:w="541" w:type="pct"/>
            <w:vAlign w:val="center"/>
          </w:tcPr>
          <w:p w14:paraId="35EABA1F">
            <w:pPr>
              <w:pStyle w:val="90"/>
            </w:pPr>
            <w:r>
              <w:rPr>
                <w:rFonts w:hint="eastAsia"/>
              </w:rPr>
              <w:t>5</w:t>
            </w:r>
            <w:r>
              <w:t>.643</w:t>
            </w:r>
          </w:p>
        </w:tc>
        <w:tc>
          <w:tcPr>
            <w:tcW w:w="261" w:type="pct"/>
            <w:vMerge w:val="continue"/>
            <w:vAlign w:val="center"/>
          </w:tcPr>
          <w:p w14:paraId="2B62B9B8">
            <w:pPr>
              <w:pStyle w:val="90"/>
            </w:pPr>
          </w:p>
        </w:tc>
        <w:tc>
          <w:tcPr>
            <w:tcW w:w="246" w:type="pct"/>
            <w:vAlign w:val="center"/>
          </w:tcPr>
          <w:p w14:paraId="79A6C88E">
            <w:pPr>
              <w:pStyle w:val="90"/>
            </w:pPr>
            <w:r>
              <w:rPr>
                <w:rFonts w:hint="eastAsia"/>
              </w:rPr>
              <w:t>/</w:t>
            </w:r>
          </w:p>
        </w:tc>
        <w:tc>
          <w:tcPr>
            <w:tcW w:w="281" w:type="pct"/>
            <w:vMerge w:val="continue"/>
            <w:vAlign w:val="center"/>
          </w:tcPr>
          <w:p w14:paraId="753A3DF7">
            <w:pPr>
              <w:pStyle w:val="90"/>
            </w:pPr>
          </w:p>
        </w:tc>
        <w:tc>
          <w:tcPr>
            <w:tcW w:w="478" w:type="pct"/>
            <w:vMerge w:val="continue"/>
            <w:vAlign w:val="center"/>
          </w:tcPr>
          <w:p w14:paraId="5EA24092">
            <w:pPr>
              <w:pStyle w:val="90"/>
            </w:pPr>
          </w:p>
        </w:tc>
        <w:tc>
          <w:tcPr>
            <w:tcW w:w="282" w:type="pct"/>
            <w:vAlign w:val="center"/>
          </w:tcPr>
          <w:p w14:paraId="7B7B1431">
            <w:pPr>
              <w:pStyle w:val="90"/>
            </w:pPr>
            <w:r>
              <w:rPr>
                <w:rFonts w:hint="eastAsia"/>
              </w:rPr>
              <w:t>0</w:t>
            </w:r>
            <w:r>
              <w:t>.136</w:t>
            </w:r>
          </w:p>
        </w:tc>
        <w:tc>
          <w:tcPr>
            <w:tcW w:w="454" w:type="pct"/>
            <w:vAlign w:val="center"/>
          </w:tcPr>
          <w:p w14:paraId="4ED59D6A">
            <w:pPr>
              <w:pStyle w:val="90"/>
            </w:pPr>
            <w:r>
              <w:rPr>
                <w:rFonts w:hint="eastAsia"/>
              </w:rPr>
              <w:t>5</w:t>
            </w:r>
            <w:r>
              <w:t>.643</w:t>
            </w:r>
          </w:p>
        </w:tc>
        <w:tc>
          <w:tcPr>
            <w:tcW w:w="386" w:type="pct"/>
            <w:vMerge w:val="continue"/>
            <w:vAlign w:val="center"/>
          </w:tcPr>
          <w:p w14:paraId="15D00CBE">
            <w:pPr>
              <w:pStyle w:val="90"/>
            </w:pPr>
          </w:p>
        </w:tc>
      </w:tr>
      <w:tr w14:paraId="519B86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273" w:type="pct"/>
            <w:vMerge w:val="continue"/>
            <w:vAlign w:val="center"/>
          </w:tcPr>
          <w:p w14:paraId="6702FBE3">
            <w:pPr>
              <w:pStyle w:val="90"/>
            </w:pPr>
          </w:p>
        </w:tc>
        <w:tc>
          <w:tcPr>
            <w:tcW w:w="182" w:type="pct"/>
            <w:vMerge w:val="continue"/>
            <w:vAlign w:val="center"/>
          </w:tcPr>
          <w:p w14:paraId="66A4FDF5">
            <w:pPr>
              <w:pStyle w:val="90"/>
            </w:pPr>
          </w:p>
        </w:tc>
        <w:tc>
          <w:tcPr>
            <w:tcW w:w="280" w:type="pct"/>
            <w:vMerge w:val="continue"/>
            <w:vAlign w:val="center"/>
          </w:tcPr>
          <w:p w14:paraId="0591035C">
            <w:pPr>
              <w:pStyle w:val="90"/>
            </w:pPr>
          </w:p>
        </w:tc>
        <w:tc>
          <w:tcPr>
            <w:tcW w:w="289" w:type="pct"/>
            <w:vAlign w:val="center"/>
          </w:tcPr>
          <w:p w14:paraId="65EE210B">
            <w:pPr>
              <w:pStyle w:val="90"/>
            </w:pPr>
            <w:r>
              <w:rPr>
                <w:rFonts w:hint="eastAsia"/>
              </w:rPr>
              <w:t>颗粒物</w:t>
            </w:r>
          </w:p>
        </w:tc>
        <w:tc>
          <w:tcPr>
            <w:tcW w:w="281" w:type="pct"/>
            <w:vMerge w:val="continue"/>
            <w:vAlign w:val="center"/>
          </w:tcPr>
          <w:p w14:paraId="06EC467B">
            <w:pPr>
              <w:pStyle w:val="90"/>
            </w:pPr>
          </w:p>
        </w:tc>
        <w:tc>
          <w:tcPr>
            <w:tcW w:w="478" w:type="pct"/>
            <w:vMerge w:val="continue"/>
            <w:vAlign w:val="center"/>
          </w:tcPr>
          <w:p w14:paraId="68DD8C89">
            <w:pPr>
              <w:pStyle w:val="90"/>
            </w:pPr>
          </w:p>
        </w:tc>
        <w:tc>
          <w:tcPr>
            <w:tcW w:w="282" w:type="pct"/>
            <w:vAlign w:val="center"/>
          </w:tcPr>
          <w:p w14:paraId="3CB29C38">
            <w:pPr>
              <w:pStyle w:val="90"/>
            </w:pPr>
            <w:r>
              <w:t>0.1</w:t>
            </w:r>
          </w:p>
        </w:tc>
        <w:tc>
          <w:tcPr>
            <w:tcW w:w="541" w:type="pct"/>
            <w:vAlign w:val="center"/>
          </w:tcPr>
          <w:p w14:paraId="1C761FED">
            <w:pPr>
              <w:pStyle w:val="90"/>
            </w:pPr>
            <w:r>
              <w:rPr>
                <w:rFonts w:hint="eastAsia"/>
              </w:rPr>
              <w:t>4</w:t>
            </w:r>
            <w:r>
              <w:t>.455</w:t>
            </w:r>
          </w:p>
        </w:tc>
        <w:tc>
          <w:tcPr>
            <w:tcW w:w="261" w:type="pct"/>
            <w:vMerge w:val="continue"/>
            <w:vAlign w:val="center"/>
          </w:tcPr>
          <w:p w14:paraId="59F1CD7A">
            <w:pPr>
              <w:pStyle w:val="90"/>
            </w:pPr>
          </w:p>
        </w:tc>
        <w:tc>
          <w:tcPr>
            <w:tcW w:w="246" w:type="pct"/>
            <w:vAlign w:val="center"/>
          </w:tcPr>
          <w:p w14:paraId="7DAD05C2">
            <w:pPr>
              <w:pStyle w:val="90"/>
            </w:pPr>
            <w:r>
              <w:t>/</w:t>
            </w:r>
          </w:p>
        </w:tc>
        <w:tc>
          <w:tcPr>
            <w:tcW w:w="281" w:type="pct"/>
            <w:vMerge w:val="continue"/>
            <w:vAlign w:val="center"/>
          </w:tcPr>
          <w:p w14:paraId="5D1A0313">
            <w:pPr>
              <w:pStyle w:val="90"/>
            </w:pPr>
          </w:p>
        </w:tc>
        <w:tc>
          <w:tcPr>
            <w:tcW w:w="478" w:type="pct"/>
            <w:vMerge w:val="continue"/>
            <w:vAlign w:val="center"/>
          </w:tcPr>
          <w:p w14:paraId="4AE6A02C">
            <w:pPr>
              <w:pStyle w:val="90"/>
            </w:pPr>
          </w:p>
        </w:tc>
        <w:tc>
          <w:tcPr>
            <w:tcW w:w="282" w:type="pct"/>
            <w:vAlign w:val="center"/>
          </w:tcPr>
          <w:p w14:paraId="7327B035">
            <w:pPr>
              <w:pStyle w:val="90"/>
            </w:pPr>
            <w:r>
              <w:t>0.1</w:t>
            </w:r>
          </w:p>
        </w:tc>
        <w:tc>
          <w:tcPr>
            <w:tcW w:w="454" w:type="pct"/>
            <w:vAlign w:val="center"/>
          </w:tcPr>
          <w:p w14:paraId="53BC304C">
            <w:pPr>
              <w:pStyle w:val="90"/>
            </w:pPr>
            <w:r>
              <w:rPr>
                <w:rFonts w:hint="eastAsia"/>
              </w:rPr>
              <w:t>4</w:t>
            </w:r>
            <w:r>
              <w:t>.455</w:t>
            </w:r>
          </w:p>
        </w:tc>
        <w:tc>
          <w:tcPr>
            <w:tcW w:w="386" w:type="pct"/>
            <w:vMerge w:val="continue"/>
            <w:vAlign w:val="center"/>
          </w:tcPr>
          <w:p w14:paraId="03AE7E7A">
            <w:pPr>
              <w:pStyle w:val="90"/>
            </w:pPr>
          </w:p>
        </w:tc>
      </w:tr>
    </w:tbl>
    <w:p w14:paraId="50BD30A4">
      <w:pPr>
        <w:pStyle w:val="45"/>
        <w:spacing w:before="65" w:after="65"/>
      </w:pPr>
      <w:r>
        <w:rPr>
          <w:rFonts w:hint="eastAsia"/>
        </w:rPr>
        <w:t>非正常工况</w:t>
      </w:r>
    </w:p>
    <w:p w14:paraId="77FD20F2">
      <w:pPr>
        <w:ind w:firstLine="480"/>
      </w:pPr>
      <w:r>
        <w:rPr>
          <w:rFonts w:hint="eastAsia"/>
        </w:rPr>
        <w:t>本项目的非正常工况主要考虑罐区油气回收处置措施效率减低，导致污染物排放的情况，具体见表3</w:t>
      </w:r>
      <w:r>
        <w:t>.4-5</w:t>
      </w:r>
      <w:r>
        <w:rPr>
          <w:rFonts w:hint="eastAsia"/>
        </w:rPr>
        <w:t>。</w:t>
      </w:r>
    </w:p>
    <w:p w14:paraId="0B25BD3B">
      <w:pPr>
        <w:pStyle w:val="47"/>
        <w:spacing w:before="65"/>
      </w:pPr>
      <w:r>
        <w:rPr>
          <w:rFonts w:hint="eastAsia"/>
        </w:rPr>
        <w:t>表3</w:t>
      </w:r>
      <w:r>
        <w:t xml:space="preserve">.4-5   </w:t>
      </w:r>
      <w:r>
        <w:rPr>
          <w:rFonts w:hint="eastAsia"/>
        </w:rPr>
        <w:t>非正常工况污染物排放一览表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57"/>
        <w:gridCol w:w="952"/>
        <w:gridCol w:w="950"/>
        <w:gridCol w:w="1330"/>
        <w:gridCol w:w="950"/>
        <w:gridCol w:w="950"/>
        <w:gridCol w:w="1311"/>
        <w:gridCol w:w="1130"/>
      </w:tblGrid>
      <w:tr w14:paraId="555C3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63" w:type="pct"/>
            <w:vAlign w:val="center"/>
          </w:tcPr>
          <w:p w14:paraId="436CDFF2">
            <w:pPr>
              <w:adjustRightInd w:val="0"/>
              <w:snapToGrid w:val="0"/>
              <w:spacing w:line="240" w:lineRule="auto"/>
              <w:ind w:firstLine="0" w:firstLineChars="0"/>
              <w:jc w:val="center"/>
              <w:rPr>
                <w:sz w:val="21"/>
                <w:szCs w:val="20"/>
              </w:rPr>
            </w:pPr>
            <w:r>
              <w:rPr>
                <w:rFonts w:hint="eastAsia"/>
                <w:sz w:val="21"/>
                <w:szCs w:val="20"/>
              </w:rPr>
              <w:t>非正常排放源</w:t>
            </w:r>
          </w:p>
        </w:tc>
        <w:tc>
          <w:tcPr>
            <w:tcW w:w="545" w:type="pct"/>
            <w:vAlign w:val="center"/>
          </w:tcPr>
          <w:p w14:paraId="0F0D85BD">
            <w:pPr>
              <w:adjustRightInd w:val="0"/>
              <w:snapToGrid w:val="0"/>
              <w:spacing w:line="240" w:lineRule="auto"/>
              <w:ind w:firstLine="0" w:firstLineChars="0"/>
              <w:jc w:val="center"/>
              <w:rPr>
                <w:sz w:val="21"/>
                <w:szCs w:val="20"/>
              </w:rPr>
            </w:pPr>
            <w:r>
              <w:rPr>
                <w:rFonts w:hint="eastAsia"/>
                <w:sz w:val="21"/>
                <w:szCs w:val="20"/>
              </w:rPr>
              <w:t>非正常排放原因</w:t>
            </w:r>
          </w:p>
        </w:tc>
        <w:tc>
          <w:tcPr>
            <w:tcW w:w="544" w:type="pct"/>
            <w:vAlign w:val="center"/>
          </w:tcPr>
          <w:p w14:paraId="0D0D7A54">
            <w:pPr>
              <w:adjustRightInd w:val="0"/>
              <w:snapToGrid w:val="0"/>
              <w:spacing w:line="240" w:lineRule="auto"/>
              <w:ind w:firstLine="0" w:firstLineChars="0"/>
              <w:jc w:val="center"/>
              <w:rPr>
                <w:sz w:val="21"/>
                <w:szCs w:val="20"/>
              </w:rPr>
            </w:pPr>
            <w:r>
              <w:rPr>
                <w:rFonts w:hint="eastAsia"/>
                <w:sz w:val="21"/>
                <w:szCs w:val="20"/>
              </w:rPr>
              <w:t>污染物</w:t>
            </w:r>
          </w:p>
        </w:tc>
        <w:tc>
          <w:tcPr>
            <w:tcW w:w="762" w:type="pct"/>
            <w:vAlign w:val="center"/>
          </w:tcPr>
          <w:p w14:paraId="4FB24687">
            <w:pPr>
              <w:adjustRightInd w:val="0"/>
              <w:snapToGrid w:val="0"/>
              <w:spacing w:line="240" w:lineRule="auto"/>
              <w:ind w:firstLine="0" w:firstLineChars="0"/>
              <w:jc w:val="center"/>
              <w:rPr>
                <w:sz w:val="21"/>
                <w:szCs w:val="20"/>
              </w:rPr>
            </w:pPr>
            <w:r>
              <w:rPr>
                <w:rFonts w:hint="eastAsia"/>
                <w:sz w:val="21"/>
                <w:szCs w:val="20"/>
              </w:rPr>
              <w:t>非正常排放速率（kg</w:t>
            </w:r>
            <w:r>
              <w:rPr>
                <w:sz w:val="21"/>
                <w:szCs w:val="20"/>
              </w:rPr>
              <w:t>/</w:t>
            </w:r>
            <w:r>
              <w:rPr>
                <w:rFonts w:hint="eastAsia"/>
                <w:sz w:val="21"/>
                <w:szCs w:val="20"/>
              </w:rPr>
              <w:t>h）</w:t>
            </w:r>
          </w:p>
        </w:tc>
        <w:tc>
          <w:tcPr>
            <w:tcW w:w="544" w:type="pct"/>
            <w:vAlign w:val="center"/>
          </w:tcPr>
          <w:p w14:paraId="6EAEE41E">
            <w:pPr>
              <w:adjustRightInd w:val="0"/>
              <w:snapToGrid w:val="0"/>
              <w:spacing w:line="240" w:lineRule="auto"/>
              <w:ind w:firstLine="0" w:firstLineChars="0"/>
              <w:jc w:val="center"/>
              <w:rPr>
                <w:sz w:val="21"/>
                <w:szCs w:val="20"/>
              </w:rPr>
            </w:pPr>
            <w:r>
              <w:rPr>
                <w:rFonts w:hint="eastAsia"/>
                <w:sz w:val="21"/>
                <w:szCs w:val="20"/>
              </w:rPr>
              <w:t>单次持续时间/h</w:t>
            </w:r>
          </w:p>
        </w:tc>
        <w:tc>
          <w:tcPr>
            <w:tcW w:w="544" w:type="pct"/>
            <w:vAlign w:val="center"/>
          </w:tcPr>
          <w:p w14:paraId="38D21BC5">
            <w:pPr>
              <w:adjustRightInd w:val="0"/>
              <w:snapToGrid w:val="0"/>
              <w:spacing w:line="240" w:lineRule="auto"/>
              <w:ind w:firstLine="0" w:firstLineChars="0"/>
              <w:jc w:val="center"/>
              <w:rPr>
                <w:sz w:val="21"/>
                <w:szCs w:val="20"/>
              </w:rPr>
            </w:pPr>
            <w:r>
              <w:rPr>
                <w:rFonts w:hint="eastAsia"/>
                <w:sz w:val="21"/>
                <w:szCs w:val="20"/>
              </w:rPr>
              <w:t>年发生频次/次</w:t>
            </w:r>
          </w:p>
        </w:tc>
        <w:tc>
          <w:tcPr>
            <w:tcW w:w="751" w:type="pct"/>
            <w:vAlign w:val="center"/>
          </w:tcPr>
          <w:p w14:paraId="453D0944">
            <w:pPr>
              <w:adjustRightInd w:val="0"/>
              <w:snapToGrid w:val="0"/>
              <w:spacing w:line="240" w:lineRule="auto"/>
              <w:ind w:firstLine="0" w:firstLineChars="0"/>
              <w:jc w:val="center"/>
              <w:rPr>
                <w:sz w:val="21"/>
                <w:szCs w:val="20"/>
              </w:rPr>
            </w:pPr>
            <w:r>
              <w:rPr>
                <w:rFonts w:hint="eastAsia"/>
                <w:sz w:val="21"/>
                <w:szCs w:val="20"/>
              </w:rPr>
              <w:t>排放浓度（mg</w:t>
            </w:r>
            <w:r>
              <w:rPr>
                <w:sz w:val="21"/>
                <w:szCs w:val="20"/>
              </w:rPr>
              <w:t>/</w:t>
            </w:r>
            <w:r>
              <w:rPr>
                <w:rFonts w:hint="eastAsia"/>
                <w:sz w:val="21"/>
                <w:szCs w:val="20"/>
              </w:rPr>
              <w:t>m</w:t>
            </w:r>
            <w:r>
              <w:rPr>
                <w:sz w:val="21"/>
                <w:szCs w:val="20"/>
                <w:vertAlign w:val="superscript"/>
              </w:rPr>
              <w:t>3</w:t>
            </w:r>
            <w:r>
              <w:rPr>
                <w:rFonts w:hint="eastAsia"/>
                <w:sz w:val="21"/>
                <w:szCs w:val="20"/>
              </w:rPr>
              <w:t>）</w:t>
            </w:r>
          </w:p>
        </w:tc>
        <w:tc>
          <w:tcPr>
            <w:tcW w:w="647" w:type="pct"/>
            <w:vAlign w:val="center"/>
          </w:tcPr>
          <w:p w14:paraId="4A55A94F">
            <w:pPr>
              <w:adjustRightInd w:val="0"/>
              <w:snapToGrid w:val="0"/>
              <w:spacing w:line="240" w:lineRule="auto"/>
              <w:ind w:firstLine="0" w:firstLineChars="0"/>
              <w:jc w:val="center"/>
              <w:rPr>
                <w:sz w:val="21"/>
                <w:szCs w:val="20"/>
              </w:rPr>
            </w:pPr>
            <w:r>
              <w:rPr>
                <w:rFonts w:hint="eastAsia"/>
                <w:sz w:val="21"/>
                <w:szCs w:val="20"/>
              </w:rPr>
              <w:t>排放量（kg）</w:t>
            </w:r>
          </w:p>
        </w:tc>
      </w:tr>
      <w:tr w14:paraId="320EE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663" w:type="pct"/>
            <w:vAlign w:val="center"/>
          </w:tcPr>
          <w:p w14:paraId="02625EBA">
            <w:pPr>
              <w:adjustRightInd w:val="0"/>
              <w:snapToGrid w:val="0"/>
              <w:spacing w:line="240" w:lineRule="auto"/>
              <w:ind w:firstLine="0" w:firstLineChars="0"/>
              <w:jc w:val="center"/>
              <w:rPr>
                <w:sz w:val="21"/>
                <w:szCs w:val="20"/>
              </w:rPr>
            </w:pPr>
            <w:r>
              <w:rPr>
                <w:rFonts w:hint="eastAsia"/>
                <w:sz w:val="21"/>
                <w:szCs w:val="20"/>
              </w:rPr>
              <w:t>罐区油气回收装置排气筒</w:t>
            </w:r>
          </w:p>
        </w:tc>
        <w:tc>
          <w:tcPr>
            <w:tcW w:w="545" w:type="pct"/>
            <w:vAlign w:val="center"/>
          </w:tcPr>
          <w:p w14:paraId="4B317042">
            <w:pPr>
              <w:adjustRightInd w:val="0"/>
              <w:snapToGrid w:val="0"/>
              <w:spacing w:line="240" w:lineRule="auto"/>
              <w:ind w:firstLine="0" w:firstLineChars="0"/>
              <w:jc w:val="center"/>
              <w:rPr>
                <w:sz w:val="21"/>
                <w:szCs w:val="20"/>
              </w:rPr>
            </w:pPr>
            <w:r>
              <w:rPr>
                <w:rFonts w:hint="eastAsia"/>
                <w:sz w:val="21"/>
                <w:szCs w:val="20"/>
              </w:rPr>
              <w:t>油气回收设备故障</w:t>
            </w:r>
          </w:p>
        </w:tc>
        <w:tc>
          <w:tcPr>
            <w:tcW w:w="544" w:type="pct"/>
            <w:vAlign w:val="center"/>
          </w:tcPr>
          <w:p w14:paraId="21D1A662">
            <w:pPr>
              <w:adjustRightInd w:val="0"/>
              <w:snapToGrid w:val="0"/>
              <w:spacing w:line="240" w:lineRule="auto"/>
              <w:ind w:firstLine="0" w:firstLineChars="0"/>
              <w:jc w:val="center"/>
              <w:rPr>
                <w:sz w:val="21"/>
                <w:szCs w:val="20"/>
              </w:rPr>
            </w:pPr>
            <w:r>
              <w:rPr>
                <w:rFonts w:hint="eastAsia"/>
                <w:sz w:val="21"/>
                <w:szCs w:val="20"/>
              </w:rPr>
              <w:t>非甲烷总烃</w:t>
            </w:r>
          </w:p>
        </w:tc>
        <w:tc>
          <w:tcPr>
            <w:tcW w:w="762" w:type="pct"/>
            <w:vAlign w:val="center"/>
          </w:tcPr>
          <w:p w14:paraId="6196894C">
            <w:pPr>
              <w:adjustRightInd w:val="0"/>
              <w:snapToGrid w:val="0"/>
              <w:spacing w:line="240" w:lineRule="auto"/>
              <w:ind w:firstLine="0" w:firstLineChars="0"/>
              <w:jc w:val="center"/>
              <w:rPr>
                <w:kern w:val="0"/>
                <w:sz w:val="21"/>
                <w:szCs w:val="20"/>
              </w:rPr>
            </w:pPr>
            <w:r>
              <w:rPr>
                <w:sz w:val="21"/>
                <w:szCs w:val="20"/>
              </w:rPr>
              <w:t>5.92</w:t>
            </w:r>
          </w:p>
        </w:tc>
        <w:tc>
          <w:tcPr>
            <w:tcW w:w="544" w:type="pct"/>
            <w:vAlign w:val="center"/>
          </w:tcPr>
          <w:p w14:paraId="5D8A0880">
            <w:pPr>
              <w:adjustRightInd w:val="0"/>
              <w:snapToGrid w:val="0"/>
              <w:spacing w:line="240" w:lineRule="auto"/>
              <w:ind w:firstLine="0" w:firstLineChars="0"/>
              <w:jc w:val="center"/>
              <w:rPr>
                <w:sz w:val="21"/>
                <w:szCs w:val="20"/>
              </w:rPr>
            </w:pPr>
            <w:r>
              <w:rPr>
                <w:sz w:val="21"/>
                <w:szCs w:val="20"/>
              </w:rPr>
              <w:t>1</w:t>
            </w:r>
          </w:p>
        </w:tc>
        <w:tc>
          <w:tcPr>
            <w:tcW w:w="544" w:type="pct"/>
            <w:vAlign w:val="center"/>
          </w:tcPr>
          <w:p w14:paraId="6BC7257F">
            <w:pPr>
              <w:adjustRightInd w:val="0"/>
              <w:snapToGrid w:val="0"/>
              <w:spacing w:line="240" w:lineRule="auto"/>
              <w:ind w:firstLine="0" w:firstLineChars="0"/>
              <w:jc w:val="center"/>
              <w:rPr>
                <w:sz w:val="21"/>
                <w:szCs w:val="20"/>
              </w:rPr>
            </w:pPr>
            <w:r>
              <w:rPr>
                <w:rFonts w:hint="eastAsia"/>
                <w:sz w:val="21"/>
                <w:szCs w:val="20"/>
              </w:rPr>
              <w:t>1</w:t>
            </w:r>
          </w:p>
        </w:tc>
        <w:tc>
          <w:tcPr>
            <w:tcW w:w="751" w:type="pct"/>
            <w:vAlign w:val="center"/>
          </w:tcPr>
          <w:p w14:paraId="20806ADE">
            <w:pPr>
              <w:adjustRightInd w:val="0"/>
              <w:snapToGrid w:val="0"/>
              <w:spacing w:line="240" w:lineRule="auto"/>
              <w:ind w:firstLine="0" w:firstLineChars="0"/>
              <w:jc w:val="center"/>
              <w:rPr>
                <w:kern w:val="0"/>
                <w:sz w:val="21"/>
                <w:szCs w:val="20"/>
              </w:rPr>
            </w:pPr>
            <w:r>
              <w:rPr>
                <w:sz w:val="21"/>
                <w:szCs w:val="20"/>
              </w:rPr>
              <w:t>295.7</w:t>
            </w:r>
          </w:p>
        </w:tc>
        <w:tc>
          <w:tcPr>
            <w:tcW w:w="647" w:type="pct"/>
            <w:vAlign w:val="center"/>
          </w:tcPr>
          <w:p w14:paraId="491F5032">
            <w:pPr>
              <w:adjustRightInd w:val="0"/>
              <w:snapToGrid w:val="0"/>
              <w:spacing w:line="240" w:lineRule="auto"/>
              <w:ind w:firstLine="0" w:firstLineChars="0"/>
              <w:jc w:val="center"/>
              <w:rPr>
                <w:kern w:val="0"/>
                <w:sz w:val="21"/>
                <w:szCs w:val="20"/>
              </w:rPr>
            </w:pPr>
            <w:r>
              <w:rPr>
                <w:sz w:val="21"/>
                <w:szCs w:val="20"/>
              </w:rPr>
              <w:t>5.92</w:t>
            </w:r>
          </w:p>
        </w:tc>
      </w:tr>
    </w:tbl>
    <w:p w14:paraId="3CCDD2F5">
      <w:pPr>
        <w:ind w:firstLine="480"/>
      </w:pPr>
      <w:r>
        <w:rPr>
          <w:rFonts w:hint="eastAsia"/>
        </w:rPr>
        <w:t>则本项目运营期废气污染物排放情况见表3</w:t>
      </w:r>
      <w:r>
        <w:t>.4-6</w:t>
      </w:r>
      <w:r>
        <w:rPr>
          <w:rFonts w:hint="eastAsia"/>
        </w:rPr>
        <w:t>。</w:t>
      </w:r>
    </w:p>
    <w:p w14:paraId="7DCB268A">
      <w:pPr>
        <w:pStyle w:val="47"/>
        <w:spacing w:before="65"/>
        <w:rPr>
          <w:color w:val="auto"/>
        </w:rPr>
      </w:pPr>
      <w:r>
        <w:rPr>
          <w:rFonts w:hint="eastAsia"/>
          <w:color w:val="auto"/>
        </w:rPr>
        <w:t>表3</w:t>
      </w:r>
      <w:r>
        <w:rPr>
          <w:color w:val="auto"/>
        </w:rPr>
        <w:t xml:space="preserve">.4-6   </w:t>
      </w:r>
      <w:r>
        <w:rPr>
          <w:rFonts w:hint="eastAsia"/>
          <w:color w:val="auto"/>
        </w:rPr>
        <w:t>本项目废气污染物产排情况汇总表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6"/>
        <w:gridCol w:w="481"/>
        <w:gridCol w:w="283"/>
        <w:gridCol w:w="800"/>
        <w:gridCol w:w="476"/>
        <w:gridCol w:w="747"/>
        <w:gridCol w:w="800"/>
        <w:gridCol w:w="903"/>
        <w:gridCol w:w="945"/>
        <w:gridCol w:w="909"/>
        <w:gridCol w:w="599"/>
        <w:gridCol w:w="339"/>
        <w:gridCol w:w="603"/>
        <w:gridCol w:w="645"/>
      </w:tblGrid>
      <w:tr w14:paraId="4535C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restart"/>
            <w:tcMar>
              <w:left w:w="28" w:type="dxa"/>
              <w:right w:w="28" w:type="dxa"/>
            </w:tcMar>
            <w:vAlign w:val="center"/>
          </w:tcPr>
          <w:p w14:paraId="4B3DF092">
            <w:pPr>
              <w:pStyle w:val="90"/>
              <w:rPr>
                <w:color w:val="auto"/>
              </w:rPr>
            </w:pPr>
            <w:r>
              <w:rPr>
                <w:rFonts w:hint="eastAsia"/>
                <w:color w:val="auto"/>
              </w:rPr>
              <w:t>编号</w:t>
            </w:r>
          </w:p>
        </w:tc>
        <w:tc>
          <w:tcPr>
            <w:tcW w:w="273" w:type="pct"/>
            <w:vMerge w:val="restart"/>
            <w:tcMar>
              <w:left w:w="28" w:type="dxa"/>
              <w:right w:w="28" w:type="dxa"/>
            </w:tcMar>
            <w:vAlign w:val="center"/>
          </w:tcPr>
          <w:p w14:paraId="5C39AEED">
            <w:pPr>
              <w:pStyle w:val="90"/>
              <w:rPr>
                <w:color w:val="auto"/>
              </w:rPr>
            </w:pPr>
            <w:r>
              <w:rPr>
                <w:rFonts w:hint="eastAsia"/>
                <w:color w:val="auto"/>
              </w:rPr>
              <w:t>污染源名称</w:t>
            </w:r>
          </w:p>
        </w:tc>
        <w:tc>
          <w:tcPr>
            <w:tcW w:w="161" w:type="pct"/>
            <w:vMerge w:val="restart"/>
            <w:tcMar>
              <w:left w:w="28" w:type="dxa"/>
              <w:right w:w="28" w:type="dxa"/>
            </w:tcMar>
            <w:vAlign w:val="center"/>
          </w:tcPr>
          <w:p w14:paraId="419179A6">
            <w:pPr>
              <w:pStyle w:val="90"/>
              <w:rPr>
                <w:color w:val="auto"/>
              </w:rPr>
            </w:pPr>
            <w:r>
              <w:rPr>
                <w:rFonts w:hint="eastAsia"/>
                <w:color w:val="auto"/>
              </w:rPr>
              <w:t>规律</w:t>
            </w:r>
          </w:p>
        </w:tc>
        <w:tc>
          <w:tcPr>
            <w:tcW w:w="455" w:type="pct"/>
            <w:vMerge w:val="restart"/>
            <w:tcMar>
              <w:left w:w="28" w:type="dxa"/>
              <w:right w:w="28" w:type="dxa"/>
            </w:tcMar>
            <w:vAlign w:val="center"/>
          </w:tcPr>
          <w:p w14:paraId="30EFEF91">
            <w:pPr>
              <w:pStyle w:val="90"/>
              <w:rPr>
                <w:color w:val="auto"/>
              </w:rPr>
            </w:pPr>
            <w:r>
              <w:rPr>
                <w:rFonts w:hint="eastAsia"/>
                <w:color w:val="auto"/>
              </w:rPr>
              <w:t>排气量</w:t>
            </w:r>
          </w:p>
          <w:p w14:paraId="4EA1BC8A">
            <w:pPr>
              <w:pStyle w:val="90"/>
              <w:rPr>
                <w:color w:val="auto"/>
              </w:rPr>
            </w:pPr>
            <w:r>
              <w:rPr>
                <w:rFonts w:hint="eastAsia"/>
                <w:color w:val="auto"/>
              </w:rPr>
              <w:t>（Nm</w:t>
            </w:r>
            <w:r>
              <w:rPr>
                <w:rFonts w:hint="eastAsia"/>
                <w:color w:val="auto"/>
                <w:vertAlign w:val="superscript"/>
              </w:rPr>
              <w:t>3</w:t>
            </w:r>
            <w:r>
              <w:rPr>
                <w:rFonts w:hint="eastAsia"/>
                <w:color w:val="auto"/>
              </w:rPr>
              <w:t>/h）</w:t>
            </w:r>
          </w:p>
        </w:tc>
        <w:tc>
          <w:tcPr>
            <w:tcW w:w="270" w:type="pct"/>
            <w:vMerge w:val="restart"/>
            <w:tcMar>
              <w:left w:w="28" w:type="dxa"/>
              <w:right w:w="28" w:type="dxa"/>
            </w:tcMar>
            <w:vAlign w:val="center"/>
          </w:tcPr>
          <w:p w14:paraId="25BD8B53">
            <w:pPr>
              <w:pStyle w:val="90"/>
              <w:rPr>
                <w:color w:val="auto"/>
              </w:rPr>
            </w:pPr>
            <w:r>
              <w:rPr>
                <w:rFonts w:hint="eastAsia"/>
                <w:color w:val="auto"/>
              </w:rPr>
              <w:t>污染物</w:t>
            </w:r>
          </w:p>
        </w:tc>
        <w:tc>
          <w:tcPr>
            <w:tcW w:w="880" w:type="pct"/>
            <w:gridSpan w:val="2"/>
            <w:tcMar>
              <w:left w:w="28" w:type="dxa"/>
              <w:right w:w="28" w:type="dxa"/>
            </w:tcMar>
            <w:vAlign w:val="center"/>
          </w:tcPr>
          <w:p w14:paraId="5018C9F8">
            <w:pPr>
              <w:pStyle w:val="90"/>
              <w:rPr>
                <w:color w:val="auto"/>
              </w:rPr>
            </w:pPr>
            <w:r>
              <w:rPr>
                <w:rFonts w:hint="eastAsia"/>
                <w:color w:val="auto"/>
              </w:rPr>
              <w:t>产生情况</w:t>
            </w:r>
          </w:p>
        </w:tc>
        <w:tc>
          <w:tcPr>
            <w:tcW w:w="513" w:type="pct"/>
            <w:vMerge w:val="restart"/>
            <w:tcMar>
              <w:left w:w="28" w:type="dxa"/>
              <w:right w:w="28" w:type="dxa"/>
            </w:tcMar>
            <w:vAlign w:val="center"/>
          </w:tcPr>
          <w:p w14:paraId="51852743">
            <w:pPr>
              <w:pStyle w:val="90"/>
              <w:rPr>
                <w:color w:val="auto"/>
              </w:rPr>
            </w:pPr>
            <w:r>
              <w:rPr>
                <w:rFonts w:hint="eastAsia"/>
                <w:color w:val="auto"/>
              </w:rPr>
              <w:t>治理措施及去向</w:t>
            </w:r>
          </w:p>
        </w:tc>
        <w:tc>
          <w:tcPr>
            <w:tcW w:w="1395" w:type="pct"/>
            <w:gridSpan w:val="3"/>
            <w:tcMar>
              <w:left w:w="28" w:type="dxa"/>
              <w:right w:w="28" w:type="dxa"/>
            </w:tcMar>
            <w:vAlign w:val="center"/>
          </w:tcPr>
          <w:p w14:paraId="548D29BF">
            <w:pPr>
              <w:pStyle w:val="90"/>
              <w:rPr>
                <w:color w:val="auto"/>
              </w:rPr>
            </w:pPr>
            <w:r>
              <w:rPr>
                <w:rFonts w:hint="eastAsia"/>
                <w:color w:val="auto"/>
              </w:rPr>
              <w:t>排放情况</w:t>
            </w:r>
          </w:p>
        </w:tc>
        <w:tc>
          <w:tcPr>
            <w:tcW w:w="903" w:type="pct"/>
            <w:gridSpan w:val="3"/>
            <w:tcMar>
              <w:left w:w="28" w:type="dxa"/>
              <w:right w:w="28" w:type="dxa"/>
            </w:tcMar>
            <w:vAlign w:val="center"/>
          </w:tcPr>
          <w:p w14:paraId="3BA4B140">
            <w:pPr>
              <w:pStyle w:val="90"/>
              <w:rPr>
                <w:color w:val="auto"/>
              </w:rPr>
            </w:pPr>
            <w:r>
              <w:rPr>
                <w:rFonts w:hint="eastAsia"/>
                <w:color w:val="auto"/>
              </w:rPr>
              <w:t>排放参数</w:t>
            </w:r>
          </w:p>
        </w:tc>
      </w:tr>
      <w:tr w14:paraId="5F1C6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continue"/>
            <w:tcMar>
              <w:left w:w="28" w:type="dxa"/>
              <w:right w:w="28" w:type="dxa"/>
            </w:tcMar>
            <w:vAlign w:val="center"/>
          </w:tcPr>
          <w:p w14:paraId="375B9672">
            <w:pPr>
              <w:pStyle w:val="90"/>
              <w:rPr>
                <w:color w:val="auto"/>
              </w:rPr>
            </w:pPr>
          </w:p>
        </w:tc>
        <w:tc>
          <w:tcPr>
            <w:tcW w:w="273" w:type="pct"/>
            <w:vMerge w:val="continue"/>
            <w:tcMar>
              <w:left w:w="28" w:type="dxa"/>
              <w:right w:w="28" w:type="dxa"/>
            </w:tcMar>
            <w:vAlign w:val="center"/>
          </w:tcPr>
          <w:p w14:paraId="7FDE2C8A">
            <w:pPr>
              <w:pStyle w:val="90"/>
              <w:rPr>
                <w:color w:val="auto"/>
              </w:rPr>
            </w:pPr>
          </w:p>
        </w:tc>
        <w:tc>
          <w:tcPr>
            <w:tcW w:w="161" w:type="pct"/>
            <w:vMerge w:val="continue"/>
            <w:tcMar>
              <w:left w:w="28" w:type="dxa"/>
              <w:right w:w="28" w:type="dxa"/>
            </w:tcMar>
            <w:vAlign w:val="center"/>
          </w:tcPr>
          <w:p w14:paraId="115796D3">
            <w:pPr>
              <w:pStyle w:val="90"/>
              <w:rPr>
                <w:color w:val="auto"/>
              </w:rPr>
            </w:pPr>
          </w:p>
        </w:tc>
        <w:tc>
          <w:tcPr>
            <w:tcW w:w="455" w:type="pct"/>
            <w:vMerge w:val="continue"/>
            <w:tcMar>
              <w:left w:w="28" w:type="dxa"/>
              <w:right w:w="28" w:type="dxa"/>
            </w:tcMar>
            <w:vAlign w:val="center"/>
          </w:tcPr>
          <w:p w14:paraId="0A19B801">
            <w:pPr>
              <w:pStyle w:val="90"/>
              <w:rPr>
                <w:color w:val="auto"/>
              </w:rPr>
            </w:pPr>
          </w:p>
        </w:tc>
        <w:tc>
          <w:tcPr>
            <w:tcW w:w="270" w:type="pct"/>
            <w:vMerge w:val="continue"/>
            <w:tcMar>
              <w:left w:w="28" w:type="dxa"/>
              <w:right w:w="28" w:type="dxa"/>
            </w:tcMar>
            <w:vAlign w:val="center"/>
          </w:tcPr>
          <w:p w14:paraId="4E3D1479">
            <w:pPr>
              <w:pStyle w:val="90"/>
              <w:rPr>
                <w:color w:val="auto"/>
              </w:rPr>
            </w:pPr>
          </w:p>
        </w:tc>
        <w:tc>
          <w:tcPr>
            <w:tcW w:w="425" w:type="pct"/>
            <w:tcMar>
              <w:left w:w="28" w:type="dxa"/>
              <w:right w:w="28" w:type="dxa"/>
            </w:tcMar>
            <w:vAlign w:val="center"/>
          </w:tcPr>
          <w:p w14:paraId="5C29328E">
            <w:pPr>
              <w:pStyle w:val="90"/>
              <w:rPr>
                <w:color w:val="auto"/>
              </w:rPr>
            </w:pPr>
            <w:r>
              <w:rPr>
                <w:rFonts w:hint="eastAsia"/>
                <w:color w:val="auto"/>
              </w:rPr>
              <w:t>浓度（mg/m</w:t>
            </w:r>
            <w:r>
              <w:rPr>
                <w:rFonts w:hint="eastAsia"/>
                <w:color w:val="auto"/>
                <w:vertAlign w:val="superscript"/>
              </w:rPr>
              <w:t>3</w:t>
            </w:r>
            <w:r>
              <w:rPr>
                <w:rFonts w:hint="eastAsia"/>
                <w:color w:val="auto"/>
              </w:rPr>
              <w:t>）</w:t>
            </w:r>
          </w:p>
        </w:tc>
        <w:tc>
          <w:tcPr>
            <w:tcW w:w="455" w:type="pct"/>
            <w:tcMar>
              <w:left w:w="28" w:type="dxa"/>
              <w:right w:w="28" w:type="dxa"/>
            </w:tcMar>
            <w:vAlign w:val="center"/>
          </w:tcPr>
          <w:p w14:paraId="5C59E392">
            <w:pPr>
              <w:pStyle w:val="90"/>
              <w:rPr>
                <w:color w:val="auto"/>
              </w:rPr>
            </w:pPr>
            <w:r>
              <w:rPr>
                <w:rFonts w:hint="eastAsia"/>
                <w:color w:val="auto"/>
              </w:rPr>
              <w:t>速率（kg/h）</w:t>
            </w:r>
          </w:p>
        </w:tc>
        <w:tc>
          <w:tcPr>
            <w:tcW w:w="513" w:type="pct"/>
            <w:vMerge w:val="continue"/>
            <w:tcMar>
              <w:left w:w="28" w:type="dxa"/>
              <w:right w:w="28" w:type="dxa"/>
            </w:tcMar>
            <w:vAlign w:val="center"/>
          </w:tcPr>
          <w:p w14:paraId="569ED1C3">
            <w:pPr>
              <w:pStyle w:val="90"/>
              <w:rPr>
                <w:color w:val="auto"/>
              </w:rPr>
            </w:pPr>
          </w:p>
        </w:tc>
        <w:tc>
          <w:tcPr>
            <w:tcW w:w="537" w:type="pct"/>
            <w:tcMar>
              <w:left w:w="28" w:type="dxa"/>
              <w:right w:w="28" w:type="dxa"/>
            </w:tcMar>
            <w:vAlign w:val="center"/>
          </w:tcPr>
          <w:p w14:paraId="74F26515">
            <w:pPr>
              <w:pStyle w:val="90"/>
              <w:rPr>
                <w:color w:val="auto"/>
              </w:rPr>
            </w:pPr>
            <w:r>
              <w:rPr>
                <w:rFonts w:hint="eastAsia"/>
                <w:color w:val="auto"/>
              </w:rPr>
              <w:t>浓度（mg/m</w:t>
            </w:r>
            <w:r>
              <w:rPr>
                <w:rFonts w:hint="eastAsia"/>
                <w:color w:val="auto"/>
                <w:vertAlign w:val="superscript"/>
              </w:rPr>
              <w:t>3</w:t>
            </w:r>
            <w:r>
              <w:rPr>
                <w:rFonts w:hint="eastAsia"/>
                <w:color w:val="auto"/>
              </w:rPr>
              <w:t>）</w:t>
            </w:r>
          </w:p>
        </w:tc>
        <w:tc>
          <w:tcPr>
            <w:tcW w:w="517" w:type="pct"/>
            <w:tcMar>
              <w:left w:w="28" w:type="dxa"/>
              <w:right w:w="28" w:type="dxa"/>
            </w:tcMar>
            <w:vAlign w:val="center"/>
          </w:tcPr>
          <w:p w14:paraId="6D20A6EF">
            <w:pPr>
              <w:pStyle w:val="90"/>
              <w:rPr>
                <w:color w:val="auto"/>
              </w:rPr>
            </w:pPr>
            <w:r>
              <w:rPr>
                <w:rFonts w:hint="eastAsia"/>
                <w:color w:val="auto"/>
              </w:rPr>
              <w:t>速率（kg/h）</w:t>
            </w:r>
          </w:p>
        </w:tc>
        <w:tc>
          <w:tcPr>
            <w:tcW w:w="340" w:type="pct"/>
            <w:vAlign w:val="center"/>
          </w:tcPr>
          <w:p w14:paraId="40DD362B">
            <w:pPr>
              <w:pStyle w:val="90"/>
              <w:rPr>
                <w:color w:val="auto"/>
              </w:rPr>
            </w:pPr>
            <w:r>
              <w:rPr>
                <w:rFonts w:hint="eastAsia"/>
                <w:color w:val="auto"/>
              </w:rPr>
              <w:t>排放量（t/a）</w:t>
            </w:r>
          </w:p>
        </w:tc>
        <w:tc>
          <w:tcPr>
            <w:tcW w:w="192" w:type="pct"/>
            <w:tcMar>
              <w:left w:w="28" w:type="dxa"/>
              <w:right w:w="28" w:type="dxa"/>
            </w:tcMar>
            <w:vAlign w:val="center"/>
          </w:tcPr>
          <w:p w14:paraId="6B0C7A6A">
            <w:pPr>
              <w:pStyle w:val="90"/>
              <w:rPr>
                <w:rFonts w:hint="default" w:eastAsia="宋体"/>
                <w:color w:val="auto"/>
                <w:lang w:val="en-US" w:eastAsia="zh-CN"/>
              </w:rPr>
            </w:pPr>
            <w:r>
              <w:rPr>
                <w:rFonts w:hint="eastAsia"/>
                <w:color w:val="auto"/>
              </w:rPr>
              <w:t>DN</w:t>
            </w:r>
          </w:p>
        </w:tc>
        <w:tc>
          <w:tcPr>
            <w:tcW w:w="343" w:type="pct"/>
            <w:tcMar>
              <w:left w:w="28" w:type="dxa"/>
              <w:right w:w="28" w:type="dxa"/>
            </w:tcMar>
            <w:vAlign w:val="center"/>
          </w:tcPr>
          <w:p w14:paraId="39ED4A86">
            <w:pPr>
              <w:pStyle w:val="90"/>
              <w:rPr>
                <w:color w:val="auto"/>
              </w:rPr>
            </w:pPr>
            <w:r>
              <w:rPr>
                <w:rFonts w:hint="eastAsia"/>
                <w:color w:val="auto"/>
              </w:rPr>
              <w:t>H（m）</w:t>
            </w:r>
          </w:p>
        </w:tc>
        <w:tc>
          <w:tcPr>
            <w:tcW w:w="367" w:type="pct"/>
            <w:tcMar>
              <w:left w:w="28" w:type="dxa"/>
              <w:right w:w="28" w:type="dxa"/>
            </w:tcMar>
            <w:vAlign w:val="center"/>
          </w:tcPr>
          <w:p w14:paraId="16C72D53">
            <w:pPr>
              <w:pStyle w:val="90"/>
              <w:rPr>
                <w:color w:val="auto"/>
              </w:rPr>
            </w:pPr>
            <w:r>
              <w:rPr>
                <w:rFonts w:hint="eastAsia"/>
                <w:color w:val="auto"/>
              </w:rPr>
              <w:t>T（</w:t>
            </w:r>
            <w:r>
              <w:rPr>
                <w:rFonts w:hint="eastAsia" w:ascii="宋体" w:hAnsi="宋体" w:cs="宋体"/>
                <w:color w:val="auto"/>
              </w:rPr>
              <w:t>℃</w:t>
            </w:r>
            <w:r>
              <w:rPr>
                <w:rFonts w:hint="eastAsia"/>
                <w:color w:val="auto"/>
              </w:rPr>
              <w:t>）</w:t>
            </w:r>
          </w:p>
        </w:tc>
      </w:tr>
      <w:tr w14:paraId="1B41D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restart"/>
            <w:tcMar>
              <w:left w:w="28" w:type="dxa"/>
              <w:right w:w="28" w:type="dxa"/>
            </w:tcMar>
            <w:vAlign w:val="center"/>
          </w:tcPr>
          <w:p w14:paraId="05B60593">
            <w:pPr>
              <w:pStyle w:val="90"/>
            </w:pPr>
            <w:r>
              <w:rPr>
                <w:rFonts w:hint="eastAsia"/>
              </w:rPr>
              <w:t>1</w:t>
            </w:r>
          </w:p>
        </w:tc>
        <w:tc>
          <w:tcPr>
            <w:tcW w:w="273" w:type="pct"/>
            <w:vMerge w:val="restart"/>
            <w:tcMar>
              <w:left w:w="28" w:type="dxa"/>
              <w:right w:w="28" w:type="dxa"/>
            </w:tcMar>
            <w:vAlign w:val="center"/>
          </w:tcPr>
          <w:p w14:paraId="7B08BF18">
            <w:pPr>
              <w:pStyle w:val="90"/>
            </w:pPr>
            <w:r>
              <w:rPr>
                <w:rFonts w:hint="eastAsia"/>
              </w:rPr>
              <w:t>生产车间</w:t>
            </w:r>
          </w:p>
        </w:tc>
        <w:tc>
          <w:tcPr>
            <w:tcW w:w="161" w:type="pct"/>
            <w:vMerge w:val="restart"/>
            <w:tcMar>
              <w:left w:w="28" w:type="dxa"/>
              <w:right w:w="28" w:type="dxa"/>
            </w:tcMar>
            <w:vAlign w:val="center"/>
          </w:tcPr>
          <w:p w14:paraId="74C96B51">
            <w:pPr>
              <w:pStyle w:val="90"/>
            </w:pPr>
            <w:r>
              <w:rPr>
                <w:rFonts w:hint="eastAsia"/>
              </w:rPr>
              <w:t>连续</w:t>
            </w:r>
          </w:p>
        </w:tc>
        <w:tc>
          <w:tcPr>
            <w:tcW w:w="455" w:type="pct"/>
            <w:tcMar>
              <w:left w:w="28" w:type="dxa"/>
              <w:right w:w="28" w:type="dxa"/>
            </w:tcMar>
            <w:vAlign w:val="center"/>
          </w:tcPr>
          <w:p w14:paraId="6D551913">
            <w:pPr>
              <w:pStyle w:val="90"/>
            </w:pPr>
            <w:r>
              <w:rPr>
                <w:rFonts w:hint="eastAsia"/>
              </w:rPr>
              <w:t>无组织</w:t>
            </w:r>
          </w:p>
        </w:tc>
        <w:tc>
          <w:tcPr>
            <w:tcW w:w="270" w:type="pct"/>
            <w:vMerge w:val="restart"/>
            <w:tcMar>
              <w:left w:w="28" w:type="dxa"/>
              <w:right w:w="28" w:type="dxa"/>
            </w:tcMar>
            <w:vAlign w:val="center"/>
          </w:tcPr>
          <w:p w14:paraId="3A138466">
            <w:pPr>
              <w:pStyle w:val="90"/>
            </w:pPr>
            <w:r>
              <w:rPr>
                <w:rFonts w:hint="eastAsia"/>
              </w:rPr>
              <w:t>非甲烷总烃</w:t>
            </w:r>
          </w:p>
        </w:tc>
        <w:tc>
          <w:tcPr>
            <w:tcW w:w="425" w:type="pct"/>
            <w:tcMar>
              <w:left w:w="28" w:type="dxa"/>
              <w:right w:w="28" w:type="dxa"/>
            </w:tcMar>
            <w:vAlign w:val="center"/>
          </w:tcPr>
          <w:p w14:paraId="35A66A27">
            <w:pPr>
              <w:pStyle w:val="90"/>
            </w:pPr>
            <w:r>
              <w:rPr>
                <w:rFonts w:hint="eastAsia"/>
              </w:rPr>
              <w:t>无组织</w:t>
            </w:r>
          </w:p>
        </w:tc>
        <w:tc>
          <w:tcPr>
            <w:tcW w:w="455" w:type="pct"/>
            <w:tcMar>
              <w:left w:w="28" w:type="dxa"/>
              <w:right w:w="28" w:type="dxa"/>
            </w:tcMar>
            <w:vAlign w:val="center"/>
          </w:tcPr>
          <w:p w14:paraId="5E5104CB">
            <w:pPr>
              <w:pStyle w:val="90"/>
            </w:pPr>
            <w:r>
              <w:t>0.043</w:t>
            </w:r>
          </w:p>
        </w:tc>
        <w:tc>
          <w:tcPr>
            <w:tcW w:w="513" w:type="pct"/>
            <w:tcMar>
              <w:left w:w="28" w:type="dxa"/>
              <w:right w:w="28" w:type="dxa"/>
            </w:tcMar>
            <w:vAlign w:val="center"/>
          </w:tcPr>
          <w:p w14:paraId="40E2FD91">
            <w:pPr>
              <w:pStyle w:val="90"/>
              <w:rPr>
                <w:rFonts w:hint="eastAsia" w:eastAsia="宋体"/>
                <w:lang w:val="en-US" w:eastAsia="zh-CN"/>
              </w:rPr>
            </w:pPr>
            <w:r>
              <w:rPr>
                <w:rFonts w:hint="eastAsia"/>
              </w:rPr>
              <w:t>泄漏检测与修复</w:t>
            </w:r>
            <w:r>
              <w:rPr>
                <w:rFonts w:hint="eastAsia"/>
                <w:lang w:val="en-US" w:eastAsia="zh-CN"/>
              </w:rPr>
              <w:t>(</w:t>
            </w:r>
            <w:r>
              <w:rPr>
                <w:rFonts w:hint="eastAsia"/>
              </w:rPr>
              <w:t>LDAR</w:t>
            </w:r>
            <w:r>
              <w:rPr>
                <w:rFonts w:hint="eastAsia"/>
                <w:lang w:val="en-US" w:eastAsia="zh-CN"/>
              </w:rPr>
              <w:t>)</w:t>
            </w:r>
          </w:p>
        </w:tc>
        <w:tc>
          <w:tcPr>
            <w:tcW w:w="537" w:type="pct"/>
            <w:tcMar>
              <w:left w:w="28" w:type="dxa"/>
              <w:right w:w="28" w:type="dxa"/>
            </w:tcMar>
            <w:vAlign w:val="center"/>
          </w:tcPr>
          <w:p w14:paraId="2B950A9D">
            <w:pPr>
              <w:pStyle w:val="90"/>
            </w:pPr>
            <w:r>
              <w:rPr>
                <w:rFonts w:hint="eastAsia"/>
              </w:rPr>
              <w:t>/</w:t>
            </w:r>
          </w:p>
        </w:tc>
        <w:tc>
          <w:tcPr>
            <w:tcW w:w="517" w:type="pct"/>
            <w:tcMar>
              <w:left w:w="28" w:type="dxa"/>
              <w:right w:w="28" w:type="dxa"/>
            </w:tcMar>
            <w:vAlign w:val="center"/>
          </w:tcPr>
          <w:p w14:paraId="3AD208F9">
            <w:pPr>
              <w:pStyle w:val="90"/>
            </w:pPr>
            <w:r>
              <w:t>0.043</w:t>
            </w:r>
          </w:p>
        </w:tc>
        <w:tc>
          <w:tcPr>
            <w:tcW w:w="340" w:type="pct"/>
            <w:vAlign w:val="center"/>
          </w:tcPr>
          <w:p w14:paraId="6B6A8CD9">
            <w:pPr>
              <w:pStyle w:val="90"/>
            </w:pPr>
            <w:r>
              <w:rPr>
                <w:rFonts w:hint="eastAsia"/>
              </w:rPr>
              <w:t>0</w:t>
            </w:r>
            <w:r>
              <w:t>.31</w:t>
            </w:r>
          </w:p>
        </w:tc>
        <w:tc>
          <w:tcPr>
            <w:tcW w:w="192" w:type="pct"/>
            <w:tcMar>
              <w:left w:w="28" w:type="dxa"/>
              <w:right w:w="28" w:type="dxa"/>
            </w:tcMar>
            <w:vAlign w:val="center"/>
          </w:tcPr>
          <w:p w14:paraId="33618207">
            <w:pPr>
              <w:pStyle w:val="90"/>
            </w:pPr>
            <w:r>
              <w:rPr>
                <w:rFonts w:hint="eastAsia"/>
              </w:rPr>
              <w:t>/</w:t>
            </w:r>
          </w:p>
        </w:tc>
        <w:tc>
          <w:tcPr>
            <w:tcW w:w="343" w:type="pct"/>
            <w:tcMar>
              <w:left w:w="28" w:type="dxa"/>
              <w:right w:w="28" w:type="dxa"/>
            </w:tcMar>
            <w:vAlign w:val="center"/>
          </w:tcPr>
          <w:p w14:paraId="77DB3AF8">
            <w:pPr>
              <w:pStyle w:val="90"/>
            </w:pPr>
            <w:r>
              <w:rPr>
                <w:rFonts w:hint="eastAsia"/>
              </w:rPr>
              <w:t>/</w:t>
            </w:r>
          </w:p>
        </w:tc>
        <w:tc>
          <w:tcPr>
            <w:tcW w:w="367" w:type="pct"/>
            <w:tcMar>
              <w:left w:w="28" w:type="dxa"/>
              <w:right w:w="28" w:type="dxa"/>
            </w:tcMar>
            <w:vAlign w:val="center"/>
          </w:tcPr>
          <w:p w14:paraId="146BC8FD">
            <w:pPr>
              <w:pStyle w:val="90"/>
            </w:pPr>
            <w:r>
              <w:rPr>
                <w:rFonts w:hint="eastAsia"/>
              </w:rPr>
              <w:t>/</w:t>
            </w:r>
          </w:p>
        </w:tc>
      </w:tr>
      <w:tr w14:paraId="1B5A5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continue"/>
            <w:tcMar>
              <w:left w:w="28" w:type="dxa"/>
              <w:right w:w="28" w:type="dxa"/>
            </w:tcMar>
            <w:vAlign w:val="center"/>
          </w:tcPr>
          <w:p w14:paraId="2FF71D9C">
            <w:pPr>
              <w:pStyle w:val="90"/>
              <w:rPr>
                <w:rFonts w:hint="eastAsia"/>
              </w:rPr>
            </w:pPr>
          </w:p>
        </w:tc>
        <w:tc>
          <w:tcPr>
            <w:tcW w:w="273" w:type="pct"/>
            <w:vMerge w:val="continue"/>
            <w:tcMar>
              <w:left w:w="28" w:type="dxa"/>
              <w:right w:w="28" w:type="dxa"/>
            </w:tcMar>
            <w:vAlign w:val="center"/>
          </w:tcPr>
          <w:p w14:paraId="2B4BA3B5">
            <w:pPr>
              <w:pStyle w:val="90"/>
              <w:rPr>
                <w:rFonts w:hint="eastAsia"/>
              </w:rPr>
            </w:pPr>
          </w:p>
        </w:tc>
        <w:tc>
          <w:tcPr>
            <w:tcW w:w="161" w:type="pct"/>
            <w:vMerge w:val="continue"/>
            <w:tcMar>
              <w:left w:w="28" w:type="dxa"/>
              <w:right w:w="28" w:type="dxa"/>
            </w:tcMar>
            <w:vAlign w:val="center"/>
          </w:tcPr>
          <w:p w14:paraId="1EB7F54B">
            <w:pPr>
              <w:pStyle w:val="90"/>
              <w:rPr>
                <w:rFonts w:hint="eastAsia"/>
              </w:rPr>
            </w:pPr>
          </w:p>
        </w:tc>
        <w:tc>
          <w:tcPr>
            <w:tcW w:w="455" w:type="pct"/>
            <w:vMerge w:val="restart"/>
            <w:tcMar>
              <w:left w:w="28" w:type="dxa"/>
              <w:right w:w="28" w:type="dxa"/>
            </w:tcMar>
            <w:vAlign w:val="center"/>
          </w:tcPr>
          <w:p w14:paraId="77BB913A">
            <w:pPr>
              <w:pStyle w:val="90"/>
              <w:rPr>
                <w:rFonts w:hint="eastAsia" w:eastAsia="宋体"/>
                <w:lang w:val="en-US" w:eastAsia="zh-CN"/>
              </w:rPr>
            </w:pPr>
            <w:r>
              <w:rPr>
                <w:rFonts w:hint="eastAsia"/>
                <w:lang w:val="en-US" w:eastAsia="zh-CN"/>
              </w:rPr>
              <w:t>有组织</w:t>
            </w:r>
          </w:p>
        </w:tc>
        <w:tc>
          <w:tcPr>
            <w:tcW w:w="270" w:type="pct"/>
            <w:vMerge w:val="continue"/>
            <w:tcMar>
              <w:left w:w="28" w:type="dxa"/>
              <w:right w:w="28" w:type="dxa"/>
            </w:tcMar>
            <w:vAlign w:val="center"/>
          </w:tcPr>
          <w:p w14:paraId="3C7A6309">
            <w:pPr>
              <w:pStyle w:val="90"/>
              <w:rPr>
                <w:rFonts w:hint="eastAsia"/>
              </w:rPr>
            </w:pPr>
          </w:p>
        </w:tc>
        <w:tc>
          <w:tcPr>
            <w:tcW w:w="425" w:type="pct"/>
            <w:tcMar>
              <w:left w:w="28" w:type="dxa"/>
              <w:right w:w="28" w:type="dxa"/>
            </w:tcMar>
            <w:vAlign w:val="center"/>
          </w:tcPr>
          <w:p w14:paraId="63BF3738">
            <w:pPr>
              <w:pStyle w:val="90"/>
              <w:rPr>
                <w:rFonts w:hint="default" w:eastAsia="宋体"/>
                <w:lang w:val="en-US" w:eastAsia="zh-CN"/>
              </w:rPr>
            </w:pPr>
            <w:r>
              <w:rPr>
                <w:rFonts w:hint="eastAsia"/>
                <w:lang w:val="en-US" w:eastAsia="zh-CN"/>
              </w:rPr>
              <w:t>207</w:t>
            </w:r>
          </w:p>
        </w:tc>
        <w:tc>
          <w:tcPr>
            <w:tcW w:w="455" w:type="pct"/>
            <w:tcMar>
              <w:left w:w="28" w:type="dxa"/>
              <w:right w:w="28" w:type="dxa"/>
            </w:tcMar>
            <w:vAlign w:val="center"/>
          </w:tcPr>
          <w:p w14:paraId="0137D05D">
            <w:pPr>
              <w:pStyle w:val="90"/>
              <w:rPr>
                <w:rFonts w:hint="default" w:eastAsia="宋体"/>
                <w:lang w:val="en-US" w:eastAsia="zh-CN"/>
              </w:rPr>
            </w:pPr>
            <w:r>
              <w:rPr>
                <w:rFonts w:hint="eastAsia"/>
                <w:lang w:val="en-US" w:eastAsia="zh-CN"/>
              </w:rPr>
              <w:t>14.28</w:t>
            </w:r>
          </w:p>
        </w:tc>
        <w:tc>
          <w:tcPr>
            <w:tcW w:w="513" w:type="pct"/>
            <w:vMerge w:val="restart"/>
            <w:tcMar>
              <w:left w:w="28" w:type="dxa"/>
              <w:right w:w="28" w:type="dxa"/>
            </w:tcMar>
            <w:vAlign w:val="center"/>
          </w:tcPr>
          <w:p w14:paraId="1467B8E2">
            <w:pPr>
              <w:pStyle w:val="90"/>
              <w:rPr>
                <w:rFonts w:hint="eastAsia"/>
              </w:rPr>
            </w:pPr>
            <w:r>
              <w:rPr>
                <w:rFonts w:hint="eastAsia"/>
                <w:color w:val="auto"/>
                <w:lang w:val="en-US" w:eastAsia="zh-CN"/>
              </w:rPr>
              <w:t>碱洗喷淋+活性炭吸附</w:t>
            </w:r>
          </w:p>
        </w:tc>
        <w:tc>
          <w:tcPr>
            <w:tcW w:w="537" w:type="pct"/>
            <w:shd w:val="clear" w:color="auto" w:fill="auto"/>
            <w:tcMar>
              <w:left w:w="28" w:type="dxa"/>
              <w:right w:w="28" w:type="dxa"/>
            </w:tcMar>
            <w:vAlign w:val="center"/>
          </w:tcPr>
          <w:p w14:paraId="6875FE71">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10.2</w:t>
            </w:r>
          </w:p>
        </w:tc>
        <w:tc>
          <w:tcPr>
            <w:tcW w:w="517" w:type="pct"/>
            <w:shd w:val="clear" w:color="auto" w:fill="auto"/>
            <w:tcMar>
              <w:left w:w="28" w:type="dxa"/>
              <w:right w:w="28" w:type="dxa"/>
            </w:tcMar>
            <w:vAlign w:val="center"/>
          </w:tcPr>
          <w:p w14:paraId="77F45035">
            <w:pPr>
              <w:pStyle w:val="90"/>
              <w:ind w:firstLine="0" w:firstLineChars="0"/>
              <w:rPr>
                <w:rFonts w:hint="default" w:ascii="Times New Roman" w:hAnsi="Times New Roman" w:eastAsia="宋体" w:cs="Times New Roman"/>
                <w:bCs/>
                <w:kern w:val="2"/>
                <w:sz w:val="21"/>
                <w:szCs w:val="20"/>
                <w:lang w:val="en-US" w:eastAsia="zh-CN" w:bidi="ar-SA"/>
              </w:rPr>
            </w:pPr>
            <w:r>
              <w:rPr>
                <w:rFonts w:hint="eastAsia"/>
                <w:lang w:val="en-US" w:eastAsia="zh-CN"/>
              </w:rPr>
              <w:t>0.714</w:t>
            </w:r>
          </w:p>
        </w:tc>
        <w:tc>
          <w:tcPr>
            <w:tcW w:w="340" w:type="pct"/>
            <w:vAlign w:val="center"/>
          </w:tcPr>
          <w:p w14:paraId="000F5586">
            <w:pPr>
              <w:pStyle w:val="90"/>
              <w:rPr>
                <w:rFonts w:hint="default" w:eastAsia="宋体"/>
                <w:lang w:val="en-US" w:eastAsia="zh-CN"/>
              </w:rPr>
            </w:pPr>
            <w:r>
              <w:rPr>
                <w:rFonts w:hint="eastAsia"/>
                <w:lang w:val="en-US" w:eastAsia="zh-CN"/>
              </w:rPr>
              <w:t>5.141</w:t>
            </w:r>
          </w:p>
        </w:tc>
        <w:tc>
          <w:tcPr>
            <w:tcW w:w="192" w:type="pct"/>
            <w:vMerge w:val="restart"/>
            <w:tcMar>
              <w:left w:w="28" w:type="dxa"/>
              <w:right w:w="28" w:type="dxa"/>
            </w:tcMar>
            <w:vAlign w:val="center"/>
          </w:tcPr>
          <w:p w14:paraId="54AE75FB">
            <w:pPr>
              <w:pStyle w:val="90"/>
              <w:rPr>
                <w:rFonts w:hint="default" w:eastAsia="宋体"/>
                <w:lang w:val="en-US" w:eastAsia="zh-CN"/>
              </w:rPr>
            </w:pPr>
            <w:r>
              <w:rPr>
                <w:rFonts w:hint="eastAsia"/>
                <w:lang w:val="en-US" w:eastAsia="zh-CN"/>
              </w:rPr>
              <w:t>1.0</w:t>
            </w:r>
          </w:p>
        </w:tc>
        <w:tc>
          <w:tcPr>
            <w:tcW w:w="343" w:type="pct"/>
            <w:vMerge w:val="restart"/>
            <w:tcMar>
              <w:left w:w="28" w:type="dxa"/>
              <w:right w:w="28" w:type="dxa"/>
            </w:tcMar>
            <w:vAlign w:val="center"/>
          </w:tcPr>
          <w:p w14:paraId="352E0E10">
            <w:pPr>
              <w:pStyle w:val="90"/>
              <w:rPr>
                <w:rFonts w:hint="default" w:eastAsia="宋体"/>
                <w:lang w:val="en-US" w:eastAsia="zh-CN"/>
              </w:rPr>
            </w:pPr>
            <w:r>
              <w:rPr>
                <w:rFonts w:hint="eastAsia"/>
                <w:lang w:val="en-US" w:eastAsia="zh-CN"/>
              </w:rPr>
              <w:t>15</w:t>
            </w:r>
          </w:p>
        </w:tc>
        <w:tc>
          <w:tcPr>
            <w:tcW w:w="367" w:type="pct"/>
            <w:vMerge w:val="restart"/>
            <w:tcMar>
              <w:left w:w="28" w:type="dxa"/>
              <w:right w:w="28" w:type="dxa"/>
            </w:tcMar>
            <w:vAlign w:val="center"/>
          </w:tcPr>
          <w:p w14:paraId="28157D0E">
            <w:pPr>
              <w:pStyle w:val="90"/>
              <w:rPr>
                <w:rFonts w:hint="default" w:eastAsia="宋体"/>
                <w:lang w:val="en-US" w:eastAsia="zh-CN"/>
              </w:rPr>
            </w:pPr>
            <w:r>
              <w:rPr>
                <w:rFonts w:hint="eastAsia"/>
                <w:lang w:val="en-US" w:eastAsia="zh-CN"/>
              </w:rPr>
              <w:t>25</w:t>
            </w:r>
          </w:p>
        </w:tc>
      </w:tr>
      <w:tr w14:paraId="32B7A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continue"/>
            <w:tcMar>
              <w:left w:w="28" w:type="dxa"/>
              <w:right w:w="28" w:type="dxa"/>
            </w:tcMar>
            <w:vAlign w:val="center"/>
          </w:tcPr>
          <w:p w14:paraId="5C6C65A0">
            <w:pPr>
              <w:pStyle w:val="90"/>
              <w:rPr>
                <w:rFonts w:hint="eastAsia"/>
              </w:rPr>
            </w:pPr>
          </w:p>
        </w:tc>
        <w:tc>
          <w:tcPr>
            <w:tcW w:w="273" w:type="pct"/>
            <w:vMerge w:val="continue"/>
            <w:tcMar>
              <w:left w:w="28" w:type="dxa"/>
              <w:right w:w="28" w:type="dxa"/>
            </w:tcMar>
            <w:vAlign w:val="center"/>
          </w:tcPr>
          <w:p w14:paraId="6821E67E">
            <w:pPr>
              <w:pStyle w:val="90"/>
              <w:rPr>
                <w:rFonts w:hint="eastAsia"/>
              </w:rPr>
            </w:pPr>
          </w:p>
        </w:tc>
        <w:tc>
          <w:tcPr>
            <w:tcW w:w="161" w:type="pct"/>
            <w:vMerge w:val="continue"/>
            <w:tcMar>
              <w:left w:w="28" w:type="dxa"/>
              <w:right w:w="28" w:type="dxa"/>
            </w:tcMar>
            <w:vAlign w:val="center"/>
          </w:tcPr>
          <w:p w14:paraId="37AE9AAA">
            <w:pPr>
              <w:pStyle w:val="90"/>
              <w:rPr>
                <w:rFonts w:hint="eastAsia"/>
              </w:rPr>
            </w:pPr>
          </w:p>
        </w:tc>
        <w:tc>
          <w:tcPr>
            <w:tcW w:w="455" w:type="pct"/>
            <w:vMerge w:val="continue"/>
            <w:tcMar>
              <w:left w:w="28" w:type="dxa"/>
              <w:right w:w="28" w:type="dxa"/>
            </w:tcMar>
            <w:vAlign w:val="center"/>
          </w:tcPr>
          <w:p w14:paraId="2A16DFDB">
            <w:pPr>
              <w:pStyle w:val="90"/>
              <w:rPr>
                <w:rFonts w:hint="eastAsia"/>
                <w:lang w:val="en-US" w:eastAsia="zh-CN"/>
              </w:rPr>
            </w:pPr>
          </w:p>
        </w:tc>
        <w:tc>
          <w:tcPr>
            <w:tcW w:w="270" w:type="pct"/>
            <w:tcMar>
              <w:left w:w="28" w:type="dxa"/>
              <w:right w:w="28" w:type="dxa"/>
            </w:tcMar>
            <w:vAlign w:val="center"/>
          </w:tcPr>
          <w:p w14:paraId="60AF3A95">
            <w:pPr>
              <w:pStyle w:val="90"/>
              <w:rPr>
                <w:rFonts w:hint="eastAsia" w:eastAsia="宋体"/>
                <w:lang w:val="en-US" w:eastAsia="zh-CN"/>
              </w:rPr>
            </w:pPr>
            <w:r>
              <w:rPr>
                <w:rFonts w:hint="eastAsia"/>
                <w:lang w:val="en-US" w:eastAsia="zh-CN"/>
              </w:rPr>
              <w:t>硫酸雾</w:t>
            </w:r>
          </w:p>
        </w:tc>
        <w:tc>
          <w:tcPr>
            <w:tcW w:w="425" w:type="pct"/>
            <w:tcMar>
              <w:left w:w="28" w:type="dxa"/>
              <w:right w:w="28" w:type="dxa"/>
            </w:tcMar>
            <w:vAlign w:val="center"/>
          </w:tcPr>
          <w:p w14:paraId="7EBCBF0E">
            <w:pPr>
              <w:pStyle w:val="90"/>
              <w:rPr>
                <w:rFonts w:hint="default" w:eastAsia="宋体"/>
                <w:lang w:val="en-US" w:eastAsia="zh-CN"/>
              </w:rPr>
            </w:pPr>
            <w:r>
              <w:rPr>
                <w:rFonts w:hint="eastAsia"/>
                <w:lang w:val="en-US" w:eastAsia="zh-CN"/>
              </w:rPr>
              <w:t>18.36</w:t>
            </w:r>
          </w:p>
        </w:tc>
        <w:tc>
          <w:tcPr>
            <w:tcW w:w="455" w:type="pct"/>
            <w:tcMar>
              <w:left w:w="28" w:type="dxa"/>
              <w:right w:w="28" w:type="dxa"/>
            </w:tcMar>
            <w:vAlign w:val="center"/>
          </w:tcPr>
          <w:p w14:paraId="785DC3BB">
            <w:pPr>
              <w:pStyle w:val="90"/>
              <w:rPr>
                <w:rFonts w:hint="default" w:eastAsia="宋体"/>
                <w:lang w:val="en-US" w:eastAsia="zh-CN"/>
              </w:rPr>
            </w:pPr>
            <w:r>
              <w:rPr>
                <w:rFonts w:hint="eastAsia"/>
                <w:lang w:val="en-US" w:eastAsia="zh-CN"/>
              </w:rPr>
              <w:t>1.285</w:t>
            </w:r>
          </w:p>
        </w:tc>
        <w:tc>
          <w:tcPr>
            <w:tcW w:w="513" w:type="pct"/>
            <w:vMerge w:val="continue"/>
            <w:tcMar>
              <w:left w:w="28" w:type="dxa"/>
              <w:right w:w="28" w:type="dxa"/>
            </w:tcMar>
            <w:vAlign w:val="center"/>
          </w:tcPr>
          <w:p w14:paraId="20587AF5">
            <w:pPr>
              <w:pStyle w:val="90"/>
              <w:rPr>
                <w:rFonts w:hint="eastAsia"/>
              </w:rPr>
            </w:pPr>
          </w:p>
        </w:tc>
        <w:tc>
          <w:tcPr>
            <w:tcW w:w="537" w:type="pct"/>
            <w:tcMar>
              <w:left w:w="28" w:type="dxa"/>
              <w:right w:w="28" w:type="dxa"/>
            </w:tcMar>
            <w:vAlign w:val="center"/>
          </w:tcPr>
          <w:p w14:paraId="38E13D6F">
            <w:pPr>
              <w:pStyle w:val="90"/>
              <w:rPr>
                <w:rFonts w:hint="default" w:eastAsia="宋体"/>
                <w:lang w:val="en-US" w:eastAsia="zh-CN"/>
              </w:rPr>
            </w:pPr>
            <w:r>
              <w:rPr>
                <w:rFonts w:hint="eastAsia"/>
                <w:lang w:val="en-US" w:eastAsia="zh-CN"/>
              </w:rPr>
              <w:t>0.18</w:t>
            </w:r>
          </w:p>
        </w:tc>
        <w:tc>
          <w:tcPr>
            <w:tcW w:w="517" w:type="pct"/>
            <w:tcMar>
              <w:left w:w="28" w:type="dxa"/>
              <w:right w:w="28" w:type="dxa"/>
            </w:tcMar>
            <w:vAlign w:val="center"/>
          </w:tcPr>
          <w:p w14:paraId="2B32ADE4">
            <w:pPr>
              <w:pStyle w:val="90"/>
              <w:rPr>
                <w:rFonts w:hint="default" w:eastAsia="宋体"/>
                <w:lang w:val="en-US" w:eastAsia="zh-CN"/>
              </w:rPr>
            </w:pPr>
            <w:r>
              <w:rPr>
                <w:rFonts w:hint="eastAsia"/>
                <w:lang w:val="en-US" w:eastAsia="zh-CN"/>
              </w:rPr>
              <w:t>0.013</w:t>
            </w:r>
          </w:p>
        </w:tc>
        <w:tc>
          <w:tcPr>
            <w:tcW w:w="340" w:type="pct"/>
            <w:vAlign w:val="center"/>
          </w:tcPr>
          <w:p w14:paraId="12AF3376">
            <w:pPr>
              <w:pStyle w:val="90"/>
              <w:rPr>
                <w:rFonts w:hint="default" w:eastAsia="宋体"/>
                <w:lang w:val="en-US" w:eastAsia="zh-CN"/>
              </w:rPr>
            </w:pPr>
            <w:r>
              <w:rPr>
                <w:rFonts w:hint="eastAsia"/>
                <w:lang w:val="en-US" w:eastAsia="zh-CN"/>
              </w:rPr>
              <w:t>0.093</w:t>
            </w:r>
          </w:p>
        </w:tc>
        <w:tc>
          <w:tcPr>
            <w:tcW w:w="192" w:type="pct"/>
            <w:vMerge w:val="continue"/>
            <w:tcMar>
              <w:left w:w="28" w:type="dxa"/>
              <w:right w:w="28" w:type="dxa"/>
            </w:tcMar>
            <w:vAlign w:val="center"/>
          </w:tcPr>
          <w:p w14:paraId="0A08EA7A">
            <w:pPr>
              <w:pStyle w:val="90"/>
              <w:rPr>
                <w:rFonts w:hint="eastAsia"/>
              </w:rPr>
            </w:pPr>
          </w:p>
        </w:tc>
        <w:tc>
          <w:tcPr>
            <w:tcW w:w="343" w:type="pct"/>
            <w:vMerge w:val="continue"/>
            <w:tcMar>
              <w:left w:w="28" w:type="dxa"/>
              <w:right w:w="28" w:type="dxa"/>
            </w:tcMar>
            <w:vAlign w:val="center"/>
          </w:tcPr>
          <w:p w14:paraId="681CE6A7">
            <w:pPr>
              <w:pStyle w:val="90"/>
              <w:rPr>
                <w:rFonts w:hint="eastAsia"/>
              </w:rPr>
            </w:pPr>
          </w:p>
        </w:tc>
        <w:tc>
          <w:tcPr>
            <w:tcW w:w="367" w:type="pct"/>
            <w:vMerge w:val="continue"/>
            <w:tcMar>
              <w:left w:w="28" w:type="dxa"/>
              <w:right w:w="28" w:type="dxa"/>
            </w:tcMar>
            <w:vAlign w:val="center"/>
          </w:tcPr>
          <w:p w14:paraId="51BB54BC">
            <w:pPr>
              <w:pStyle w:val="90"/>
              <w:rPr>
                <w:rFonts w:hint="eastAsia"/>
              </w:rPr>
            </w:pPr>
          </w:p>
        </w:tc>
      </w:tr>
      <w:tr w14:paraId="60F45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restart"/>
            <w:tcMar>
              <w:left w:w="28" w:type="dxa"/>
              <w:right w:w="28" w:type="dxa"/>
            </w:tcMar>
            <w:vAlign w:val="center"/>
          </w:tcPr>
          <w:p w14:paraId="06355262">
            <w:pPr>
              <w:pStyle w:val="90"/>
            </w:pPr>
            <w:r>
              <w:rPr>
                <w:rFonts w:hint="eastAsia"/>
              </w:rPr>
              <w:t>2</w:t>
            </w:r>
          </w:p>
        </w:tc>
        <w:tc>
          <w:tcPr>
            <w:tcW w:w="273" w:type="pct"/>
            <w:vMerge w:val="restart"/>
            <w:tcMar>
              <w:left w:w="28" w:type="dxa"/>
              <w:right w:w="28" w:type="dxa"/>
            </w:tcMar>
            <w:vAlign w:val="center"/>
          </w:tcPr>
          <w:p w14:paraId="5C746854">
            <w:pPr>
              <w:pStyle w:val="90"/>
            </w:pPr>
            <w:r>
              <w:rPr>
                <w:rFonts w:hint="eastAsia"/>
              </w:rPr>
              <w:t>罐区装卸</w:t>
            </w:r>
          </w:p>
        </w:tc>
        <w:tc>
          <w:tcPr>
            <w:tcW w:w="161" w:type="pct"/>
            <w:vMerge w:val="restart"/>
            <w:tcMar>
              <w:left w:w="28" w:type="dxa"/>
              <w:right w:w="28" w:type="dxa"/>
            </w:tcMar>
            <w:vAlign w:val="center"/>
          </w:tcPr>
          <w:p w14:paraId="183695E3">
            <w:pPr>
              <w:pStyle w:val="90"/>
            </w:pPr>
            <w:r>
              <w:rPr>
                <w:rFonts w:hint="eastAsia"/>
              </w:rPr>
              <w:t>连续</w:t>
            </w:r>
          </w:p>
        </w:tc>
        <w:tc>
          <w:tcPr>
            <w:tcW w:w="455" w:type="pct"/>
            <w:tcMar>
              <w:left w:w="28" w:type="dxa"/>
              <w:right w:w="28" w:type="dxa"/>
            </w:tcMar>
            <w:vAlign w:val="center"/>
          </w:tcPr>
          <w:p w14:paraId="4DEA6BE8">
            <w:pPr>
              <w:pStyle w:val="90"/>
            </w:pPr>
            <w:r>
              <w:rPr>
                <w:rFonts w:hint="eastAsia"/>
              </w:rPr>
              <w:t>无组织</w:t>
            </w:r>
          </w:p>
        </w:tc>
        <w:tc>
          <w:tcPr>
            <w:tcW w:w="270" w:type="pct"/>
            <w:tcMar>
              <w:left w:w="28" w:type="dxa"/>
              <w:right w:w="28" w:type="dxa"/>
            </w:tcMar>
            <w:vAlign w:val="center"/>
          </w:tcPr>
          <w:p w14:paraId="143A3D59">
            <w:pPr>
              <w:pStyle w:val="90"/>
            </w:pPr>
          </w:p>
        </w:tc>
        <w:tc>
          <w:tcPr>
            <w:tcW w:w="425" w:type="pct"/>
            <w:tcMar>
              <w:left w:w="28" w:type="dxa"/>
              <w:right w:w="28" w:type="dxa"/>
            </w:tcMar>
            <w:vAlign w:val="center"/>
          </w:tcPr>
          <w:p w14:paraId="6D734746">
            <w:pPr>
              <w:pStyle w:val="90"/>
            </w:pPr>
            <w:r>
              <w:rPr>
                <w:rFonts w:hint="eastAsia"/>
              </w:rPr>
              <w:t>无组织</w:t>
            </w:r>
          </w:p>
        </w:tc>
        <w:tc>
          <w:tcPr>
            <w:tcW w:w="455" w:type="pct"/>
            <w:tcMar>
              <w:left w:w="28" w:type="dxa"/>
              <w:right w:w="28" w:type="dxa"/>
            </w:tcMar>
            <w:vAlign w:val="center"/>
          </w:tcPr>
          <w:p w14:paraId="7F16CE16">
            <w:pPr>
              <w:pStyle w:val="90"/>
            </w:pPr>
            <w:r>
              <w:t>0.296</w:t>
            </w:r>
          </w:p>
        </w:tc>
        <w:tc>
          <w:tcPr>
            <w:tcW w:w="513" w:type="pct"/>
            <w:tcMar>
              <w:left w:w="28" w:type="dxa"/>
              <w:right w:w="28" w:type="dxa"/>
            </w:tcMar>
            <w:vAlign w:val="center"/>
          </w:tcPr>
          <w:p w14:paraId="6056276E">
            <w:pPr>
              <w:pStyle w:val="90"/>
            </w:pPr>
          </w:p>
        </w:tc>
        <w:tc>
          <w:tcPr>
            <w:tcW w:w="537" w:type="pct"/>
            <w:tcMar>
              <w:left w:w="28" w:type="dxa"/>
              <w:right w:w="28" w:type="dxa"/>
            </w:tcMar>
            <w:vAlign w:val="center"/>
          </w:tcPr>
          <w:p w14:paraId="4CDDD8E0">
            <w:pPr>
              <w:pStyle w:val="90"/>
            </w:pPr>
            <w:r>
              <w:rPr>
                <w:rFonts w:hint="eastAsia"/>
              </w:rPr>
              <w:t>/</w:t>
            </w:r>
          </w:p>
        </w:tc>
        <w:tc>
          <w:tcPr>
            <w:tcW w:w="517" w:type="pct"/>
            <w:tcMar>
              <w:left w:w="28" w:type="dxa"/>
              <w:right w:w="28" w:type="dxa"/>
            </w:tcMar>
            <w:vAlign w:val="center"/>
          </w:tcPr>
          <w:p w14:paraId="54F6FB88">
            <w:pPr>
              <w:pStyle w:val="90"/>
            </w:pPr>
            <w:r>
              <w:t>0.296</w:t>
            </w:r>
          </w:p>
        </w:tc>
        <w:tc>
          <w:tcPr>
            <w:tcW w:w="340" w:type="pct"/>
            <w:vAlign w:val="center"/>
          </w:tcPr>
          <w:p w14:paraId="120243CC">
            <w:pPr>
              <w:pStyle w:val="90"/>
            </w:pPr>
            <w:r>
              <w:t>2.13</w:t>
            </w:r>
          </w:p>
        </w:tc>
        <w:tc>
          <w:tcPr>
            <w:tcW w:w="192" w:type="pct"/>
            <w:tcMar>
              <w:left w:w="28" w:type="dxa"/>
              <w:right w:w="28" w:type="dxa"/>
            </w:tcMar>
            <w:vAlign w:val="center"/>
          </w:tcPr>
          <w:p w14:paraId="5EE22A86">
            <w:pPr>
              <w:pStyle w:val="90"/>
            </w:pPr>
          </w:p>
        </w:tc>
        <w:tc>
          <w:tcPr>
            <w:tcW w:w="343" w:type="pct"/>
            <w:tcMar>
              <w:left w:w="28" w:type="dxa"/>
              <w:right w:w="28" w:type="dxa"/>
            </w:tcMar>
            <w:vAlign w:val="center"/>
          </w:tcPr>
          <w:p w14:paraId="3C2B7FBD">
            <w:pPr>
              <w:pStyle w:val="90"/>
            </w:pPr>
          </w:p>
        </w:tc>
        <w:tc>
          <w:tcPr>
            <w:tcW w:w="367" w:type="pct"/>
            <w:tcMar>
              <w:left w:w="28" w:type="dxa"/>
              <w:right w:w="28" w:type="dxa"/>
            </w:tcMar>
            <w:vAlign w:val="center"/>
          </w:tcPr>
          <w:p w14:paraId="56014086">
            <w:pPr>
              <w:pStyle w:val="90"/>
            </w:pPr>
          </w:p>
        </w:tc>
      </w:tr>
      <w:tr w14:paraId="3333B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continue"/>
            <w:tcMar>
              <w:left w:w="28" w:type="dxa"/>
              <w:right w:w="28" w:type="dxa"/>
            </w:tcMar>
            <w:vAlign w:val="center"/>
          </w:tcPr>
          <w:p w14:paraId="57867193">
            <w:pPr>
              <w:pStyle w:val="90"/>
            </w:pPr>
          </w:p>
        </w:tc>
        <w:tc>
          <w:tcPr>
            <w:tcW w:w="273" w:type="pct"/>
            <w:vMerge w:val="continue"/>
            <w:tcMar>
              <w:left w:w="28" w:type="dxa"/>
              <w:right w:w="28" w:type="dxa"/>
            </w:tcMar>
            <w:vAlign w:val="center"/>
          </w:tcPr>
          <w:p w14:paraId="7005576E">
            <w:pPr>
              <w:pStyle w:val="90"/>
            </w:pPr>
          </w:p>
        </w:tc>
        <w:tc>
          <w:tcPr>
            <w:tcW w:w="161" w:type="pct"/>
            <w:vMerge w:val="continue"/>
            <w:tcMar>
              <w:left w:w="28" w:type="dxa"/>
              <w:right w:w="28" w:type="dxa"/>
            </w:tcMar>
            <w:vAlign w:val="center"/>
          </w:tcPr>
          <w:p w14:paraId="17FB0CB8">
            <w:pPr>
              <w:pStyle w:val="90"/>
            </w:pPr>
          </w:p>
        </w:tc>
        <w:tc>
          <w:tcPr>
            <w:tcW w:w="455" w:type="pct"/>
            <w:tcMar>
              <w:left w:w="28" w:type="dxa"/>
              <w:right w:w="28" w:type="dxa"/>
            </w:tcMar>
            <w:vAlign w:val="center"/>
          </w:tcPr>
          <w:p w14:paraId="204B7238">
            <w:pPr>
              <w:pStyle w:val="90"/>
            </w:pPr>
            <w:r>
              <w:rPr>
                <w:rFonts w:hint="eastAsia"/>
              </w:rPr>
              <w:t>有组织2</w:t>
            </w:r>
            <w:r>
              <w:t>0000</w:t>
            </w:r>
            <w:r>
              <w:rPr>
                <w:rFonts w:hint="eastAsia"/>
              </w:rPr>
              <w:t>Nm</w:t>
            </w:r>
            <w:r>
              <w:rPr>
                <w:vertAlign w:val="superscript"/>
              </w:rPr>
              <w:t>3</w:t>
            </w:r>
            <w:r>
              <w:t>/h</w:t>
            </w:r>
          </w:p>
        </w:tc>
        <w:tc>
          <w:tcPr>
            <w:tcW w:w="270" w:type="pct"/>
            <w:tcMar>
              <w:left w:w="28" w:type="dxa"/>
              <w:right w:w="28" w:type="dxa"/>
            </w:tcMar>
            <w:vAlign w:val="center"/>
          </w:tcPr>
          <w:p w14:paraId="26CD5483">
            <w:pPr>
              <w:pStyle w:val="90"/>
            </w:pPr>
            <w:r>
              <w:rPr>
                <w:rFonts w:hint="eastAsia"/>
              </w:rPr>
              <w:t>非甲烷总烃</w:t>
            </w:r>
          </w:p>
        </w:tc>
        <w:tc>
          <w:tcPr>
            <w:tcW w:w="425" w:type="pct"/>
            <w:tcMar>
              <w:left w:w="28" w:type="dxa"/>
              <w:right w:w="28" w:type="dxa"/>
            </w:tcMar>
            <w:vAlign w:val="center"/>
          </w:tcPr>
          <w:p w14:paraId="3161BE04">
            <w:pPr>
              <w:pStyle w:val="90"/>
            </w:pPr>
            <w:r>
              <w:t>295.7</w:t>
            </w:r>
          </w:p>
        </w:tc>
        <w:tc>
          <w:tcPr>
            <w:tcW w:w="455" w:type="pct"/>
            <w:tcMar>
              <w:left w:w="28" w:type="dxa"/>
              <w:right w:w="28" w:type="dxa"/>
            </w:tcMar>
            <w:vAlign w:val="center"/>
          </w:tcPr>
          <w:p w14:paraId="2462CC6F">
            <w:pPr>
              <w:pStyle w:val="90"/>
            </w:pPr>
            <w:r>
              <w:t>5.92</w:t>
            </w:r>
          </w:p>
        </w:tc>
        <w:tc>
          <w:tcPr>
            <w:tcW w:w="513" w:type="pct"/>
            <w:tcMar>
              <w:left w:w="28" w:type="dxa"/>
              <w:right w:w="28" w:type="dxa"/>
            </w:tcMar>
            <w:vAlign w:val="center"/>
          </w:tcPr>
          <w:p w14:paraId="69113B8D">
            <w:pPr>
              <w:pStyle w:val="90"/>
            </w:pPr>
            <w:r>
              <w:rPr>
                <w:rFonts w:hint="eastAsia"/>
              </w:rPr>
              <w:t>收集（9</w:t>
            </w:r>
            <w:r>
              <w:t>5%</w:t>
            </w:r>
            <w:r>
              <w:rPr>
                <w:rFonts w:hint="eastAsia"/>
              </w:rPr>
              <w:t>）+油气回收（9</w:t>
            </w:r>
            <w:r>
              <w:t>7%</w:t>
            </w:r>
            <w:r>
              <w:rPr>
                <w:rFonts w:hint="eastAsia"/>
              </w:rPr>
              <w:t>）</w:t>
            </w:r>
          </w:p>
        </w:tc>
        <w:tc>
          <w:tcPr>
            <w:tcW w:w="537" w:type="pct"/>
            <w:tcMar>
              <w:left w:w="28" w:type="dxa"/>
              <w:right w:w="28" w:type="dxa"/>
            </w:tcMar>
            <w:vAlign w:val="center"/>
          </w:tcPr>
          <w:p w14:paraId="46CAFFAB">
            <w:pPr>
              <w:pStyle w:val="90"/>
            </w:pPr>
            <w:r>
              <w:t>8.43</w:t>
            </w:r>
          </w:p>
        </w:tc>
        <w:tc>
          <w:tcPr>
            <w:tcW w:w="517" w:type="pct"/>
            <w:tcMar>
              <w:left w:w="28" w:type="dxa"/>
              <w:right w:w="28" w:type="dxa"/>
            </w:tcMar>
            <w:vAlign w:val="center"/>
          </w:tcPr>
          <w:p w14:paraId="120064EF">
            <w:pPr>
              <w:pStyle w:val="90"/>
            </w:pPr>
            <w:r>
              <w:rPr>
                <w:rFonts w:hint="eastAsia"/>
              </w:rPr>
              <w:t>0</w:t>
            </w:r>
            <w:r>
              <w:t>.169</w:t>
            </w:r>
          </w:p>
        </w:tc>
        <w:tc>
          <w:tcPr>
            <w:tcW w:w="340" w:type="pct"/>
            <w:vAlign w:val="center"/>
          </w:tcPr>
          <w:p w14:paraId="6BD925FC">
            <w:pPr>
              <w:pStyle w:val="90"/>
            </w:pPr>
            <w:r>
              <w:rPr>
                <w:rFonts w:hint="eastAsia"/>
              </w:rPr>
              <w:t>1</w:t>
            </w:r>
            <w:r>
              <w:t>.22</w:t>
            </w:r>
          </w:p>
        </w:tc>
        <w:tc>
          <w:tcPr>
            <w:tcW w:w="192" w:type="pct"/>
            <w:tcMar>
              <w:left w:w="28" w:type="dxa"/>
              <w:right w:w="28" w:type="dxa"/>
            </w:tcMar>
            <w:vAlign w:val="center"/>
          </w:tcPr>
          <w:p w14:paraId="1DBBE030">
            <w:pPr>
              <w:pStyle w:val="90"/>
            </w:pPr>
            <w:r>
              <w:t>0.5</w:t>
            </w:r>
          </w:p>
        </w:tc>
        <w:tc>
          <w:tcPr>
            <w:tcW w:w="343" w:type="pct"/>
            <w:tcMar>
              <w:left w:w="28" w:type="dxa"/>
              <w:right w:w="28" w:type="dxa"/>
            </w:tcMar>
            <w:vAlign w:val="center"/>
          </w:tcPr>
          <w:p w14:paraId="40387A15">
            <w:pPr>
              <w:pStyle w:val="90"/>
            </w:pPr>
            <w:r>
              <w:t>15</w:t>
            </w:r>
          </w:p>
        </w:tc>
        <w:tc>
          <w:tcPr>
            <w:tcW w:w="367" w:type="pct"/>
            <w:tcMar>
              <w:left w:w="28" w:type="dxa"/>
              <w:right w:w="28" w:type="dxa"/>
            </w:tcMar>
            <w:vAlign w:val="center"/>
          </w:tcPr>
          <w:p w14:paraId="06E0F835">
            <w:pPr>
              <w:pStyle w:val="90"/>
            </w:pPr>
            <w:r>
              <w:t>25</w:t>
            </w:r>
          </w:p>
        </w:tc>
      </w:tr>
      <w:tr w14:paraId="77945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tcMar>
              <w:left w:w="28" w:type="dxa"/>
              <w:right w:w="28" w:type="dxa"/>
            </w:tcMar>
            <w:vAlign w:val="center"/>
          </w:tcPr>
          <w:p w14:paraId="009BEA69">
            <w:pPr>
              <w:pStyle w:val="90"/>
            </w:pPr>
            <w:r>
              <w:rPr>
                <w:rFonts w:hint="eastAsia"/>
              </w:rPr>
              <w:t>3</w:t>
            </w:r>
          </w:p>
        </w:tc>
        <w:tc>
          <w:tcPr>
            <w:tcW w:w="273" w:type="pct"/>
            <w:tcMar>
              <w:left w:w="28" w:type="dxa"/>
              <w:right w:w="28" w:type="dxa"/>
            </w:tcMar>
            <w:vAlign w:val="center"/>
          </w:tcPr>
          <w:p w14:paraId="6ACACAF7">
            <w:pPr>
              <w:pStyle w:val="90"/>
            </w:pPr>
            <w:r>
              <w:rPr>
                <w:rFonts w:hint="eastAsia"/>
              </w:rPr>
              <w:t>废水集输</w:t>
            </w:r>
          </w:p>
        </w:tc>
        <w:tc>
          <w:tcPr>
            <w:tcW w:w="161" w:type="pct"/>
            <w:tcMar>
              <w:left w:w="28" w:type="dxa"/>
              <w:right w:w="28" w:type="dxa"/>
            </w:tcMar>
            <w:vAlign w:val="center"/>
          </w:tcPr>
          <w:p w14:paraId="6D6548FA">
            <w:pPr>
              <w:pStyle w:val="90"/>
            </w:pPr>
            <w:r>
              <w:rPr>
                <w:rFonts w:hint="eastAsia"/>
              </w:rPr>
              <w:t>连续</w:t>
            </w:r>
          </w:p>
        </w:tc>
        <w:tc>
          <w:tcPr>
            <w:tcW w:w="455" w:type="pct"/>
            <w:tcMar>
              <w:left w:w="28" w:type="dxa"/>
              <w:right w:w="28" w:type="dxa"/>
            </w:tcMar>
            <w:vAlign w:val="center"/>
          </w:tcPr>
          <w:p w14:paraId="5F3549FB">
            <w:pPr>
              <w:pStyle w:val="90"/>
            </w:pPr>
            <w:r>
              <w:rPr>
                <w:rFonts w:hint="eastAsia"/>
              </w:rPr>
              <w:t>无组织</w:t>
            </w:r>
          </w:p>
        </w:tc>
        <w:tc>
          <w:tcPr>
            <w:tcW w:w="270" w:type="pct"/>
            <w:tcMar>
              <w:left w:w="28" w:type="dxa"/>
              <w:right w:w="28" w:type="dxa"/>
            </w:tcMar>
            <w:vAlign w:val="center"/>
          </w:tcPr>
          <w:p w14:paraId="0397D4D7">
            <w:pPr>
              <w:pStyle w:val="90"/>
            </w:pPr>
            <w:r>
              <w:rPr>
                <w:rFonts w:hint="eastAsia"/>
              </w:rPr>
              <w:t>非甲烷总烃</w:t>
            </w:r>
          </w:p>
        </w:tc>
        <w:tc>
          <w:tcPr>
            <w:tcW w:w="425" w:type="pct"/>
            <w:tcMar>
              <w:left w:w="28" w:type="dxa"/>
              <w:right w:w="28" w:type="dxa"/>
            </w:tcMar>
            <w:vAlign w:val="center"/>
          </w:tcPr>
          <w:p w14:paraId="3107089C">
            <w:pPr>
              <w:pStyle w:val="90"/>
            </w:pPr>
            <w:r>
              <w:rPr>
                <w:rFonts w:hint="eastAsia"/>
              </w:rPr>
              <w:t>无组织</w:t>
            </w:r>
          </w:p>
        </w:tc>
        <w:tc>
          <w:tcPr>
            <w:tcW w:w="455" w:type="pct"/>
            <w:tcMar>
              <w:left w:w="28" w:type="dxa"/>
              <w:right w:w="28" w:type="dxa"/>
            </w:tcMar>
            <w:vAlign w:val="center"/>
          </w:tcPr>
          <w:p w14:paraId="6FADD529">
            <w:pPr>
              <w:pStyle w:val="90"/>
            </w:pPr>
            <w:r>
              <w:rPr>
                <w:rFonts w:hint="eastAsia"/>
              </w:rPr>
              <w:t>0</w:t>
            </w:r>
            <w:r>
              <w:t>.005</w:t>
            </w:r>
          </w:p>
        </w:tc>
        <w:tc>
          <w:tcPr>
            <w:tcW w:w="513" w:type="pct"/>
            <w:tcMar>
              <w:left w:w="28" w:type="dxa"/>
              <w:right w:w="28" w:type="dxa"/>
            </w:tcMar>
            <w:vAlign w:val="center"/>
          </w:tcPr>
          <w:p w14:paraId="5423402F">
            <w:pPr>
              <w:pStyle w:val="90"/>
            </w:pPr>
            <w:r>
              <w:rPr>
                <w:rFonts w:hint="eastAsia"/>
              </w:rPr>
              <w:t>隔油池加盖密闭等</w:t>
            </w:r>
          </w:p>
        </w:tc>
        <w:tc>
          <w:tcPr>
            <w:tcW w:w="537" w:type="pct"/>
            <w:tcMar>
              <w:left w:w="28" w:type="dxa"/>
              <w:right w:w="28" w:type="dxa"/>
            </w:tcMar>
            <w:vAlign w:val="center"/>
          </w:tcPr>
          <w:p w14:paraId="32000935">
            <w:pPr>
              <w:pStyle w:val="90"/>
            </w:pPr>
            <w:r>
              <w:rPr>
                <w:rFonts w:hint="eastAsia"/>
              </w:rPr>
              <w:t>/</w:t>
            </w:r>
          </w:p>
        </w:tc>
        <w:tc>
          <w:tcPr>
            <w:tcW w:w="517" w:type="pct"/>
            <w:tcMar>
              <w:left w:w="28" w:type="dxa"/>
              <w:right w:w="28" w:type="dxa"/>
            </w:tcMar>
            <w:vAlign w:val="center"/>
          </w:tcPr>
          <w:p w14:paraId="2B7B3607">
            <w:pPr>
              <w:pStyle w:val="90"/>
            </w:pPr>
            <w:r>
              <w:rPr>
                <w:rFonts w:hint="eastAsia"/>
              </w:rPr>
              <w:t>0</w:t>
            </w:r>
            <w:r>
              <w:t>.005</w:t>
            </w:r>
          </w:p>
        </w:tc>
        <w:tc>
          <w:tcPr>
            <w:tcW w:w="340" w:type="pct"/>
            <w:vAlign w:val="center"/>
          </w:tcPr>
          <w:p w14:paraId="396FB8D2">
            <w:pPr>
              <w:pStyle w:val="90"/>
            </w:pPr>
            <w:r>
              <w:t>0.0035</w:t>
            </w:r>
          </w:p>
        </w:tc>
        <w:tc>
          <w:tcPr>
            <w:tcW w:w="192" w:type="pct"/>
            <w:tcMar>
              <w:left w:w="28" w:type="dxa"/>
              <w:right w:w="28" w:type="dxa"/>
            </w:tcMar>
            <w:vAlign w:val="center"/>
          </w:tcPr>
          <w:p w14:paraId="5AB8650F">
            <w:pPr>
              <w:pStyle w:val="90"/>
            </w:pPr>
            <w:r>
              <w:rPr>
                <w:rFonts w:hint="eastAsia"/>
              </w:rPr>
              <w:t>/</w:t>
            </w:r>
          </w:p>
        </w:tc>
        <w:tc>
          <w:tcPr>
            <w:tcW w:w="343" w:type="pct"/>
            <w:tcMar>
              <w:left w:w="28" w:type="dxa"/>
              <w:right w:w="28" w:type="dxa"/>
            </w:tcMar>
            <w:vAlign w:val="center"/>
          </w:tcPr>
          <w:p w14:paraId="4758EC76">
            <w:pPr>
              <w:pStyle w:val="90"/>
            </w:pPr>
            <w:r>
              <w:rPr>
                <w:rFonts w:hint="eastAsia"/>
              </w:rPr>
              <w:t>/</w:t>
            </w:r>
          </w:p>
        </w:tc>
        <w:tc>
          <w:tcPr>
            <w:tcW w:w="367" w:type="pct"/>
            <w:tcMar>
              <w:left w:w="28" w:type="dxa"/>
              <w:right w:w="28" w:type="dxa"/>
            </w:tcMar>
            <w:vAlign w:val="center"/>
          </w:tcPr>
          <w:p w14:paraId="559B749E">
            <w:pPr>
              <w:pStyle w:val="90"/>
            </w:pPr>
            <w:r>
              <w:rPr>
                <w:rFonts w:hint="eastAsia"/>
              </w:rPr>
              <w:t>/</w:t>
            </w:r>
          </w:p>
        </w:tc>
      </w:tr>
      <w:tr w14:paraId="0AD8A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tcMar>
              <w:left w:w="28" w:type="dxa"/>
              <w:right w:w="28" w:type="dxa"/>
            </w:tcMar>
            <w:vAlign w:val="center"/>
          </w:tcPr>
          <w:p w14:paraId="6A345EE0">
            <w:pPr>
              <w:pStyle w:val="90"/>
            </w:pPr>
            <w:r>
              <w:rPr>
                <w:rFonts w:hint="eastAsia"/>
              </w:rPr>
              <w:t>4</w:t>
            </w:r>
          </w:p>
        </w:tc>
        <w:tc>
          <w:tcPr>
            <w:tcW w:w="273" w:type="pct"/>
            <w:tcMar>
              <w:left w:w="28" w:type="dxa"/>
              <w:right w:w="28" w:type="dxa"/>
            </w:tcMar>
            <w:vAlign w:val="center"/>
          </w:tcPr>
          <w:p w14:paraId="40899203">
            <w:pPr>
              <w:pStyle w:val="90"/>
            </w:pPr>
            <w:r>
              <w:rPr>
                <w:rFonts w:hint="eastAsia"/>
              </w:rPr>
              <w:t>循环水系统</w:t>
            </w:r>
          </w:p>
        </w:tc>
        <w:tc>
          <w:tcPr>
            <w:tcW w:w="161" w:type="pct"/>
            <w:tcMar>
              <w:left w:w="28" w:type="dxa"/>
              <w:right w:w="28" w:type="dxa"/>
            </w:tcMar>
            <w:vAlign w:val="center"/>
          </w:tcPr>
          <w:p w14:paraId="448C328E">
            <w:pPr>
              <w:pStyle w:val="90"/>
            </w:pPr>
            <w:r>
              <w:rPr>
                <w:rFonts w:hint="eastAsia"/>
              </w:rPr>
              <w:t>连续</w:t>
            </w:r>
          </w:p>
        </w:tc>
        <w:tc>
          <w:tcPr>
            <w:tcW w:w="455" w:type="pct"/>
            <w:tcMar>
              <w:left w:w="28" w:type="dxa"/>
              <w:right w:w="28" w:type="dxa"/>
            </w:tcMar>
            <w:vAlign w:val="center"/>
          </w:tcPr>
          <w:p w14:paraId="2786CD85">
            <w:pPr>
              <w:pStyle w:val="90"/>
            </w:pPr>
            <w:r>
              <w:rPr>
                <w:rFonts w:hint="eastAsia"/>
              </w:rPr>
              <w:t>无组织</w:t>
            </w:r>
          </w:p>
        </w:tc>
        <w:tc>
          <w:tcPr>
            <w:tcW w:w="270" w:type="pct"/>
            <w:tcMar>
              <w:left w:w="28" w:type="dxa"/>
              <w:right w:w="28" w:type="dxa"/>
            </w:tcMar>
            <w:vAlign w:val="center"/>
          </w:tcPr>
          <w:p w14:paraId="323BDFBE">
            <w:pPr>
              <w:pStyle w:val="90"/>
            </w:pPr>
            <w:r>
              <w:rPr>
                <w:rFonts w:hint="eastAsia"/>
              </w:rPr>
              <w:t>非甲烷总烃</w:t>
            </w:r>
          </w:p>
        </w:tc>
        <w:tc>
          <w:tcPr>
            <w:tcW w:w="425" w:type="pct"/>
            <w:tcMar>
              <w:left w:w="28" w:type="dxa"/>
              <w:right w:w="28" w:type="dxa"/>
            </w:tcMar>
            <w:vAlign w:val="center"/>
          </w:tcPr>
          <w:p w14:paraId="79915FFF">
            <w:pPr>
              <w:pStyle w:val="90"/>
            </w:pPr>
            <w:r>
              <w:rPr>
                <w:rFonts w:hint="eastAsia"/>
              </w:rPr>
              <w:t>无组织</w:t>
            </w:r>
          </w:p>
        </w:tc>
        <w:tc>
          <w:tcPr>
            <w:tcW w:w="455" w:type="pct"/>
            <w:tcMar>
              <w:left w:w="28" w:type="dxa"/>
              <w:right w:w="28" w:type="dxa"/>
            </w:tcMar>
            <w:vAlign w:val="center"/>
          </w:tcPr>
          <w:p w14:paraId="23F59651">
            <w:pPr>
              <w:pStyle w:val="90"/>
            </w:pPr>
            <w:r>
              <w:rPr>
                <w:rFonts w:hint="eastAsia"/>
              </w:rPr>
              <w:t>0</w:t>
            </w:r>
            <w:r>
              <w:t>.00003</w:t>
            </w:r>
          </w:p>
        </w:tc>
        <w:tc>
          <w:tcPr>
            <w:tcW w:w="513" w:type="pct"/>
            <w:tcMar>
              <w:left w:w="28" w:type="dxa"/>
              <w:right w:w="28" w:type="dxa"/>
            </w:tcMar>
            <w:vAlign w:val="center"/>
          </w:tcPr>
          <w:p w14:paraId="10584111">
            <w:pPr>
              <w:pStyle w:val="90"/>
            </w:pPr>
            <w:r>
              <w:rPr>
                <w:rFonts w:hint="eastAsia"/>
              </w:rPr>
              <w:t>/</w:t>
            </w:r>
          </w:p>
        </w:tc>
        <w:tc>
          <w:tcPr>
            <w:tcW w:w="537" w:type="pct"/>
            <w:tcMar>
              <w:left w:w="28" w:type="dxa"/>
              <w:right w:w="28" w:type="dxa"/>
            </w:tcMar>
            <w:vAlign w:val="center"/>
          </w:tcPr>
          <w:p w14:paraId="108FF27A">
            <w:pPr>
              <w:pStyle w:val="90"/>
            </w:pPr>
            <w:r>
              <w:rPr>
                <w:rFonts w:hint="eastAsia"/>
              </w:rPr>
              <w:t>/</w:t>
            </w:r>
          </w:p>
        </w:tc>
        <w:tc>
          <w:tcPr>
            <w:tcW w:w="517" w:type="pct"/>
            <w:tcMar>
              <w:left w:w="28" w:type="dxa"/>
              <w:right w:w="28" w:type="dxa"/>
            </w:tcMar>
            <w:vAlign w:val="center"/>
          </w:tcPr>
          <w:p w14:paraId="47DE3911">
            <w:pPr>
              <w:pStyle w:val="90"/>
            </w:pPr>
            <w:r>
              <w:rPr>
                <w:rFonts w:hint="eastAsia"/>
              </w:rPr>
              <w:t>0</w:t>
            </w:r>
            <w:r>
              <w:t>.00003</w:t>
            </w:r>
          </w:p>
        </w:tc>
        <w:tc>
          <w:tcPr>
            <w:tcW w:w="340" w:type="pct"/>
            <w:vAlign w:val="center"/>
          </w:tcPr>
          <w:p w14:paraId="100A1F32">
            <w:pPr>
              <w:pStyle w:val="90"/>
            </w:pPr>
            <w:r>
              <w:rPr>
                <w:rFonts w:hint="eastAsia"/>
              </w:rPr>
              <w:t>0</w:t>
            </w:r>
            <w:r>
              <w:t>.002</w:t>
            </w:r>
          </w:p>
        </w:tc>
        <w:tc>
          <w:tcPr>
            <w:tcW w:w="192" w:type="pct"/>
            <w:tcMar>
              <w:left w:w="28" w:type="dxa"/>
              <w:right w:w="28" w:type="dxa"/>
            </w:tcMar>
            <w:vAlign w:val="center"/>
          </w:tcPr>
          <w:p w14:paraId="06460D65">
            <w:pPr>
              <w:pStyle w:val="90"/>
            </w:pPr>
            <w:r>
              <w:rPr>
                <w:rFonts w:hint="eastAsia"/>
              </w:rPr>
              <w:t>/</w:t>
            </w:r>
          </w:p>
        </w:tc>
        <w:tc>
          <w:tcPr>
            <w:tcW w:w="343" w:type="pct"/>
            <w:tcMar>
              <w:left w:w="28" w:type="dxa"/>
              <w:right w:w="28" w:type="dxa"/>
            </w:tcMar>
            <w:vAlign w:val="center"/>
          </w:tcPr>
          <w:p w14:paraId="32CF7A7D">
            <w:pPr>
              <w:pStyle w:val="90"/>
            </w:pPr>
            <w:r>
              <w:rPr>
                <w:rFonts w:hint="eastAsia"/>
              </w:rPr>
              <w:t>/</w:t>
            </w:r>
          </w:p>
        </w:tc>
        <w:tc>
          <w:tcPr>
            <w:tcW w:w="367" w:type="pct"/>
            <w:tcMar>
              <w:left w:w="28" w:type="dxa"/>
              <w:right w:w="28" w:type="dxa"/>
            </w:tcMar>
            <w:vAlign w:val="center"/>
          </w:tcPr>
          <w:p w14:paraId="58045ED0">
            <w:pPr>
              <w:pStyle w:val="90"/>
            </w:pPr>
            <w:r>
              <w:rPr>
                <w:rFonts w:hint="eastAsia"/>
              </w:rPr>
              <w:t>/</w:t>
            </w:r>
          </w:p>
        </w:tc>
      </w:tr>
      <w:tr w14:paraId="1D1B7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restart"/>
            <w:tcMar>
              <w:left w:w="28" w:type="dxa"/>
              <w:right w:w="28" w:type="dxa"/>
            </w:tcMar>
            <w:vAlign w:val="center"/>
          </w:tcPr>
          <w:p w14:paraId="3EA897CD">
            <w:pPr>
              <w:pStyle w:val="90"/>
            </w:pPr>
            <w:r>
              <w:rPr>
                <w:rFonts w:hint="eastAsia"/>
              </w:rPr>
              <w:t>5</w:t>
            </w:r>
          </w:p>
        </w:tc>
        <w:tc>
          <w:tcPr>
            <w:tcW w:w="273" w:type="pct"/>
            <w:vMerge w:val="restart"/>
            <w:tcMar>
              <w:left w:w="28" w:type="dxa"/>
              <w:right w:w="28" w:type="dxa"/>
            </w:tcMar>
            <w:vAlign w:val="center"/>
          </w:tcPr>
          <w:p w14:paraId="77C6B481">
            <w:pPr>
              <w:pStyle w:val="90"/>
            </w:pPr>
            <w:r>
              <w:rPr>
                <w:rFonts w:hint="eastAsia"/>
              </w:rPr>
              <w:t>污水处理站</w:t>
            </w:r>
          </w:p>
        </w:tc>
        <w:tc>
          <w:tcPr>
            <w:tcW w:w="161" w:type="pct"/>
            <w:vMerge w:val="restart"/>
            <w:tcMar>
              <w:left w:w="28" w:type="dxa"/>
              <w:right w:w="28" w:type="dxa"/>
            </w:tcMar>
            <w:vAlign w:val="center"/>
          </w:tcPr>
          <w:p w14:paraId="609B74DC">
            <w:pPr>
              <w:pStyle w:val="90"/>
            </w:pPr>
            <w:r>
              <w:rPr>
                <w:rFonts w:hint="eastAsia"/>
              </w:rPr>
              <w:t>连续</w:t>
            </w:r>
          </w:p>
        </w:tc>
        <w:tc>
          <w:tcPr>
            <w:tcW w:w="455" w:type="pct"/>
            <w:vMerge w:val="restart"/>
            <w:tcMar>
              <w:left w:w="28" w:type="dxa"/>
              <w:right w:w="28" w:type="dxa"/>
            </w:tcMar>
            <w:vAlign w:val="center"/>
          </w:tcPr>
          <w:p w14:paraId="5BB03C0F">
            <w:pPr>
              <w:pStyle w:val="90"/>
            </w:pPr>
            <w:r>
              <w:rPr>
                <w:rFonts w:hint="eastAsia"/>
              </w:rPr>
              <w:t>无组织</w:t>
            </w:r>
          </w:p>
        </w:tc>
        <w:tc>
          <w:tcPr>
            <w:tcW w:w="270" w:type="pct"/>
            <w:tcMar>
              <w:left w:w="28" w:type="dxa"/>
              <w:right w:w="28" w:type="dxa"/>
            </w:tcMar>
            <w:vAlign w:val="center"/>
          </w:tcPr>
          <w:p w14:paraId="28C52E22">
            <w:pPr>
              <w:pStyle w:val="90"/>
            </w:pPr>
            <w:r>
              <w:rPr>
                <w:rFonts w:hint="eastAsia"/>
              </w:rPr>
              <w:t>氨</w:t>
            </w:r>
          </w:p>
        </w:tc>
        <w:tc>
          <w:tcPr>
            <w:tcW w:w="425" w:type="pct"/>
            <w:vMerge w:val="restart"/>
            <w:tcMar>
              <w:left w:w="28" w:type="dxa"/>
              <w:right w:w="28" w:type="dxa"/>
            </w:tcMar>
            <w:vAlign w:val="center"/>
          </w:tcPr>
          <w:p w14:paraId="68321866">
            <w:pPr>
              <w:pStyle w:val="90"/>
            </w:pPr>
            <w:r>
              <w:rPr>
                <w:rFonts w:hint="eastAsia"/>
              </w:rPr>
              <w:t>无组织</w:t>
            </w:r>
          </w:p>
        </w:tc>
        <w:tc>
          <w:tcPr>
            <w:tcW w:w="455" w:type="pct"/>
            <w:tcMar>
              <w:left w:w="28" w:type="dxa"/>
              <w:right w:w="28" w:type="dxa"/>
            </w:tcMar>
            <w:vAlign w:val="center"/>
          </w:tcPr>
          <w:p w14:paraId="56C4F3A6">
            <w:pPr>
              <w:pStyle w:val="90"/>
            </w:pPr>
            <w:r>
              <w:rPr>
                <w:rFonts w:hint="eastAsia"/>
              </w:rPr>
              <w:t>0</w:t>
            </w:r>
            <w:r>
              <w:t>.081</w:t>
            </w:r>
          </w:p>
        </w:tc>
        <w:tc>
          <w:tcPr>
            <w:tcW w:w="513" w:type="pct"/>
            <w:vMerge w:val="restart"/>
            <w:tcMar>
              <w:left w:w="28" w:type="dxa"/>
              <w:right w:w="28" w:type="dxa"/>
            </w:tcMar>
            <w:vAlign w:val="center"/>
          </w:tcPr>
          <w:p w14:paraId="34CD7873">
            <w:pPr>
              <w:pStyle w:val="90"/>
            </w:pPr>
            <w:r>
              <w:rPr>
                <w:rFonts w:hint="eastAsia"/>
              </w:rPr>
              <w:t>污水站密闭+喷洒除臭剂</w:t>
            </w:r>
          </w:p>
        </w:tc>
        <w:tc>
          <w:tcPr>
            <w:tcW w:w="537" w:type="pct"/>
            <w:tcMar>
              <w:left w:w="28" w:type="dxa"/>
              <w:right w:w="28" w:type="dxa"/>
            </w:tcMar>
            <w:vAlign w:val="center"/>
          </w:tcPr>
          <w:p w14:paraId="1FE2B9F6">
            <w:pPr>
              <w:pStyle w:val="90"/>
            </w:pPr>
            <w:r>
              <w:rPr>
                <w:rFonts w:hint="eastAsia"/>
              </w:rPr>
              <w:t>/</w:t>
            </w:r>
          </w:p>
        </w:tc>
        <w:tc>
          <w:tcPr>
            <w:tcW w:w="517" w:type="pct"/>
            <w:tcMar>
              <w:left w:w="28" w:type="dxa"/>
              <w:right w:w="28" w:type="dxa"/>
            </w:tcMar>
            <w:vAlign w:val="center"/>
          </w:tcPr>
          <w:p w14:paraId="70FE62F1">
            <w:pPr>
              <w:pStyle w:val="90"/>
            </w:pPr>
            <w:r>
              <w:rPr>
                <w:rFonts w:hint="eastAsia"/>
              </w:rPr>
              <w:t>0</w:t>
            </w:r>
            <w:r>
              <w:t>.081</w:t>
            </w:r>
          </w:p>
        </w:tc>
        <w:tc>
          <w:tcPr>
            <w:tcW w:w="340" w:type="pct"/>
            <w:vAlign w:val="center"/>
          </w:tcPr>
          <w:p w14:paraId="258CDB5B">
            <w:pPr>
              <w:pStyle w:val="90"/>
            </w:pPr>
            <w:r>
              <w:rPr>
                <w:rFonts w:hint="eastAsia"/>
              </w:rPr>
              <w:t>0</w:t>
            </w:r>
            <w:r>
              <w:t>.6</w:t>
            </w:r>
          </w:p>
        </w:tc>
        <w:tc>
          <w:tcPr>
            <w:tcW w:w="192" w:type="pct"/>
            <w:tcMar>
              <w:left w:w="28" w:type="dxa"/>
              <w:right w:w="28" w:type="dxa"/>
            </w:tcMar>
            <w:vAlign w:val="center"/>
          </w:tcPr>
          <w:p w14:paraId="268B2F07">
            <w:pPr>
              <w:pStyle w:val="90"/>
            </w:pPr>
            <w:r>
              <w:rPr>
                <w:rFonts w:hint="eastAsia"/>
              </w:rPr>
              <w:t>/</w:t>
            </w:r>
          </w:p>
        </w:tc>
        <w:tc>
          <w:tcPr>
            <w:tcW w:w="343" w:type="pct"/>
            <w:tcMar>
              <w:left w:w="28" w:type="dxa"/>
              <w:right w:w="28" w:type="dxa"/>
            </w:tcMar>
            <w:vAlign w:val="center"/>
          </w:tcPr>
          <w:p w14:paraId="697453A6">
            <w:pPr>
              <w:pStyle w:val="90"/>
            </w:pPr>
            <w:r>
              <w:rPr>
                <w:rFonts w:hint="eastAsia"/>
              </w:rPr>
              <w:t>/</w:t>
            </w:r>
          </w:p>
        </w:tc>
        <w:tc>
          <w:tcPr>
            <w:tcW w:w="367" w:type="pct"/>
            <w:tcMar>
              <w:left w:w="28" w:type="dxa"/>
              <w:right w:w="28" w:type="dxa"/>
            </w:tcMar>
            <w:vAlign w:val="center"/>
          </w:tcPr>
          <w:p w14:paraId="11BF70AF">
            <w:pPr>
              <w:pStyle w:val="90"/>
            </w:pPr>
            <w:r>
              <w:rPr>
                <w:rFonts w:hint="eastAsia"/>
              </w:rPr>
              <w:t>/</w:t>
            </w:r>
          </w:p>
        </w:tc>
      </w:tr>
      <w:tr w14:paraId="72C0E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45" w:type="pct"/>
            <w:vMerge w:val="continue"/>
            <w:tcMar>
              <w:left w:w="28" w:type="dxa"/>
              <w:right w:w="28" w:type="dxa"/>
            </w:tcMar>
            <w:vAlign w:val="center"/>
          </w:tcPr>
          <w:p w14:paraId="0CADEB5C">
            <w:pPr>
              <w:pStyle w:val="90"/>
            </w:pPr>
          </w:p>
        </w:tc>
        <w:tc>
          <w:tcPr>
            <w:tcW w:w="273" w:type="pct"/>
            <w:vMerge w:val="continue"/>
            <w:tcMar>
              <w:left w:w="28" w:type="dxa"/>
              <w:right w:w="28" w:type="dxa"/>
            </w:tcMar>
            <w:vAlign w:val="center"/>
          </w:tcPr>
          <w:p w14:paraId="6ADB802D">
            <w:pPr>
              <w:pStyle w:val="90"/>
            </w:pPr>
          </w:p>
        </w:tc>
        <w:tc>
          <w:tcPr>
            <w:tcW w:w="161" w:type="pct"/>
            <w:vMerge w:val="continue"/>
            <w:tcMar>
              <w:left w:w="28" w:type="dxa"/>
              <w:right w:w="28" w:type="dxa"/>
            </w:tcMar>
            <w:vAlign w:val="center"/>
          </w:tcPr>
          <w:p w14:paraId="4BF8E079">
            <w:pPr>
              <w:pStyle w:val="90"/>
            </w:pPr>
          </w:p>
        </w:tc>
        <w:tc>
          <w:tcPr>
            <w:tcW w:w="455" w:type="pct"/>
            <w:vMerge w:val="continue"/>
            <w:tcMar>
              <w:left w:w="28" w:type="dxa"/>
              <w:right w:w="28" w:type="dxa"/>
            </w:tcMar>
            <w:vAlign w:val="center"/>
          </w:tcPr>
          <w:p w14:paraId="1EED3C59">
            <w:pPr>
              <w:pStyle w:val="90"/>
            </w:pPr>
          </w:p>
        </w:tc>
        <w:tc>
          <w:tcPr>
            <w:tcW w:w="270" w:type="pct"/>
            <w:tcMar>
              <w:left w:w="28" w:type="dxa"/>
              <w:right w:w="28" w:type="dxa"/>
            </w:tcMar>
            <w:vAlign w:val="center"/>
          </w:tcPr>
          <w:p w14:paraId="5733699A">
            <w:pPr>
              <w:pStyle w:val="90"/>
            </w:pPr>
            <w:r>
              <w:rPr>
                <w:rFonts w:hint="eastAsia"/>
              </w:rPr>
              <w:t>硫化氢</w:t>
            </w:r>
          </w:p>
        </w:tc>
        <w:tc>
          <w:tcPr>
            <w:tcW w:w="425" w:type="pct"/>
            <w:vMerge w:val="continue"/>
            <w:tcMar>
              <w:left w:w="28" w:type="dxa"/>
              <w:right w:w="28" w:type="dxa"/>
            </w:tcMar>
            <w:vAlign w:val="center"/>
          </w:tcPr>
          <w:p w14:paraId="70EAB08E">
            <w:pPr>
              <w:pStyle w:val="90"/>
            </w:pPr>
          </w:p>
        </w:tc>
        <w:tc>
          <w:tcPr>
            <w:tcW w:w="455" w:type="pct"/>
            <w:tcMar>
              <w:left w:w="28" w:type="dxa"/>
              <w:right w:w="28" w:type="dxa"/>
            </w:tcMar>
            <w:vAlign w:val="center"/>
          </w:tcPr>
          <w:p w14:paraId="0C42A410">
            <w:pPr>
              <w:pStyle w:val="90"/>
            </w:pPr>
            <w:r>
              <w:rPr>
                <w:rFonts w:hint="eastAsia"/>
              </w:rPr>
              <w:t>0.000</w:t>
            </w:r>
            <w:r>
              <w:t>4</w:t>
            </w:r>
          </w:p>
        </w:tc>
        <w:tc>
          <w:tcPr>
            <w:tcW w:w="513" w:type="pct"/>
            <w:vMerge w:val="continue"/>
            <w:tcMar>
              <w:left w:w="28" w:type="dxa"/>
              <w:right w:w="28" w:type="dxa"/>
            </w:tcMar>
            <w:vAlign w:val="center"/>
          </w:tcPr>
          <w:p w14:paraId="74CBA24B">
            <w:pPr>
              <w:pStyle w:val="90"/>
            </w:pPr>
          </w:p>
        </w:tc>
        <w:tc>
          <w:tcPr>
            <w:tcW w:w="537" w:type="pct"/>
            <w:tcMar>
              <w:left w:w="28" w:type="dxa"/>
              <w:right w:w="28" w:type="dxa"/>
            </w:tcMar>
            <w:vAlign w:val="center"/>
          </w:tcPr>
          <w:p w14:paraId="39BAC129">
            <w:pPr>
              <w:pStyle w:val="90"/>
            </w:pPr>
            <w:r>
              <w:rPr>
                <w:rFonts w:hint="eastAsia"/>
              </w:rPr>
              <w:t>/</w:t>
            </w:r>
          </w:p>
        </w:tc>
        <w:tc>
          <w:tcPr>
            <w:tcW w:w="517" w:type="pct"/>
            <w:tcMar>
              <w:left w:w="28" w:type="dxa"/>
              <w:right w:w="28" w:type="dxa"/>
            </w:tcMar>
            <w:vAlign w:val="center"/>
          </w:tcPr>
          <w:p w14:paraId="0AA39B81">
            <w:pPr>
              <w:pStyle w:val="90"/>
            </w:pPr>
            <w:r>
              <w:rPr>
                <w:rFonts w:hint="eastAsia"/>
              </w:rPr>
              <w:t>0.000</w:t>
            </w:r>
            <w:r>
              <w:t>4</w:t>
            </w:r>
          </w:p>
        </w:tc>
        <w:tc>
          <w:tcPr>
            <w:tcW w:w="340" w:type="pct"/>
            <w:vAlign w:val="center"/>
          </w:tcPr>
          <w:p w14:paraId="2724855D">
            <w:pPr>
              <w:pStyle w:val="90"/>
            </w:pPr>
            <w:r>
              <w:rPr>
                <w:rFonts w:hint="eastAsia"/>
              </w:rPr>
              <w:t>0</w:t>
            </w:r>
            <w:r>
              <w:t>.003</w:t>
            </w:r>
          </w:p>
        </w:tc>
        <w:tc>
          <w:tcPr>
            <w:tcW w:w="192" w:type="pct"/>
            <w:tcMar>
              <w:left w:w="28" w:type="dxa"/>
              <w:right w:w="28" w:type="dxa"/>
            </w:tcMar>
            <w:vAlign w:val="center"/>
          </w:tcPr>
          <w:p w14:paraId="439E17E4">
            <w:pPr>
              <w:pStyle w:val="90"/>
            </w:pPr>
            <w:r>
              <w:rPr>
                <w:rFonts w:hint="eastAsia"/>
              </w:rPr>
              <w:t>/</w:t>
            </w:r>
          </w:p>
        </w:tc>
        <w:tc>
          <w:tcPr>
            <w:tcW w:w="343" w:type="pct"/>
            <w:tcMar>
              <w:left w:w="28" w:type="dxa"/>
              <w:right w:w="28" w:type="dxa"/>
            </w:tcMar>
            <w:vAlign w:val="center"/>
          </w:tcPr>
          <w:p w14:paraId="3EA6218D">
            <w:pPr>
              <w:pStyle w:val="90"/>
            </w:pPr>
            <w:r>
              <w:rPr>
                <w:rFonts w:hint="eastAsia"/>
              </w:rPr>
              <w:t>/</w:t>
            </w:r>
          </w:p>
        </w:tc>
        <w:tc>
          <w:tcPr>
            <w:tcW w:w="367" w:type="pct"/>
            <w:tcMar>
              <w:left w:w="28" w:type="dxa"/>
              <w:right w:w="28" w:type="dxa"/>
            </w:tcMar>
            <w:vAlign w:val="center"/>
          </w:tcPr>
          <w:p w14:paraId="14682D11">
            <w:pPr>
              <w:pStyle w:val="90"/>
            </w:pPr>
            <w:r>
              <w:rPr>
                <w:rFonts w:hint="eastAsia"/>
              </w:rPr>
              <w:t>/</w:t>
            </w:r>
          </w:p>
        </w:tc>
      </w:tr>
    </w:tbl>
    <w:p w14:paraId="5805D0B5">
      <w:pPr>
        <w:pStyle w:val="43"/>
      </w:pPr>
      <w:r>
        <w:rPr>
          <w:rFonts w:hint="eastAsia"/>
        </w:rPr>
        <w:t>废水污染物</w:t>
      </w:r>
      <w:bookmarkEnd w:id="190"/>
      <w:bookmarkEnd w:id="191"/>
      <w:bookmarkEnd w:id="192"/>
      <w:bookmarkEnd w:id="193"/>
      <w:bookmarkEnd w:id="194"/>
      <w:bookmarkEnd w:id="195"/>
      <w:bookmarkEnd w:id="196"/>
    </w:p>
    <w:p w14:paraId="7F658823">
      <w:pPr>
        <w:ind w:firstLine="480"/>
      </w:pPr>
      <w:r>
        <w:rPr>
          <w:rFonts w:hint="eastAsia"/>
        </w:rPr>
        <w:t>（1）生产废水</w:t>
      </w:r>
    </w:p>
    <w:p w14:paraId="5F29B135">
      <w:pPr>
        <w:ind w:firstLine="480"/>
      </w:pPr>
      <w:r>
        <w:rPr>
          <w:rFonts w:hint="eastAsia"/>
        </w:rPr>
        <w:t>本项目的生产废水主要来自减线油罐区的定期排污，参考《排放源统计调查产排污核算方法和系数手册》中“</w:t>
      </w:r>
      <w:r>
        <w:t>2511</w:t>
      </w:r>
      <w:r>
        <w:rPr>
          <w:rFonts w:hint="eastAsia"/>
        </w:rPr>
        <w:t>原油加工及石油制品制造行业系数手册”的“润滑油白土补充精制”中的废水系数进行核算，具体产物系数见表3</w:t>
      </w:r>
      <w:r>
        <w:t>.4-5</w:t>
      </w:r>
      <w:r>
        <w:rPr>
          <w:rFonts w:hint="eastAsia"/>
        </w:rPr>
        <w:t>。</w:t>
      </w:r>
    </w:p>
    <w:p w14:paraId="29427D09">
      <w:pPr>
        <w:pStyle w:val="47"/>
        <w:spacing w:before="65"/>
      </w:pPr>
      <w:r>
        <w:rPr>
          <w:rFonts w:hint="eastAsia"/>
        </w:rPr>
        <w:t>表3</w:t>
      </w:r>
      <w:r>
        <w:t xml:space="preserve">.4-5   </w:t>
      </w:r>
      <w:r>
        <w:rPr>
          <w:rFonts w:hint="eastAsia"/>
        </w:rPr>
        <w:t>润滑油白土工艺废水产排污系数表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0"/>
        <w:gridCol w:w="1090"/>
        <w:gridCol w:w="1091"/>
        <w:gridCol w:w="1091"/>
        <w:gridCol w:w="1091"/>
        <w:gridCol w:w="1091"/>
        <w:gridCol w:w="1093"/>
        <w:gridCol w:w="1093"/>
      </w:tblGrid>
      <w:tr w14:paraId="74464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shd w:val="clear" w:color="auto" w:fill="auto"/>
            <w:vAlign w:val="center"/>
          </w:tcPr>
          <w:p w14:paraId="7965B8AD">
            <w:pPr>
              <w:pStyle w:val="90"/>
            </w:pPr>
            <w:r>
              <w:rPr>
                <w:rFonts w:hint="eastAsia"/>
              </w:rPr>
              <w:t>核算环节</w:t>
            </w:r>
          </w:p>
        </w:tc>
        <w:tc>
          <w:tcPr>
            <w:tcW w:w="624" w:type="pct"/>
            <w:shd w:val="clear" w:color="auto" w:fill="auto"/>
            <w:vAlign w:val="center"/>
          </w:tcPr>
          <w:p w14:paraId="28234FB6">
            <w:pPr>
              <w:pStyle w:val="90"/>
            </w:pPr>
            <w:r>
              <w:rPr>
                <w:rFonts w:hint="eastAsia"/>
              </w:rPr>
              <w:t>产品名称</w:t>
            </w:r>
          </w:p>
        </w:tc>
        <w:tc>
          <w:tcPr>
            <w:tcW w:w="624" w:type="pct"/>
            <w:shd w:val="clear" w:color="auto" w:fill="auto"/>
            <w:vAlign w:val="center"/>
          </w:tcPr>
          <w:p w14:paraId="620D3034">
            <w:pPr>
              <w:pStyle w:val="90"/>
            </w:pPr>
            <w:r>
              <w:rPr>
                <w:rFonts w:hint="eastAsia"/>
              </w:rPr>
              <w:t>工艺名称</w:t>
            </w:r>
          </w:p>
        </w:tc>
        <w:tc>
          <w:tcPr>
            <w:tcW w:w="624" w:type="pct"/>
            <w:shd w:val="clear" w:color="auto" w:fill="auto"/>
            <w:vAlign w:val="center"/>
          </w:tcPr>
          <w:p w14:paraId="50969B19">
            <w:pPr>
              <w:pStyle w:val="90"/>
            </w:pPr>
            <w:r>
              <w:rPr>
                <w:rFonts w:hint="eastAsia"/>
              </w:rPr>
              <w:t>污染物指标</w:t>
            </w:r>
          </w:p>
        </w:tc>
        <w:tc>
          <w:tcPr>
            <w:tcW w:w="624" w:type="pct"/>
            <w:shd w:val="clear" w:color="auto" w:fill="auto"/>
            <w:vAlign w:val="center"/>
          </w:tcPr>
          <w:p w14:paraId="2DF49AA4">
            <w:pPr>
              <w:pStyle w:val="90"/>
            </w:pPr>
            <w:r>
              <w:rPr>
                <w:rFonts w:hint="eastAsia"/>
              </w:rPr>
              <w:t>系数单位</w:t>
            </w:r>
          </w:p>
        </w:tc>
        <w:tc>
          <w:tcPr>
            <w:tcW w:w="624" w:type="pct"/>
            <w:shd w:val="clear" w:color="auto" w:fill="auto"/>
            <w:vAlign w:val="center"/>
          </w:tcPr>
          <w:p w14:paraId="1667D829">
            <w:pPr>
              <w:pStyle w:val="90"/>
            </w:pPr>
            <w:r>
              <w:rPr>
                <w:rFonts w:hint="eastAsia"/>
              </w:rPr>
              <w:t>产污系数</w:t>
            </w:r>
          </w:p>
        </w:tc>
        <w:tc>
          <w:tcPr>
            <w:tcW w:w="625" w:type="pct"/>
            <w:shd w:val="clear" w:color="auto" w:fill="auto"/>
            <w:vAlign w:val="center"/>
          </w:tcPr>
          <w:p w14:paraId="29C87E8C">
            <w:pPr>
              <w:pStyle w:val="90"/>
            </w:pPr>
            <w:r>
              <w:rPr>
                <w:rFonts w:hint="eastAsia"/>
              </w:rPr>
              <w:t>末端治理技术</w:t>
            </w:r>
          </w:p>
        </w:tc>
        <w:tc>
          <w:tcPr>
            <w:tcW w:w="625" w:type="pct"/>
            <w:shd w:val="clear" w:color="auto" w:fill="auto"/>
            <w:vAlign w:val="center"/>
          </w:tcPr>
          <w:p w14:paraId="7390E24D">
            <w:pPr>
              <w:pStyle w:val="90"/>
            </w:pPr>
            <w:r>
              <w:rPr>
                <w:rFonts w:hint="eastAsia"/>
              </w:rPr>
              <w:t>去除效率（%）</w:t>
            </w:r>
          </w:p>
        </w:tc>
      </w:tr>
      <w:tr w14:paraId="499C9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restart"/>
            <w:shd w:val="clear" w:color="auto" w:fill="auto"/>
            <w:vAlign w:val="center"/>
          </w:tcPr>
          <w:p w14:paraId="646BDBB2">
            <w:pPr>
              <w:pStyle w:val="90"/>
            </w:pPr>
            <w:r>
              <w:rPr>
                <w:rFonts w:hint="eastAsia"/>
              </w:rPr>
              <w:t>润滑油白土补充精制</w:t>
            </w:r>
          </w:p>
        </w:tc>
        <w:tc>
          <w:tcPr>
            <w:tcW w:w="624" w:type="pct"/>
            <w:vMerge w:val="restart"/>
            <w:shd w:val="clear" w:color="auto" w:fill="auto"/>
            <w:vAlign w:val="center"/>
          </w:tcPr>
          <w:p w14:paraId="21728736">
            <w:pPr>
              <w:pStyle w:val="90"/>
            </w:pPr>
            <w:r>
              <w:rPr>
                <w:rFonts w:hint="eastAsia"/>
              </w:rPr>
              <w:t>精制润滑油</w:t>
            </w:r>
          </w:p>
        </w:tc>
        <w:tc>
          <w:tcPr>
            <w:tcW w:w="624" w:type="pct"/>
            <w:vMerge w:val="restart"/>
            <w:shd w:val="clear" w:color="auto" w:fill="auto"/>
            <w:vAlign w:val="center"/>
          </w:tcPr>
          <w:p w14:paraId="2A0F82CF">
            <w:pPr>
              <w:pStyle w:val="90"/>
            </w:pPr>
            <w:r>
              <w:rPr>
                <w:rFonts w:hint="eastAsia"/>
              </w:rPr>
              <w:t>润滑油白土补充精制</w:t>
            </w:r>
          </w:p>
        </w:tc>
        <w:tc>
          <w:tcPr>
            <w:tcW w:w="624" w:type="pct"/>
            <w:shd w:val="clear" w:color="auto" w:fill="auto"/>
            <w:vAlign w:val="center"/>
          </w:tcPr>
          <w:p w14:paraId="1AB128E6">
            <w:pPr>
              <w:pStyle w:val="90"/>
            </w:pPr>
            <w:r>
              <w:rPr>
                <w:rFonts w:hint="eastAsia"/>
              </w:rPr>
              <w:t>废水量</w:t>
            </w:r>
          </w:p>
        </w:tc>
        <w:tc>
          <w:tcPr>
            <w:tcW w:w="624" w:type="pct"/>
            <w:shd w:val="clear" w:color="auto" w:fill="auto"/>
            <w:vAlign w:val="center"/>
          </w:tcPr>
          <w:p w14:paraId="3DD53BF2">
            <w:pPr>
              <w:pStyle w:val="90"/>
            </w:pPr>
            <w:r>
              <w:rPr>
                <w:rFonts w:hint="eastAsia"/>
              </w:rPr>
              <w:t>吨/吨-原料</w:t>
            </w:r>
          </w:p>
        </w:tc>
        <w:tc>
          <w:tcPr>
            <w:tcW w:w="624" w:type="pct"/>
            <w:shd w:val="clear" w:color="auto" w:fill="auto"/>
            <w:vAlign w:val="center"/>
          </w:tcPr>
          <w:p w14:paraId="523148E7">
            <w:pPr>
              <w:pStyle w:val="90"/>
              <w:rPr>
                <w:vertAlign w:val="superscript"/>
              </w:rPr>
            </w:pPr>
            <w:r>
              <w:rPr>
                <w:rFonts w:hint="eastAsia"/>
              </w:rPr>
              <w:t>7</w:t>
            </w:r>
            <w:r>
              <w:t>.70</w:t>
            </w:r>
            <w:r>
              <w:rPr>
                <w:rFonts w:hint="eastAsia"/>
              </w:rPr>
              <w:t>×1</w:t>
            </w:r>
            <w:r>
              <w:t>0</w:t>
            </w:r>
            <w:r>
              <w:rPr>
                <w:vertAlign w:val="superscript"/>
              </w:rPr>
              <w:t>-3</w:t>
            </w:r>
          </w:p>
        </w:tc>
        <w:tc>
          <w:tcPr>
            <w:tcW w:w="625" w:type="pct"/>
            <w:shd w:val="clear" w:color="auto" w:fill="auto"/>
            <w:vAlign w:val="center"/>
          </w:tcPr>
          <w:p w14:paraId="08378F0B">
            <w:pPr>
              <w:pStyle w:val="90"/>
            </w:pPr>
            <w:r>
              <w:rPr>
                <w:rFonts w:hint="eastAsia"/>
              </w:rPr>
              <w:t>/</w:t>
            </w:r>
          </w:p>
        </w:tc>
        <w:tc>
          <w:tcPr>
            <w:tcW w:w="625" w:type="pct"/>
            <w:shd w:val="clear" w:color="auto" w:fill="auto"/>
            <w:vAlign w:val="center"/>
          </w:tcPr>
          <w:p w14:paraId="28980E7E">
            <w:pPr>
              <w:pStyle w:val="90"/>
            </w:pPr>
            <w:r>
              <w:rPr>
                <w:rFonts w:hint="eastAsia"/>
              </w:rPr>
              <w:t>0</w:t>
            </w:r>
          </w:p>
        </w:tc>
      </w:tr>
      <w:tr w14:paraId="00B5D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continue"/>
            <w:shd w:val="clear" w:color="auto" w:fill="auto"/>
            <w:vAlign w:val="center"/>
          </w:tcPr>
          <w:p w14:paraId="075F09B5">
            <w:pPr>
              <w:pStyle w:val="90"/>
            </w:pPr>
          </w:p>
        </w:tc>
        <w:tc>
          <w:tcPr>
            <w:tcW w:w="624" w:type="pct"/>
            <w:vMerge w:val="continue"/>
            <w:shd w:val="clear" w:color="auto" w:fill="auto"/>
            <w:vAlign w:val="center"/>
          </w:tcPr>
          <w:p w14:paraId="7A5D5BAB">
            <w:pPr>
              <w:pStyle w:val="90"/>
            </w:pPr>
          </w:p>
        </w:tc>
        <w:tc>
          <w:tcPr>
            <w:tcW w:w="624" w:type="pct"/>
            <w:vMerge w:val="continue"/>
            <w:shd w:val="clear" w:color="auto" w:fill="auto"/>
            <w:vAlign w:val="center"/>
          </w:tcPr>
          <w:p w14:paraId="5B69F819">
            <w:pPr>
              <w:pStyle w:val="90"/>
            </w:pPr>
          </w:p>
        </w:tc>
        <w:tc>
          <w:tcPr>
            <w:tcW w:w="624" w:type="pct"/>
            <w:shd w:val="clear" w:color="auto" w:fill="auto"/>
            <w:vAlign w:val="center"/>
          </w:tcPr>
          <w:p w14:paraId="071AE3E7">
            <w:pPr>
              <w:pStyle w:val="90"/>
            </w:pPr>
            <w:r>
              <w:rPr>
                <w:rFonts w:hint="eastAsia"/>
              </w:rPr>
              <w:t>化学需氧量</w:t>
            </w:r>
          </w:p>
        </w:tc>
        <w:tc>
          <w:tcPr>
            <w:tcW w:w="624" w:type="pct"/>
            <w:shd w:val="clear" w:color="auto" w:fill="auto"/>
            <w:vAlign w:val="center"/>
          </w:tcPr>
          <w:p w14:paraId="62B5F673">
            <w:pPr>
              <w:pStyle w:val="90"/>
            </w:pPr>
            <w:r>
              <w:rPr>
                <w:rFonts w:hint="eastAsia"/>
              </w:rPr>
              <w:t>克/吨-原料</w:t>
            </w:r>
          </w:p>
        </w:tc>
        <w:tc>
          <w:tcPr>
            <w:tcW w:w="624" w:type="pct"/>
            <w:shd w:val="clear" w:color="auto" w:fill="auto"/>
            <w:vAlign w:val="center"/>
          </w:tcPr>
          <w:p w14:paraId="77063ABF">
            <w:pPr>
              <w:pStyle w:val="90"/>
            </w:pPr>
            <w:r>
              <w:rPr>
                <w:rFonts w:hint="eastAsia"/>
              </w:rPr>
              <w:t>1</w:t>
            </w:r>
            <w:r>
              <w:t>0.1</w:t>
            </w:r>
          </w:p>
        </w:tc>
        <w:tc>
          <w:tcPr>
            <w:tcW w:w="625" w:type="pct"/>
            <w:vMerge w:val="restart"/>
            <w:shd w:val="clear" w:color="auto" w:fill="auto"/>
            <w:vAlign w:val="center"/>
          </w:tcPr>
          <w:p w14:paraId="2A05A8B5">
            <w:pPr>
              <w:pStyle w:val="90"/>
            </w:pPr>
            <w:r>
              <w:rPr>
                <w:rFonts w:hint="eastAsia"/>
              </w:rPr>
              <w:t>物理处理法+生物处理法</w:t>
            </w:r>
          </w:p>
        </w:tc>
        <w:tc>
          <w:tcPr>
            <w:tcW w:w="625" w:type="pct"/>
            <w:shd w:val="clear" w:color="auto" w:fill="auto"/>
            <w:vAlign w:val="center"/>
          </w:tcPr>
          <w:p w14:paraId="653C4BCE">
            <w:pPr>
              <w:pStyle w:val="90"/>
            </w:pPr>
            <w:r>
              <w:rPr>
                <w:rFonts w:hint="eastAsia"/>
              </w:rPr>
              <w:t>8</w:t>
            </w:r>
            <w:r>
              <w:t>3</w:t>
            </w:r>
          </w:p>
        </w:tc>
      </w:tr>
      <w:tr w14:paraId="72703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continue"/>
            <w:shd w:val="clear" w:color="auto" w:fill="auto"/>
            <w:vAlign w:val="center"/>
          </w:tcPr>
          <w:p w14:paraId="36DD0B12">
            <w:pPr>
              <w:pStyle w:val="90"/>
            </w:pPr>
          </w:p>
        </w:tc>
        <w:tc>
          <w:tcPr>
            <w:tcW w:w="624" w:type="pct"/>
            <w:vMerge w:val="continue"/>
            <w:shd w:val="clear" w:color="auto" w:fill="auto"/>
            <w:vAlign w:val="center"/>
          </w:tcPr>
          <w:p w14:paraId="00C5B5F4">
            <w:pPr>
              <w:pStyle w:val="90"/>
            </w:pPr>
          </w:p>
        </w:tc>
        <w:tc>
          <w:tcPr>
            <w:tcW w:w="624" w:type="pct"/>
            <w:vMerge w:val="continue"/>
            <w:shd w:val="clear" w:color="auto" w:fill="auto"/>
            <w:vAlign w:val="center"/>
          </w:tcPr>
          <w:p w14:paraId="0006554F">
            <w:pPr>
              <w:pStyle w:val="90"/>
            </w:pPr>
          </w:p>
        </w:tc>
        <w:tc>
          <w:tcPr>
            <w:tcW w:w="624" w:type="pct"/>
            <w:shd w:val="clear" w:color="auto" w:fill="auto"/>
            <w:vAlign w:val="center"/>
          </w:tcPr>
          <w:p w14:paraId="6535A6EF">
            <w:pPr>
              <w:pStyle w:val="90"/>
            </w:pPr>
            <w:r>
              <w:rPr>
                <w:rFonts w:hint="eastAsia"/>
              </w:rPr>
              <w:t>氨氮</w:t>
            </w:r>
          </w:p>
        </w:tc>
        <w:tc>
          <w:tcPr>
            <w:tcW w:w="624" w:type="pct"/>
            <w:shd w:val="clear" w:color="auto" w:fill="auto"/>
            <w:vAlign w:val="center"/>
          </w:tcPr>
          <w:p w14:paraId="6460CCF2">
            <w:pPr>
              <w:pStyle w:val="90"/>
            </w:pPr>
            <w:r>
              <w:rPr>
                <w:rFonts w:hint="eastAsia"/>
              </w:rPr>
              <w:t>克/吨-原料</w:t>
            </w:r>
          </w:p>
        </w:tc>
        <w:tc>
          <w:tcPr>
            <w:tcW w:w="624" w:type="pct"/>
            <w:shd w:val="clear" w:color="auto" w:fill="auto"/>
            <w:vAlign w:val="center"/>
          </w:tcPr>
          <w:p w14:paraId="0FF3D0DD">
            <w:pPr>
              <w:pStyle w:val="90"/>
            </w:pPr>
            <w:r>
              <w:rPr>
                <w:rFonts w:hint="eastAsia"/>
              </w:rPr>
              <w:t>0</w:t>
            </w:r>
            <w:r>
              <w:t>.0721</w:t>
            </w:r>
          </w:p>
        </w:tc>
        <w:tc>
          <w:tcPr>
            <w:tcW w:w="625" w:type="pct"/>
            <w:vMerge w:val="continue"/>
            <w:shd w:val="clear" w:color="auto" w:fill="auto"/>
            <w:vAlign w:val="center"/>
          </w:tcPr>
          <w:p w14:paraId="4C800966">
            <w:pPr>
              <w:pStyle w:val="90"/>
            </w:pPr>
          </w:p>
        </w:tc>
        <w:tc>
          <w:tcPr>
            <w:tcW w:w="625" w:type="pct"/>
            <w:shd w:val="clear" w:color="auto" w:fill="auto"/>
            <w:vAlign w:val="center"/>
          </w:tcPr>
          <w:p w14:paraId="2DD1FF22">
            <w:pPr>
              <w:pStyle w:val="90"/>
            </w:pPr>
            <w:r>
              <w:rPr>
                <w:rFonts w:hint="eastAsia"/>
              </w:rPr>
              <w:t>7</w:t>
            </w:r>
            <w:r>
              <w:t>5</w:t>
            </w:r>
          </w:p>
        </w:tc>
      </w:tr>
      <w:tr w14:paraId="6385C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continue"/>
            <w:shd w:val="clear" w:color="auto" w:fill="auto"/>
            <w:vAlign w:val="center"/>
          </w:tcPr>
          <w:p w14:paraId="629CD60A">
            <w:pPr>
              <w:pStyle w:val="90"/>
            </w:pPr>
          </w:p>
        </w:tc>
        <w:tc>
          <w:tcPr>
            <w:tcW w:w="624" w:type="pct"/>
            <w:vMerge w:val="continue"/>
            <w:shd w:val="clear" w:color="auto" w:fill="auto"/>
            <w:vAlign w:val="center"/>
          </w:tcPr>
          <w:p w14:paraId="00AD0CCE">
            <w:pPr>
              <w:pStyle w:val="90"/>
            </w:pPr>
          </w:p>
        </w:tc>
        <w:tc>
          <w:tcPr>
            <w:tcW w:w="624" w:type="pct"/>
            <w:vMerge w:val="continue"/>
            <w:shd w:val="clear" w:color="auto" w:fill="auto"/>
            <w:vAlign w:val="center"/>
          </w:tcPr>
          <w:p w14:paraId="3A374ED8">
            <w:pPr>
              <w:pStyle w:val="90"/>
            </w:pPr>
          </w:p>
        </w:tc>
        <w:tc>
          <w:tcPr>
            <w:tcW w:w="624" w:type="pct"/>
            <w:shd w:val="clear" w:color="auto" w:fill="auto"/>
            <w:vAlign w:val="center"/>
          </w:tcPr>
          <w:p w14:paraId="6233BA3C">
            <w:pPr>
              <w:pStyle w:val="90"/>
            </w:pPr>
            <w:r>
              <w:rPr>
                <w:rFonts w:hint="eastAsia"/>
              </w:rPr>
              <w:t>总氮</w:t>
            </w:r>
          </w:p>
        </w:tc>
        <w:tc>
          <w:tcPr>
            <w:tcW w:w="624" w:type="pct"/>
            <w:shd w:val="clear" w:color="auto" w:fill="auto"/>
            <w:vAlign w:val="center"/>
          </w:tcPr>
          <w:p w14:paraId="691CCF52">
            <w:pPr>
              <w:pStyle w:val="90"/>
            </w:pPr>
            <w:r>
              <w:rPr>
                <w:rFonts w:hint="eastAsia"/>
              </w:rPr>
              <w:t>克/吨-原料</w:t>
            </w:r>
          </w:p>
        </w:tc>
        <w:tc>
          <w:tcPr>
            <w:tcW w:w="624" w:type="pct"/>
            <w:shd w:val="clear" w:color="auto" w:fill="auto"/>
            <w:vAlign w:val="center"/>
          </w:tcPr>
          <w:p w14:paraId="0DEFE9EF">
            <w:pPr>
              <w:pStyle w:val="90"/>
            </w:pPr>
            <w:r>
              <w:rPr>
                <w:rFonts w:hint="eastAsia"/>
              </w:rPr>
              <w:t>0</w:t>
            </w:r>
            <w:r>
              <w:t>.0257</w:t>
            </w:r>
          </w:p>
        </w:tc>
        <w:tc>
          <w:tcPr>
            <w:tcW w:w="625" w:type="pct"/>
            <w:vMerge w:val="continue"/>
            <w:shd w:val="clear" w:color="auto" w:fill="auto"/>
            <w:vAlign w:val="center"/>
          </w:tcPr>
          <w:p w14:paraId="3143735A">
            <w:pPr>
              <w:pStyle w:val="90"/>
            </w:pPr>
          </w:p>
        </w:tc>
        <w:tc>
          <w:tcPr>
            <w:tcW w:w="625" w:type="pct"/>
            <w:shd w:val="clear" w:color="auto" w:fill="auto"/>
            <w:vAlign w:val="center"/>
          </w:tcPr>
          <w:p w14:paraId="4D7DE2AF">
            <w:pPr>
              <w:pStyle w:val="90"/>
            </w:pPr>
            <w:r>
              <w:t>63</w:t>
            </w:r>
          </w:p>
        </w:tc>
      </w:tr>
      <w:tr w14:paraId="185BC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continue"/>
            <w:shd w:val="clear" w:color="auto" w:fill="auto"/>
            <w:vAlign w:val="center"/>
          </w:tcPr>
          <w:p w14:paraId="067BA93E">
            <w:pPr>
              <w:pStyle w:val="90"/>
            </w:pPr>
          </w:p>
        </w:tc>
        <w:tc>
          <w:tcPr>
            <w:tcW w:w="624" w:type="pct"/>
            <w:vMerge w:val="continue"/>
            <w:shd w:val="clear" w:color="auto" w:fill="auto"/>
            <w:vAlign w:val="center"/>
          </w:tcPr>
          <w:p w14:paraId="582F8DBF">
            <w:pPr>
              <w:pStyle w:val="90"/>
            </w:pPr>
          </w:p>
        </w:tc>
        <w:tc>
          <w:tcPr>
            <w:tcW w:w="624" w:type="pct"/>
            <w:vMerge w:val="continue"/>
            <w:shd w:val="clear" w:color="auto" w:fill="auto"/>
            <w:vAlign w:val="center"/>
          </w:tcPr>
          <w:p w14:paraId="53E3DCAF">
            <w:pPr>
              <w:pStyle w:val="90"/>
            </w:pPr>
          </w:p>
        </w:tc>
        <w:tc>
          <w:tcPr>
            <w:tcW w:w="624" w:type="pct"/>
            <w:shd w:val="clear" w:color="auto" w:fill="auto"/>
            <w:vAlign w:val="center"/>
          </w:tcPr>
          <w:p w14:paraId="21D5FAB6">
            <w:pPr>
              <w:pStyle w:val="90"/>
            </w:pPr>
            <w:r>
              <w:rPr>
                <w:rFonts w:hint="eastAsia"/>
              </w:rPr>
              <w:t>石油类</w:t>
            </w:r>
          </w:p>
        </w:tc>
        <w:tc>
          <w:tcPr>
            <w:tcW w:w="624" w:type="pct"/>
            <w:shd w:val="clear" w:color="auto" w:fill="auto"/>
            <w:vAlign w:val="center"/>
          </w:tcPr>
          <w:p w14:paraId="66B8A17D">
            <w:pPr>
              <w:pStyle w:val="90"/>
            </w:pPr>
            <w:r>
              <w:rPr>
                <w:rFonts w:hint="eastAsia"/>
              </w:rPr>
              <w:t>克/吨-原料</w:t>
            </w:r>
          </w:p>
        </w:tc>
        <w:tc>
          <w:tcPr>
            <w:tcW w:w="624" w:type="pct"/>
            <w:shd w:val="clear" w:color="auto" w:fill="auto"/>
            <w:vAlign w:val="center"/>
          </w:tcPr>
          <w:p w14:paraId="0DABA3DF">
            <w:pPr>
              <w:pStyle w:val="90"/>
            </w:pPr>
            <w:r>
              <w:rPr>
                <w:rFonts w:hint="eastAsia"/>
              </w:rPr>
              <w:t>0</w:t>
            </w:r>
            <w:r>
              <w:t>.151</w:t>
            </w:r>
          </w:p>
        </w:tc>
        <w:tc>
          <w:tcPr>
            <w:tcW w:w="625" w:type="pct"/>
            <w:vMerge w:val="continue"/>
            <w:shd w:val="clear" w:color="auto" w:fill="auto"/>
            <w:vAlign w:val="center"/>
          </w:tcPr>
          <w:p w14:paraId="42ACEB61">
            <w:pPr>
              <w:pStyle w:val="90"/>
            </w:pPr>
          </w:p>
        </w:tc>
        <w:tc>
          <w:tcPr>
            <w:tcW w:w="625" w:type="pct"/>
            <w:shd w:val="clear" w:color="auto" w:fill="auto"/>
            <w:vAlign w:val="center"/>
          </w:tcPr>
          <w:p w14:paraId="78458E20">
            <w:pPr>
              <w:pStyle w:val="90"/>
            </w:pPr>
            <w:r>
              <w:t>93</w:t>
            </w:r>
          </w:p>
        </w:tc>
      </w:tr>
      <w:tr w14:paraId="60991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continue"/>
            <w:shd w:val="clear" w:color="auto" w:fill="auto"/>
            <w:vAlign w:val="center"/>
          </w:tcPr>
          <w:p w14:paraId="20D97FA8">
            <w:pPr>
              <w:pStyle w:val="90"/>
            </w:pPr>
          </w:p>
        </w:tc>
        <w:tc>
          <w:tcPr>
            <w:tcW w:w="624" w:type="pct"/>
            <w:vMerge w:val="continue"/>
            <w:shd w:val="clear" w:color="auto" w:fill="auto"/>
            <w:vAlign w:val="center"/>
          </w:tcPr>
          <w:p w14:paraId="297FF2D6">
            <w:pPr>
              <w:pStyle w:val="90"/>
            </w:pPr>
          </w:p>
        </w:tc>
        <w:tc>
          <w:tcPr>
            <w:tcW w:w="624" w:type="pct"/>
            <w:vMerge w:val="continue"/>
            <w:shd w:val="clear" w:color="auto" w:fill="auto"/>
            <w:vAlign w:val="center"/>
          </w:tcPr>
          <w:p w14:paraId="78FBAB06">
            <w:pPr>
              <w:pStyle w:val="90"/>
            </w:pPr>
          </w:p>
        </w:tc>
        <w:tc>
          <w:tcPr>
            <w:tcW w:w="624" w:type="pct"/>
            <w:shd w:val="clear" w:color="auto" w:fill="auto"/>
            <w:vAlign w:val="center"/>
          </w:tcPr>
          <w:p w14:paraId="4C3A0F20">
            <w:pPr>
              <w:pStyle w:val="90"/>
            </w:pPr>
            <w:r>
              <w:rPr>
                <w:rFonts w:hint="eastAsia"/>
              </w:rPr>
              <w:t>挥发酚</w:t>
            </w:r>
          </w:p>
        </w:tc>
        <w:tc>
          <w:tcPr>
            <w:tcW w:w="624" w:type="pct"/>
            <w:shd w:val="clear" w:color="auto" w:fill="auto"/>
            <w:vAlign w:val="center"/>
          </w:tcPr>
          <w:p w14:paraId="0D412DBA">
            <w:pPr>
              <w:pStyle w:val="90"/>
            </w:pPr>
            <w:r>
              <w:rPr>
                <w:rFonts w:hint="eastAsia"/>
              </w:rPr>
              <w:t>克/吨-原料</w:t>
            </w:r>
          </w:p>
        </w:tc>
        <w:tc>
          <w:tcPr>
            <w:tcW w:w="624" w:type="pct"/>
            <w:shd w:val="clear" w:color="auto" w:fill="auto"/>
            <w:vAlign w:val="center"/>
          </w:tcPr>
          <w:p w14:paraId="59B00386">
            <w:pPr>
              <w:pStyle w:val="90"/>
            </w:pPr>
            <w:r>
              <w:t>4.00</w:t>
            </w:r>
            <w:r>
              <w:rPr>
                <w:rFonts w:hint="eastAsia"/>
              </w:rPr>
              <w:t>×1</w:t>
            </w:r>
            <w:r>
              <w:t>0</w:t>
            </w:r>
            <w:r>
              <w:rPr>
                <w:vertAlign w:val="superscript"/>
              </w:rPr>
              <w:t>-3</w:t>
            </w:r>
          </w:p>
        </w:tc>
        <w:tc>
          <w:tcPr>
            <w:tcW w:w="625" w:type="pct"/>
            <w:vMerge w:val="continue"/>
            <w:shd w:val="clear" w:color="auto" w:fill="auto"/>
            <w:vAlign w:val="center"/>
          </w:tcPr>
          <w:p w14:paraId="08421632">
            <w:pPr>
              <w:pStyle w:val="90"/>
            </w:pPr>
          </w:p>
        </w:tc>
        <w:tc>
          <w:tcPr>
            <w:tcW w:w="625" w:type="pct"/>
            <w:shd w:val="clear" w:color="auto" w:fill="auto"/>
            <w:vAlign w:val="center"/>
          </w:tcPr>
          <w:p w14:paraId="746FACB1">
            <w:pPr>
              <w:pStyle w:val="90"/>
            </w:pPr>
            <w:r>
              <w:t>97</w:t>
            </w:r>
          </w:p>
        </w:tc>
      </w:tr>
      <w:tr w14:paraId="1F49A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4" w:type="pct"/>
            <w:vMerge w:val="continue"/>
            <w:shd w:val="clear" w:color="auto" w:fill="auto"/>
            <w:vAlign w:val="center"/>
          </w:tcPr>
          <w:p w14:paraId="4FC0DE39">
            <w:pPr>
              <w:pStyle w:val="90"/>
            </w:pPr>
          </w:p>
        </w:tc>
        <w:tc>
          <w:tcPr>
            <w:tcW w:w="624" w:type="pct"/>
            <w:vMerge w:val="continue"/>
            <w:shd w:val="clear" w:color="auto" w:fill="auto"/>
            <w:vAlign w:val="center"/>
          </w:tcPr>
          <w:p w14:paraId="7D1D7B14">
            <w:pPr>
              <w:pStyle w:val="90"/>
            </w:pPr>
          </w:p>
        </w:tc>
        <w:tc>
          <w:tcPr>
            <w:tcW w:w="624" w:type="pct"/>
            <w:vMerge w:val="continue"/>
            <w:shd w:val="clear" w:color="auto" w:fill="auto"/>
            <w:vAlign w:val="center"/>
          </w:tcPr>
          <w:p w14:paraId="62F5B162">
            <w:pPr>
              <w:pStyle w:val="90"/>
            </w:pPr>
          </w:p>
        </w:tc>
        <w:tc>
          <w:tcPr>
            <w:tcW w:w="624" w:type="pct"/>
            <w:shd w:val="clear" w:color="auto" w:fill="auto"/>
            <w:vAlign w:val="center"/>
          </w:tcPr>
          <w:p w14:paraId="29EEC2B2">
            <w:pPr>
              <w:pStyle w:val="90"/>
            </w:pPr>
            <w:r>
              <w:rPr>
                <w:rFonts w:hint="eastAsia"/>
              </w:rPr>
              <w:t>氰化物</w:t>
            </w:r>
          </w:p>
        </w:tc>
        <w:tc>
          <w:tcPr>
            <w:tcW w:w="624" w:type="pct"/>
            <w:shd w:val="clear" w:color="auto" w:fill="auto"/>
            <w:vAlign w:val="center"/>
          </w:tcPr>
          <w:p w14:paraId="122D7C94">
            <w:pPr>
              <w:pStyle w:val="90"/>
            </w:pPr>
            <w:r>
              <w:rPr>
                <w:rFonts w:hint="eastAsia"/>
              </w:rPr>
              <w:t>克/吨-原料</w:t>
            </w:r>
          </w:p>
        </w:tc>
        <w:tc>
          <w:tcPr>
            <w:tcW w:w="624" w:type="pct"/>
            <w:shd w:val="clear" w:color="auto" w:fill="auto"/>
            <w:vAlign w:val="center"/>
          </w:tcPr>
          <w:p w14:paraId="07A1A763">
            <w:pPr>
              <w:pStyle w:val="90"/>
            </w:pPr>
            <w:r>
              <w:t>5.80</w:t>
            </w:r>
            <w:r>
              <w:rPr>
                <w:rFonts w:hint="eastAsia"/>
              </w:rPr>
              <w:t>×1</w:t>
            </w:r>
            <w:r>
              <w:t>0</w:t>
            </w:r>
            <w:r>
              <w:rPr>
                <w:vertAlign w:val="superscript"/>
              </w:rPr>
              <w:t>-3</w:t>
            </w:r>
          </w:p>
        </w:tc>
        <w:tc>
          <w:tcPr>
            <w:tcW w:w="625" w:type="pct"/>
            <w:vMerge w:val="continue"/>
            <w:shd w:val="clear" w:color="auto" w:fill="auto"/>
            <w:vAlign w:val="center"/>
          </w:tcPr>
          <w:p w14:paraId="215C937F">
            <w:pPr>
              <w:pStyle w:val="90"/>
            </w:pPr>
          </w:p>
        </w:tc>
        <w:tc>
          <w:tcPr>
            <w:tcW w:w="625" w:type="pct"/>
            <w:shd w:val="clear" w:color="auto" w:fill="auto"/>
            <w:vAlign w:val="center"/>
          </w:tcPr>
          <w:p w14:paraId="307E13C3">
            <w:pPr>
              <w:pStyle w:val="90"/>
            </w:pPr>
            <w:r>
              <w:rPr>
                <w:rFonts w:hint="eastAsia"/>
              </w:rPr>
              <w:t>7</w:t>
            </w:r>
            <w:r>
              <w:t>9</w:t>
            </w:r>
          </w:p>
        </w:tc>
      </w:tr>
    </w:tbl>
    <w:p w14:paraId="65B2406B">
      <w:pPr>
        <w:ind w:firstLine="480"/>
      </w:pPr>
      <w:r>
        <w:rPr>
          <w:rFonts w:hint="eastAsia"/>
        </w:rPr>
        <w:t>根据上述产物系数表核算，本项目生产废水排放量为1</w:t>
      </w:r>
      <w:r>
        <w:t>00000</w:t>
      </w:r>
      <w:r>
        <w:rPr>
          <w:rFonts w:hint="eastAsia"/>
        </w:rPr>
        <w:t>×7</w:t>
      </w:r>
      <w:r>
        <w:t>.70</w:t>
      </w:r>
      <w:r>
        <w:rPr>
          <w:rFonts w:hint="eastAsia"/>
        </w:rPr>
        <w:t>×1</w:t>
      </w:r>
      <w:r>
        <w:t>0</w:t>
      </w:r>
      <w:r>
        <w:rPr>
          <w:vertAlign w:val="superscript"/>
        </w:rPr>
        <w:t>-3</w:t>
      </w:r>
      <w:r>
        <w:t>=770</w:t>
      </w:r>
      <w:r>
        <w:rPr>
          <w:rFonts w:hint="eastAsia"/>
        </w:rPr>
        <w:t>t</w:t>
      </w:r>
      <w:r>
        <w:t>/a=770</w:t>
      </w:r>
      <w:r>
        <w:rPr>
          <w:rFonts w:hint="eastAsia"/>
        </w:rPr>
        <w:t>m</w:t>
      </w:r>
      <w:r>
        <w:rPr>
          <w:vertAlign w:val="superscript"/>
        </w:rPr>
        <w:t>3</w:t>
      </w:r>
      <w:r>
        <w:t>/a</w:t>
      </w:r>
      <w:r>
        <w:rPr>
          <w:rFonts w:hint="eastAsia"/>
        </w:rPr>
        <w:t>，废水中各污染物排放量及排放浓度见表3</w:t>
      </w:r>
      <w:r>
        <w:t>.4-6</w:t>
      </w:r>
      <w:r>
        <w:rPr>
          <w:rFonts w:hint="eastAsia"/>
        </w:rPr>
        <w:t>。</w:t>
      </w:r>
    </w:p>
    <w:p w14:paraId="39CC3D11">
      <w:pPr>
        <w:pStyle w:val="47"/>
        <w:spacing w:before="65"/>
      </w:pPr>
      <w:r>
        <w:rPr>
          <w:rFonts w:hint="eastAsia"/>
        </w:rPr>
        <w:t>表3</w:t>
      </w:r>
      <w:r>
        <w:t xml:space="preserve">.4-6   </w:t>
      </w:r>
      <w:r>
        <w:rPr>
          <w:rFonts w:hint="eastAsia"/>
        </w:rPr>
        <w:t>本项目生产废水产排情况一览表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6"/>
        <w:gridCol w:w="1276"/>
        <w:gridCol w:w="1433"/>
        <w:gridCol w:w="1091"/>
        <w:gridCol w:w="1091"/>
        <w:gridCol w:w="1091"/>
        <w:gridCol w:w="1091"/>
        <w:gridCol w:w="1091"/>
      </w:tblGrid>
      <w:tr w14:paraId="1A7C0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3B4D6EB0">
            <w:pPr>
              <w:pStyle w:val="90"/>
            </w:pPr>
            <w:r>
              <w:rPr>
                <w:rFonts w:hint="eastAsia"/>
              </w:rPr>
              <w:t>序号</w:t>
            </w:r>
          </w:p>
        </w:tc>
        <w:tc>
          <w:tcPr>
            <w:tcW w:w="730" w:type="pct"/>
            <w:shd w:val="clear" w:color="auto" w:fill="auto"/>
            <w:vAlign w:val="center"/>
          </w:tcPr>
          <w:p w14:paraId="7F6B3D75">
            <w:pPr>
              <w:pStyle w:val="90"/>
            </w:pPr>
            <w:r>
              <w:rPr>
                <w:rFonts w:hint="eastAsia"/>
              </w:rPr>
              <w:t>污染物</w:t>
            </w:r>
          </w:p>
        </w:tc>
        <w:tc>
          <w:tcPr>
            <w:tcW w:w="820" w:type="pct"/>
            <w:shd w:val="clear" w:color="auto" w:fill="auto"/>
            <w:vAlign w:val="center"/>
          </w:tcPr>
          <w:p w14:paraId="09A43875">
            <w:pPr>
              <w:pStyle w:val="90"/>
            </w:pPr>
            <w:r>
              <w:rPr>
                <w:rFonts w:hint="eastAsia"/>
              </w:rPr>
              <w:t>产生量（</w:t>
            </w:r>
            <w:r>
              <w:t>t/a）</w:t>
            </w:r>
          </w:p>
        </w:tc>
        <w:tc>
          <w:tcPr>
            <w:tcW w:w="624" w:type="pct"/>
            <w:shd w:val="clear" w:color="auto" w:fill="auto"/>
            <w:vAlign w:val="center"/>
          </w:tcPr>
          <w:p w14:paraId="75AA9B23">
            <w:pPr>
              <w:pStyle w:val="90"/>
            </w:pPr>
            <w:r>
              <w:rPr>
                <w:rFonts w:hint="eastAsia"/>
              </w:rPr>
              <w:t>产生浓度（</w:t>
            </w:r>
            <w:r>
              <w:t>mg/L）</w:t>
            </w:r>
          </w:p>
        </w:tc>
        <w:tc>
          <w:tcPr>
            <w:tcW w:w="624" w:type="pct"/>
            <w:shd w:val="clear" w:color="auto" w:fill="auto"/>
            <w:vAlign w:val="center"/>
          </w:tcPr>
          <w:p w14:paraId="45B2F1BE">
            <w:pPr>
              <w:pStyle w:val="90"/>
            </w:pPr>
            <w:r>
              <w:rPr>
                <w:rFonts w:hint="eastAsia"/>
              </w:rPr>
              <w:t>治理措施</w:t>
            </w:r>
          </w:p>
        </w:tc>
        <w:tc>
          <w:tcPr>
            <w:tcW w:w="624" w:type="pct"/>
            <w:shd w:val="clear" w:color="auto" w:fill="auto"/>
            <w:vAlign w:val="center"/>
          </w:tcPr>
          <w:p w14:paraId="216EFBB8">
            <w:pPr>
              <w:pStyle w:val="90"/>
            </w:pPr>
            <w:r>
              <w:rPr>
                <w:rFonts w:hint="eastAsia"/>
              </w:rPr>
              <w:t>排放量（</w:t>
            </w:r>
            <w:r>
              <w:t>t/a）</w:t>
            </w:r>
          </w:p>
        </w:tc>
        <w:tc>
          <w:tcPr>
            <w:tcW w:w="624" w:type="pct"/>
            <w:shd w:val="clear" w:color="auto" w:fill="auto"/>
            <w:vAlign w:val="center"/>
          </w:tcPr>
          <w:p w14:paraId="7149EFAF">
            <w:pPr>
              <w:pStyle w:val="90"/>
            </w:pPr>
            <w:r>
              <w:rPr>
                <w:rFonts w:hint="eastAsia"/>
              </w:rPr>
              <w:t>排放浓度（</w:t>
            </w:r>
            <w:r>
              <w:t>mg/L）</w:t>
            </w:r>
          </w:p>
        </w:tc>
        <w:tc>
          <w:tcPr>
            <w:tcW w:w="624" w:type="pct"/>
            <w:shd w:val="clear" w:color="auto" w:fill="auto"/>
            <w:vAlign w:val="center"/>
          </w:tcPr>
          <w:p w14:paraId="730CC635">
            <w:pPr>
              <w:pStyle w:val="90"/>
            </w:pPr>
            <w:r>
              <w:rPr>
                <w:rFonts w:hint="eastAsia"/>
              </w:rPr>
              <w:t>最终去向</w:t>
            </w:r>
          </w:p>
        </w:tc>
      </w:tr>
      <w:tr w14:paraId="2B30A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32A59D87">
            <w:pPr>
              <w:pStyle w:val="90"/>
              <w:numPr>
                <w:ilvl w:val="0"/>
                <w:numId w:val="17"/>
              </w:numPr>
            </w:pPr>
          </w:p>
        </w:tc>
        <w:tc>
          <w:tcPr>
            <w:tcW w:w="730" w:type="pct"/>
            <w:shd w:val="clear" w:color="auto" w:fill="auto"/>
            <w:vAlign w:val="center"/>
          </w:tcPr>
          <w:p w14:paraId="3955E833">
            <w:pPr>
              <w:pStyle w:val="90"/>
            </w:pPr>
            <w:r>
              <w:rPr>
                <w:rFonts w:hint="eastAsia"/>
              </w:rPr>
              <w:t>废水量</w:t>
            </w:r>
          </w:p>
        </w:tc>
        <w:tc>
          <w:tcPr>
            <w:tcW w:w="820" w:type="pct"/>
            <w:shd w:val="clear" w:color="auto" w:fill="auto"/>
            <w:vAlign w:val="center"/>
          </w:tcPr>
          <w:p w14:paraId="7B8AB089">
            <w:pPr>
              <w:pStyle w:val="90"/>
            </w:pPr>
            <w:r>
              <w:rPr>
                <w:rFonts w:hint="eastAsia"/>
              </w:rPr>
              <w:t>7</w:t>
            </w:r>
            <w:r>
              <w:t>70</w:t>
            </w:r>
            <w:r>
              <w:rPr>
                <w:rFonts w:hint="eastAsia"/>
              </w:rPr>
              <w:t>m</w:t>
            </w:r>
            <w:r>
              <w:rPr>
                <w:vertAlign w:val="superscript"/>
              </w:rPr>
              <w:t>3</w:t>
            </w:r>
            <w:r>
              <w:t>/a</w:t>
            </w:r>
          </w:p>
        </w:tc>
        <w:tc>
          <w:tcPr>
            <w:tcW w:w="624" w:type="pct"/>
            <w:shd w:val="clear" w:color="auto" w:fill="auto"/>
            <w:vAlign w:val="center"/>
          </w:tcPr>
          <w:p w14:paraId="0C57CD9B">
            <w:pPr>
              <w:pStyle w:val="90"/>
            </w:pPr>
            <w:r>
              <w:rPr>
                <w:rFonts w:hint="eastAsia"/>
              </w:rPr>
              <w:t>/</w:t>
            </w:r>
          </w:p>
        </w:tc>
        <w:tc>
          <w:tcPr>
            <w:tcW w:w="624" w:type="pct"/>
            <w:vMerge w:val="restart"/>
            <w:shd w:val="clear" w:color="auto" w:fill="auto"/>
            <w:vAlign w:val="center"/>
          </w:tcPr>
          <w:p w14:paraId="284FE7A1">
            <w:pPr>
              <w:pStyle w:val="90"/>
            </w:pPr>
            <w:r>
              <w:rPr>
                <w:rFonts w:hint="eastAsia"/>
              </w:rPr>
              <w:t>厂区污水处理站</w:t>
            </w:r>
          </w:p>
        </w:tc>
        <w:tc>
          <w:tcPr>
            <w:tcW w:w="624" w:type="pct"/>
            <w:shd w:val="clear" w:color="auto" w:fill="auto"/>
            <w:vAlign w:val="center"/>
          </w:tcPr>
          <w:p w14:paraId="0591DF75">
            <w:pPr>
              <w:pStyle w:val="90"/>
            </w:pPr>
            <w:r>
              <w:rPr>
                <w:rFonts w:hint="eastAsia"/>
              </w:rPr>
              <w:t>7</w:t>
            </w:r>
            <w:r>
              <w:t>70</w:t>
            </w:r>
            <w:r>
              <w:rPr>
                <w:rFonts w:hint="eastAsia"/>
              </w:rPr>
              <w:t>m</w:t>
            </w:r>
            <w:r>
              <w:rPr>
                <w:vertAlign w:val="superscript"/>
              </w:rPr>
              <w:t>3</w:t>
            </w:r>
            <w:r>
              <w:t>/a</w:t>
            </w:r>
          </w:p>
        </w:tc>
        <w:tc>
          <w:tcPr>
            <w:tcW w:w="624" w:type="pct"/>
            <w:shd w:val="clear" w:color="auto" w:fill="auto"/>
            <w:vAlign w:val="center"/>
          </w:tcPr>
          <w:p w14:paraId="379EF1BA">
            <w:pPr>
              <w:pStyle w:val="90"/>
            </w:pPr>
            <w:r>
              <w:rPr>
                <w:rFonts w:hint="eastAsia"/>
              </w:rPr>
              <w:t>/</w:t>
            </w:r>
          </w:p>
        </w:tc>
        <w:tc>
          <w:tcPr>
            <w:tcW w:w="624" w:type="pct"/>
            <w:vMerge w:val="restart"/>
            <w:shd w:val="clear" w:color="auto" w:fill="auto"/>
            <w:vAlign w:val="center"/>
          </w:tcPr>
          <w:p w14:paraId="5DA99BD1">
            <w:pPr>
              <w:pStyle w:val="90"/>
            </w:pPr>
            <w:r>
              <w:rPr>
                <w:rFonts w:hint="eastAsia"/>
              </w:rPr>
              <w:t>排入园区污水处理厂处理</w:t>
            </w:r>
          </w:p>
        </w:tc>
      </w:tr>
      <w:tr w14:paraId="2B418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72EE13BB">
            <w:pPr>
              <w:pStyle w:val="90"/>
              <w:numPr>
                <w:ilvl w:val="0"/>
                <w:numId w:val="17"/>
              </w:numPr>
            </w:pPr>
          </w:p>
        </w:tc>
        <w:tc>
          <w:tcPr>
            <w:tcW w:w="730" w:type="pct"/>
            <w:shd w:val="clear" w:color="auto" w:fill="auto"/>
            <w:vAlign w:val="center"/>
          </w:tcPr>
          <w:p w14:paraId="20EB0B9B">
            <w:pPr>
              <w:pStyle w:val="90"/>
            </w:pPr>
            <w:r>
              <w:rPr>
                <w:rFonts w:hint="eastAsia"/>
              </w:rPr>
              <w:t>化学需氧量</w:t>
            </w:r>
          </w:p>
        </w:tc>
        <w:tc>
          <w:tcPr>
            <w:tcW w:w="820" w:type="pct"/>
            <w:shd w:val="clear" w:color="auto" w:fill="auto"/>
            <w:vAlign w:val="center"/>
          </w:tcPr>
          <w:p w14:paraId="2F221DA9">
            <w:pPr>
              <w:pStyle w:val="90"/>
            </w:pPr>
            <w:r>
              <w:rPr>
                <w:rFonts w:hint="eastAsia"/>
              </w:rPr>
              <w:t>1</w:t>
            </w:r>
            <w:r>
              <w:t>.01</w:t>
            </w:r>
          </w:p>
        </w:tc>
        <w:tc>
          <w:tcPr>
            <w:tcW w:w="624" w:type="pct"/>
            <w:shd w:val="clear" w:color="auto" w:fill="auto"/>
            <w:vAlign w:val="center"/>
          </w:tcPr>
          <w:p w14:paraId="5C3E145F">
            <w:pPr>
              <w:pStyle w:val="90"/>
            </w:pPr>
            <w:r>
              <w:rPr>
                <w:rFonts w:hint="eastAsia"/>
              </w:rPr>
              <w:t>1</w:t>
            </w:r>
            <w:r>
              <w:t>311.69</w:t>
            </w:r>
          </w:p>
        </w:tc>
        <w:tc>
          <w:tcPr>
            <w:tcW w:w="624" w:type="pct"/>
            <w:vMerge w:val="continue"/>
            <w:shd w:val="clear" w:color="auto" w:fill="auto"/>
            <w:vAlign w:val="center"/>
          </w:tcPr>
          <w:p w14:paraId="03EECBFE">
            <w:pPr>
              <w:pStyle w:val="90"/>
            </w:pPr>
          </w:p>
        </w:tc>
        <w:tc>
          <w:tcPr>
            <w:tcW w:w="624" w:type="pct"/>
            <w:shd w:val="clear" w:color="auto" w:fill="auto"/>
            <w:vAlign w:val="center"/>
          </w:tcPr>
          <w:p w14:paraId="2746536B">
            <w:pPr>
              <w:pStyle w:val="90"/>
              <w:rPr>
                <w:kern w:val="0"/>
              </w:rPr>
            </w:pPr>
            <w:r>
              <w:rPr>
                <w:rFonts w:hint="eastAsia"/>
              </w:rPr>
              <w:t>0.1717</w:t>
            </w:r>
          </w:p>
        </w:tc>
        <w:tc>
          <w:tcPr>
            <w:tcW w:w="624" w:type="pct"/>
            <w:shd w:val="clear" w:color="auto" w:fill="auto"/>
            <w:vAlign w:val="center"/>
          </w:tcPr>
          <w:p w14:paraId="4A14A12A">
            <w:pPr>
              <w:pStyle w:val="90"/>
              <w:rPr>
                <w:kern w:val="0"/>
              </w:rPr>
            </w:pPr>
            <w:r>
              <w:rPr>
                <w:rFonts w:hint="eastAsia"/>
              </w:rPr>
              <w:t>222.99</w:t>
            </w:r>
          </w:p>
        </w:tc>
        <w:tc>
          <w:tcPr>
            <w:tcW w:w="624" w:type="pct"/>
            <w:vMerge w:val="continue"/>
            <w:shd w:val="clear" w:color="auto" w:fill="auto"/>
            <w:vAlign w:val="center"/>
          </w:tcPr>
          <w:p w14:paraId="2218748C">
            <w:pPr>
              <w:pStyle w:val="90"/>
            </w:pPr>
          </w:p>
        </w:tc>
      </w:tr>
      <w:tr w14:paraId="2F0CC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239DCB54">
            <w:pPr>
              <w:pStyle w:val="90"/>
              <w:numPr>
                <w:ilvl w:val="0"/>
                <w:numId w:val="17"/>
              </w:numPr>
            </w:pPr>
          </w:p>
        </w:tc>
        <w:tc>
          <w:tcPr>
            <w:tcW w:w="730" w:type="pct"/>
            <w:shd w:val="clear" w:color="auto" w:fill="auto"/>
            <w:vAlign w:val="center"/>
          </w:tcPr>
          <w:p w14:paraId="70BB659B">
            <w:pPr>
              <w:pStyle w:val="90"/>
            </w:pPr>
            <w:r>
              <w:rPr>
                <w:rFonts w:hint="eastAsia"/>
              </w:rPr>
              <w:t>氨氮</w:t>
            </w:r>
          </w:p>
        </w:tc>
        <w:tc>
          <w:tcPr>
            <w:tcW w:w="820" w:type="pct"/>
            <w:shd w:val="clear" w:color="auto" w:fill="auto"/>
            <w:vAlign w:val="center"/>
          </w:tcPr>
          <w:p w14:paraId="24F990D7">
            <w:pPr>
              <w:pStyle w:val="90"/>
            </w:pPr>
            <w:r>
              <w:rPr>
                <w:rFonts w:hint="eastAsia"/>
              </w:rPr>
              <w:t>0</w:t>
            </w:r>
            <w:r>
              <w:t>.00721</w:t>
            </w:r>
          </w:p>
        </w:tc>
        <w:tc>
          <w:tcPr>
            <w:tcW w:w="624" w:type="pct"/>
            <w:shd w:val="clear" w:color="auto" w:fill="auto"/>
            <w:vAlign w:val="center"/>
          </w:tcPr>
          <w:p w14:paraId="4EF569C7">
            <w:pPr>
              <w:pStyle w:val="90"/>
            </w:pPr>
            <w:r>
              <w:t>9.36</w:t>
            </w:r>
          </w:p>
        </w:tc>
        <w:tc>
          <w:tcPr>
            <w:tcW w:w="624" w:type="pct"/>
            <w:vMerge w:val="continue"/>
            <w:shd w:val="clear" w:color="auto" w:fill="auto"/>
            <w:vAlign w:val="center"/>
          </w:tcPr>
          <w:p w14:paraId="22191731">
            <w:pPr>
              <w:pStyle w:val="90"/>
            </w:pPr>
          </w:p>
        </w:tc>
        <w:tc>
          <w:tcPr>
            <w:tcW w:w="624" w:type="pct"/>
            <w:shd w:val="clear" w:color="auto" w:fill="auto"/>
            <w:vAlign w:val="center"/>
          </w:tcPr>
          <w:p w14:paraId="7A2335C8">
            <w:pPr>
              <w:pStyle w:val="90"/>
            </w:pPr>
            <w:r>
              <w:rPr>
                <w:rFonts w:hint="eastAsia"/>
              </w:rPr>
              <w:t>0.00180</w:t>
            </w:r>
          </w:p>
        </w:tc>
        <w:tc>
          <w:tcPr>
            <w:tcW w:w="624" w:type="pct"/>
            <w:shd w:val="clear" w:color="auto" w:fill="auto"/>
            <w:vAlign w:val="center"/>
          </w:tcPr>
          <w:p w14:paraId="48F7D296">
            <w:pPr>
              <w:pStyle w:val="90"/>
            </w:pPr>
            <w:r>
              <w:rPr>
                <w:rFonts w:hint="eastAsia"/>
              </w:rPr>
              <w:t>2.34</w:t>
            </w:r>
          </w:p>
        </w:tc>
        <w:tc>
          <w:tcPr>
            <w:tcW w:w="624" w:type="pct"/>
            <w:vMerge w:val="continue"/>
            <w:shd w:val="clear" w:color="auto" w:fill="auto"/>
            <w:vAlign w:val="center"/>
          </w:tcPr>
          <w:p w14:paraId="025C97DA">
            <w:pPr>
              <w:pStyle w:val="90"/>
            </w:pPr>
          </w:p>
        </w:tc>
      </w:tr>
      <w:tr w14:paraId="22E2B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752C8FAD">
            <w:pPr>
              <w:pStyle w:val="90"/>
              <w:numPr>
                <w:ilvl w:val="0"/>
                <w:numId w:val="17"/>
              </w:numPr>
            </w:pPr>
          </w:p>
        </w:tc>
        <w:tc>
          <w:tcPr>
            <w:tcW w:w="730" w:type="pct"/>
            <w:shd w:val="clear" w:color="auto" w:fill="auto"/>
            <w:vAlign w:val="center"/>
          </w:tcPr>
          <w:p w14:paraId="125C3511">
            <w:pPr>
              <w:pStyle w:val="90"/>
            </w:pPr>
            <w:r>
              <w:rPr>
                <w:rFonts w:hint="eastAsia"/>
              </w:rPr>
              <w:t>石油类</w:t>
            </w:r>
          </w:p>
        </w:tc>
        <w:tc>
          <w:tcPr>
            <w:tcW w:w="820" w:type="pct"/>
            <w:shd w:val="clear" w:color="auto" w:fill="auto"/>
            <w:vAlign w:val="center"/>
          </w:tcPr>
          <w:p w14:paraId="2B2D8A99">
            <w:pPr>
              <w:pStyle w:val="90"/>
            </w:pPr>
            <w:r>
              <w:rPr>
                <w:rFonts w:hint="eastAsia"/>
              </w:rPr>
              <w:t>0</w:t>
            </w:r>
            <w:r>
              <w:t>.0151</w:t>
            </w:r>
          </w:p>
        </w:tc>
        <w:tc>
          <w:tcPr>
            <w:tcW w:w="624" w:type="pct"/>
            <w:shd w:val="clear" w:color="auto" w:fill="auto"/>
            <w:vAlign w:val="center"/>
          </w:tcPr>
          <w:p w14:paraId="0D570A51">
            <w:pPr>
              <w:pStyle w:val="90"/>
            </w:pPr>
            <w:r>
              <w:rPr>
                <w:rFonts w:hint="eastAsia"/>
              </w:rPr>
              <w:t>1</w:t>
            </w:r>
            <w:r>
              <w:t>9.61</w:t>
            </w:r>
          </w:p>
        </w:tc>
        <w:tc>
          <w:tcPr>
            <w:tcW w:w="624" w:type="pct"/>
            <w:vMerge w:val="continue"/>
            <w:shd w:val="clear" w:color="auto" w:fill="auto"/>
            <w:vAlign w:val="center"/>
          </w:tcPr>
          <w:p w14:paraId="3E88953E">
            <w:pPr>
              <w:pStyle w:val="90"/>
            </w:pPr>
          </w:p>
        </w:tc>
        <w:tc>
          <w:tcPr>
            <w:tcW w:w="624" w:type="pct"/>
            <w:shd w:val="clear" w:color="auto" w:fill="auto"/>
            <w:vAlign w:val="center"/>
          </w:tcPr>
          <w:p w14:paraId="2CF70E71">
            <w:pPr>
              <w:pStyle w:val="90"/>
            </w:pPr>
            <w:r>
              <w:rPr>
                <w:rFonts w:hint="eastAsia"/>
              </w:rPr>
              <w:t>0.00106</w:t>
            </w:r>
          </w:p>
        </w:tc>
        <w:tc>
          <w:tcPr>
            <w:tcW w:w="624" w:type="pct"/>
            <w:shd w:val="clear" w:color="auto" w:fill="auto"/>
            <w:vAlign w:val="center"/>
          </w:tcPr>
          <w:p w14:paraId="38C926B0">
            <w:pPr>
              <w:pStyle w:val="90"/>
            </w:pPr>
            <w:r>
              <w:rPr>
                <w:rFonts w:hint="eastAsia"/>
              </w:rPr>
              <w:t>1.37</w:t>
            </w:r>
          </w:p>
        </w:tc>
        <w:tc>
          <w:tcPr>
            <w:tcW w:w="624" w:type="pct"/>
            <w:vMerge w:val="continue"/>
            <w:shd w:val="clear" w:color="auto" w:fill="auto"/>
            <w:vAlign w:val="center"/>
          </w:tcPr>
          <w:p w14:paraId="45F4AB68">
            <w:pPr>
              <w:pStyle w:val="90"/>
            </w:pPr>
          </w:p>
        </w:tc>
      </w:tr>
      <w:tr w14:paraId="6FFAE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2FE268F2">
            <w:pPr>
              <w:pStyle w:val="90"/>
              <w:numPr>
                <w:ilvl w:val="0"/>
                <w:numId w:val="17"/>
              </w:numPr>
            </w:pPr>
          </w:p>
        </w:tc>
        <w:tc>
          <w:tcPr>
            <w:tcW w:w="730" w:type="pct"/>
            <w:shd w:val="clear" w:color="auto" w:fill="auto"/>
            <w:vAlign w:val="center"/>
          </w:tcPr>
          <w:p w14:paraId="73DB2158">
            <w:pPr>
              <w:pStyle w:val="90"/>
            </w:pPr>
            <w:r>
              <w:rPr>
                <w:rFonts w:hint="eastAsia"/>
              </w:rPr>
              <w:t>挥发酚</w:t>
            </w:r>
          </w:p>
        </w:tc>
        <w:tc>
          <w:tcPr>
            <w:tcW w:w="820" w:type="pct"/>
            <w:shd w:val="clear" w:color="auto" w:fill="auto"/>
            <w:vAlign w:val="center"/>
          </w:tcPr>
          <w:p w14:paraId="1EECB493">
            <w:pPr>
              <w:pStyle w:val="90"/>
            </w:pPr>
            <w:r>
              <w:rPr>
                <w:rFonts w:hint="eastAsia"/>
              </w:rPr>
              <w:t>0</w:t>
            </w:r>
            <w:r>
              <w:t>.0004</w:t>
            </w:r>
          </w:p>
        </w:tc>
        <w:tc>
          <w:tcPr>
            <w:tcW w:w="624" w:type="pct"/>
            <w:shd w:val="clear" w:color="auto" w:fill="auto"/>
            <w:vAlign w:val="center"/>
          </w:tcPr>
          <w:p w14:paraId="364C7296">
            <w:pPr>
              <w:pStyle w:val="90"/>
            </w:pPr>
            <w:r>
              <w:rPr>
                <w:rFonts w:hint="eastAsia"/>
              </w:rPr>
              <w:t>0</w:t>
            </w:r>
            <w:r>
              <w:t>.52</w:t>
            </w:r>
          </w:p>
        </w:tc>
        <w:tc>
          <w:tcPr>
            <w:tcW w:w="624" w:type="pct"/>
            <w:vMerge w:val="continue"/>
            <w:shd w:val="clear" w:color="auto" w:fill="auto"/>
            <w:vAlign w:val="center"/>
          </w:tcPr>
          <w:p w14:paraId="28F01C51">
            <w:pPr>
              <w:pStyle w:val="90"/>
            </w:pPr>
          </w:p>
        </w:tc>
        <w:tc>
          <w:tcPr>
            <w:tcW w:w="624" w:type="pct"/>
            <w:shd w:val="clear" w:color="auto" w:fill="auto"/>
            <w:vAlign w:val="center"/>
          </w:tcPr>
          <w:p w14:paraId="5867E858">
            <w:pPr>
              <w:pStyle w:val="90"/>
            </w:pPr>
            <w:r>
              <w:rPr>
                <w:rFonts w:hint="eastAsia"/>
              </w:rPr>
              <w:t>0.0000</w:t>
            </w:r>
          </w:p>
        </w:tc>
        <w:tc>
          <w:tcPr>
            <w:tcW w:w="624" w:type="pct"/>
            <w:shd w:val="clear" w:color="auto" w:fill="auto"/>
            <w:vAlign w:val="center"/>
          </w:tcPr>
          <w:p w14:paraId="678F0E78">
            <w:pPr>
              <w:pStyle w:val="90"/>
            </w:pPr>
            <w:r>
              <w:rPr>
                <w:rFonts w:hint="eastAsia"/>
              </w:rPr>
              <w:t>0.02</w:t>
            </w:r>
          </w:p>
        </w:tc>
        <w:tc>
          <w:tcPr>
            <w:tcW w:w="624" w:type="pct"/>
            <w:vMerge w:val="continue"/>
            <w:shd w:val="clear" w:color="auto" w:fill="auto"/>
            <w:vAlign w:val="center"/>
          </w:tcPr>
          <w:p w14:paraId="0D40722A">
            <w:pPr>
              <w:pStyle w:val="90"/>
            </w:pPr>
          </w:p>
        </w:tc>
      </w:tr>
      <w:tr w14:paraId="6B868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51E9C894">
            <w:pPr>
              <w:pStyle w:val="90"/>
              <w:numPr>
                <w:ilvl w:val="0"/>
                <w:numId w:val="17"/>
              </w:numPr>
            </w:pPr>
          </w:p>
        </w:tc>
        <w:tc>
          <w:tcPr>
            <w:tcW w:w="730" w:type="pct"/>
            <w:shd w:val="clear" w:color="auto" w:fill="auto"/>
            <w:vAlign w:val="center"/>
          </w:tcPr>
          <w:p w14:paraId="394AD5D3">
            <w:pPr>
              <w:pStyle w:val="90"/>
            </w:pPr>
            <w:r>
              <w:rPr>
                <w:rFonts w:hint="eastAsia"/>
              </w:rPr>
              <w:t>氰化物</w:t>
            </w:r>
          </w:p>
        </w:tc>
        <w:tc>
          <w:tcPr>
            <w:tcW w:w="820" w:type="pct"/>
            <w:shd w:val="clear" w:color="auto" w:fill="auto"/>
            <w:vAlign w:val="center"/>
          </w:tcPr>
          <w:p w14:paraId="6BEAAC5D">
            <w:pPr>
              <w:pStyle w:val="90"/>
            </w:pPr>
            <w:r>
              <w:rPr>
                <w:rFonts w:hint="eastAsia"/>
              </w:rPr>
              <w:t>0</w:t>
            </w:r>
            <w:r>
              <w:t>.00058</w:t>
            </w:r>
          </w:p>
        </w:tc>
        <w:tc>
          <w:tcPr>
            <w:tcW w:w="624" w:type="pct"/>
            <w:shd w:val="clear" w:color="auto" w:fill="auto"/>
            <w:vAlign w:val="center"/>
          </w:tcPr>
          <w:p w14:paraId="4143FE33">
            <w:pPr>
              <w:pStyle w:val="90"/>
            </w:pPr>
            <w:r>
              <w:rPr>
                <w:rFonts w:hint="eastAsia"/>
              </w:rPr>
              <w:t>0</w:t>
            </w:r>
            <w:r>
              <w:t>.75</w:t>
            </w:r>
          </w:p>
        </w:tc>
        <w:tc>
          <w:tcPr>
            <w:tcW w:w="624" w:type="pct"/>
            <w:vMerge w:val="continue"/>
            <w:shd w:val="clear" w:color="auto" w:fill="auto"/>
            <w:vAlign w:val="center"/>
          </w:tcPr>
          <w:p w14:paraId="2D01D09C">
            <w:pPr>
              <w:pStyle w:val="90"/>
            </w:pPr>
          </w:p>
        </w:tc>
        <w:tc>
          <w:tcPr>
            <w:tcW w:w="624" w:type="pct"/>
            <w:shd w:val="clear" w:color="auto" w:fill="auto"/>
            <w:vAlign w:val="center"/>
          </w:tcPr>
          <w:p w14:paraId="52EE320D">
            <w:pPr>
              <w:pStyle w:val="90"/>
            </w:pPr>
            <w:r>
              <w:rPr>
                <w:rFonts w:hint="eastAsia"/>
              </w:rPr>
              <w:t>0.00012</w:t>
            </w:r>
          </w:p>
        </w:tc>
        <w:tc>
          <w:tcPr>
            <w:tcW w:w="624" w:type="pct"/>
            <w:shd w:val="clear" w:color="auto" w:fill="auto"/>
            <w:vAlign w:val="center"/>
          </w:tcPr>
          <w:p w14:paraId="645CF48A">
            <w:pPr>
              <w:pStyle w:val="90"/>
            </w:pPr>
            <w:r>
              <w:rPr>
                <w:rFonts w:hint="eastAsia"/>
              </w:rPr>
              <w:t>0.16</w:t>
            </w:r>
          </w:p>
        </w:tc>
        <w:tc>
          <w:tcPr>
            <w:tcW w:w="624" w:type="pct"/>
            <w:vMerge w:val="continue"/>
            <w:shd w:val="clear" w:color="auto" w:fill="auto"/>
            <w:vAlign w:val="center"/>
          </w:tcPr>
          <w:p w14:paraId="0C6A5CF1">
            <w:pPr>
              <w:pStyle w:val="90"/>
            </w:pPr>
          </w:p>
        </w:tc>
      </w:tr>
    </w:tbl>
    <w:p w14:paraId="0AC9FCF4">
      <w:pPr>
        <w:ind w:firstLine="480"/>
      </w:pPr>
      <w:r>
        <w:rPr>
          <w:rFonts w:hint="eastAsia"/>
        </w:rPr>
        <w:t>（2）冲洗废水</w:t>
      </w:r>
    </w:p>
    <w:p w14:paraId="5A5DF24E">
      <w:pPr>
        <w:ind w:firstLine="480"/>
      </w:pPr>
      <w:r>
        <w:rPr>
          <w:rFonts w:hint="eastAsia"/>
        </w:rPr>
        <w:t>定期对润滑油、润滑脂生产车间地面进行冲洗，用水量为1</w:t>
      </w:r>
      <w:r>
        <w:t>5</w:t>
      </w:r>
      <w:r>
        <w:rPr>
          <w:rFonts w:hint="eastAsia"/>
        </w:rPr>
        <w:t>L</w:t>
      </w:r>
      <w:r>
        <w:t>/</w:t>
      </w:r>
      <w:r>
        <w:rPr>
          <w:rFonts w:hint="eastAsia"/>
        </w:rPr>
        <w:t>m</w:t>
      </w:r>
      <w:r>
        <w:rPr>
          <w:vertAlign w:val="superscript"/>
        </w:rPr>
        <w:t>2</w:t>
      </w:r>
      <w:r>
        <w:rPr>
          <w:rFonts w:hint="eastAsia"/>
        </w:rPr>
        <w:t>·次，本项目润滑油、润滑脂生产车间需要定期冲洗的面积为5</w:t>
      </w:r>
      <w:r>
        <w:t>265.5</w:t>
      </w:r>
      <w:r>
        <w:rPr>
          <w:rFonts w:hint="eastAsia"/>
        </w:rPr>
        <w:t>m</w:t>
      </w:r>
      <w:r>
        <w:rPr>
          <w:vertAlign w:val="superscript"/>
        </w:rPr>
        <w:t>2</w:t>
      </w:r>
      <w:r>
        <w:rPr>
          <w:rFonts w:hint="eastAsia"/>
        </w:rPr>
        <w:t>，每年冲洗</w:t>
      </w:r>
      <w:r>
        <w:t>4</w:t>
      </w:r>
      <w:r>
        <w:rPr>
          <w:rFonts w:hint="eastAsia"/>
        </w:rPr>
        <w:t>次，则冲洗用水量为</w:t>
      </w:r>
      <w:r>
        <w:t>315.93</w:t>
      </w:r>
      <w:r>
        <w:rPr>
          <w:rFonts w:hint="eastAsia"/>
        </w:rPr>
        <w:t>m</w:t>
      </w:r>
      <w:r>
        <w:rPr>
          <w:vertAlign w:val="superscript"/>
        </w:rPr>
        <w:t>3</w:t>
      </w:r>
      <w:r>
        <w:t>/a</w:t>
      </w:r>
      <w:r>
        <w:rPr>
          <w:rFonts w:hint="eastAsia"/>
        </w:rPr>
        <w:t>，冲洗废水产生系数按照0</w:t>
      </w:r>
      <w:r>
        <w:t>.8</w:t>
      </w:r>
      <w:r>
        <w:rPr>
          <w:rFonts w:hint="eastAsia"/>
        </w:rPr>
        <w:t>计算，则冲洗废水产生量为2</w:t>
      </w:r>
      <w:r>
        <w:t>52.74</w:t>
      </w:r>
      <w:r>
        <w:rPr>
          <w:rFonts w:hint="eastAsia"/>
        </w:rPr>
        <w:t>m</w:t>
      </w:r>
      <w:r>
        <w:rPr>
          <w:vertAlign w:val="superscript"/>
        </w:rPr>
        <w:t>3</w:t>
      </w:r>
      <w:r>
        <w:t>/a</w:t>
      </w:r>
      <w:r>
        <w:rPr>
          <w:rFonts w:hint="eastAsia"/>
        </w:rPr>
        <w:t>。</w:t>
      </w:r>
    </w:p>
    <w:p w14:paraId="6C9258AE">
      <w:pPr>
        <w:ind w:firstLine="480"/>
      </w:pPr>
      <w:r>
        <w:rPr>
          <w:rFonts w:hint="eastAsia"/>
        </w:rPr>
        <w:t>（3）循环冷却水排污</w:t>
      </w:r>
    </w:p>
    <w:p w14:paraId="2A56B22C">
      <w:pPr>
        <w:ind w:firstLine="480"/>
      </w:pPr>
      <w:r>
        <w:t>为防止设备结垢、腐蚀，循环水中需要定期添加杀菌灭藻剂和阻垢缓蚀剂等药剂，本项目循环水设计飘水率低于0.3%，浓缩倍率控制在5以下。则单阶段循环水排污量核算如下：</w:t>
      </w:r>
    </w:p>
    <w:p w14:paraId="2021C443">
      <w:pPr>
        <w:ind w:firstLine="480"/>
      </w:pPr>
      <w:r>
        <w:t>循环水在运行过程中顶部抽风机将部分水分抽出，形成</w:t>
      </w:r>
      <w:r>
        <w:rPr>
          <w:rFonts w:hint="eastAsia"/>
        </w:rPr>
        <w:t>飘</w:t>
      </w:r>
      <w:r>
        <w:t>水损失，这部分损失量约为循环量的0.3%；循环水一般需要从60</w:t>
      </w:r>
      <w:r>
        <w:rPr>
          <w:rFonts w:hint="eastAsia"/>
        </w:rPr>
        <w:t>～</w:t>
      </w:r>
      <w:r>
        <w:t>100度降低至20</w:t>
      </w:r>
      <w:r>
        <w:rPr>
          <w:rFonts w:hint="eastAsia"/>
        </w:rPr>
        <w:t>～</w:t>
      </w:r>
      <w:r>
        <w:t>30度，主要靠水分蒸发来减低温度，会产生大量蒸发损耗；由于蒸发量远远大于</w:t>
      </w:r>
      <w:r>
        <w:rPr>
          <w:rFonts w:hint="eastAsia"/>
        </w:rPr>
        <w:t>飘</w:t>
      </w:r>
      <w:r>
        <w:t>水量，会造成循环水浓缩，为防止过度浓缩造成设备结垢及腐蚀，循环水浓缩倍率控制在5（浓缩倍率即循环水Cl</w:t>
      </w:r>
      <w:r>
        <w:rPr>
          <w:vertAlign w:val="superscript"/>
        </w:rPr>
        <w:t>-</w:t>
      </w:r>
      <w:r>
        <w:t>浓度与补充水浓度的比值）以下，需要对循环水进行排污。</w:t>
      </w:r>
    </w:p>
    <w:p w14:paraId="39F06132">
      <w:pPr>
        <w:ind w:firstLine="480"/>
      </w:pPr>
      <w:r>
        <w:t>在不补水的情况下，夏季循环水池浓缩倍率可达到7，冬季为3，平均约5。本项目单阶段循环水量</w:t>
      </w:r>
      <w:r>
        <w:rPr>
          <w:rFonts w:hint="eastAsia"/>
        </w:rPr>
        <w:t>平</w:t>
      </w:r>
      <w:r>
        <w:t>均30</w:t>
      </w:r>
      <w:r>
        <w:rPr>
          <w:rFonts w:hint="eastAsia"/>
        </w:rPr>
        <w:t>m</w:t>
      </w:r>
      <w:r>
        <w:rPr>
          <w:vertAlign w:val="superscript"/>
        </w:rPr>
        <w:t>3</w:t>
      </w:r>
      <w:r>
        <w:t>/h</w:t>
      </w:r>
      <w:r>
        <w:rPr>
          <w:rFonts w:hint="eastAsia"/>
        </w:rPr>
        <w:t>，即</w:t>
      </w:r>
      <w:r>
        <w:t>300m</w:t>
      </w:r>
      <w:r>
        <w:rPr>
          <w:vertAlign w:val="superscript"/>
        </w:rPr>
        <w:t>3</w:t>
      </w:r>
      <w:r>
        <w:t>/d</w:t>
      </w:r>
      <w:r>
        <w:rPr>
          <w:rFonts w:hint="eastAsia"/>
        </w:rPr>
        <w:t>，</w:t>
      </w:r>
      <w:r>
        <w:t>循环水的飘水量约为300</w:t>
      </w:r>
      <w:r>
        <w:rPr>
          <w:rFonts w:hint="eastAsia"/>
        </w:rPr>
        <w:t>×</w:t>
      </w:r>
      <w:r>
        <w:t>0.3%=0.9m</w:t>
      </w:r>
      <w:r>
        <w:rPr>
          <w:vertAlign w:val="superscript"/>
        </w:rPr>
        <w:t>3</w:t>
      </w:r>
      <w:r>
        <w:t>/d，飘水带走的氯离子约为m=ηCQ</w:t>
      </w:r>
      <w:r>
        <w:rPr>
          <w:vertAlign w:val="subscript"/>
        </w:rPr>
        <w:t>飘</w:t>
      </w:r>
      <w:r>
        <w:t>=CQ</w:t>
      </w:r>
      <w:r>
        <w:rPr>
          <w:vertAlign w:val="subscript"/>
        </w:rPr>
        <w:t>补</w:t>
      </w:r>
    </w:p>
    <w:p w14:paraId="01D6DF3F">
      <w:pPr>
        <w:ind w:firstLine="480"/>
      </w:pPr>
      <w:r>
        <w:t>其中η为浓缩倍率；C为补水Cl</w:t>
      </w:r>
      <w:r>
        <w:rPr>
          <w:vertAlign w:val="superscript"/>
        </w:rPr>
        <w:t>-</w:t>
      </w:r>
      <w:r>
        <w:t>浓度；Q</w:t>
      </w:r>
      <w:r>
        <w:rPr>
          <w:vertAlign w:val="subscript"/>
        </w:rPr>
        <w:t>飘</w:t>
      </w:r>
      <w:r>
        <w:t>为飘水量；Q</w:t>
      </w:r>
      <w:r>
        <w:rPr>
          <w:vertAlign w:val="subscript"/>
        </w:rPr>
        <w:t>补</w:t>
      </w:r>
      <w:r>
        <w:t>为补水量。</w:t>
      </w:r>
    </w:p>
    <w:p w14:paraId="4352F08E">
      <w:pPr>
        <w:ind w:firstLine="480"/>
      </w:pPr>
      <w:r>
        <w:t>则Q</w:t>
      </w:r>
      <w:r>
        <w:rPr>
          <w:vertAlign w:val="subscript"/>
        </w:rPr>
        <w:t>补</w:t>
      </w:r>
      <w:r>
        <w:t>=ηQ</w:t>
      </w:r>
      <w:r>
        <w:rPr>
          <w:vertAlign w:val="subscript"/>
        </w:rPr>
        <w:t>飘</w:t>
      </w:r>
      <w:r>
        <w:t>，Q</w:t>
      </w:r>
      <w:r>
        <w:rPr>
          <w:vertAlign w:val="subscript"/>
        </w:rPr>
        <w:t>蒸</w:t>
      </w:r>
      <w:r>
        <w:t>=Q</w:t>
      </w:r>
      <w:r>
        <w:rPr>
          <w:vertAlign w:val="subscript"/>
        </w:rPr>
        <w:t>补</w:t>
      </w:r>
      <w:r>
        <w:t>-Q</w:t>
      </w:r>
      <w:r>
        <w:rPr>
          <w:vertAlign w:val="subscript"/>
        </w:rPr>
        <w:t>飘</w:t>
      </w:r>
    </w:p>
    <w:p w14:paraId="08CB6300">
      <w:pPr>
        <w:ind w:firstLine="480"/>
      </w:pPr>
      <w:r>
        <w:t>由此可以计算出循环水的平均蒸发量Q</w:t>
      </w:r>
      <w:r>
        <w:rPr>
          <w:vertAlign w:val="subscript"/>
        </w:rPr>
        <w:t>蒸</w:t>
      </w:r>
      <w:r>
        <w:t>=（η-1）Q</w:t>
      </w:r>
      <w:r>
        <w:rPr>
          <w:vertAlign w:val="subscript"/>
        </w:rPr>
        <w:t>飘</w:t>
      </w:r>
      <w:r>
        <w:t>，夏季峰值蒸发量约为3.6m</w:t>
      </w:r>
      <w:r>
        <w:rPr>
          <w:vertAlign w:val="superscript"/>
        </w:rPr>
        <w:t>3</w:t>
      </w:r>
      <w:r>
        <w:t>/d；冬季蒸发量较小，约为1.8m</w:t>
      </w:r>
      <w:r>
        <w:rPr>
          <w:vertAlign w:val="superscript"/>
        </w:rPr>
        <w:t>3</w:t>
      </w:r>
      <w:r>
        <w:t>/d，蒸发量只与气象有关。为防止循环水过度浓缩产生设备腐蚀及结垢，循环水浓缩倍率控制在5以下，当浓缩倍率大于5时就要进行排污。则飘水损失的氯离子约为m=5CQ</w:t>
      </w:r>
      <w:r>
        <w:rPr>
          <w:vertAlign w:val="subscript"/>
        </w:rPr>
        <w:t>飘</w:t>
      </w:r>
      <w:r>
        <w:t>，循环水补充实际补水量Q</w:t>
      </w:r>
      <w:r>
        <w:rPr>
          <w:vertAlign w:val="subscript"/>
        </w:rPr>
        <w:t>补</w:t>
      </w:r>
      <w:r>
        <w:t>=Q</w:t>
      </w:r>
      <w:r>
        <w:rPr>
          <w:vertAlign w:val="subscript"/>
        </w:rPr>
        <w:t>飘</w:t>
      </w:r>
      <w:r>
        <w:t>+ Q</w:t>
      </w:r>
      <w:r>
        <w:rPr>
          <w:vertAlign w:val="subscript"/>
        </w:rPr>
        <w:t>蒸</w:t>
      </w:r>
      <w:r>
        <w:t>+ Q</w:t>
      </w:r>
      <w:r>
        <w:rPr>
          <w:vertAlign w:val="subscript"/>
        </w:rPr>
        <w:t>排</w:t>
      </w:r>
      <w:r>
        <w:t>，夏季峰值排污量约为0.36m</w:t>
      </w:r>
      <w:r>
        <w:rPr>
          <w:vertAlign w:val="superscript"/>
        </w:rPr>
        <w:t>3</w:t>
      </w:r>
      <w:r>
        <w:t>/</w:t>
      </w:r>
      <w:r>
        <w:rPr>
          <w:rFonts w:hint="eastAsia"/>
        </w:rPr>
        <w:t>h</w:t>
      </w:r>
      <w:r>
        <w:t>（</w:t>
      </w:r>
      <w:r>
        <w:rPr>
          <w:rFonts w:hint="eastAsia"/>
        </w:rPr>
        <w:t>2</w:t>
      </w:r>
      <w:r>
        <w:t>592m</w:t>
      </w:r>
      <w:r>
        <w:rPr>
          <w:vertAlign w:val="superscript"/>
        </w:rPr>
        <w:t>3</w:t>
      </w:r>
      <w:r>
        <w:t>/a）</w:t>
      </w:r>
      <w:r>
        <w:rPr>
          <w:rFonts w:hint="eastAsia"/>
        </w:rPr>
        <w:t>。</w:t>
      </w:r>
    </w:p>
    <w:p w14:paraId="7F138CC7">
      <w:pPr>
        <w:ind w:firstLine="480"/>
      </w:pPr>
      <w:r>
        <w:rPr>
          <w:rFonts w:hint="eastAsia"/>
        </w:rPr>
        <w:t>（</w:t>
      </w:r>
      <w:r>
        <w:t>4</w:t>
      </w:r>
      <w:r>
        <w:rPr>
          <w:rFonts w:hint="eastAsia"/>
        </w:rPr>
        <w:t>）生活污水</w:t>
      </w:r>
    </w:p>
    <w:p w14:paraId="7CEEFFB1">
      <w:pPr>
        <w:ind w:firstLine="480"/>
        <w:rPr>
          <w:rFonts w:hint="eastAsia"/>
        </w:rPr>
      </w:pPr>
      <w:r>
        <w:rPr>
          <w:rFonts w:hint="eastAsia"/>
        </w:rPr>
        <w:t>本项目劳动定员为</w:t>
      </w:r>
      <w:r>
        <w:t>100</w:t>
      </w:r>
      <w:r>
        <w:rPr>
          <w:rFonts w:hint="eastAsia"/>
        </w:rPr>
        <w:t>人，参考《城市居民生活用水量标准（2</w:t>
      </w:r>
      <w:r>
        <w:t>023</w:t>
      </w:r>
      <w:r>
        <w:rPr>
          <w:rFonts w:hint="eastAsia"/>
        </w:rPr>
        <w:t>年版）》（GB</w:t>
      </w:r>
      <w:r>
        <w:t>/</w:t>
      </w:r>
      <w:r>
        <w:rPr>
          <w:rFonts w:hint="eastAsia"/>
        </w:rPr>
        <w:t>T</w:t>
      </w:r>
      <w:r>
        <w:t>50331-2002</w:t>
      </w:r>
      <w:r>
        <w:rPr>
          <w:rFonts w:hint="eastAsia"/>
        </w:rPr>
        <w:t>）中的表3</w:t>
      </w:r>
      <w:r>
        <w:t>.0.1</w:t>
      </w:r>
      <w:r>
        <w:rPr>
          <w:rFonts w:hint="eastAsia"/>
        </w:rPr>
        <w:t>，本项目用水量按照每人每天8</w:t>
      </w:r>
      <w:r>
        <w:t>0</w:t>
      </w:r>
      <w:r>
        <w:rPr>
          <w:rFonts w:hint="eastAsia"/>
        </w:rPr>
        <w:t>L计算，年工作时间为</w:t>
      </w:r>
      <w:r>
        <w:t>7200</w:t>
      </w:r>
      <w:r>
        <w:rPr>
          <w:rFonts w:hint="eastAsia"/>
        </w:rPr>
        <w:t>h（3</w:t>
      </w:r>
      <w:r>
        <w:t>00</w:t>
      </w:r>
      <w:r>
        <w:rPr>
          <w:rFonts w:hint="eastAsia"/>
        </w:rPr>
        <w:t>天），则本项目生活用水量为</w:t>
      </w:r>
      <w:r>
        <w:t>2400</w:t>
      </w:r>
      <w:r>
        <w:rPr>
          <w:rFonts w:hint="eastAsia"/>
        </w:rPr>
        <w:t>m</w:t>
      </w:r>
      <w:r>
        <w:rPr>
          <w:vertAlign w:val="superscript"/>
        </w:rPr>
        <w:t>3</w:t>
      </w:r>
      <w:r>
        <w:t>/a</w:t>
      </w:r>
      <w:r>
        <w:rPr>
          <w:rFonts w:hint="eastAsia"/>
        </w:rPr>
        <w:t>，生活污水排水系数按8</w:t>
      </w:r>
      <w:r>
        <w:t>0</w:t>
      </w:r>
      <w:r>
        <w:rPr>
          <w:rFonts w:hint="eastAsia"/>
        </w:rPr>
        <w:t>%计算，则生活污水排放量为</w:t>
      </w:r>
      <w:r>
        <w:t>1920</w:t>
      </w:r>
      <w:r>
        <w:rPr>
          <w:rFonts w:hint="eastAsia"/>
        </w:rPr>
        <w:t>m</w:t>
      </w:r>
      <w:r>
        <w:rPr>
          <w:vertAlign w:val="superscript"/>
        </w:rPr>
        <w:t>3</w:t>
      </w:r>
      <w:r>
        <w:t>/a</w:t>
      </w:r>
      <w:r>
        <w:rPr>
          <w:rFonts w:hint="eastAsia"/>
        </w:rPr>
        <w:t>。</w:t>
      </w:r>
    </w:p>
    <w:p w14:paraId="0141AD2D">
      <w:pPr>
        <w:ind w:firstLine="480"/>
        <w:rPr>
          <w:rFonts w:hint="eastAsia"/>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碱洗喷淋废水</w:t>
      </w:r>
    </w:p>
    <w:p w14:paraId="59743E33">
      <w:pPr>
        <w:ind w:firstLine="480"/>
        <w:rPr>
          <w:rFonts w:hint="default"/>
          <w:vertAlign w:val="baseline"/>
          <w:lang w:val="en-US" w:eastAsia="zh-CN"/>
        </w:rPr>
      </w:pPr>
      <w:r>
        <w:rPr>
          <w:rFonts w:hint="eastAsia"/>
          <w:lang w:val="en-US" w:eastAsia="zh-CN"/>
        </w:rPr>
        <w:t>本项目润滑油生产车间设置两套碱洗喷淋+活性炭吸附装置对生产过程产生的酸性废气、有机废气进行处理，配置的碱洗喷淋液为氢氧化钠溶液，溶液浓度设计为2～6%，本次评价取平均值4%。氢氧化钠的年消耗量为15t/a，则所用新鲜水为360m</w:t>
      </w:r>
      <w:r>
        <w:rPr>
          <w:rFonts w:hint="eastAsia"/>
          <w:vertAlign w:val="superscript"/>
          <w:lang w:val="en-US" w:eastAsia="zh-CN"/>
        </w:rPr>
        <w:t>3</w:t>
      </w:r>
      <w:r>
        <w:rPr>
          <w:rFonts w:hint="eastAsia"/>
          <w:vertAlign w:val="baseline"/>
          <w:lang w:val="en-US" w:eastAsia="zh-CN"/>
        </w:rPr>
        <w:t>，在循环喷淋过程中，水分有所损失，考虑碱洗喷淋废水排放系数为0.8，则碱洗喷淋过程的废水排放量为288m</w:t>
      </w:r>
      <w:r>
        <w:rPr>
          <w:rFonts w:hint="eastAsia"/>
          <w:vertAlign w:val="superscript"/>
          <w:lang w:val="en-US" w:eastAsia="zh-CN"/>
        </w:rPr>
        <w:t>3</w:t>
      </w:r>
      <w:r>
        <w:rPr>
          <w:rFonts w:hint="eastAsia"/>
          <w:vertAlign w:val="baseline"/>
          <w:lang w:val="en-US" w:eastAsia="zh-CN"/>
        </w:rPr>
        <w:t>/a。</w:t>
      </w:r>
    </w:p>
    <w:p w14:paraId="0DE955BD">
      <w:pPr>
        <w:ind w:firstLine="480"/>
      </w:pPr>
      <w:r>
        <w:rPr>
          <w:rFonts w:hint="eastAsia"/>
        </w:rPr>
        <w:t>本项目废水排放情况汇总见表3</w:t>
      </w:r>
      <w:r>
        <w:t>.4-7</w:t>
      </w:r>
      <w:r>
        <w:rPr>
          <w:rFonts w:hint="eastAsia"/>
        </w:rPr>
        <w:t>。</w:t>
      </w:r>
    </w:p>
    <w:p w14:paraId="0D16FDD6">
      <w:pPr>
        <w:pStyle w:val="47"/>
        <w:spacing w:before="65"/>
      </w:pPr>
      <w:r>
        <w:rPr>
          <w:rFonts w:hint="eastAsia"/>
        </w:rPr>
        <w:t>表3</w:t>
      </w:r>
      <w:r>
        <w:t xml:space="preserve">.4-7   </w:t>
      </w:r>
      <w:r>
        <w:rPr>
          <w:rFonts w:hint="eastAsia"/>
        </w:rPr>
        <w:t>本项目废水产生情况汇总表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6"/>
        <w:gridCol w:w="1276"/>
        <w:gridCol w:w="1433"/>
        <w:gridCol w:w="1091"/>
        <w:gridCol w:w="1091"/>
        <w:gridCol w:w="1091"/>
        <w:gridCol w:w="1091"/>
        <w:gridCol w:w="1091"/>
      </w:tblGrid>
      <w:tr w14:paraId="5ABC5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1858B05B">
            <w:pPr>
              <w:pStyle w:val="90"/>
            </w:pPr>
            <w:r>
              <w:rPr>
                <w:rFonts w:hint="eastAsia"/>
              </w:rPr>
              <w:t>排放源</w:t>
            </w:r>
          </w:p>
        </w:tc>
        <w:tc>
          <w:tcPr>
            <w:tcW w:w="730" w:type="pct"/>
            <w:shd w:val="clear" w:color="auto" w:fill="auto"/>
            <w:vAlign w:val="center"/>
          </w:tcPr>
          <w:p w14:paraId="66EFFE71">
            <w:pPr>
              <w:pStyle w:val="90"/>
            </w:pPr>
            <w:r>
              <w:rPr>
                <w:rFonts w:hint="eastAsia"/>
              </w:rPr>
              <w:t>污染物</w:t>
            </w:r>
          </w:p>
        </w:tc>
        <w:tc>
          <w:tcPr>
            <w:tcW w:w="820" w:type="pct"/>
            <w:shd w:val="clear" w:color="auto" w:fill="auto"/>
            <w:vAlign w:val="center"/>
          </w:tcPr>
          <w:p w14:paraId="1A2CED6C">
            <w:pPr>
              <w:pStyle w:val="90"/>
            </w:pPr>
            <w:r>
              <w:rPr>
                <w:rFonts w:hint="eastAsia"/>
              </w:rPr>
              <w:t>产生量（</w:t>
            </w:r>
            <w:r>
              <w:t>t/a）</w:t>
            </w:r>
          </w:p>
        </w:tc>
        <w:tc>
          <w:tcPr>
            <w:tcW w:w="624" w:type="pct"/>
            <w:shd w:val="clear" w:color="auto" w:fill="auto"/>
            <w:vAlign w:val="center"/>
          </w:tcPr>
          <w:p w14:paraId="093E561C">
            <w:pPr>
              <w:pStyle w:val="90"/>
            </w:pPr>
            <w:r>
              <w:rPr>
                <w:rFonts w:hint="eastAsia"/>
              </w:rPr>
              <w:t>产生浓度（</w:t>
            </w:r>
            <w:r>
              <w:t>mg/L）</w:t>
            </w:r>
          </w:p>
        </w:tc>
        <w:tc>
          <w:tcPr>
            <w:tcW w:w="624" w:type="pct"/>
            <w:shd w:val="clear" w:color="auto" w:fill="auto"/>
            <w:vAlign w:val="center"/>
          </w:tcPr>
          <w:p w14:paraId="407E11C0">
            <w:pPr>
              <w:pStyle w:val="90"/>
            </w:pPr>
            <w:r>
              <w:rPr>
                <w:rFonts w:hint="eastAsia"/>
              </w:rPr>
              <w:t>治理措施</w:t>
            </w:r>
          </w:p>
        </w:tc>
        <w:tc>
          <w:tcPr>
            <w:tcW w:w="624" w:type="pct"/>
            <w:shd w:val="clear" w:color="auto" w:fill="auto"/>
            <w:vAlign w:val="center"/>
          </w:tcPr>
          <w:p w14:paraId="488364A1">
            <w:pPr>
              <w:pStyle w:val="90"/>
            </w:pPr>
            <w:r>
              <w:rPr>
                <w:rFonts w:hint="eastAsia"/>
              </w:rPr>
              <w:t>排放量（</w:t>
            </w:r>
            <w:r>
              <w:t>t/a）</w:t>
            </w:r>
          </w:p>
        </w:tc>
        <w:tc>
          <w:tcPr>
            <w:tcW w:w="624" w:type="pct"/>
            <w:shd w:val="clear" w:color="auto" w:fill="auto"/>
            <w:vAlign w:val="center"/>
          </w:tcPr>
          <w:p w14:paraId="388A48F3">
            <w:pPr>
              <w:pStyle w:val="90"/>
            </w:pPr>
            <w:r>
              <w:rPr>
                <w:rFonts w:hint="eastAsia"/>
              </w:rPr>
              <w:t>排放浓度（</w:t>
            </w:r>
            <w:r>
              <w:t>mg/L）</w:t>
            </w:r>
          </w:p>
        </w:tc>
        <w:tc>
          <w:tcPr>
            <w:tcW w:w="624" w:type="pct"/>
            <w:shd w:val="clear" w:color="auto" w:fill="auto"/>
            <w:vAlign w:val="center"/>
          </w:tcPr>
          <w:p w14:paraId="077E33B2">
            <w:pPr>
              <w:pStyle w:val="90"/>
            </w:pPr>
            <w:r>
              <w:rPr>
                <w:rFonts w:hint="eastAsia"/>
              </w:rPr>
              <w:t>最终去向</w:t>
            </w:r>
          </w:p>
        </w:tc>
      </w:tr>
      <w:tr w14:paraId="6A96C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2DB0162F">
            <w:pPr>
              <w:pStyle w:val="90"/>
            </w:pPr>
            <w:r>
              <w:rPr>
                <w:rFonts w:hint="eastAsia"/>
              </w:rPr>
              <w:t>生产车间废水</w:t>
            </w:r>
          </w:p>
        </w:tc>
        <w:tc>
          <w:tcPr>
            <w:tcW w:w="730" w:type="pct"/>
            <w:shd w:val="clear" w:color="auto" w:fill="auto"/>
            <w:vAlign w:val="center"/>
          </w:tcPr>
          <w:p w14:paraId="3D118E33">
            <w:pPr>
              <w:pStyle w:val="90"/>
            </w:pPr>
            <w:r>
              <w:rPr>
                <w:rFonts w:hint="eastAsia"/>
              </w:rPr>
              <w:t>废水量</w:t>
            </w:r>
          </w:p>
        </w:tc>
        <w:tc>
          <w:tcPr>
            <w:tcW w:w="820" w:type="pct"/>
            <w:shd w:val="clear" w:color="auto" w:fill="auto"/>
            <w:vAlign w:val="center"/>
          </w:tcPr>
          <w:p w14:paraId="1CBB8900">
            <w:pPr>
              <w:pStyle w:val="90"/>
            </w:pPr>
            <w:r>
              <w:rPr>
                <w:rFonts w:hint="eastAsia"/>
              </w:rPr>
              <w:t>7</w:t>
            </w:r>
            <w:r>
              <w:t>70</w:t>
            </w:r>
            <w:r>
              <w:rPr>
                <w:rFonts w:hint="eastAsia"/>
              </w:rPr>
              <w:t>m</w:t>
            </w:r>
            <w:r>
              <w:rPr>
                <w:vertAlign w:val="superscript"/>
              </w:rPr>
              <w:t>3</w:t>
            </w:r>
            <w:r>
              <w:t>/a</w:t>
            </w:r>
          </w:p>
        </w:tc>
        <w:tc>
          <w:tcPr>
            <w:tcW w:w="624" w:type="pct"/>
            <w:shd w:val="clear" w:color="auto" w:fill="auto"/>
            <w:vAlign w:val="center"/>
          </w:tcPr>
          <w:p w14:paraId="348F2BC8">
            <w:pPr>
              <w:pStyle w:val="90"/>
            </w:pPr>
            <w:r>
              <w:rPr>
                <w:rFonts w:hint="eastAsia"/>
              </w:rPr>
              <w:t>/</w:t>
            </w:r>
          </w:p>
        </w:tc>
        <w:tc>
          <w:tcPr>
            <w:tcW w:w="624" w:type="pct"/>
            <w:vMerge w:val="restart"/>
            <w:shd w:val="clear" w:color="auto" w:fill="auto"/>
            <w:vAlign w:val="center"/>
          </w:tcPr>
          <w:p w14:paraId="28130D8A">
            <w:pPr>
              <w:pStyle w:val="90"/>
            </w:pPr>
            <w:r>
              <w:rPr>
                <w:rFonts w:hint="eastAsia"/>
              </w:rPr>
              <w:t>厂区污水处理站</w:t>
            </w:r>
          </w:p>
        </w:tc>
        <w:tc>
          <w:tcPr>
            <w:tcW w:w="624" w:type="pct"/>
            <w:shd w:val="clear" w:color="auto" w:fill="auto"/>
            <w:vAlign w:val="center"/>
          </w:tcPr>
          <w:p w14:paraId="4E2E4564">
            <w:pPr>
              <w:pStyle w:val="90"/>
            </w:pPr>
            <w:r>
              <w:rPr>
                <w:rFonts w:hint="eastAsia"/>
              </w:rPr>
              <w:t>7</w:t>
            </w:r>
            <w:r>
              <w:t>70</w:t>
            </w:r>
            <w:r>
              <w:rPr>
                <w:rFonts w:hint="eastAsia"/>
              </w:rPr>
              <w:t>m</w:t>
            </w:r>
            <w:r>
              <w:rPr>
                <w:vertAlign w:val="superscript"/>
              </w:rPr>
              <w:t>3</w:t>
            </w:r>
            <w:r>
              <w:t>/a</w:t>
            </w:r>
          </w:p>
        </w:tc>
        <w:tc>
          <w:tcPr>
            <w:tcW w:w="624" w:type="pct"/>
            <w:shd w:val="clear" w:color="auto" w:fill="auto"/>
            <w:vAlign w:val="center"/>
          </w:tcPr>
          <w:p w14:paraId="591958B4">
            <w:pPr>
              <w:pStyle w:val="90"/>
            </w:pPr>
            <w:r>
              <w:rPr>
                <w:rFonts w:hint="eastAsia"/>
              </w:rPr>
              <w:t>/</w:t>
            </w:r>
          </w:p>
        </w:tc>
        <w:tc>
          <w:tcPr>
            <w:tcW w:w="624" w:type="pct"/>
            <w:vMerge w:val="restart"/>
            <w:shd w:val="clear" w:color="auto" w:fill="auto"/>
            <w:vAlign w:val="center"/>
          </w:tcPr>
          <w:p w14:paraId="20345BE9">
            <w:pPr>
              <w:pStyle w:val="90"/>
            </w:pPr>
            <w:r>
              <w:rPr>
                <w:rFonts w:hint="eastAsia"/>
              </w:rPr>
              <w:t>排入园区污水处理厂处理</w:t>
            </w:r>
          </w:p>
        </w:tc>
      </w:tr>
      <w:tr w14:paraId="7EDE1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05311105">
            <w:pPr>
              <w:pStyle w:val="90"/>
            </w:pPr>
          </w:p>
        </w:tc>
        <w:tc>
          <w:tcPr>
            <w:tcW w:w="730" w:type="pct"/>
            <w:shd w:val="clear" w:color="auto" w:fill="auto"/>
            <w:vAlign w:val="center"/>
          </w:tcPr>
          <w:p w14:paraId="3FEB466B">
            <w:pPr>
              <w:pStyle w:val="90"/>
            </w:pPr>
            <w:r>
              <w:rPr>
                <w:rFonts w:hint="eastAsia"/>
              </w:rPr>
              <w:t>化学需氧量</w:t>
            </w:r>
          </w:p>
        </w:tc>
        <w:tc>
          <w:tcPr>
            <w:tcW w:w="820" w:type="pct"/>
            <w:shd w:val="clear" w:color="auto" w:fill="auto"/>
            <w:vAlign w:val="center"/>
          </w:tcPr>
          <w:p w14:paraId="1268FC73">
            <w:pPr>
              <w:pStyle w:val="90"/>
            </w:pPr>
            <w:r>
              <w:rPr>
                <w:rFonts w:hint="eastAsia"/>
              </w:rPr>
              <w:t>1</w:t>
            </w:r>
            <w:r>
              <w:t>.01</w:t>
            </w:r>
          </w:p>
        </w:tc>
        <w:tc>
          <w:tcPr>
            <w:tcW w:w="624" w:type="pct"/>
            <w:shd w:val="clear" w:color="auto" w:fill="auto"/>
            <w:vAlign w:val="center"/>
          </w:tcPr>
          <w:p w14:paraId="35299651">
            <w:pPr>
              <w:pStyle w:val="90"/>
            </w:pPr>
            <w:r>
              <w:rPr>
                <w:rFonts w:hint="eastAsia"/>
              </w:rPr>
              <w:t>1</w:t>
            </w:r>
            <w:r>
              <w:t>311.69</w:t>
            </w:r>
          </w:p>
        </w:tc>
        <w:tc>
          <w:tcPr>
            <w:tcW w:w="624" w:type="pct"/>
            <w:vMerge w:val="continue"/>
            <w:shd w:val="clear" w:color="auto" w:fill="auto"/>
            <w:vAlign w:val="center"/>
          </w:tcPr>
          <w:p w14:paraId="2ED8FCA7">
            <w:pPr>
              <w:pStyle w:val="90"/>
            </w:pPr>
          </w:p>
        </w:tc>
        <w:tc>
          <w:tcPr>
            <w:tcW w:w="624" w:type="pct"/>
            <w:shd w:val="clear" w:color="auto" w:fill="auto"/>
            <w:vAlign w:val="center"/>
          </w:tcPr>
          <w:p w14:paraId="248949A3">
            <w:pPr>
              <w:pStyle w:val="90"/>
              <w:rPr>
                <w:kern w:val="0"/>
              </w:rPr>
            </w:pPr>
            <w:r>
              <w:rPr>
                <w:rFonts w:hint="eastAsia"/>
              </w:rPr>
              <w:t>0.1717</w:t>
            </w:r>
          </w:p>
        </w:tc>
        <w:tc>
          <w:tcPr>
            <w:tcW w:w="624" w:type="pct"/>
            <w:shd w:val="clear" w:color="auto" w:fill="auto"/>
            <w:vAlign w:val="center"/>
          </w:tcPr>
          <w:p w14:paraId="4FF8E48A">
            <w:pPr>
              <w:pStyle w:val="90"/>
              <w:rPr>
                <w:kern w:val="0"/>
              </w:rPr>
            </w:pPr>
            <w:r>
              <w:rPr>
                <w:rFonts w:hint="eastAsia"/>
              </w:rPr>
              <w:t>222.99</w:t>
            </w:r>
          </w:p>
        </w:tc>
        <w:tc>
          <w:tcPr>
            <w:tcW w:w="624" w:type="pct"/>
            <w:vMerge w:val="continue"/>
            <w:shd w:val="clear" w:color="auto" w:fill="auto"/>
            <w:vAlign w:val="center"/>
          </w:tcPr>
          <w:p w14:paraId="105926BE">
            <w:pPr>
              <w:pStyle w:val="90"/>
            </w:pPr>
          </w:p>
        </w:tc>
      </w:tr>
      <w:tr w14:paraId="25624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2017DB3F">
            <w:pPr>
              <w:pStyle w:val="90"/>
            </w:pPr>
          </w:p>
        </w:tc>
        <w:tc>
          <w:tcPr>
            <w:tcW w:w="730" w:type="pct"/>
            <w:shd w:val="clear" w:color="auto" w:fill="auto"/>
            <w:vAlign w:val="center"/>
          </w:tcPr>
          <w:p w14:paraId="79E40732">
            <w:pPr>
              <w:pStyle w:val="90"/>
            </w:pPr>
            <w:r>
              <w:rPr>
                <w:rFonts w:hint="eastAsia"/>
              </w:rPr>
              <w:t>氨氮</w:t>
            </w:r>
          </w:p>
        </w:tc>
        <w:tc>
          <w:tcPr>
            <w:tcW w:w="820" w:type="pct"/>
            <w:shd w:val="clear" w:color="auto" w:fill="auto"/>
            <w:vAlign w:val="center"/>
          </w:tcPr>
          <w:p w14:paraId="325FBB6A">
            <w:pPr>
              <w:pStyle w:val="90"/>
            </w:pPr>
            <w:r>
              <w:rPr>
                <w:rFonts w:hint="eastAsia"/>
              </w:rPr>
              <w:t>0</w:t>
            </w:r>
            <w:r>
              <w:t>.00721</w:t>
            </w:r>
          </w:p>
        </w:tc>
        <w:tc>
          <w:tcPr>
            <w:tcW w:w="624" w:type="pct"/>
            <w:shd w:val="clear" w:color="auto" w:fill="auto"/>
            <w:vAlign w:val="center"/>
          </w:tcPr>
          <w:p w14:paraId="0355B9BE">
            <w:pPr>
              <w:pStyle w:val="90"/>
            </w:pPr>
            <w:r>
              <w:t>9.36</w:t>
            </w:r>
          </w:p>
        </w:tc>
        <w:tc>
          <w:tcPr>
            <w:tcW w:w="624" w:type="pct"/>
            <w:vMerge w:val="continue"/>
            <w:shd w:val="clear" w:color="auto" w:fill="auto"/>
            <w:vAlign w:val="center"/>
          </w:tcPr>
          <w:p w14:paraId="2AB51EDB">
            <w:pPr>
              <w:pStyle w:val="90"/>
            </w:pPr>
          </w:p>
        </w:tc>
        <w:tc>
          <w:tcPr>
            <w:tcW w:w="624" w:type="pct"/>
            <w:shd w:val="clear" w:color="auto" w:fill="auto"/>
            <w:vAlign w:val="center"/>
          </w:tcPr>
          <w:p w14:paraId="7EFB71EC">
            <w:pPr>
              <w:pStyle w:val="90"/>
            </w:pPr>
            <w:r>
              <w:rPr>
                <w:rFonts w:hint="eastAsia"/>
              </w:rPr>
              <w:t>0.00180</w:t>
            </w:r>
          </w:p>
        </w:tc>
        <w:tc>
          <w:tcPr>
            <w:tcW w:w="624" w:type="pct"/>
            <w:shd w:val="clear" w:color="auto" w:fill="auto"/>
            <w:vAlign w:val="center"/>
          </w:tcPr>
          <w:p w14:paraId="38FAEAC9">
            <w:pPr>
              <w:pStyle w:val="90"/>
            </w:pPr>
            <w:r>
              <w:rPr>
                <w:rFonts w:hint="eastAsia"/>
              </w:rPr>
              <w:t>2.34</w:t>
            </w:r>
          </w:p>
        </w:tc>
        <w:tc>
          <w:tcPr>
            <w:tcW w:w="624" w:type="pct"/>
            <w:vMerge w:val="continue"/>
            <w:shd w:val="clear" w:color="auto" w:fill="auto"/>
            <w:vAlign w:val="center"/>
          </w:tcPr>
          <w:p w14:paraId="479E3C90">
            <w:pPr>
              <w:pStyle w:val="90"/>
            </w:pPr>
          </w:p>
        </w:tc>
      </w:tr>
      <w:tr w14:paraId="09F9B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5A9931EE">
            <w:pPr>
              <w:pStyle w:val="90"/>
            </w:pPr>
          </w:p>
        </w:tc>
        <w:tc>
          <w:tcPr>
            <w:tcW w:w="730" w:type="pct"/>
            <w:shd w:val="clear" w:color="auto" w:fill="auto"/>
            <w:vAlign w:val="center"/>
          </w:tcPr>
          <w:p w14:paraId="72C3A947">
            <w:pPr>
              <w:pStyle w:val="90"/>
            </w:pPr>
            <w:r>
              <w:rPr>
                <w:rFonts w:hint="eastAsia"/>
              </w:rPr>
              <w:t>石油类</w:t>
            </w:r>
          </w:p>
        </w:tc>
        <w:tc>
          <w:tcPr>
            <w:tcW w:w="820" w:type="pct"/>
            <w:shd w:val="clear" w:color="auto" w:fill="auto"/>
            <w:vAlign w:val="center"/>
          </w:tcPr>
          <w:p w14:paraId="50D55D49">
            <w:pPr>
              <w:pStyle w:val="90"/>
            </w:pPr>
            <w:r>
              <w:rPr>
                <w:rFonts w:hint="eastAsia"/>
              </w:rPr>
              <w:t>0</w:t>
            </w:r>
            <w:r>
              <w:t>.0151</w:t>
            </w:r>
          </w:p>
        </w:tc>
        <w:tc>
          <w:tcPr>
            <w:tcW w:w="624" w:type="pct"/>
            <w:shd w:val="clear" w:color="auto" w:fill="auto"/>
            <w:vAlign w:val="center"/>
          </w:tcPr>
          <w:p w14:paraId="2FAEC608">
            <w:pPr>
              <w:pStyle w:val="90"/>
            </w:pPr>
            <w:r>
              <w:rPr>
                <w:rFonts w:hint="eastAsia"/>
              </w:rPr>
              <w:t>1</w:t>
            </w:r>
            <w:r>
              <w:t>9.61</w:t>
            </w:r>
          </w:p>
        </w:tc>
        <w:tc>
          <w:tcPr>
            <w:tcW w:w="624" w:type="pct"/>
            <w:vMerge w:val="continue"/>
            <w:shd w:val="clear" w:color="auto" w:fill="auto"/>
            <w:vAlign w:val="center"/>
          </w:tcPr>
          <w:p w14:paraId="51AA6BC1">
            <w:pPr>
              <w:pStyle w:val="90"/>
            </w:pPr>
          </w:p>
        </w:tc>
        <w:tc>
          <w:tcPr>
            <w:tcW w:w="624" w:type="pct"/>
            <w:shd w:val="clear" w:color="auto" w:fill="auto"/>
            <w:vAlign w:val="center"/>
          </w:tcPr>
          <w:p w14:paraId="062EEC10">
            <w:pPr>
              <w:pStyle w:val="90"/>
            </w:pPr>
            <w:r>
              <w:rPr>
                <w:rFonts w:hint="eastAsia"/>
              </w:rPr>
              <w:t>0.00106</w:t>
            </w:r>
          </w:p>
        </w:tc>
        <w:tc>
          <w:tcPr>
            <w:tcW w:w="624" w:type="pct"/>
            <w:shd w:val="clear" w:color="auto" w:fill="auto"/>
            <w:vAlign w:val="center"/>
          </w:tcPr>
          <w:p w14:paraId="2440C167">
            <w:pPr>
              <w:pStyle w:val="90"/>
            </w:pPr>
            <w:r>
              <w:rPr>
                <w:rFonts w:hint="eastAsia"/>
              </w:rPr>
              <w:t>1.37</w:t>
            </w:r>
          </w:p>
        </w:tc>
        <w:tc>
          <w:tcPr>
            <w:tcW w:w="624" w:type="pct"/>
            <w:vMerge w:val="continue"/>
            <w:shd w:val="clear" w:color="auto" w:fill="auto"/>
            <w:vAlign w:val="center"/>
          </w:tcPr>
          <w:p w14:paraId="40D2CDD4">
            <w:pPr>
              <w:pStyle w:val="90"/>
            </w:pPr>
          </w:p>
        </w:tc>
      </w:tr>
      <w:tr w14:paraId="1F15F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4E21E40A">
            <w:pPr>
              <w:pStyle w:val="90"/>
            </w:pPr>
          </w:p>
        </w:tc>
        <w:tc>
          <w:tcPr>
            <w:tcW w:w="730" w:type="pct"/>
            <w:shd w:val="clear" w:color="auto" w:fill="auto"/>
            <w:vAlign w:val="center"/>
          </w:tcPr>
          <w:p w14:paraId="1AD38B7F">
            <w:pPr>
              <w:pStyle w:val="90"/>
            </w:pPr>
            <w:r>
              <w:rPr>
                <w:rFonts w:hint="eastAsia"/>
              </w:rPr>
              <w:t>挥发酚</w:t>
            </w:r>
          </w:p>
        </w:tc>
        <w:tc>
          <w:tcPr>
            <w:tcW w:w="820" w:type="pct"/>
            <w:shd w:val="clear" w:color="auto" w:fill="auto"/>
            <w:vAlign w:val="center"/>
          </w:tcPr>
          <w:p w14:paraId="1BF5DC4D">
            <w:pPr>
              <w:pStyle w:val="90"/>
            </w:pPr>
            <w:r>
              <w:rPr>
                <w:rFonts w:hint="eastAsia"/>
              </w:rPr>
              <w:t>0</w:t>
            </w:r>
            <w:r>
              <w:t>.0004</w:t>
            </w:r>
          </w:p>
        </w:tc>
        <w:tc>
          <w:tcPr>
            <w:tcW w:w="624" w:type="pct"/>
            <w:shd w:val="clear" w:color="auto" w:fill="auto"/>
            <w:vAlign w:val="center"/>
          </w:tcPr>
          <w:p w14:paraId="2AD07A6D">
            <w:pPr>
              <w:pStyle w:val="90"/>
            </w:pPr>
            <w:r>
              <w:rPr>
                <w:rFonts w:hint="eastAsia"/>
              </w:rPr>
              <w:t>0</w:t>
            </w:r>
            <w:r>
              <w:t>.52</w:t>
            </w:r>
          </w:p>
        </w:tc>
        <w:tc>
          <w:tcPr>
            <w:tcW w:w="624" w:type="pct"/>
            <w:vMerge w:val="continue"/>
            <w:shd w:val="clear" w:color="auto" w:fill="auto"/>
            <w:vAlign w:val="center"/>
          </w:tcPr>
          <w:p w14:paraId="7DF62C49">
            <w:pPr>
              <w:pStyle w:val="90"/>
            </w:pPr>
          </w:p>
        </w:tc>
        <w:tc>
          <w:tcPr>
            <w:tcW w:w="624" w:type="pct"/>
            <w:shd w:val="clear" w:color="auto" w:fill="auto"/>
            <w:vAlign w:val="center"/>
          </w:tcPr>
          <w:p w14:paraId="1AB3AFD1">
            <w:pPr>
              <w:pStyle w:val="90"/>
            </w:pPr>
            <w:r>
              <w:rPr>
                <w:rFonts w:hint="eastAsia"/>
              </w:rPr>
              <w:t>0.0000</w:t>
            </w:r>
          </w:p>
        </w:tc>
        <w:tc>
          <w:tcPr>
            <w:tcW w:w="624" w:type="pct"/>
            <w:shd w:val="clear" w:color="auto" w:fill="auto"/>
            <w:vAlign w:val="center"/>
          </w:tcPr>
          <w:p w14:paraId="0618905B">
            <w:pPr>
              <w:pStyle w:val="90"/>
            </w:pPr>
            <w:r>
              <w:rPr>
                <w:rFonts w:hint="eastAsia"/>
              </w:rPr>
              <w:t>0.02</w:t>
            </w:r>
          </w:p>
        </w:tc>
        <w:tc>
          <w:tcPr>
            <w:tcW w:w="624" w:type="pct"/>
            <w:vMerge w:val="continue"/>
            <w:shd w:val="clear" w:color="auto" w:fill="auto"/>
            <w:vAlign w:val="center"/>
          </w:tcPr>
          <w:p w14:paraId="1D7DCCB7">
            <w:pPr>
              <w:pStyle w:val="90"/>
            </w:pPr>
          </w:p>
        </w:tc>
      </w:tr>
      <w:tr w14:paraId="1B856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6E6E49D4">
            <w:pPr>
              <w:pStyle w:val="90"/>
            </w:pPr>
          </w:p>
        </w:tc>
        <w:tc>
          <w:tcPr>
            <w:tcW w:w="730" w:type="pct"/>
            <w:shd w:val="clear" w:color="auto" w:fill="auto"/>
            <w:vAlign w:val="center"/>
          </w:tcPr>
          <w:p w14:paraId="61B2F2D8">
            <w:pPr>
              <w:pStyle w:val="90"/>
            </w:pPr>
            <w:r>
              <w:rPr>
                <w:rFonts w:hint="eastAsia"/>
              </w:rPr>
              <w:t>氰化物</w:t>
            </w:r>
          </w:p>
        </w:tc>
        <w:tc>
          <w:tcPr>
            <w:tcW w:w="820" w:type="pct"/>
            <w:shd w:val="clear" w:color="auto" w:fill="auto"/>
            <w:vAlign w:val="center"/>
          </w:tcPr>
          <w:p w14:paraId="64D87D2D">
            <w:pPr>
              <w:pStyle w:val="90"/>
            </w:pPr>
            <w:r>
              <w:rPr>
                <w:rFonts w:hint="eastAsia"/>
              </w:rPr>
              <w:t>0</w:t>
            </w:r>
            <w:r>
              <w:t>.00058</w:t>
            </w:r>
          </w:p>
        </w:tc>
        <w:tc>
          <w:tcPr>
            <w:tcW w:w="624" w:type="pct"/>
            <w:shd w:val="clear" w:color="auto" w:fill="auto"/>
            <w:vAlign w:val="center"/>
          </w:tcPr>
          <w:p w14:paraId="1E28882A">
            <w:pPr>
              <w:pStyle w:val="90"/>
            </w:pPr>
            <w:r>
              <w:rPr>
                <w:rFonts w:hint="eastAsia"/>
              </w:rPr>
              <w:t>0</w:t>
            </w:r>
            <w:r>
              <w:t>.75</w:t>
            </w:r>
          </w:p>
        </w:tc>
        <w:tc>
          <w:tcPr>
            <w:tcW w:w="624" w:type="pct"/>
            <w:vMerge w:val="continue"/>
            <w:shd w:val="clear" w:color="auto" w:fill="auto"/>
            <w:vAlign w:val="center"/>
          </w:tcPr>
          <w:p w14:paraId="77B37D42">
            <w:pPr>
              <w:pStyle w:val="90"/>
            </w:pPr>
          </w:p>
        </w:tc>
        <w:tc>
          <w:tcPr>
            <w:tcW w:w="624" w:type="pct"/>
            <w:shd w:val="clear" w:color="auto" w:fill="auto"/>
            <w:vAlign w:val="center"/>
          </w:tcPr>
          <w:p w14:paraId="25689359">
            <w:pPr>
              <w:pStyle w:val="90"/>
            </w:pPr>
            <w:r>
              <w:rPr>
                <w:rFonts w:hint="eastAsia"/>
              </w:rPr>
              <w:t>0.00012</w:t>
            </w:r>
          </w:p>
        </w:tc>
        <w:tc>
          <w:tcPr>
            <w:tcW w:w="624" w:type="pct"/>
            <w:shd w:val="clear" w:color="auto" w:fill="auto"/>
            <w:vAlign w:val="center"/>
          </w:tcPr>
          <w:p w14:paraId="0929B0A6">
            <w:pPr>
              <w:pStyle w:val="90"/>
            </w:pPr>
            <w:r>
              <w:rPr>
                <w:rFonts w:hint="eastAsia"/>
              </w:rPr>
              <w:t>0.16</w:t>
            </w:r>
          </w:p>
        </w:tc>
        <w:tc>
          <w:tcPr>
            <w:tcW w:w="624" w:type="pct"/>
            <w:vMerge w:val="continue"/>
            <w:shd w:val="clear" w:color="auto" w:fill="auto"/>
            <w:vAlign w:val="center"/>
          </w:tcPr>
          <w:p w14:paraId="332B38A3">
            <w:pPr>
              <w:pStyle w:val="90"/>
            </w:pPr>
          </w:p>
        </w:tc>
      </w:tr>
      <w:tr w14:paraId="45986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6B4D164E">
            <w:pPr>
              <w:pStyle w:val="90"/>
            </w:pPr>
            <w:r>
              <w:rPr>
                <w:rFonts w:hint="eastAsia"/>
              </w:rPr>
              <w:t>冲洗废水</w:t>
            </w:r>
          </w:p>
        </w:tc>
        <w:tc>
          <w:tcPr>
            <w:tcW w:w="730" w:type="pct"/>
            <w:shd w:val="clear" w:color="auto" w:fill="auto"/>
            <w:vAlign w:val="center"/>
          </w:tcPr>
          <w:p w14:paraId="48DD6EFE">
            <w:pPr>
              <w:pStyle w:val="90"/>
            </w:pPr>
            <w:r>
              <w:rPr>
                <w:rFonts w:hint="eastAsia"/>
              </w:rPr>
              <w:t>废水量</w:t>
            </w:r>
          </w:p>
        </w:tc>
        <w:tc>
          <w:tcPr>
            <w:tcW w:w="820" w:type="pct"/>
            <w:shd w:val="clear" w:color="auto" w:fill="auto"/>
            <w:vAlign w:val="center"/>
          </w:tcPr>
          <w:p w14:paraId="67715E72">
            <w:pPr>
              <w:pStyle w:val="90"/>
            </w:pPr>
            <w:r>
              <w:rPr>
                <w:rFonts w:hint="eastAsia"/>
              </w:rPr>
              <w:t>2</w:t>
            </w:r>
            <w:r>
              <w:t>52.74</w:t>
            </w:r>
            <w:r>
              <w:rPr>
                <w:rFonts w:hint="eastAsia"/>
              </w:rPr>
              <w:t>m</w:t>
            </w:r>
            <w:r>
              <w:rPr>
                <w:vertAlign w:val="superscript"/>
              </w:rPr>
              <w:t>3</w:t>
            </w:r>
            <w:r>
              <w:t>/a</w:t>
            </w:r>
          </w:p>
        </w:tc>
        <w:tc>
          <w:tcPr>
            <w:tcW w:w="624" w:type="pct"/>
            <w:shd w:val="clear" w:color="auto" w:fill="auto"/>
            <w:vAlign w:val="center"/>
          </w:tcPr>
          <w:p w14:paraId="49079BB1">
            <w:pPr>
              <w:pStyle w:val="90"/>
            </w:pPr>
            <w:r>
              <w:rPr>
                <w:rFonts w:hint="eastAsia"/>
              </w:rPr>
              <w:t>/</w:t>
            </w:r>
          </w:p>
        </w:tc>
        <w:tc>
          <w:tcPr>
            <w:tcW w:w="624" w:type="pct"/>
            <w:vMerge w:val="continue"/>
            <w:shd w:val="clear" w:color="auto" w:fill="auto"/>
            <w:vAlign w:val="center"/>
          </w:tcPr>
          <w:p w14:paraId="27F7491E">
            <w:pPr>
              <w:pStyle w:val="90"/>
            </w:pPr>
          </w:p>
        </w:tc>
        <w:tc>
          <w:tcPr>
            <w:tcW w:w="624" w:type="pct"/>
            <w:shd w:val="clear" w:color="auto" w:fill="auto"/>
            <w:vAlign w:val="center"/>
          </w:tcPr>
          <w:p w14:paraId="7FB4C87A">
            <w:pPr>
              <w:pStyle w:val="90"/>
            </w:pPr>
            <w:r>
              <w:rPr>
                <w:rFonts w:hint="eastAsia"/>
              </w:rPr>
              <w:t>2</w:t>
            </w:r>
            <w:r>
              <w:t>52.74</w:t>
            </w:r>
          </w:p>
        </w:tc>
        <w:tc>
          <w:tcPr>
            <w:tcW w:w="624" w:type="pct"/>
            <w:shd w:val="clear" w:color="auto" w:fill="auto"/>
            <w:vAlign w:val="center"/>
          </w:tcPr>
          <w:p w14:paraId="3862568E">
            <w:pPr>
              <w:pStyle w:val="90"/>
            </w:pPr>
            <w:r>
              <w:rPr>
                <w:rFonts w:hint="eastAsia"/>
              </w:rPr>
              <w:t>/</w:t>
            </w:r>
          </w:p>
        </w:tc>
        <w:tc>
          <w:tcPr>
            <w:tcW w:w="624" w:type="pct"/>
            <w:vMerge w:val="continue"/>
            <w:shd w:val="clear" w:color="auto" w:fill="auto"/>
            <w:vAlign w:val="center"/>
          </w:tcPr>
          <w:p w14:paraId="3A20DF80">
            <w:pPr>
              <w:pStyle w:val="90"/>
            </w:pPr>
          </w:p>
        </w:tc>
      </w:tr>
      <w:tr w14:paraId="670E5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50C6112">
            <w:pPr>
              <w:pStyle w:val="90"/>
            </w:pPr>
          </w:p>
        </w:tc>
        <w:tc>
          <w:tcPr>
            <w:tcW w:w="730" w:type="pct"/>
            <w:shd w:val="clear" w:color="auto" w:fill="auto"/>
            <w:vAlign w:val="center"/>
          </w:tcPr>
          <w:p w14:paraId="613E0D99">
            <w:pPr>
              <w:pStyle w:val="90"/>
            </w:pPr>
            <w:r>
              <w:rPr>
                <w:rFonts w:hint="eastAsia"/>
              </w:rPr>
              <w:t>COD</w:t>
            </w:r>
          </w:p>
        </w:tc>
        <w:tc>
          <w:tcPr>
            <w:tcW w:w="820" w:type="pct"/>
            <w:shd w:val="clear" w:color="auto" w:fill="auto"/>
            <w:vAlign w:val="bottom"/>
          </w:tcPr>
          <w:p w14:paraId="1012EF53">
            <w:pPr>
              <w:pStyle w:val="90"/>
              <w:rPr>
                <w:kern w:val="0"/>
              </w:rPr>
            </w:pPr>
            <w:r>
              <w:rPr>
                <w:rFonts w:hint="eastAsia"/>
              </w:rPr>
              <w:t>0.17</w:t>
            </w:r>
            <w:r>
              <w:t>7</w:t>
            </w:r>
          </w:p>
        </w:tc>
        <w:tc>
          <w:tcPr>
            <w:tcW w:w="624" w:type="pct"/>
            <w:shd w:val="clear" w:color="auto" w:fill="auto"/>
            <w:vAlign w:val="center"/>
          </w:tcPr>
          <w:p w14:paraId="75051ECE">
            <w:pPr>
              <w:pStyle w:val="90"/>
            </w:pPr>
            <w:r>
              <w:rPr>
                <w:rFonts w:hint="eastAsia"/>
              </w:rPr>
              <w:t>7</w:t>
            </w:r>
            <w:r>
              <w:t>00</w:t>
            </w:r>
          </w:p>
        </w:tc>
        <w:tc>
          <w:tcPr>
            <w:tcW w:w="624" w:type="pct"/>
            <w:vMerge w:val="continue"/>
            <w:shd w:val="clear" w:color="auto" w:fill="auto"/>
            <w:vAlign w:val="center"/>
          </w:tcPr>
          <w:p w14:paraId="4CB10CDA">
            <w:pPr>
              <w:pStyle w:val="90"/>
            </w:pPr>
          </w:p>
        </w:tc>
        <w:tc>
          <w:tcPr>
            <w:tcW w:w="624" w:type="pct"/>
            <w:shd w:val="clear" w:color="auto" w:fill="auto"/>
            <w:vAlign w:val="bottom"/>
          </w:tcPr>
          <w:p w14:paraId="053DE955">
            <w:pPr>
              <w:pStyle w:val="90"/>
              <w:rPr>
                <w:kern w:val="0"/>
              </w:rPr>
            </w:pPr>
            <w:r>
              <w:rPr>
                <w:rFonts w:hint="eastAsia"/>
              </w:rPr>
              <w:t>0.063</w:t>
            </w:r>
          </w:p>
        </w:tc>
        <w:tc>
          <w:tcPr>
            <w:tcW w:w="624" w:type="pct"/>
            <w:shd w:val="clear" w:color="auto" w:fill="auto"/>
            <w:vAlign w:val="center"/>
          </w:tcPr>
          <w:p w14:paraId="5D554301">
            <w:pPr>
              <w:pStyle w:val="90"/>
            </w:pPr>
            <w:r>
              <w:rPr>
                <w:rFonts w:hint="eastAsia"/>
              </w:rPr>
              <w:t>2</w:t>
            </w:r>
            <w:r>
              <w:t>50</w:t>
            </w:r>
          </w:p>
        </w:tc>
        <w:tc>
          <w:tcPr>
            <w:tcW w:w="624" w:type="pct"/>
            <w:vMerge w:val="continue"/>
            <w:shd w:val="clear" w:color="auto" w:fill="auto"/>
            <w:vAlign w:val="center"/>
          </w:tcPr>
          <w:p w14:paraId="78072CF3">
            <w:pPr>
              <w:pStyle w:val="90"/>
            </w:pPr>
          </w:p>
        </w:tc>
      </w:tr>
      <w:tr w14:paraId="42BCE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5B8423C7">
            <w:pPr>
              <w:pStyle w:val="90"/>
            </w:pPr>
          </w:p>
        </w:tc>
        <w:tc>
          <w:tcPr>
            <w:tcW w:w="730" w:type="pct"/>
            <w:shd w:val="clear" w:color="auto" w:fill="auto"/>
            <w:vAlign w:val="center"/>
          </w:tcPr>
          <w:p w14:paraId="7DF4BD6F">
            <w:pPr>
              <w:pStyle w:val="90"/>
            </w:pPr>
            <w:r>
              <w:rPr>
                <w:rFonts w:hint="eastAsia"/>
              </w:rPr>
              <w:t>BOD</w:t>
            </w:r>
            <w:r>
              <w:rPr>
                <w:vertAlign w:val="subscript"/>
              </w:rPr>
              <w:t>5</w:t>
            </w:r>
          </w:p>
        </w:tc>
        <w:tc>
          <w:tcPr>
            <w:tcW w:w="820" w:type="pct"/>
            <w:shd w:val="clear" w:color="auto" w:fill="auto"/>
            <w:vAlign w:val="bottom"/>
          </w:tcPr>
          <w:p w14:paraId="3126946A">
            <w:pPr>
              <w:pStyle w:val="90"/>
            </w:pPr>
            <w:r>
              <w:rPr>
                <w:rFonts w:hint="eastAsia"/>
              </w:rPr>
              <w:t>0.00</w:t>
            </w:r>
            <w:r>
              <w:t>8</w:t>
            </w:r>
          </w:p>
        </w:tc>
        <w:tc>
          <w:tcPr>
            <w:tcW w:w="624" w:type="pct"/>
            <w:shd w:val="clear" w:color="auto" w:fill="auto"/>
            <w:vAlign w:val="center"/>
          </w:tcPr>
          <w:p w14:paraId="0DF50169">
            <w:pPr>
              <w:pStyle w:val="90"/>
            </w:pPr>
            <w:r>
              <w:rPr>
                <w:rFonts w:hint="eastAsia"/>
              </w:rPr>
              <w:t>3</w:t>
            </w:r>
            <w:r>
              <w:t>0</w:t>
            </w:r>
          </w:p>
        </w:tc>
        <w:tc>
          <w:tcPr>
            <w:tcW w:w="624" w:type="pct"/>
            <w:vMerge w:val="continue"/>
            <w:shd w:val="clear" w:color="auto" w:fill="auto"/>
            <w:vAlign w:val="center"/>
          </w:tcPr>
          <w:p w14:paraId="4001AFB4">
            <w:pPr>
              <w:pStyle w:val="90"/>
            </w:pPr>
          </w:p>
        </w:tc>
        <w:tc>
          <w:tcPr>
            <w:tcW w:w="624" w:type="pct"/>
            <w:shd w:val="clear" w:color="auto" w:fill="auto"/>
            <w:vAlign w:val="bottom"/>
          </w:tcPr>
          <w:p w14:paraId="27EC3FCE">
            <w:pPr>
              <w:pStyle w:val="90"/>
            </w:pPr>
            <w:r>
              <w:rPr>
                <w:rFonts w:hint="eastAsia"/>
              </w:rPr>
              <w:t>0.00</w:t>
            </w:r>
            <w:r>
              <w:t>3</w:t>
            </w:r>
          </w:p>
        </w:tc>
        <w:tc>
          <w:tcPr>
            <w:tcW w:w="624" w:type="pct"/>
            <w:shd w:val="clear" w:color="auto" w:fill="auto"/>
            <w:vAlign w:val="center"/>
          </w:tcPr>
          <w:p w14:paraId="02D3F347">
            <w:pPr>
              <w:pStyle w:val="90"/>
            </w:pPr>
            <w:r>
              <w:rPr>
                <w:rFonts w:hint="eastAsia"/>
              </w:rPr>
              <w:t>1</w:t>
            </w:r>
            <w:r>
              <w:t>0</w:t>
            </w:r>
          </w:p>
        </w:tc>
        <w:tc>
          <w:tcPr>
            <w:tcW w:w="624" w:type="pct"/>
            <w:vMerge w:val="continue"/>
            <w:shd w:val="clear" w:color="auto" w:fill="auto"/>
            <w:vAlign w:val="center"/>
          </w:tcPr>
          <w:p w14:paraId="7F8E955C">
            <w:pPr>
              <w:pStyle w:val="90"/>
            </w:pPr>
          </w:p>
        </w:tc>
      </w:tr>
      <w:tr w14:paraId="45807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24" w:type="pct"/>
            <w:vMerge w:val="continue"/>
            <w:shd w:val="clear" w:color="auto" w:fill="auto"/>
            <w:vAlign w:val="center"/>
          </w:tcPr>
          <w:p w14:paraId="33BB4F25">
            <w:pPr>
              <w:pStyle w:val="90"/>
            </w:pPr>
          </w:p>
        </w:tc>
        <w:tc>
          <w:tcPr>
            <w:tcW w:w="730" w:type="pct"/>
            <w:shd w:val="clear" w:color="auto" w:fill="auto"/>
            <w:vAlign w:val="center"/>
          </w:tcPr>
          <w:p w14:paraId="4019DBB6">
            <w:pPr>
              <w:pStyle w:val="90"/>
            </w:pPr>
            <w:r>
              <w:rPr>
                <w:rFonts w:hint="eastAsia"/>
              </w:rPr>
              <w:t>SS</w:t>
            </w:r>
          </w:p>
        </w:tc>
        <w:tc>
          <w:tcPr>
            <w:tcW w:w="820" w:type="pct"/>
            <w:shd w:val="clear" w:color="auto" w:fill="auto"/>
            <w:vAlign w:val="bottom"/>
          </w:tcPr>
          <w:p w14:paraId="41AC2794">
            <w:pPr>
              <w:pStyle w:val="90"/>
            </w:pPr>
            <w:r>
              <w:rPr>
                <w:rFonts w:hint="eastAsia"/>
              </w:rPr>
              <w:t>0.101</w:t>
            </w:r>
          </w:p>
        </w:tc>
        <w:tc>
          <w:tcPr>
            <w:tcW w:w="624" w:type="pct"/>
            <w:shd w:val="clear" w:color="auto" w:fill="auto"/>
            <w:vAlign w:val="center"/>
          </w:tcPr>
          <w:p w14:paraId="1158F737">
            <w:pPr>
              <w:pStyle w:val="90"/>
            </w:pPr>
            <w:r>
              <w:rPr>
                <w:rFonts w:hint="eastAsia"/>
              </w:rPr>
              <w:t>4</w:t>
            </w:r>
            <w:r>
              <w:t>00</w:t>
            </w:r>
          </w:p>
        </w:tc>
        <w:tc>
          <w:tcPr>
            <w:tcW w:w="624" w:type="pct"/>
            <w:vMerge w:val="continue"/>
            <w:shd w:val="clear" w:color="auto" w:fill="auto"/>
            <w:vAlign w:val="center"/>
          </w:tcPr>
          <w:p w14:paraId="2A55B24C">
            <w:pPr>
              <w:pStyle w:val="90"/>
            </w:pPr>
          </w:p>
        </w:tc>
        <w:tc>
          <w:tcPr>
            <w:tcW w:w="624" w:type="pct"/>
            <w:shd w:val="clear" w:color="auto" w:fill="auto"/>
            <w:vAlign w:val="bottom"/>
          </w:tcPr>
          <w:p w14:paraId="4E76E996">
            <w:pPr>
              <w:pStyle w:val="90"/>
            </w:pPr>
            <w:r>
              <w:rPr>
                <w:rFonts w:hint="eastAsia"/>
              </w:rPr>
              <w:t>0.025</w:t>
            </w:r>
          </w:p>
        </w:tc>
        <w:tc>
          <w:tcPr>
            <w:tcW w:w="624" w:type="pct"/>
            <w:shd w:val="clear" w:color="auto" w:fill="auto"/>
            <w:vAlign w:val="center"/>
          </w:tcPr>
          <w:p w14:paraId="3A4B9F71">
            <w:pPr>
              <w:pStyle w:val="90"/>
            </w:pPr>
            <w:r>
              <w:rPr>
                <w:rFonts w:hint="eastAsia"/>
              </w:rPr>
              <w:t>1</w:t>
            </w:r>
            <w:r>
              <w:t>00</w:t>
            </w:r>
          </w:p>
        </w:tc>
        <w:tc>
          <w:tcPr>
            <w:tcW w:w="624" w:type="pct"/>
            <w:vMerge w:val="continue"/>
            <w:shd w:val="clear" w:color="auto" w:fill="auto"/>
            <w:vAlign w:val="center"/>
          </w:tcPr>
          <w:p w14:paraId="0152FA6E">
            <w:pPr>
              <w:pStyle w:val="90"/>
            </w:pPr>
          </w:p>
        </w:tc>
      </w:tr>
      <w:tr w14:paraId="377AB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79D48CB5">
            <w:pPr>
              <w:pStyle w:val="90"/>
            </w:pPr>
          </w:p>
        </w:tc>
        <w:tc>
          <w:tcPr>
            <w:tcW w:w="730" w:type="pct"/>
            <w:shd w:val="clear" w:color="auto" w:fill="auto"/>
            <w:vAlign w:val="center"/>
          </w:tcPr>
          <w:p w14:paraId="53460052">
            <w:pPr>
              <w:pStyle w:val="90"/>
            </w:pPr>
            <w:r>
              <w:rPr>
                <w:rFonts w:hint="eastAsia"/>
              </w:rPr>
              <w:t>石油类</w:t>
            </w:r>
          </w:p>
        </w:tc>
        <w:tc>
          <w:tcPr>
            <w:tcW w:w="820" w:type="pct"/>
            <w:shd w:val="clear" w:color="auto" w:fill="auto"/>
            <w:vAlign w:val="bottom"/>
          </w:tcPr>
          <w:p w14:paraId="3335CB2E">
            <w:pPr>
              <w:pStyle w:val="90"/>
            </w:pPr>
            <w:r>
              <w:rPr>
                <w:rFonts w:hint="eastAsia"/>
              </w:rPr>
              <w:t>0.126</w:t>
            </w:r>
          </w:p>
        </w:tc>
        <w:tc>
          <w:tcPr>
            <w:tcW w:w="624" w:type="pct"/>
            <w:shd w:val="clear" w:color="auto" w:fill="auto"/>
            <w:vAlign w:val="center"/>
          </w:tcPr>
          <w:p w14:paraId="52DE91CE">
            <w:pPr>
              <w:pStyle w:val="90"/>
            </w:pPr>
            <w:r>
              <w:rPr>
                <w:rFonts w:hint="eastAsia"/>
              </w:rPr>
              <w:t>5</w:t>
            </w:r>
            <w:r>
              <w:t>00</w:t>
            </w:r>
          </w:p>
        </w:tc>
        <w:tc>
          <w:tcPr>
            <w:tcW w:w="624" w:type="pct"/>
            <w:vMerge w:val="continue"/>
            <w:shd w:val="clear" w:color="auto" w:fill="auto"/>
            <w:vAlign w:val="center"/>
          </w:tcPr>
          <w:p w14:paraId="0A74B442">
            <w:pPr>
              <w:pStyle w:val="90"/>
            </w:pPr>
          </w:p>
        </w:tc>
        <w:tc>
          <w:tcPr>
            <w:tcW w:w="624" w:type="pct"/>
            <w:shd w:val="clear" w:color="auto" w:fill="auto"/>
            <w:vAlign w:val="bottom"/>
          </w:tcPr>
          <w:p w14:paraId="0B77291C">
            <w:pPr>
              <w:pStyle w:val="90"/>
            </w:pPr>
            <w:r>
              <w:rPr>
                <w:rFonts w:hint="eastAsia"/>
              </w:rPr>
              <w:t>0.00</w:t>
            </w:r>
            <w:r>
              <w:t>4</w:t>
            </w:r>
          </w:p>
        </w:tc>
        <w:tc>
          <w:tcPr>
            <w:tcW w:w="624" w:type="pct"/>
            <w:shd w:val="clear" w:color="auto" w:fill="auto"/>
            <w:vAlign w:val="center"/>
          </w:tcPr>
          <w:p w14:paraId="5096E120">
            <w:pPr>
              <w:pStyle w:val="90"/>
            </w:pPr>
            <w:r>
              <w:rPr>
                <w:rFonts w:hint="eastAsia"/>
              </w:rPr>
              <w:t>1</w:t>
            </w:r>
            <w:r>
              <w:t>5</w:t>
            </w:r>
          </w:p>
        </w:tc>
        <w:tc>
          <w:tcPr>
            <w:tcW w:w="624" w:type="pct"/>
            <w:vMerge w:val="continue"/>
            <w:shd w:val="clear" w:color="auto" w:fill="auto"/>
            <w:vAlign w:val="center"/>
          </w:tcPr>
          <w:p w14:paraId="0D2ECB1A">
            <w:pPr>
              <w:pStyle w:val="90"/>
            </w:pPr>
          </w:p>
        </w:tc>
      </w:tr>
      <w:tr w14:paraId="482A6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24" w:type="pct"/>
            <w:vMerge w:val="continue"/>
            <w:shd w:val="clear" w:color="auto" w:fill="auto"/>
            <w:vAlign w:val="center"/>
          </w:tcPr>
          <w:p w14:paraId="7D670F95">
            <w:pPr>
              <w:pStyle w:val="90"/>
            </w:pPr>
          </w:p>
        </w:tc>
        <w:tc>
          <w:tcPr>
            <w:tcW w:w="730" w:type="pct"/>
            <w:shd w:val="clear" w:color="auto" w:fill="auto"/>
            <w:vAlign w:val="center"/>
          </w:tcPr>
          <w:p w14:paraId="7942BE32">
            <w:pPr>
              <w:pStyle w:val="90"/>
            </w:pPr>
            <w:r>
              <w:rPr>
                <w:rFonts w:hint="eastAsia"/>
              </w:rPr>
              <w:t>氨氮</w:t>
            </w:r>
          </w:p>
        </w:tc>
        <w:tc>
          <w:tcPr>
            <w:tcW w:w="820" w:type="pct"/>
            <w:shd w:val="clear" w:color="auto" w:fill="auto"/>
            <w:vAlign w:val="bottom"/>
          </w:tcPr>
          <w:p w14:paraId="2F6D5C84">
            <w:pPr>
              <w:pStyle w:val="90"/>
            </w:pPr>
            <w:r>
              <w:rPr>
                <w:rFonts w:hint="eastAsia"/>
              </w:rPr>
              <w:t>0.005</w:t>
            </w:r>
          </w:p>
        </w:tc>
        <w:tc>
          <w:tcPr>
            <w:tcW w:w="624" w:type="pct"/>
            <w:shd w:val="clear" w:color="auto" w:fill="auto"/>
            <w:vAlign w:val="center"/>
          </w:tcPr>
          <w:p w14:paraId="2A684842">
            <w:pPr>
              <w:pStyle w:val="90"/>
            </w:pPr>
            <w:r>
              <w:rPr>
                <w:rFonts w:hint="eastAsia"/>
              </w:rPr>
              <w:t>2</w:t>
            </w:r>
            <w:r>
              <w:t>0</w:t>
            </w:r>
          </w:p>
        </w:tc>
        <w:tc>
          <w:tcPr>
            <w:tcW w:w="624" w:type="pct"/>
            <w:vMerge w:val="continue"/>
            <w:shd w:val="clear" w:color="auto" w:fill="auto"/>
            <w:vAlign w:val="center"/>
          </w:tcPr>
          <w:p w14:paraId="76DD0942">
            <w:pPr>
              <w:pStyle w:val="90"/>
            </w:pPr>
          </w:p>
        </w:tc>
        <w:tc>
          <w:tcPr>
            <w:tcW w:w="624" w:type="pct"/>
            <w:shd w:val="clear" w:color="auto" w:fill="auto"/>
            <w:vAlign w:val="bottom"/>
          </w:tcPr>
          <w:p w14:paraId="76C39EFD">
            <w:pPr>
              <w:pStyle w:val="90"/>
            </w:pPr>
            <w:r>
              <w:rPr>
                <w:rFonts w:hint="eastAsia"/>
              </w:rPr>
              <w:t>0.00</w:t>
            </w:r>
            <w:r>
              <w:t>3</w:t>
            </w:r>
          </w:p>
        </w:tc>
        <w:tc>
          <w:tcPr>
            <w:tcW w:w="624" w:type="pct"/>
            <w:shd w:val="clear" w:color="auto" w:fill="auto"/>
            <w:vAlign w:val="center"/>
          </w:tcPr>
          <w:p w14:paraId="39E21968">
            <w:pPr>
              <w:pStyle w:val="90"/>
            </w:pPr>
            <w:r>
              <w:t>10</w:t>
            </w:r>
          </w:p>
        </w:tc>
        <w:tc>
          <w:tcPr>
            <w:tcW w:w="624" w:type="pct"/>
            <w:vMerge w:val="continue"/>
            <w:shd w:val="clear" w:color="auto" w:fill="auto"/>
            <w:vAlign w:val="center"/>
          </w:tcPr>
          <w:p w14:paraId="13F3D615">
            <w:pPr>
              <w:pStyle w:val="90"/>
            </w:pPr>
          </w:p>
        </w:tc>
      </w:tr>
      <w:tr w14:paraId="52A0B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6831FB14">
            <w:pPr>
              <w:pStyle w:val="90"/>
            </w:pPr>
          </w:p>
        </w:tc>
        <w:tc>
          <w:tcPr>
            <w:tcW w:w="730" w:type="pct"/>
            <w:shd w:val="clear" w:color="auto" w:fill="auto"/>
            <w:vAlign w:val="center"/>
          </w:tcPr>
          <w:p w14:paraId="313810B6">
            <w:pPr>
              <w:pStyle w:val="90"/>
            </w:pPr>
            <w:r>
              <w:rPr>
                <w:rFonts w:hint="eastAsia"/>
              </w:rPr>
              <w:t>TDS</w:t>
            </w:r>
          </w:p>
        </w:tc>
        <w:tc>
          <w:tcPr>
            <w:tcW w:w="820" w:type="pct"/>
            <w:shd w:val="clear" w:color="auto" w:fill="auto"/>
            <w:vAlign w:val="bottom"/>
          </w:tcPr>
          <w:p w14:paraId="62CBD83E">
            <w:pPr>
              <w:pStyle w:val="90"/>
            </w:pPr>
            <w:r>
              <w:rPr>
                <w:rFonts w:hint="eastAsia"/>
              </w:rPr>
              <w:t>0.126</w:t>
            </w:r>
          </w:p>
        </w:tc>
        <w:tc>
          <w:tcPr>
            <w:tcW w:w="624" w:type="pct"/>
            <w:shd w:val="clear" w:color="auto" w:fill="auto"/>
            <w:vAlign w:val="center"/>
          </w:tcPr>
          <w:p w14:paraId="56870887">
            <w:pPr>
              <w:pStyle w:val="90"/>
            </w:pPr>
            <w:r>
              <w:rPr>
                <w:rFonts w:hint="eastAsia"/>
              </w:rPr>
              <w:t>5</w:t>
            </w:r>
            <w:r>
              <w:t>00</w:t>
            </w:r>
          </w:p>
        </w:tc>
        <w:tc>
          <w:tcPr>
            <w:tcW w:w="624" w:type="pct"/>
            <w:vMerge w:val="continue"/>
            <w:shd w:val="clear" w:color="auto" w:fill="auto"/>
            <w:vAlign w:val="center"/>
          </w:tcPr>
          <w:p w14:paraId="6EF1FD68">
            <w:pPr>
              <w:pStyle w:val="90"/>
            </w:pPr>
          </w:p>
        </w:tc>
        <w:tc>
          <w:tcPr>
            <w:tcW w:w="624" w:type="pct"/>
            <w:shd w:val="clear" w:color="auto" w:fill="auto"/>
            <w:vAlign w:val="bottom"/>
          </w:tcPr>
          <w:p w14:paraId="6A1D7F7E">
            <w:pPr>
              <w:pStyle w:val="90"/>
            </w:pPr>
            <w:r>
              <w:rPr>
                <w:rFonts w:hint="eastAsia"/>
              </w:rPr>
              <w:t>0.005</w:t>
            </w:r>
          </w:p>
        </w:tc>
        <w:tc>
          <w:tcPr>
            <w:tcW w:w="624" w:type="pct"/>
            <w:shd w:val="clear" w:color="auto" w:fill="auto"/>
            <w:vAlign w:val="center"/>
          </w:tcPr>
          <w:p w14:paraId="170B0643">
            <w:pPr>
              <w:pStyle w:val="90"/>
            </w:pPr>
            <w:r>
              <w:rPr>
                <w:rFonts w:hint="eastAsia"/>
              </w:rPr>
              <w:t>2</w:t>
            </w:r>
            <w:r>
              <w:t>0</w:t>
            </w:r>
          </w:p>
        </w:tc>
        <w:tc>
          <w:tcPr>
            <w:tcW w:w="624" w:type="pct"/>
            <w:vMerge w:val="continue"/>
            <w:shd w:val="clear" w:color="auto" w:fill="auto"/>
            <w:vAlign w:val="center"/>
          </w:tcPr>
          <w:p w14:paraId="5B476E43">
            <w:pPr>
              <w:pStyle w:val="90"/>
            </w:pPr>
          </w:p>
        </w:tc>
      </w:tr>
      <w:tr w14:paraId="4D1CE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4FBCE3EF">
            <w:pPr>
              <w:pStyle w:val="90"/>
            </w:pPr>
            <w:r>
              <w:rPr>
                <w:rFonts w:hint="eastAsia"/>
              </w:rPr>
              <w:t>循环冷却水排污</w:t>
            </w:r>
          </w:p>
        </w:tc>
        <w:tc>
          <w:tcPr>
            <w:tcW w:w="730" w:type="pct"/>
            <w:shd w:val="clear" w:color="auto" w:fill="auto"/>
            <w:vAlign w:val="center"/>
          </w:tcPr>
          <w:p w14:paraId="1AC2ECA0">
            <w:pPr>
              <w:pStyle w:val="90"/>
            </w:pPr>
            <w:r>
              <w:rPr>
                <w:rFonts w:hint="eastAsia"/>
              </w:rPr>
              <w:t>废水量</w:t>
            </w:r>
          </w:p>
        </w:tc>
        <w:tc>
          <w:tcPr>
            <w:tcW w:w="820" w:type="pct"/>
            <w:shd w:val="clear" w:color="auto" w:fill="auto"/>
            <w:vAlign w:val="center"/>
          </w:tcPr>
          <w:p w14:paraId="29E886A3">
            <w:pPr>
              <w:pStyle w:val="90"/>
            </w:pPr>
            <w:r>
              <w:rPr>
                <w:rFonts w:hint="eastAsia"/>
              </w:rPr>
              <w:t>2</w:t>
            </w:r>
            <w:r>
              <w:t>592</w:t>
            </w:r>
            <w:r>
              <w:rPr>
                <w:rFonts w:hint="eastAsia"/>
              </w:rPr>
              <w:t>m</w:t>
            </w:r>
            <w:r>
              <w:rPr>
                <w:vertAlign w:val="superscript"/>
              </w:rPr>
              <w:t>3</w:t>
            </w:r>
            <w:r>
              <w:t>/a</w:t>
            </w:r>
          </w:p>
        </w:tc>
        <w:tc>
          <w:tcPr>
            <w:tcW w:w="624" w:type="pct"/>
            <w:shd w:val="clear" w:color="auto" w:fill="auto"/>
            <w:vAlign w:val="center"/>
          </w:tcPr>
          <w:p w14:paraId="5FB46457">
            <w:pPr>
              <w:pStyle w:val="90"/>
            </w:pPr>
            <w:r>
              <w:rPr>
                <w:rFonts w:hint="eastAsia"/>
              </w:rPr>
              <w:t>/</w:t>
            </w:r>
          </w:p>
        </w:tc>
        <w:tc>
          <w:tcPr>
            <w:tcW w:w="624" w:type="pct"/>
            <w:vMerge w:val="continue"/>
            <w:shd w:val="clear" w:color="auto" w:fill="auto"/>
            <w:vAlign w:val="center"/>
          </w:tcPr>
          <w:p w14:paraId="01D8DEA3">
            <w:pPr>
              <w:pStyle w:val="90"/>
            </w:pPr>
          </w:p>
        </w:tc>
        <w:tc>
          <w:tcPr>
            <w:tcW w:w="624" w:type="pct"/>
            <w:shd w:val="clear" w:color="auto" w:fill="auto"/>
            <w:vAlign w:val="center"/>
          </w:tcPr>
          <w:p w14:paraId="1A86867E">
            <w:pPr>
              <w:pStyle w:val="90"/>
            </w:pPr>
            <w:r>
              <w:rPr>
                <w:rFonts w:hint="eastAsia"/>
              </w:rPr>
              <w:t>2</w:t>
            </w:r>
            <w:r>
              <w:t>592</w:t>
            </w:r>
            <w:r>
              <w:rPr>
                <w:rFonts w:hint="eastAsia"/>
              </w:rPr>
              <w:t>m</w:t>
            </w:r>
            <w:r>
              <w:rPr>
                <w:vertAlign w:val="superscript"/>
              </w:rPr>
              <w:t>3</w:t>
            </w:r>
            <w:r>
              <w:t>/a</w:t>
            </w:r>
          </w:p>
        </w:tc>
        <w:tc>
          <w:tcPr>
            <w:tcW w:w="624" w:type="pct"/>
            <w:shd w:val="clear" w:color="auto" w:fill="auto"/>
            <w:vAlign w:val="center"/>
          </w:tcPr>
          <w:p w14:paraId="6DC37916">
            <w:pPr>
              <w:pStyle w:val="90"/>
            </w:pPr>
            <w:r>
              <w:rPr>
                <w:rFonts w:hint="eastAsia"/>
              </w:rPr>
              <w:t>/</w:t>
            </w:r>
          </w:p>
        </w:tc>
        <w:tc>
          <w:tcPr>
            <w:tcW w:w="624" w:type="pct"/>
            <w:vMerge w:val="continue"/>
            <w:shd w:val="clear" w:color="auto" w:fill="auto"/>
            <w:vAlign w:val="center"/>
          </w:tcPr>
          <w:p w14:paraId="014C5CC9">
            <w:pPr>
              <w:pStyle w:val="90"/>
            </w:pPr>
          </w:p>
        </w:tc>
      </w:tr>
      <w:tr w14:paraId="25D40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05869FA">
            <w:pPr>
              <w:pStyle w:val="90"/>
            </w:pPr>
          </w:p>
        </w:tc>
        <w:tc>
          <w:tcPr>
            <w:tcW w:w="730" w:type="pct"/>
            <w:shd w:val="clear" w:color="auto" w:fill="auto"/>
            <w:vAlign w:val="center"/>
          </w:tcPr>
          <w:p w14:paraId="3877FF9B">
            <w:pPr>
              <w:pStyle w:val="90"/>
            </w:pPr>
            <w:r>
              <w:rPr>
                <w:rFonts w:hint="eastAsia"/>
              </w:rPr>
              <w:t>COD</w:t>
            </w:r>
          </w:p>
        </w:tc>
        <w:tc>
          <w:tcPr>
            <w:tcW w:w="820" w:type="pct"/>
            <w:shd w:val="clear" w:color="auto" w:fill="auto"/>
            <w:vAlign w:val="bottom"/>
          </w:tcPr>
          <w:p w14:paraId="27717207">
            <w:pPr>
              <w:pStyle w:val="90"/>
              <w:rPr>
                <w:kern w:val="0"/>
              </w:rPr>
            </w:pPr>
            <w:r>
              <w:rPr>
                <w:rFonts w:hint="eastAsia"/>
              </w:rPr>
              <w:t>0.15</w:t>
            </w:r>
            <w:r>
              <w:t>6</w:t>
            </w:r>
          </w:p>
        </w:tc>
        <w:tc>
          <w:tcPr>
            <w:tcW w:w="624" w:type="pct"/>
            <w:shd w:val="clear" w:color="auto" w:fill="auto"/>
            <w:vAlign w:val="center"/>
          </w:tcPr>
          <w:p w14:paraId="7B89609C">
            <w:pPr>
              <w:pStyle w:val="90"/>
            </w:pPr>
            <w:r>
              <w:rPr>
                <w:rFonts w:hint="eastAsia"/>
              </w:rPr>
              <w:t>6</w:t>
            </w:r>
            <w:r>
              <w:t>0</w:t>
            </w:r>
          </w:p>
        </w:tc>
        <w:tc>
          <w:tcPr>
            <w:tcW w:w="624" w:type="pct"/>
            <w:vMerge w:val="continue"/>
            <w:shd w:val="clear" w:color="auto" w:fill="auto"/>
            <w:vAlign w:val="center"/>
          </w:tcPr>
          <w:p w14:paraId="7F321452">
            <w:pPr>
              <w:pStyle w:val="90"/>
            </w:pPr>
          </w:p>
        </w:tc>
        <w:tc>
          <w:tcPr>
            <w:tcW w:w="624" w:type="pct"/>
            <w:shd w:val="clear" w:color="auto" w:fill="auto"/>
            <w:vAlign w:val="bottom"/>
          </w:tcPr>
          <w:p w14:paraId="6530997D">
            <w:pPr>
              <w:pStyle w:val="90"/>
              <w:rPr>
                <w:kern w:val="0"/>
              </w:rPr>
            </w:pPr>
            <w:r>
              <w:rPr>
                <w:rFonts w:hint="eastAsia"/>
              </w:rPr>
              <w:t>0.15</w:t>
            </w:r>
            <w:r>
              <w:t>6</w:t>
            </w:r>
          </w:p>
        </w:tc>
        <w:tc>
          <w:tcPr>
            <w:tcW w:w="624" w:type="pct"/>
            <w:shd w:val="clear" w:color="auto" w:fill="auto"/>
            <w:vAlign w:val="center"/>
          </w:tcPr>
          <w:p w14:paraId="5B5C2280">
            <w:pPr>
              <w:pStyle w:val="90"/>
            </w:pPr>
            <w:r>
              <w:rPr>
                <w:rFonts w:hint="eastAsia"/>
              </w:rPr>
              <w:t>6</w:t>
            </w:r>
            <w:r>
              <w:t>0</w:t>
            </w:r>
          </w:p>
        </w:tc>
        <w:tc>
          <w:tcPr>
            <w:tcW w:w="624" w:type="pct"/>
            <w:vMerge w:val="continue"/>
            <w:shd w:val="clear" w:color="auto" w:fill="auto"/>
            <w:vAlign w:val="center"/>
          </w:tcPr>
          <w:p w14:paraId="78AF30DE">
            <w:pPr>
              <w:pStyle w:val="90"/>
            </w:pPr>
          </w:p>
        </w:tc>
      </w:tr>
      <w:tr w14:paraId="744E5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24" w:type="pct"/>
            <w:vMerge w:val="continue"/>
            <w:shd w:val="clear" w:color="auto" w:fill="auto"/>
            <w:vAlign w:val="center"/>
          </w:tcPr>
          <w:p w14:paraId="5449B979">
            <w:pPr>
              <w:pStyle w:val="90"/>
            </w:pPr>
          </w:p>
        </w:tc>
        <w:tc>
          <w:tcPr>
            <w:tcW w:w="730" w:type="pct"/>
            <w:shd w:val="clear" w:color="auto" w:fill="auto"/>
            <w:vAlign w:val="center"/>
          </w:tcPr>
          <w:p w14:paraId="34C7B654">
            <w:pPr>
              <w:pStyle w:val="90"/>
            </w:pPr>
            <w:r>
              <w:rPr>
                <w:rFonts w:hint="eastAsia"/>
              </w:rPr>
              <w:t>SS</w:t>
            </w:r>
          </w:p>
        </w:tc>
        <w:tc>
          <w:tcPr>
            <w:tcW w:w="820" w:type="pct"/>
            <w:shd w:val="clear" w:color="auto" w:fill="auto"/>
            <w:vAlign w:val="bottom"/>
          </w:tcPr>
          <w:p w14:paraId="7672E98E">
            <w:pPr>
              <w:pStyle w:val="90"/>
            </w:pPr>
            <w:r>
              <w:rPr>
                <w:rFonts w:hint="eastAsia"/>
              </w:rPr>
              <w:t>0.1</w:t>
            </w:r>
            <w:r>
              <w:t>30</w:t>
            </w:r>
          </w:p>
        </w:tc>
        <w:tc>
          <w:tcPr>
            <w:tcW w:w="624" w:type="pct"/>
            <w:shd w:val="clear" w:color="auto" w:fill="auto"/>
            <w:vAlign w:val="center"/>
          </w:tcPr>
          <w:p w14:paraId="26502FDA">
            <w:pPr>
              <w:pStyle w:val="90"/>
            </w:pPr>
            <w:r>
              <w:rPr>
                <w:rFonts w:hint="eastAsia"/>
              </w:rPr>
              <w:t>5</w:t>
            </w:r>
            <w:r>
              <w:t>0</w:t>
            </w:r>
          </w:p>
        </w:tc>
        <w:tc>
          <w:tcPr>
            <w:tcW w:w="624" w:type="pct"/>
            <w:vMerge w:val="continue"/>
            <w:shd w:val="clear" w:color="auto" w:fill="auto"/>
            <w:vAlign w:val="center"/>
          </w:tcPr>
          <w:p w14:paraId="0B611412">
            <w:pPr>
              <w:pStyle w:val="90"/>
            </w:pPr>
          </w:p>
        </w:tc>
        <w:tc>
          <w:tcPr>
            <w:tcW w:w="624" w:type="pct"/>
            <w:shd w:val="clear" w:color="auto" w:fill="auto"/>
            <w:vAlign w:val="bottom"/>
          </w:tcPr>
          <w:p w14:paraId="54B78F84">
            <w:pPr>
              <w:pStyle w:val="90"/>
            </w:pPr>
            <w:r>
              <w:rPr>
                <w:rFonts w:hint="eastAsia"/>
              </w:rPr>
              <w:t>0.1</w:t>
            </w:r>
            <w:r>
              <w:t>30</w:t>
            </w:r>
          </w:p>
        </w:tc>
        <w:tc>
          <w:tcPr>
            <w:tcW w:w="624" w:type="pct"/>
            <w:shd w:val="clear" w:color="auto" w:fill="auto"/>
            <w:vAlign w:val="center"/>
          </w:tcPr>
          <w:p w14:paraId="19455F83">
            <w:pPr>
              <w:pStyle w:val="90"/>
            </w:pPr>
            <w:r>
              <w:rPr>
                <w:rFonts w:hint="eastAsia"/>
              </w:rPr>
              <w:t>5</w:t>
            </w:r>
            <w:r>
              <w:t>0</w:t>
            </w:r>
          </w:p>
        </w:tc>
        <w:tc>
          <w:tcPr>
            <w:tcW w:w="624" w:type="pct"/>
            <w:vMerge w:val="continue"/>
            <w:shd w:val="clear" w:color="auto" w:fill="auto"/>
            <w:vAlign w:val="center"/>
          </w:tcPr>
          <w:p w14:paraId="4B9DFE6E">
            <w:pPr>
              <w:pStyle w:val="90"/>
            </w:pPr>
          </w:p>
        </w:tc>
      </w:tr>
      <w:tr w14:paraId="3703C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61D77C5">
            <w:pPr>
              <w:pStyle w:val="90"/>
            </w:pPr>
          </w:p>
        </w:tc>
        <w:tc>
          <w:tcPr>
            <w:tcW w:w="730" w:type="pct"/>
            <w:shd w:val="clear" w:color="auto" w:fill="auto"/>
            <w:vAlign w:val="center"/>
          </w:tcPr>
          <w:p w14:paraId="40792A93">
            <w:pPr>
              <w:pStyle w:val="90"/>
            </w:pPr>
            <w:r>
              <w:rPr>
                <w:rFonts w:hint="eastAsia"/>
              </w:rPr>
              <w:t>氨氮</w:t>
            </w:r>
          </w:p>
        </w:tc>
        <w:tc>
          <w:tcPr>
            <w:tcW w:w="820" w:type="pct"/>
            <w:shd w:val="clear" w:color="auto" w:fill="auto"/>
            <w:vAlign w:val="bottom"/>
          </w:tcPr>
          <w:p w14:paraId="6AF6F203">
            <w:pPr>
              <w:pStyle w:val="90"/>
            </w:pPr>
            <w:r>
              <w:rPr>
                <w:rFonts w:hint="eastAsia"/>
              </w:rPr>
              <w:t>0.01</w:t>
            </w:r>
            <w:r>
              <w:t>3</w:t>
            </w:r>
          </w:p>
        </w:tc>
        <w:tc>
          <w:tcPr>
            <w:tcW w:w="624" w:type="pct"/>
            <w:shd w:val="clear" w:color="auto" w:fill="auto"/>
            <w:vAlign w:val="center"/>
          </w:tcPr>
          <w:p w14:paraId="14FEBD51">
            <w:pPr>
              <w:pStyle w:val="90"/>
            </w:pPr>
            <w:r>
              <w:rPr>
                <w:rFonts w:hint="eastAsia"/>
              </w:rPr>
              <w:t>5</w:t>
            </w:r>
          </w:p>
        </w:tc>
        <w:tc>
          <w:tcPr>
            <w:tcW w:w="624" w:type="pct"/>
            <w:vMerge w:val="continue"/>
            <w:shd w:val="clear" w:color="auto" w:fill="auto"/>
            <w:vAlign w:val="center"/>
          </w:tcPr>
          <w:p w14:paraId="72863DB3">
            <w:pPr>
              <w:pStyle w:val="90"/>
            </w:pPr>
          </w:p>
        </w:tc>
        <w:tc>
          <w:tcPr>
            <w:tcW w:w="624" w:type="pct"/>
            <w:shd w:val="clear" w:color="auto" w:fill="auto"/>
            <w:vAlign w:val="bottom"/>
          </w:tcPr>
          <w:p w14:paraId="3605AB9A">
            <w:pPr>
              <w:pStyle w:val="90"/>
            </w:pPr>
            <w:r>
              <w:rPr>
                <w:rFonts w:hint="eastAsia"/>
              </w:rPr>
              <w:t>0.01</w:t>
            </w:r>
            <w:r>
              <w:t>3</w:t>
            </w:r>
          </w:p>
        </w:tc>
        <w:tc>
          <w:tcPr>
            <w:tcW w:w="624" w:type="pct"/>
            <w:shd w:val="clear" w:color="auto" w:fill="auto"/>
            <w:vAlign w:val="center"/>
          </w:tcPr>
          <w:p w14:paraId="7B1AE8E3">
            <w:pPr>
              <w:pStyle w:val="90"/>
            </w:pPr>
            <w:r>
              <w:rPr>
                <w:rFonts w:hint="eastAsia"/>
              </w:rPr>
              <w:t>5</w:t>
            </w:r>
          </w:p>
        </w:tc>
        <w:tc>
          <w:tcPr>
            <w:tcW w:w="624" w:type="pct"/>
            <w:vMerge w:val="continue"/>
            <w:shd w:val="clear" w:color="auto" w:fill="auto"/>
            <w:vAlign w:val="center"/>
          </w:tcPr>
          <w:p w14:paraId="73A8EF13">
            <w:pPr>
              <w:pStyle w:val="90"/>
            </w:pPr>
          </w:p>
        </w:tc>
      </w:tr>
      <w:tr w14:paraId="1E4AA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49D1688D">
            <w:pPr>
              <w:pStyle w:val="90"/>
            </w:pPr>
          </w:p>
        </w:tc>
        <w:tc>
          <w:tcPr>
            <w:tcW w:w="730" w:type="pct"/>
            <w:shd w:val="clear" w:color="auto" w:fill="auto"/>
            <w:vAlign w:val="center"/>
          </w:tcPr>
          <w:p w14:paraId="7676E492">
            <w:pPr>
              <w:pStyle w:val="90"/>
            </w:pPr>
            <w:r>
              <w:rPr>
                <w:rFonts w:hint="eastAsia"/>
              </w:rPr>
              <w:t>TDS</w:t>
            </w:r>
          </w:p>
        </w:tc>
        <w:tc>
          <w:tcPr>
            <w:tcW w:w="820" w:type="pct"/>
            <w:shd w:val="clear" w:color="auto" w:fill="auto"/>
            <w:vAlign w:val="bottom"/>
          </w:tcPr>
          <w:p w14:paraId="7930A6E5">
            <w:pPr>
              <w:pStyle w:val="90"/>
            </w:pPr>
            <w:r>
              <w:rPr>
                <w:rFonts w:hint="eastAsia"/>
              </w:rPr>
              <w:t>2.592</w:t>
            </w:r>
          </w:p>
        </w:tc>
        <w:tc>
          <w:tcPr>
            <w:tcW w:w="624" w:type="pct"/>
            <w:shd w:val="clear" w:color="auto" w:fill="auto"/>
            <w:vAlign w:val="center"/>
          </w:tcPr>
          <w:p w14:paraId="7D86BBF7">
            <w:pPr>
              <w:pStyle w:val="90"/>
            </w:pPr>
            <w:r>
              <w:rPr>
                <w:rFonts w:hint="eastAsia"/>
              </w:rPr>
              <w:t>1</w:t>
            </w:r>
            <w:r>
              <w:t>000</w:t>
            </w:r>
          </w:p>
        </w:tc>
        <w:tc>
          <w:tcPr>
            <w:tcW w:w="624" w:type="pct"/>
            <w:vMerge w:val="continue"/>
            <w:shd w:val="clear" w:color="auto" w:fill="auto"/>
            <w:vAlign w:val="center"/>
          </w:tcPr>
          <w:p w14:paraId="76516F35">
            <w:pPr>
              <w:pStyle w:val="90"/>
            </w:pPr>
          </w:p>
        </w:tc>
        <w:tc>
          <w:tcPr>
            <w:tcW w:w="624" w:type="pct"/>
            <w:shd w:val="clear" w:color="auto" w:fill="auto"/>
            <w:vAlign w:val="bottom"/>
          </w:tcPr>
          <w:p w14:paraId="2BF9E13B">
            <w:pPr>
              <w:pStyle w:val="90"/>
            </w:pPr>
            <w:r>
              <w:rPr>
                <w:rFonts w:hint="eastAsia"/>
              </w:rPr>
              <w:t>2.592</w:t>
            </w:r>
          </w:p>
        </w:tc>
        <w:tc>
          <w:tcPr>
            <w:tcW w:w="624" w:type="pct"/>
            <w:shd w:val="clear" w:color="auto" w:fill="auto"/>
            <w:vAlign w:val="center"/>
          </w:tcPr>
          <w:p w14:paraId="275DF08C">
            <w:pPr>
              <w:pStyle w:val="90"/>
            </w:pPr>
            <w:r>
              <w:rPr>
                <w:rFonts w:hint="eastAsia"/>
              </w:rPr>
              <w:t>1</w:t>
            </w:r>
            <w:r>
              <w:t>000</w:t>
            </w:r>
          </w:p>
        </w:tc>
        <w:tc>
          <w:tcPr>
            <w:tcW w:w="624" w:type="pct"/>
            <w:vMerge w:val="continue"/>
            <w:shd w:val="clear" w:color="auto" w:fill="auto"/>
            <w:vAlign w:val="center"/>
          </w:tcPr>
          <w:p w14:paraId="75BCB97D">
            <w:pPr>
              <w:pStyle w:val="90"/>
            </w:pPr>
          </w:p>
        </w:tc>
      </w:tr>
      <w:tr w14:paraId="30CB0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5F9A32F4">
            <w:pPr>
              <w:pStyle w:val="90"/>
            </w:pPr>
            <w:r>
              <w:rPr>
                <w:rFonts w:hint="eastAsia"/>
                <w:lang w:val="en-US" w:eastAsia="zh-CN"/>
              </w:rPr>
              <w:t>碱洗喷淋废水</w:t>
            </w:r>
          </w:p>
        </w:tc>
        <w:tc>
          <w:tcPr>
            <w:tcW w:w="730" w:type="pct"/>
            <w:shd w:val="clear" w:color="auto" w:fill="auto"/>
            <w:vAlign w:val="center"/>
          </w:tcPr>
          <w:p w14:paraId="5A298C22">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废水量</w:t>
            </w:r>
          </w:p>
        </w:tc>
        <w:tc>
          <w:tcPr>
            <w:tcW w:w="820" w:type="pct"/>
            <w:shd w:val="clear" w:color="auto" w:fill="auto"/>
            <w:vAlign w:val="bottom"/>
          </w:tcPr>
          <w:p w14:paraId="38A86E66">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288</w:t>
            </w:r>
            <w:r>
              <w:rPr>
                <w:rFonts w:hint="eastAsia"/>
              </w:rPr>
              <w:t>m</w:t>
            </w:r>
            <w:r>
              <w:rPr>
                <w:vertAlign w:val="superscript"/>
              </w:rPr>
              <w:t>3</w:t>
            </w:r>
            <w:r>
              <w:t>/a</w:t>
            </w:r>
          </w:p>
        </w:tc>
        <w:tc>
          <w:tcPr>
            <w:tcW w:w="624" w:type="pct"/>
            <w:shd w:val="clear" w:color="auto" w:fill="auto"/>
            <w:vAlign w:val="center"/>
          </w:tcPr>
          <w:p w14:paraId="2EB4D0EF">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w:t>
            </w:r>
          </w:p>
        </w:tc>
        <w:tc>
          <w:tcPr>
            <w:tcW w:w="624" w:type="pct"/>
            <w:vMerge w:val="continue"/>
            <w:shd w:val="clear" w:color="auto" w:fill="auto"/>
            <w:vAlign w:val="center"/>
          </w:tcPr>
          <w:p w14:paraId="4AA0E41A">
            <w:pPr>
              <w:pStyle w:val="90"/>
            </w:pPr>
          </w:p>
        </w:tc>
        <w:tc>
          <w:tcPr>
            <w:tcW w:w="624" w:type="pct"/>
            <w:shd w:val="clear" w:color="auto" w:fill="auto"/>
            <w:vAlign w:val="bottom"/>
          </w:tcPr>
          <w:p w14:paraId="32529CDA">
            <w:pPr>
              <w:pStyle w:val="90"/>
              <w:rPr>
                <w:rFonts w:hint="default" w:eastAsia="宋体"/>
                <w:lang w:val="en-US" w:eastAsia="zh-CN"/>
              </w:rPr>
            </w:pPr>
            <w:r>
              <w:rPr>
                <w:rFonts w:hint="eastAsia"/>
                <w:lang w:val="en-US" w:eastAsia="zh-CN"/>
              </w:rPr>
              <w:t>288</w:t>
            </w:r>
            <w:r>
              <w:rPr>
                <w:rFonts w:hint="eastAsia"/>
              </w:rPr>
              <w:t>m</w:t>
            </w:r>
            <w:r>
              <w:rPr>
                <w:vertAlign w:val="superscript"/>
              </w:rPr>
              <w:t>3</w:t>
            </w:r>
            <w:r>
              <w:t>/a</w:t>
            </w:r>
          </w:p>
        </w:tc>
        <w:tc>
          <w:tcPr>
            <w:tcW w:w="624" w:type="pct"/>
            <w:shd w:val="clear" w:color="auto" w:fill="auto"/>
            <w:vAlign w:val="center"/>
          </w:tcPr>
          <w:p w14:paraId="298AACAE">
            <w:pPr>
              <w:pStyle w:val="90"/>
              <w:rPr>
                <w:rFonts w:hint="eastAsia" w:eastAsia="宋体"/>
                <w:lang w:val="en-US" w:eastAsia="zh-CN"/>
              </w:rPr>
            </w:pPr>
            <w:r>
              <w:rPr>
                <w:rFonts w:hint="eastAsia"/>
                <w:lang w:val="en-US" w:eastAsia="zh-CN"/>
              </w:rPr>
              <w:t>/</w:t>
            </w:r>
          </w:p>
        </w:tc>
        <w:tc>
          <w:tcPr>
            <w:tcW w:w="624" w:type="pct"/>
            <w:vMerge w:val="continue"/>
            <w:shd w:val="clear" w:color="auto" w:fill="auto"/>
            <w:vAlign w:val="center"/>
          </w:tcPr>
          <w:p w14:paraId="035D8696">
            <w:pPr>
              <w:pStyle w:val="90"/>
            </w:pPr>
          </w:p>
        </w:tc>
      </w:tr>
      <w:tr w14:paraId="3BFBB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61383BAF">
            <w:pPr>
              <w:pStyle w:val="90"/>
            </w:pPr>
          </w:p>
        </w:tc>
        <w:tc>
          <w:tcPr>
            <w:tcW w:w="730" w:type="pct"/>
            <w:shd w:val="clear" w:color="auto" w:fill="auto"/>
            <w:vAlign w:val="center"/>
          </w:tcPr>
          <w:p w14:paraId="12B5AA52">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COD</w:t>
            </w:r>
          </w:p>
        </w:tc>
        <w:tc>
          <w:tcPr>
            <w:tcW w:w="820" w:type="pct"/>
            <w:shd w:val="clear" w:color="auto" w:fill="auto"/>
            <w:vAlign w:val="center"/>
          </w:tcPr>
          <w:p w14:paraId="73796A37">
            <w:pPr>
              <w:pStyle w:val="90"/>
              <w:bidi w:val="0"/>
              <w:rPr>
                <w:rFonts w:hint="eastAsia"/>
                <w:lang w:val="zh-CN" w:eastAsia="zh-CN"/>
              </w:rPr>
            </w:pPr>
            <w:r>
              <w:rPr>
                <w:rFonts w:hint="eastAsia"/>
                <w:lang w:val="en-US" w:eastAsia="zh-CN"/>
              </w:rPr>
              <w:t>0.0864</w:t>
            </w:r>
          </w:p>
        </w:tc>
        <w:tc>
          <w:tcPr>
            <w:tcW w:w="624" w:type="pct"/>
            <w:shd w:val="clear" w:color="auto" w:fill="auto"/>
            <w:vAlign w:val="center"/>
          </w:tcPr>
          <w:p w14:paraId="3C89DA99">
            <w:pPr>
              <w:pStyle w:val="90"/>
              <w:ind w:firstLine="0" w:firstLineChars="0"/>
              <w:rPr>
                <w:rFonts w:hint="eastAsia" w:ascii="Times New Roman" w:hAnsi="Times New Roman" w:eastAsia="宋体" w:cs="Times New Roman"/>
                <w:bCs/>
                <w:kern w:val="2"/>
                <w:sz w:val="21"/>
                <w:szCs w:val="20"/>
                <w:lang w:val="zh-CN" w:eastAsia="zh-CN" w:bidi="ar-SA"/>
              </w:rPr>
            </w:pPr>
            <w:r>
              <w:t>300</w:t>
            </w:r>
          </w:p>
        </w:tc>
        <w:tc>
          <w:tcPr>
            <w:tcW w:w="624" w:type="pct"/>
            <w:vMerge w:val="continue"/>
            <w:shd w:val="clear" w:color="auto" w:fill="auto"/>
            <w:vAlign w:val="center"/>
          </w:tcPr>
          <w:p w14:paraId="7A52743A">
            <w:pPr>
              <w:pStyle w:val="90"/>
            </w:pPr>
          </w:p>
        </w:tc>
        <w:tc>
          <w:tcPr>
            <w:tcW w:w="624" w:type="pct"/>
            <w:shd w:val="clear" w:color="auto" w:fill="auto"/>
            <w:vAlign w:val="center"/>
          </w:tcPr>
          <w:p w14:paraId="60494395">
            <w:pPr>
              <w:pStyle w:val="90"/>
              <w:bidi w:val="0"/>
              <w:rPr>
                <w:rFonts w:hint="eastAsia"/>
              </w:rPr>
            </w:pPr>
            <w:r>
              <w:rPr>
                <w:rFonts w:hint="eastAsia"/>
                <w:lang w:val="en-US" w:eastAsia="zh-CN"/>
              </w:rPr>
              <w:t>0.0576</w:t>
            </w:r>
          </w:p>
        </w:tc>
        <w:tc>
          <w:tcPr>
            <w:tcW w:w="624" w:type="pct"/>
            <w:shd w:val="clear" w:color="auto" w:fill="auto"/>
            <w:vAlign w:val="center"/>
          </w:tcPr>
          <w:p w14:paraId="7831220D">
            <w:pPr>
              <w:pStyle w:val="90"/>
              <w:rPr>
                <w:rFonts w:hint="default" w:eastAsia="宋体"/>
                <w:lang w:val="en-US" w:eastAsia="zh-CN"/>
              </w:rPr>
            </w:pPr>
            <w:r>
              <w:rPr>
                <w:rFonts w:hint="eastAsia"/>
                <w:lang w:val="en-US" w:eastAsia="zh-CN"/>
              </w:rPr>
              <w:t>200</w:t>
            </w:r>
          </w:p>
        </w:tc>
        <w:tc>
          <w:tcPr>
            <w:tcW w:w="624" w:type="pct"/>
            <w:vMerge w:val="continue"/>
            <w:shd w:val="clear" w:color="auto" w:fill="auto"/>
            <w:vAlign w:val="center"/>
          </w:tcPr>
          <w:p w14:paraId="041B3706">
            <w:pPr>
              <w:pStyle w:val="90"/>
            </w:pPr>
          </w:p>
        </w:tc>
      </w:tr>
      <w:tr w14:paraId="184D7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7862352F">
            <w:pPr>
              <w:pStyle w:val="90"/>
            </w:pPr>
          </w:p>
        </w:tc>
        <w:tc>
          <w:tcPr>
            <w:tcW w:w="730" w:type="pct"/>
            <w:shd w:val="clear" w:color="auto" w:fill="auto"/>
            <w:vAlign w:val="center"/>
          </w:tcPr>
          <w:p w14:paraId="1AB24CC4">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BOD</w:t>
            </w:r>
            <w:r>
              <w:rPr>
                <w:vertAlign w:val="subscript"/>
              </w:rPr>
              <w:t>5</w:t>
            </w:r>
          </w:p>
        </w:tc>
        <w:tc>
          <w:tcPr>
            <w:tcW w:w="820" w:type="pct"/>
            <w:shd w:val="clear" w:color="auto" w:fill="auto"/>
            <w:vAlign w:val="center"/>
          </w:tcPr>
          <w:p w14:paraId="07188BF7">
            <w:pPr>
              <w:pStyle w:val="90"/>
              <w:bidi w:val="0"/>
              <w:rPr>
                <w:rFonts w:hint="eastAsia"/>
                <w:lang w:val="zh-CN" w:eastAsia="zh-CN"/>
              </w:rPr>
            </w:pPr>
            <w:r>
              <w:rPr>
                <w:rFonts w:hint="eastAsia"/>
                <w:lang w:val="en-US" w:eastAsia="zh-CN"/>
              </w:rPr>
              <w:t>0.0576</w:t>
            </w:r>
          </w:p>
        </w:tc>
        <w:tc>
          <w:tcPr>
            <w:tcW w:w="624" w:type="pct"/>
            <w:shd w:val="clear" w:color="auto" w:fill="auto"/>
            <w:vAlign w:val="center"/>
          </w:tcPr>
          <w:p w14:paraId="5FEB2134">
            <w:pPr>
              <w:pStyle w:val="90"/>
              <w:ind w:firstLine="0" w:firstLineChars="0"/>
              <w:rPr>
                <w:rFonts w:hint="eastAsia" w:ascii="Times New Roman" w:hAnsi="Times New Roman" w:eastAsia="宋体" w:cs="Times New Roman"/>
                <w:bCs/>
                <w:kern w:val="2"/>
                <w:sz w:val="21"/>
                <w:szCs w:val="20"/>
                <w:lang w:val="zh-CN" w:eastAsia="zh-CN" w:bidi="ar-SA"/>
              </w:rPr>
            </w:pPr>
            <w:r>
              <w:t>200</w:t>
            </w:r>
          </w:p>
        </w:tc>
        <w:tc>
          <w:tcPr>
            <w:tcW w:w="624" w:type="pct"/>
            <w:vMerge w:val="continue"/>
            <w:shd w:val="clear" w:color="auto" w:fill="auto"/>
            <w:vAlign w:val="center"/>
          </w:tcPr>
          <w:p w14:paraId="02161B22">
            <w:pPr>
              <w:pStyle w:val="90"/>
            </w:pPr>
          </w:p>
        </w:tc>
        <w:tc>
          <w:tcPr>
            <w:tcW w:w="624" w:type="pct"/>
            <w:shd w:val="clear" w:color="auto" w:fill="auto"/>
            <w:vAlign w:val="center"/>
          </w:tcPr>
          <w:p w14:paraId="3CA7B8EB">
            <w:pPr>
              <w:pStyle w:val="90"/>
              <w:bidi w:val="0"/>
              <w:rPr>
                <w:rFonts w:hint="eastAsia"/>
              </w:rPr>
            </w:pPr>
            <w:r>
              <w:rPr>
                <w:rFonts w:hint="eastAsia"/>
                <w:lang w:val="en-US" w:eastAsia="zh-CN"/>
              </w:rPr>
              <w:t>0.0432</w:t>
            </w:r>
          </w:p>
        </w:tc>
        <w:tc>
          <w:tcPr>
            <w:tcW w:w="624" w:type="pct"/>
            <w:shd w:val="clear" w:color="auto" w:fill="auto"/>
            <w:vAlign w:val="center"/>
          </w:tcPr>
          <w:p w14:paraId="2A4DA826">
            <w:pPr>
              <w:pStyle w:val="90"/>
              <w:rPr>
                <w:rFonts w:hint="default" w:eastAsia="宋体"/>
                <w:lang w:val="en-US" w:eastAsia="zh-CN"/>
              </w:rPr>
            </w:pPr>
            <w:r>
              <w:rPr>
                <w:rFonts w:hint="eastAsia"/>
                <w:lang w:val="en-US" w:eastAsia="zh-CN"/>
              </w:rPr>
              <w:t>150</w:t>
            </w:r>
          </w:p>
        </w:tc>
        <w:tc>
          <w:tcPr>
            <w:tcW w:w="624" w:type="pct"/>
            <w:vMerge w:val="continue"/>
            <w:shd w:val="clear" w:color="auto" w:fill="auto"/>
            <w:vAlign w:val="center"/>
          </w:tcPr>
          <w:p w14:paraId="62F5E2F6">
            <w:pPr>
              <w:pStyle w:val="90"/>
            </w:pPr>
          </w:p>
        </w:tc>
      </w:tr>
      <w:tr w14:paraId="5F92C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24" w:type="pct"/>
            <w:vMerge w:val="continue"/>
            <w:shd w:val="clear" w:color="auto" w:fill="auto"/>
            <w:vAlign w:val="center"/>
          </w:tcPr>
          <w:p w14:paraId="382BA9D0">
            <w:pPr>
              <w:pStyle w:val="90"/>
            </w:pPr>
          </w:p>
        </w:tc>
        <w:tc>
          <w:tcPr>
            <w:tcW w:w="730" w:type="pct"/>
            <w:shd w:val="clear" w:color="auto" w:fill="auto"/>
            <w:vAlign w:val="center"/>
          </w:tcPr>
          <w:p w14:paraId="640DF31E">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SS</w:t>
            </w:r>
          </w:p>
        </w:tc>
        <w:tc>
          <w:tcPr>
            <w:tcW w:w="820" w:type="pct"/>
            <w:shd w:val="clear" w:color="auto" w:fill="auto"/>
            <w:vAlign w:val="center"/>
          </w:tcPr>
          <w:p w14:paraId="1E12EDB0">
            <w:pPr>
              <w:pStyle w:val="90"/>
              <w:bidi w:val="0"/>
              <w:rPr>
                <w:rFonts w:hint="eastAsia"/>
                <w:lang w:val="zh-CN" w:eastAsia="zh-CN"/>
              </w:rPr>
            </w:pPr>
            <w:r>
              <w:rPr>
                <w:rFonts w:hint="eastAsia"/>
                <w:lang w:val="en-US" w:eastAsia="zh-CN"/>
              </w:rPr>
              <w:t>0.0576</w:t>
            </w:r>
          </w:p>
        </w:tc>
        <w:tc>
          <w:tcPr>
            <w:tcW w:w="624" w:type="pct"/>
            <w:shd w:val="clear" w:color="auto" w:fill="auto"/>
            <w:vAlign w:val="center"/>
          </w:tcPr>
          <w:p w14:paraId="336B4E03">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2</w:t>
            </w:r>
            <w:r>
              <w:t>00</w:t>
            </w:r>
          </w:p>
        </w:tc>
        <w:tc>
          <w:tcPr>
            <w:tcW w:w="624" w:type="pct"/>
            <w:vMerge w:val="continue"/>
            <w:shd w:val="clear" w:color="auto" w:fill="auto"/>
            <w:vAlign w:val="center"/>
          </w:tcPr>
          <w:p w14:paraId="54BB0A1B">
            <w:pPr>
              <w:pStyle w:val="90"/>
            </w:pPr>
          </w:p>
        </w:tc>
        <w:tc>
          <w:tcPr>
            <w:tcW w:w="624" w:type="pct"/>
            <w:shd w:val="clear" w:color="auto" w:fill="auto"/>
            <w:vAlign w:val="center"/>
          </w:tcPr>
          <w:p w14:paraId="5954AC7A">
            <w:pPr>
              <w:pStyle w:val="90"/>
              <w:bidi w:val="0"/>
              <w:rPr>
                <w:rFonts w:hint="eastAsia"/>
              </w:rPr>
            </w:pPr>
            <w:r>
              <w:rPr>
                <w:rFonts w:hint="eastAsia"/>
                <w:lang w:val="en-US" w:eastAsia="zh-CN"/>
              </w:rPr>
              <w:t>0.0288</w:t>
            </w:r>
          </w:p>
        </w:tc>
        <w:tc>
          <w:tcPr>
            <w:tcW w:w="624" w:type="pct"/>
            <w:shd w:val="clear" w:color="auto" w:fill="auto"/>
            <w:vAlign w:val="center"/>
          </w:tcPr>
          <w:p w14:paraId="77EF82AC">
            <w:pPr>
              <w:pStyle w:val="90"/>
              <w:rPr>
                <w:rFonts w:hint="default" w:eastAsia="宋体"/>
                <w:lang w:val="en-US" w:eastAsia="zh-CN"/>
              </w:rPr>
            </w:pPr>
            <w:r>
              <w:rPr>
                <w:rFonts w:hint="eastAsia"/>
                <w:lang w:val="en-US" w:eastAsia="zh-CN"/>
              </w:rPr>
              <w:t>100</w:t>
            </w:r>
          </w:p>
        </w:tc>
        <w:tc>
          <w:tcPr>
            <w:tcW w:w="624" w:type="pct"/>
            <w:vMerge w:val="continue"/>
            <w:shd w:val="clear" w:color="auto" w:fill="auto"/>
            <w:vAlign w:val="center"/>
          </w:tcPr>
          <w:p w14:paraId="573FA235">
            <w:pPr>
              <w:pStyle w:val="90"/>
            </w:pPr>
          </w:p>
        </w:tc>
      </w:tr>
      <w:tr w14:paraId="52083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2019190A">
            <w:pPr>
              <w:pStyle w:val="90"/>
            </w:pPr>
          </w:p>
        </w:tc>
        <w:tc>
          <w:tcPr>
            <w:tcW w:w="730" w:type="pct"/>
            <w:shd w:val="clear" w:color="auto" w:fill="auto"/>
            <w:vAlign w:val="center"/>
          </w:tcPr>
          <w:p w14:paraId="1FE3112B">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氨氮</w:t>
            </w:r>
          </w:p>
        </w:tc>
        <w:tc>
          <w:tcPr>
            <w:tcW w:w="820" w:type="pct"/>
            <w:shd w:val="clear" w:color="auto" w:fill="auto"/>
            <w:vAlign w:val="center"/>
          </w:tcPr>
          <w:p w14:paraId="1F148D3B">
            <w:pPr>
              <w:pStyle w:val="90"/>
              <w:bidi w:val="0"/>
              <w:rPr>
                <w:rFonts w:hint="eastAsia"/>
                <w:lang w:val="zh-CN" w:eastAsia="zh-CN"/>
              </w:rPr>
            </w:pPr>
            <w:r>
              <w:rPr>
                <w:rFonts w:hint="eastAsia"/>
                <w:lang w:val="en-US" w:eastAsia="zh-CN"/>
              </w:rPr>
              <w:t>0.00864</w:t>
            </w:r>
          </w:p>
        </w:tc>
        <w:tc>
          <w:tcPr>
            <w:tcW w:w="624" w:type="pct"/>
            <w:shd w:val="clear" w:color="auto" w:fill="auto"/>
            <w:vAlign w:val="center"/>
          </w:tcPr>
          <w:p w14:paraId="252241E1">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3</w:t>
            </w:r>
            <w:r>
              <w:t>0</w:t>
            </w:r>
          </w:p>
        </w:tc>
        <w:tc>
          <w:tcPr>
            <w:tcW w:w="624" w:type="pct"/>
            <w:vMerge w:val="continue"/>
            <w:shd w:val="clear" w:color="auto" w:fill="auto"/>
            <w:vAlign w:val="center"/>
          </w:tcPr>
          <w:p w14:paraId="4F7DD053">
            <w:pPr>
              <w:pStyle w:val="90"/>
            </w:pPr>
          </w:p>
        </w:tc>
        <w:tc>
          <w:tcPr>
            <w:tcW w:w="624" w:type="pct"/>
            <w:shd w:val="clear" w:color="auto" w:fill="auto"/>
            <w:vAlign w:val="center"/>
          </w:tcPr>
          <w:p w14:paraId="17755754">
            <w:pPr>
              <w:pStyle w:val="90"/>
              <w:bidi w:val="0"/>
              <w:rPr>
                <w:rFonts w:hint="eastAsia"/>
              </w:rPr>
            </w:pPr>
            <w:r>
              <w:rPr>
                <w:rFonts w:hint="eastAsia"/>
                <w:lang w:val="en-US" w:eastAsia="zh-CN"/>
              </w:rPr>
              <w:t>0.00288</w:t>
            </w:r>
          </w:p>
        </w:tc>
        <w:tc>
          <w:tcPr>
            <w:tcW w:w="624" w:type="pct"/>
            <w:shd w:val="clear" w:color="auto" w:fill="auto"/>
            <w:vAlign w:val="center"/>
          </w:tcPr>
          <w:p w14:paraId="7058AA34">
            <w:pPr>
              <w:pStyle w:val="90"/>
              <w:rPr>
                <w:rFonts w:hint="default" w:eastAsia="宋体"/>
                <w:lang w:val="en-US" w:eastAsia="zh-CN"/>
              </w:rPr>
            </w:pPr>
            <w:r>
              <w:rPr>
                <w:rFonts w:hint="eastAsia"/>
                <w:lang w:val="en-US" w:eastAsia="zh-CN"/>
              </w:rPr>
              <w:t>10</w:t>
            </w:r>
          </w:p>
        </w:tc>
        <w:tc>
          <w:tcPr>
            <w:tcW w:w="624" w:type="pct"/>
            <w:vMerge w:val="continue"/>
            <w:shd w:val="clear" w:color="auto" w:fill="auto"/>
            <w:vAlign w:val="center"/>
          </w:tcPr>
          <w:p w14:paraId="5E2258F3">
            <w:pPr>
              <w:pStyle w:val="90"/>
            </w:pPr>
          </w:p>
        </w:tc>
      </w:tr>
      <w:tr w14:paraId="1A832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45B6A204">
            <w:pPr>
              <w:pStyle w:val="90"/>
            </w:pPr>
            <w:r>
              <w:rPr>
                <w:rFonts w:hint="eastAsia"/>
              </w:rPr>
              <w:t>生活污水</w:t>
            </w:r>
          </w:p>
        </w:tc>
        <w:tc>
          <w:tcPr>
            <w:tcW w:w="730" w:type="pct"/>
            <w:shd w:val="clear" w:color="auto" w:fill="auto"/>
            <w:vAlign w:val="center"/>
          </w:tcPr>
          <w:p w14:paraId="046C3746">
            <w:pPr>
              <w:pStyle w:val="90"/>
            </w:pPr>
            <w:r>
              <w:rPr>
                <w:rFonts w:hint="eastAsia"/>
              </w:rPr>
              <w:t>废水量</w:t>
            </w:r>
          </w:p>
        </w:tc>
        <w:tc>
          <w:tcPr>
            <w:tcW w:w="820" w:type="pct"/>
            <w:shd w:val="clear" w:color="auto" w:fill="auto"/>
            <w:vAlign w:val="center"/>
          </w:tcPr>
          <w:p w14:paraId="1B6BCF46">
            <w:pPr>
              <w:pStyle w:val="90"/>
            </w:pPr>
            <w:r>
              <w:rPr>
                <w:rFonts w:hint="eastAsia"/>
              </w:rPr>
              <w:t>1</w:t>
            </w:r>
            <w:r>
              <w:t>920</w:t>
            </w:r>
            <w:r>
              <w:rPr>
                <w:rFonts w:hint="eastAsia"/>
              </w:rPr>
              <w:t>m</w:t>
            </w:r>
            <w:r>
              <w:rPr>
                <w:vertAlign w:val="superscript"/>
              </w:rPr>
              <w:t>3</w:t>
            </w:r>
            <w:r>
              <w:t>/a</w:t>
            </w:r>
          </w:p>
        </w:tc>
        <w:tc>
          <w:tcPr>
            <w:tcW w:w="624" w:type="pct"/>
            <w:shd w:val="clear" w:color="auto" w:fill="auto"/>
            <w:vAlign w:val="center"/>
          </w:tcPr>
          <w:p w14:paraId="189EB29C">
            <w:pPr>
              <w:pStyle w:val="90"/>
            </w:pPr>
            <w:r>
              <w:rPr>
                <w:rFonts w:hint="eastAsia"/>
              </w:rPr>
              <w:t>/</w:t>
            </w:r>
          </w:p>
        </w:tc>
        <w:tc>
          <w:tcPr>
            <w:tcW w:w="624" w:type="pct"/>
            <w:vMerge w:val="restart"/>
            <w:shd w:val="clear" w:color="auto" w:fill="auto"/>
            <w:vAlign w:val="center"/>
          </w:tcPr>
          <w:p w14:paraId="304995FF">
            <w:pPr>
              <w:pStyle w:val="90"/>
              <w:rPr>
                <w:rFonts w:hint="default" w:eastAsia="宋体"/>
                <w:lang w:val="en-US" w:eastAsia="zh-CN"/>
              </w:rPr>
            </w:pPr>
            <w:r>
              <w:rPr>
                <w:rFonts w:hint="eastAsia"/>
                <w:lang w:val="en-US" w:eastAsia="zh-CN"/>
              </w:rPr>
              <w:t>排入园区管网</w:t>
            </w:r>
          </w:p>
        </w:tc>
        <w:tc>
          <w:tcPr>
            <w:tcW w:w="624" w:type="pct"/>
            <w:shd w:val="clear" w:color="auto" w:fill="auto"/>
            <w:vAlign w:val="center"/>
          </w:tcPr>
          <w:p w14:paraId="46BEDD88">
            <w:pPr>
              <w:pStyle w:val="90"/>
            </w:pPr>
            <w:r>
              <w:rPr>
                <w:rFonts w:hint="eastAsia"/>
              </w:rPr>
              <w:t>1</w:t>
            </w:r>
            <w:r>
              <w:t>920</w:t>
            </w:r>
            <w:r>
              <w:rPr>
                <w:rFonts w:hint="eastAsia"/>
              </w:rPr>
              <w:t>m</w:t>
            </w:r>
            <w:r>
              <w:rPr>
                <w:vertAlign w:val="superscript"/>
              </w:rPr>
              <w:t>3</w:t>
            </w:r>
            <w:r>
              <w:t>/a</w:t>
            </w:r>
          </w:p>
        </w:tc>
        <w:tc>
          <w:tcPr>
            <w:tcW w:w="624" w:type="pct"/>
            <w:shd w:val="clear" w:color="auto" w:fill="auto"/>
            <w:vAlign w:val="center"/>
          </w:tcPr>
          <w:p w14:paraId="573778F4">
            <w:pPr>
              <w:pStyle w:val="90"/>
            </w:pPr>
            <w:r>
              <w:rPr>
                <w:rFonts w:hint="eastAsia"/>
              </w:rPr>
              <w:t>/</w:t>
            </w:r>
          </w:p>
        </w:tc>
        <w:tc>
          <w:tcPr>
            <w:tcW w:w="624" w:type="pct"/>
            <w:vMerge w:val="continue"/>
            <w:shd w:val="clear" w:color="auto" w:fill="auto"/>
            <w:vAlign w:val="center"/>
          </w:tcPr>
          <w:p w14:paraId="7E8E8783">
            <w:pPr>
              <w:pStyle w:val="90"/>
            </w:pPr>
          </w:p>
        </w:tc>
      </w:tr>
      <w:tr w14:paraId="69595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493AFEA6">
            <w:pPr>
              <w:pStyle w:val="90"/>
            </w:pPr>
          </w:p>
        </w:tc>
        <w:tc>
          <w:tcPr>
            <w:tcW w:w="730" w:type="pct"/>
            <w:shd w:val="clear" w:color="auto" w:fill="auto"/>
            <w:vAlign w:val="center"/>
          </w:tcPr>
          <w:p w14:paraId="06C7A765">
            <w:pPr>
              <w:pStyle w:val="90"/>
            </w:pPr>
            <w:r>
              <w:rPr>
                <w:rFonts w:hint="eastAsia"/>
              </w:rPr>
              <w:t>COD</w:t>
            </w:r>
          </w:p>
        </w:tc>
        <w:tc>
          <w:tcPr>
            <w:tcW w:w="820" w:type="pct"/>
            <w:shd w:val="clear" w:color="auto" w:fill="auto"/>
            <w:vAlign w:val="bottom"/>
          </w:tcPr>
          <w:p w14:paraId="1DB07082">
            <w:pPr>
              <w:pStyle w:val="90"/>
              <w:rPr>
                <w:kern w:val="0"/>
              </w:rPr>
            </w:pPr>
            <w:r>
              <w:rPr>
                <w:rFonts w:hint="eastAsia"/>
              </w:rPr>
              <w:t>0.576</w:t>
            </w:r>
          </w:p>
        </w:tc>
        <w:tc>
          <w:tcPr>
            <w:tcW w:w="624" w:type="pct"/>
            <w:shd w:val="clear" w:color="auto" w:fill="auto"/>
            <w:vAlign w:val="center"/>
          </w:tcPr>
          <w:p w14:paraId="7CC55DB8">
            <w:pPr>
              <w:pStyle w:val="90"/>
            </w:pPr>
            <w:r>
              <w:t>300</w:t>
            </w:r>
          </w:p>
        </w:tc>
        <w:tc>
          <w:tcPr>
            <w:tcW w:w="624" w:type="pct"/>
            <w:vMerge w:val="continue"/>
            <w:shd w:val="clear" w:color="auto" w:fill="auto"/>
            <w:vAlign w:val="center"/>
          </w:tcPr>
          <w:p w14:paraId="77F01AF1">
            <w:pPr>
              <w:pStyle w:val="90"/>
            </w:pPr>
          </w:p>
        </w:tc>
        <w:tc>
          <w:tcPr>
            <w:tcW w:w="624" w:type="pct"/>
            <w:shd w:val="clear" w:color="auto" w:fill="auto"/>
            <w:vAlign w:val="bottom"/>
          </w:tcPr>
          <w:p w14:paraId="14A4224E">
            <w:pPr>
              <w:pStyle w:val="90"/>
              <w:rPr>
                <w:kern w:val="0"/>
              </w:rPr>
            </w:pPr>
            <w:r>
              <w:rPr>
                <w:rFonts w:hint="eastAsia"/>
              </w:rPr>
              <w:t>0.576</w:t>
            </w:r>
          </w:p>
        </w:tc>
        <w:tc>
          <w:tcPr>
            <w:tcW w:w="624" w:type="pct"/>
            <w:shd w:val="clear" w:color="auto" w:fill="auto"/>
            <w:vAlign w:val="center"/>
          </w:tcPr>
          <w:p w14:paraId="3ADDFFE2">
            <w:pPr>
              <w:pStyle w:val="90"/>
            </w:pPr>
            <w:r>
              <w:t>300</w:t>
            </w:r>
          </w:p>
        </w:tc>
        <w:tc>
          <w:tcPr>
            <w:tcW w:w="624" w:type="pct"/>
            <w:vMerge w:val="continue"/>
            <w:shd w:val="clear" w:color="auto" w:fill="auto"/>
            <w:vAlign w:val="center"/>
          </w:tcPr>
          <w:p w14:paraId="5D1BFDD7">
            <w:pPr>
              <w:pStyle w:val="90"/>
            </w:pPr>
          </w:p>
        </w:tc>
      </w:tr>
      <w:tr w14:paraId="130E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70D0029A">
            <w:pPr>
              <w:pStyle w:val="90"/>
            </w:pPr>
          </w:p>
        </w:tc>
        <w:tc>
          <w:tcPr>
            <w:tcW w:w="730" w:type="pct"/>
            <w:shd w:val="clear" w:color="auto" w:fill="auto"/>
            <w:vAlign w:val="center"/>
          </w:tcPr>
          <w:p w14:paraId="305ED294">
            <w:pPr>
              <w:pStyle w:val="90"/>
            </w:pPr>
            <w:r>
              <w:rPr>
                <w:rFonts w:hint="eastAsia"/>
              </w:rPr>
              <w:t>BOD</w:t>
            </w:r>
            <w:r>
              <w:rPr>
                <w:vertAlign w:val="subscript"/>
              </w:rPr>
              <w:t>5</w:t>
            </w:r>
          </w:p>
        </w:tc>
        <w:tc>
          <w:tcPr>
            <w:tcW w:w="820" w:type="pct"/>
            <w:shd w:val="clear" w:color="auto" w:fill="auto"/>
            <w:vAlign w:val="bottom"/>
          </w:tcPr>
          <w:p w14:paraId="5293AA74">
            <w:pPr>
              <w:pStyle w:val="90"/>
            </w:pPr>
            <w:r>
              <w:rPr>
                <w:rFonts w:hint="eastAsia"/>
              </w:rPr>
              <w:t>0.384</w:t>
            </w:r>
          </w:p>
        </w:tc>
        <w:tc>
          <w:tcPr>
            <w:tcW w:w="624" w:type="pct"/>
            <w:shd w:val="clear" w:color="auto" w:fill="auto"/>
            <w:vAlign w:val="center"/>
          </w:tcPr>
          <w:p w14:paraId="4BBBCDD2">
            <w:pPr>
              <w:pStyle w:val="90"/>
            </w:pPr>
            <w:r>
              <w:t>200</w:t>
            </w:r>
          </w:p>
        </w:tc>
        <w:tc>
          <w:tcPr>
            <w:tcW w:w="624" w:type="pct"/>
            <w:vMerge w:val="continue"/>
            <w:shd w:val="clear" w:color="auto" w:fill="auto"/>
            <w:vAlign w:val="center"/>
          </w:tcPr>
          <w:p w14:paraId="63F5965F">
            <w:pPr>
              <w:pStyle w:val="90"/>
            </w:pPr>
          </w:p>
        </w:tc>
        <w:tc>
          <w:tcPr>
            <w:tcW w:w="624" w:type="pct"/>
            <w:shd w:val="clear" w:color="auto" w:fill="auto"/>
            <w:vAlign w:val="bottom"/>
          </w:tcPr>
          <w:p w14:paraId="341C62AA">
            <w:pPr>
              <w:pStyle w:val="90"/>
            </w:pPr>
            <w:r>
              <w:rPr>
                <w:rFonts w:hint="eastAsia"/>
              </w:rPr>
              <w:t>0.384</w:t>
            </w:r>
          </w:p>
        </w:tc>
        <w:tc>
          <w:tcPr>
            <w:tcW w:w="624" w:type="pct"/>
            <w:shd w:val="clear" w:color="auto" w:fill="auto"/>
            <w:vAlign w:val="center"/>
          </w:tcPr>
          <w:p w14:paraId="10E4B5A4">
            <w:pPr>
              <w:pStyle w:val="90"/>
            </w:pPr>
            <w:r>
              <w:t>200</w:t>
            </w:r>
          </w:p>
        </w:tc>
        <w:tc>
          <w:tcPr>
            <w:tcW w:w="624" w:type="pct"/>
            <w:vMerge w:val="continue"/>
            <w:shd w:val="clear" w:color="auto" w:fill="auto"/>
            <w:vAlign w:val="center"/>
          </w:tcPr>
          <w:p w14:paraId="0B590907">
            <w:pPr>
              <w:pStyle w:val="90"/>
            </w:pPr>
          </w:p>
        </w:tc>
      </w:tr>
      <w:tr w14:paraId="576E3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1B046E15">
            <w:pPr>
              <w:pStyle w:val="90"/>
            </w:pPr>
          </w:p>
        </w:tc>
        <w:tc>
          <w:tcPr>
            <w:tcW w:w="730" w:type="pct"/>
            <w:shd w:val="clear" w:color="auto" w:fill="auto"/>
            <w:vAlign w:val="center"/>
          </w:tcPr>
          <w:p w14:paraId="3A395796">
            <w:pPr>
              <w:pStyle w:val="90"/>
            </w:pPr>
            <w:r>
              <w:rPr>
                <w:rFonts w:hint="eastAsia"/>
              </w:rPr>
              <w:t>SS</w:t>
            </w:r>
          </w:p>
        </w:tc>
        <w:tc>
          <w:tcPr>
            <w:tcW w:w="820" w:type="pct"/>
            <w:shd w:val="clear" w:color="auto" w:fill="auto"/>
            <w:vAlign w:val="bottom"/>
          </w:tcPr>
          <w:p w14:paraId="055FFFA8">
            <w:pPr>
              <w:pStyle w:val="90"/>
            </w:pPr>
            <w:r>
              <w:rPr>
                <w:rFonts w:hint="eastAsia"/>
              </w:rPr>
              <w:t>0.384</w:t>
            </w:r>
          </w:p>
        </w:tc>
        <w:tc>
          <w:tcPr>
            <w:tcW w:w="624" w:type="pct"/>
            <w:shd w:val="clear" w:color="auto" w:fill="auto"/>
            <w:vAlign w:val="center"/>
          </w:tcPr>
          <w:p w14:paraId="2C32DE20">
            <w:pPr>
              <w:pStyle w:val="90"/>
            </w:pPr>
            <w:r>
              <w:rPr>
                <w:rFonts w:hint="eastAsia"/>
              </w:rPr>
              <w:t>2</w:t>
            </w:r>
            <w:r>
              <w:t>00</w:t>
            </w:r>
          </w:p>
        </w:tc>
        <w:tc>
          <w:tcPr>
            <w:tcW w:w="624" w:type="pct"/>
            <w:vMerge w:val="continue"/>
            <w:shd w:val="clear" w:color="auto" w:fill="auto"/>
            <w:vAlign w:val="center"/>
          </w:tcPr>
          <w:p w14:paraId="47ACCEEE">
            <w:pPr>
              <w:pStyle w:val="90"/>
            </w:pPr>
          </w:p>
        </w:tc>
        <w:tc>
          <w:tcPr>
            <w:tcW w:w="624" w:type="pct"/>
            <w:shd w:val="clear" w:color="auto" w:fill="auto"/>
            <w:vAlign w:val="bottom"/>
          </w:tcPr>
          <w:p w14:paraId="53863979">
            <w:pPr>
              <w:pStyle w:val="90"/>
            </w:pPr>
            <w:r>
              <w:rPr>
                <w:rFonts w:hint="eastAsia"/>
              </w:rPr>
              <w:t>0.384</w:t>
            </w:r>
          </w:p>
        </w:tc>
        <w:tc>
          <w:tcPr>
            <w:tcW w:w="624" w:type="pct"/>
            <w:shd w:val="clear" w:color="auto" w:fill="auto"/>
            <w:vAlign w:val="center"/>
          </w:tcPr>
          <w:p w14:paraId="3D28D4FD">
            <w:pPr>
              <w:pStyle w:val="90"/>
            </w:pPr>
            <w:r>
              <w:rPr>
                <w:rFonts w:hint="eastAsia"/>
              </w:rPr>
              <w:t>2</w:t>
            </w:r>
            <w:r>
              <w:t>00</w:t>
            </w:r>
          </w:p>
        </w:tc>
        <w:tc>
          <w:tcPr>
            <w:tcW w:w="624" w:type="pct"/>
            <w:vMerge w:val="continue"/>
            <w:shd w:val="clear" w:color="auto" w:fill="auto"/>
            <w:vAlign w:val="center"/>
          </w:tcPr>
          <w:p w14:paraId="2A46F341">
            <w:pPr>
              <w:pStyle w:val="90"/>
            </w:pPr>
          </w:p>
        </w:tc>
      </w:tr>
      <w:tr w14:paraId="34250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CBA62A4">
            <w:pPr>
              <w:pStyle w:val="90"/>
            </w:pPr>
          </w:p>
        </w:tc>
        <w:tc>
          <w:tcPr>
            <w:tcW w:w="730" w:type="pct"/>
            <w:shd w:val="clear" w:color="auto" w:fill="auto"/>
            <w:vAlign w:val="center"/>
          </w:tcPr>
          <w:p w14:paraId="10631AC6">
            <w:pPr>
              <w:pStyle w:val="90"/>
            </w:pPr>
            <w:r>
              <w:rPr>
                <w:rFonts w:hint="eastAsia"/>
              </w:rPr>
              <w:t>氨氮</w:t>
            </w:r>
          </w:p>
        </w:tc>
        <w:tc>
          <w:tcPr>
            <w:tcW w:w="820" w:type="pct"/>
            <w:shd w:val="clear" w:color="auto" w:fill="auto"/>
            <w:vAlign w:val="bottom"/>
          </w:tcPr>
          <w:p w14:paraId="3273C00C">
            <w:pPr>
              <w:pStyle w:val="90"/>
            </w:pPr>
            <w:r>
              <w:rPr>
                <w:rFonts w:hint="eastAsia"/>
              </w:rPr>
              <w:t>0.05</w:t>
            </w:r>
            <w:r>
              <w:t>8</w:t>
            </w:r>
          </w:p>
        </w:tc>
        <w:tc>
          <w:tcPr>
            <w:tcW w:w="624" w:type="pct"/>
            <w:shd w:val="clear" w:color="auto" w:fill="auto"/>
            <w:vAlign w:val="center"/>
          </w:tcPr>
          <w:p w14:paraId="2CE778BD">
            <w:pPr>
              <w:pStyle w:val="90"/>
            </w:pPr>
            <w:r>
              <w:rPr>
                <w:rFonts w:hint="eastAsia"/>
              </w:rPr>
              <w:t>3</w:t>
            </w:r>
            <w:r>
              <w:t>0</w:t>
            </w:r>
          </w:p>
        </w:tc>
        <w:tc>
          <w:tcPr>
            <w:tcW w:w="624" w:type="pct"/>
            <w:vMerge w:val="continue"/>
            <w:shd w:val="clear" w:color="auto" w:fill="auto"/>
            <w:vAlign w:val="center"/>
          </w:tcPr>
          <w:p w14:paraId="4281E475">
            <w:pPr>
              <w:pStyle w:val="90"/>
            </w:pPr>
          </w:p>
        </w:tc>
        <w:tc>
          <w:tcPr>
            <w:tcW w:w="624" w:type="pct"/>
            <w:shd w:val="clear" w:color="auto" w:fill="auto"/>
            <w:vAlign w:val="bottom"/>
          </w:tcPr>
          <w:p w14:paraId="01A37287">
            <w:pPr>
              <w:pStyle w:val="90"/>
            </w:pPr>
            <w:r>
              <w:rPr>
                <w:rFonts w:hint="eastAsia"/>
              </w:rPr>
              <w:t>0.05</w:t>
            </w:r>
            <w:r>
              <w:t>8</w:t>
            </w:r>
          </w:p>
        </w:tc>
        <w:tc>
          <w:tcPr>
            <w:tcW w:w="624" w:type="pct"/>
            <w:shd w:val="clear" w:color="auto" w:fill="auto"/>
            <w:vAlign w:val="center"/>
          </w:tcPr>
          <w:p w14:paraId="0A42DB50">
            <w:pPr>
              <w:pStyle w:val="90"/>
            </w:pPr>
            <w:r>
              <w:rPr>
                <w:rFonts w:hint="eastAsia"/>
              </w:rPr>
              <w:t>3</w:t>
            </w:r>
            <w:r>
              <w:t>0</w:t>
            </w:r>
          </w:p>
        </w:tc>
        <w:tc>
          <w:tcPr>
            <w:tcW w:w="624" w:type="pct"/>
            <w:vMerge w:val="continue"/>
            <w:shd w:val="clear" w:color="auto" w:fill="auto"/>
            <w:vAlign w:val="center"/>
          </w:tcPr>
          <w:p w14:paraId="264CD147">
            <w:pPr>
              <w:pStyle w:val="90"/>
            </w:pPr>
          </w:p>
        </w:tc>
      </w:tr>
    </w:tbl>
    <w:p w14:paraId="71DA0D47">
      <w:pPr>
        <w:pStyle w:val="43"/>
      </w:pPr>
      <w:bookmarkStart w:id="197" w:name="_Toc80973504"/>
      <w:bookmarkStart w:id="198" w:name="_Toc82518757"/>
      <w:bookmarkStart w:id="199" w:name="_Toc79515449"/>
      <w:bookmarkStart w:id="200" w:name="_Toc80193078"/>
      <w:bookmarkStart w:id="201" w:name="_Toc77007778"/>
      <w:bookmarkStart w:id="202" w:name="_Toc152864174"/>
      <w:bookmarkStart w:id="203" w:name="_Toc81214072"/>
      <w:r>
        <w:rPr>
          <w:rFonts w:hint="eastAsia"/>
        </w:rPr>
        <w:t>噪声</w:t>
      </w:r>
      <w:bookmarkEnd w:id="197"/>
      <w:bookmarkEnd w:id="198"/>
      <w:bookmarkEnd w:id="199"/>
      <w:bookmarkEnd w:id="200"/>
      <w:bookmarkEnd w:id="201"/>
      <w:bookmarkEnd w:id="202"/>
      <w:bookmarkEnd w:id="203"/>
    </w:p>
    <w:p w14:paraId="72EF9507">
      <w:pPr>
        <w:ind w:firstLine="480"/>
        <w:rPr>
          <w:rFonts w:hint="eastAsia"/>
        </w:rPr>
      </w:pPr>
      <w:r>
        <w:rPr>
          <w:rFonts w:hint="eastAsia"/>
        </w:rPr>
        <w:t>本项目实施后主要噪声源为各类泵、各类风机的运行噪声，加温白土锅、预热器、调和罐、皂化釜、循环泵等生产设备产生的机械噪声。主要设备声源源强见下表。</w:t>
      </w:r>
    </w:p>
    <w:p w14:paraId="29B04F12">
      <w:pPr>
        <w:ind w:firstLine="480"/>
        <w:rPr>
          <w:rFonts w:hint="eastAsia"/>
        </w:rPr>
      </w:pPr>
    </w:p>
    <w:p w14:paraId="5CB620A7">
      <w:pPr>
        <w:pStyle w:val="47"/>
        <w:spacing w:before="65"/>
      </w:pPr>
      <w:r>
        <w:rPr>
          <w:rFonts w:hint="eastAsia"/>
        </w:rPr>
        <w:t>表3</w:t>
      </w:r>
      <w:r>
        <w:t xml:space="preserve">.4-1   </w:t>
      </w:r>
      <w:r>
        <w:rPr>
          <w:rFonts w:hint="eastAsia"/>
        </w:rPr>
        <w:t xml:space="preserve">本项目主要噪声源强一览表 </w:t>
      </w:r>
      <w:r>
        <w:t xml:space="preserve">  </w:t>
      </w:r>
      <w:r>
        <w:rPr>
          <w:rFonts w:hint="eastAsia"/>
        </w:rPr>
        <w:t>单位：dB（A）</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5"/>
        <w:gridCol w:w="1183"/>
        <w:gridCol w:w="573"/>
        <w:gridCol w:w="1165"/>
        <w:gridCol w:w="582"/>
        <w:gridCol w:w="430"/>
        <w:gridCol w:w="290"/>
        <w:gridCol w:w="256"/>
        <w:gridCol w:w="273"/>
        <w:gridCol w:w="477"/>
        <w:gridCol w:w="662"/>
        <w:gridCol w:w="403"/>
        <w:gridCol w:w="656"/>
        <w:gridCol w:w="833"/>
        <w:gridCol w:w="732"/>
      </w:tblGrid>
      <w:tr w14:paraId="6DF11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vMerge w:val="restart"/>
            <w:shd w:val="clear" w:color="auto" w:fill="auto"/>
            <w:vAlign w:val="center"/>
          </w:tcPr>
          <w:p w14:paraId="095E2553">
            <w:pPr>
              <w:pStyle w:val="90"/>
            </w:pPr>
            <w:r>
              <w:rPr>
                <w:rFonts w:hint="eastAsia"/>
              </w:rPr>
              <w:t>序号</w:t>
            </w:r>
          </w:p>
        </w:tc>
        <w:tc>
          <w:tcPr>
            <w:tcW w:w="678" w:type="pct"/>
            <w:vMerge w:val="restart"/>
            <w:shd w:val="clear" w:color="auto" w:fill="auto"/>
            <w:vAlign w:val="center"/>
          </w:tcPr>
          <w:p w14:paraId="6B41A270">
            <w:pPr>
              <w:pStyle w:val="90"/>
            </w:pPr>
            <w:r>
              <w:rPr>
                <w:rFonts w:hint="eastAsia"/>
              </w:rPr>
              <w:t>建筑物名称</w:t>
            </w:r>
          </w:p>
        </w:tc>
        <w:tc>
          <w:tcPr>
            <w:tcW w:w="329" w:type="pct"/>
            <w:vMerge w:val="restart"/>
            <w:shd w:val="clear" w:color="auto" w:fill="auto"/>
            <w:vAlign w:val="center"/>
          </w:tcPr>
          <w:p w14:paraId="3BCFEED8">
            <w:pPr>
              <w:pStyle w:val="90"/>
            </w:pPr>
            <w:r>
              <w:rPr>
                <w:rFonts w:hint="eastAsia"/>
              </w:rPr>
              <w:t>声源名称</w:t>
            </w:r>
          </w:p>
        </w:tc>
        <w:tc>
          <w:tcPr>
            <w:tcW w:w="667" w:type="pct"/>
            <w:vMerge w:val="restart"/>
            <w:shd w:val="clear" w:color="auto" w:fill="auto"/>
            <w:vAlign w:val="center"/>
          </w:tcPr>
          <w:p w14:paraId="2968DFDA">
            <w:pPr>
              <w:pStyle w:val="90"/>
            </w:pPr>
            <w:r>
              <w:rPr>
                <w:rFonts w:hint="eastAsia"/>
              </w:rPr>
              <w:t>型号</w:t>
            </w:r>
          </w:p>
        </w:tc>
        <w:tc>
          <w:tcPr>
            <w:tcW w:w="333" w:type="pct"/>
            <w:shd w:val="clear" w:color="auto" w:fill="auto"/>
            <w:vAlign w:val="center"/>
          </w:tcPr>
          <w:p w14:paraId="38AD197F">
            <w:pPr>
              <w:pStyle w:val="90"/>
            </w:pPr>
            <w:r>
              <w:rPr>
                <w:rFonts w:hint="eastAsia"/>
              </w:rPr>
              <w:t>声源源强</w:t>
            </w:r>
          </w:p>
        </w:tc>
        <w:tc>
          <w:tcPr>
            <w:tcW w:w="246" w:type="pct"/>
            <w:vMerge w:val="restart"/>
            <w:shd w:val="clear" w:color="auto" w:fill="auto"/>
            <w:vAlign w:val="center"/>
          </w:tcPr>
          <w:p w14:paraId="0AF2F149">
            <w:pPr>
              <w:pStyle w:val="90"/>
            </w:pPr>
            <w:r>
              <w:rPr>
                <w:rFonts w:hint="eastAsia"/>
              </w:rPr>
              <w:t>声源控制措施</w:t>
            </w:r>
          </w:p>
        </w:tc>
        <w:tc>
          <w:tcPr>
            <w:tcW w:w="469" w:type="pct"/>
            <w:gridSpan w:val="3"/>
            <w:shd w:val="clear" w:color="auto" w:fill="auto"/>
            <w:vAlign w:val="center"/>
          </w:tcPr>
          <w:p w14:paraId="558AD4B2">
            <w:pPr>
              <w:pStyle w:val="90"/>
            </w:pPr>
            <w:r>
              <w:rPr>
                <w:rFonts w:hint="eastAsia"/>
              </w:rPr>
              <w:t>空间相对位置/m</w:t>
            </w:r>
          </w:p>
        </w:tc>
        <w:tc>
          <w:tcPr>
            <w:tcW w:w="273" w:type="pct"/>
            <w:vMerge w:val="restart"/>
            <w:shd w:val="clear" w:color="auto" w:fill="auto"/>
            <w:vAlign w:val="center"/>
          </w:tcPr>
          <w:p w14:paraId="1557E72C">
            <w:pPr>
              <w:pStyle w:val="90"/>
            </w:pPr>
            <w:r>
              <w:rPr>
                <w:rFonts w:hint="eastAsia"/>
              </w:rPr>
              <w:t>距室内边界距离/m</w:t>
            </w:r>
          </w:p>
        </w:tc>
        <w:tc>
          <w:tcPr>
            <w:tcW w:w="379" w:type="pct"/>
            <w:vMerge w:val="restart"/>
            <w:shd w:val="clear" w:color="auto" w:fill="auto"/>
            <w:vAlign w:val="center"/>
          </w:tcPr>
          <w:p w14:paraId="49C77537">
            <w:pPr>
              <w:pStyle w:val="90"/>
            </w:pPr>
            <w:r>
              <w:rPr>
                <w:rFonts w:hint="eastAsia"/>
              </w:rPr>
              <w:t>室内边界声级/dB（A）</w:t>
            </w:r>
          </w:p>
        </w:tc>
        <w:tc>
          <w:tcPr>
            <w:tcW w:w="231" w:type="pct"/>
            <w:vMerge w:val="restart"/>
            <w:shd w:val="clear" w:color="auto" w:fill="auto"/>
            <w:vAlign w:val="center"/>
          </w:tcPr>
          <w:p w14:paraId="3EFCDD47">
            <w:pPr>
              <w:pStyle w:val="90"/>
            </w:pPr>
            <w:r>
              <w:rPr>
                <w:rFonts w:hint="eastAsia"/>
              </w:rPr>
              <w:t>运行时段</w:t>
            </w:r>
          </w:p>
        </w:tc>
        <w:tc>
          <w:tcPr>
            <w:tcW w:w="376" w:type="pct"/>
            <w:vMerge w:val="restart"/>
            <w:shd w:val="clear" w:color="auto" w:fill="auto"/>
            <w:vAlign w:val="center"/>
          </w:tcPr>
          <w:p w14:paraId="49526225">
            <w:pPr>
              <w:pStyle w:val="90"/>
            </w:pPr>
            <w:r>
              <w:rPr>
                <w:rFonts w:hint="eastAsia"/>
              </w:rPr>
              <w:t>建筑物插入损失/dB（A）</w:t>
            </w:r>
          </w:p>
        </w:tc>
        <w:tc>
          <w:tcPr>
            <w:tcW w:w="895" w:type="pct"/>
            <w:gridSpan w:val="2"/>
            <w:shd w:val="clear" w:color="auto" w:fill="auto"/>
            <w:vAlign w:val="center"/>
          </w:tcPr>
          <w:p w14:paraId="2C142368">
            <w:pPr>
              <w:pStyle w:val="90"/>
            </w:pPr>
            <w:r>
              <w:rPr>
                <w:rFonts w:hint="eastAsia"/>
              </w:rPr>
              <w:t>建筑物外噪声</w:t>
            </w:r>
          </w:p>
        </w:tc>
      </w:tr>
      <w:tr w14:paraId="34634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vMerge w:val="continue"/>
            <w:shd w:val="clear" w:color="auto" w:fill="auto"/>
            <w:vAlign w:val="center"/>
          </w:tcPr>
          <w:p w14:paraId="798DFB21">
            <w:pPr>
              <w:pStyle w:val="90"/>
            </w:pPr>
          </w:p>
        </w:tc>
        <w:tc>
          <w:tcPr>
            <w:tcW w:w="678" w:type="pct"/>
            <w:vMerge w:val="continue"/>
            <w:shd w:val="clear" w:color="auto" w:fill="auto"/>
            <w:vAlign w:val="center"/>
          </w:tcPr>
          <w:p w14:paraId="489CF0EA">
            <w:pPr>
              <w:pStyle w:val="90"/>
            </w:pPr>
          </w:p>
        </w:tc>
        <w:tc>
          <w:tcPr>
            <w:tcW w:w="329" w:type="pct"/>
            <w:vMerge w:val="continue"/>
            <w:shd w:val="clear" w:color="auto" w:fill="auto"/>
            <w:vAlign w:val="center"/>
          </w:tcPr>
          <w:p w14:paraId="6955DA14">
            <w:pPr>
              <w:pStyle w:val="90"/>
            </w:pPr>
          </w:p>
        </w:tc>
        <w:tc>
          <w:tcPr>
            <w:tcW w:w="667" w:type="pct"/>
            <w:vMerge w:val="continue"/>
            <w:shd w:val="clear" w:color="auto" w:fill="auto"/>
            <w:vAlign w:val="center"/>
          </w:tcPr>
          <w:p w14:paraId="2B41687B">
            <w:pPr>
              <w:pStyle w:val="90"/>
            </w:pPr>
          </w:p>
        </w:tc>
        <w:tc>
          <w:tcPr>
            <w:tcW w:w="333" w:type="pct"/>
            <w:shd w:val="clear" w:color="auto" w:fill="auto"/>
            <w:vAlign w:val="center"/>
          </w:tcPr>
          <w:p w14:paraId="1BC10199">
            <w:pPr>
              <w:pStyle w:val="90"/>
            </w:pPr>
            <w:r>
              <w:rPr>
                <w:rFonts w:hint="eastAsia"/>
              </w:rPr>
              <w:t>声功率级/dB（A）</w:t>
            </w:r>
          </w:p>
        </w:tc>
        <w:tc>
          <w:tcPr>
            <w:tcW w:w="246" w:type="pct"/>
            <w:vMerge w:val="continue"/>
            <w:shd w:val="clear" w:color="auto" w:fill="auto"/>
            <w:vAlign w:val="center"/>
          </w:tcPr>
          <w:p w14:paraId="25F90DD9">
            <w:pPr>
              <w:pStyle w:val="90"/>
            </w:pPr>
          </w:p>
        </w:tc>
        <w:tc>
          <w:tcPr>
            <w:tcW w:w="166" w:type="pct"/>
            <w:shd w:val="clear" w:color="auto" w:fill="auto"/>
            <w:vAlign w:val="center"/>
          </w:tcPr>
          <w:p w14:paraId="2AF75013">
            <w:pPr>
              <w:pStyle w:val="90"/>
            </w:pPr>
            <w:r>
              <w:rPr>
                <w:rFonts w:hint="eastAsia"/>
              </w:rPr>
              <w:t>X</w:t>
            </w:r>
          </w:p>
        </w:tc>
        <w:tc>
          <w:tcPr>
            <w:tcW w:w="147" w:type="pct"/>
            <w:shd w:val="clear" w:color="auto" w:fill="auto"/>
            <w:vAlign w:val="center"/>
          </w:tcPr>
          <w:p w14:paraId="771E90C0">
            <w:pPr>
              <w:pStyle w:val="90"/>
            </w:pPr>
            <w:r>
              <w:rPr>
                <w:rFonts w:hint="eastAsia"/>
              </w:rPr>
              <w:t>Y</w:t>
            </w:r>
          </w:p>
        </w:tc>
        <w:tc>
          <w:tcPr>
            <w:tcW w:w="156" w:type="pct"/>
            <w:shd w:val="clear" w:color="auto" w:fill="auto"/>
            <w:vAlign w:val="center"/>
          </w:tcPr>
          <w:p w14:paraId="78CD1AAE">
            <w:pPr>
              <w:pStyle w:val="90"/>
            </w:pPr>
            <w:r>
              <w:rPr>
                <w:rFonts w:hint="eastAsia"/>
              </w:rPr>
              <w:t>Z</w:t>
            </w:r>
          </w:p>
        </w:tc>
        <w:tc>
          <w:tcPr>
            <w:tcW w:w="273" w:type="pct"/>
            <w:vMerge w:val="continue"/>
            <w:shd w:val="clear" w:color="auto" w:fill="auto"/>
            <w:vAlign w:val="center"/>
          </w:tcPr>
          <w:p w14:paraId="05C8F165">
            <w:pPr>
              <w:pStyle w:val="90"/>
            </w:pPr>
          </w:p>
        </w:tc>
        <w:tc>
          <w:tcPr>
            <w:tcW w:w="379" w:type="pct"/>
            <w:vMerge w:val="continue"/>
            <w:shd w:val="clear" w:color="auto" w:fill="auto"/>
            <w:vAlign w:val="center"/>
          </w:tcPr>
          <w:p w14:paraId="74921143">
            <w:pPr>
              <w:pStyle w:val="90"/>
            </w:pPr>
          </w:p>
        </w:tc>
        <w:tc>
          <w:tcPr>
            <w:tcW w:w="231" w:type="pct"/>
            <w:vMerge w:val="continue"/>
            <w:shd w:val="clear" w:color="auto" w:fill="auto"/>
            <w:vAlign w:val="center"/>
          </w:tcPr>
          <w:p w14:paraId="2B852AC0">
            <w:pPr>
              <w:pStyle w:val="90"/>
            </w:pPr>
          </w:p>
        </w:tc>
        <w:tc>
          <w:tcPr>
            <w:tcW w:w="376" w:type="pct"/>
            <w:vMerge w:val="continue"/>
            <w:shd w:val="clear" w:color="auto" w:fill="auto"/>
            <w:vAlign w:val="center"/>
          </w:tcPr>
          <w:p w14:paraId="3BF0F5CD">
            <w:pPr>
              <w:pStyle w:val="90"/>
            </w:pPr>
          </w:p>
        </w:tc>
        <w:tc>
          <w:tcPr>
            <w:tcW w:w="477" w:type="pct"/>
            <w:shd w:val="clear" w:color="auto" w:fill="auto"/>
            <w:vAlign w:val="center"/>
          </w:tcPr>
          <w:p w14:paraId="6C259374">
            <w:pPr>
              <w:pStyle w:val="90"/>
            </w:pPr>
            <w:r>
              <w:rPr>
                <w:rFonts w:hint="eastAsia"/>
              </w:rPr>
              <w:t>声压级/dB（A）</w:t>
            </w:r>
          </w:p>
        </w:tc>
        <w:tc>
          <w:tcPr>
            <w:tcW w:w="418" w:type="pct"/>
            <w:shd w:val="clear" w:color="auto" w:fill="auto"/>
            <w:vAlign w:val="center"/>
          </w:tcPr>
          <w:p w14:paraId="07D5A0D8">
            <w:pPr>
              <w:pStyle w:val="90"/>
            </w:pPr>
            <w:r>
              <w:rPr>
                <w:rFonts w:hint="eastAsia"/>
              </w:rPr>
              <w:t>建筑物外距离</w:t>
            </w:r>
          </w:p>
        </w:tc>
      </w:tr>
      <w:tr w14:paraId="4A576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795784A4">
            <w:pPr>
              <w:pStyle w:val="90"/>
              <w:numPr>
                <w:ilvl w:val="0"/>
                <w:numId w:val="18"/>
              </w:numPr>
            </w:pPr>
          </w:p>
        </w:tc>
        <w:tc>
          <w:tcPr>
            <w:tcW w:w="678" w:type="pct"/>
            <w:vMerge w:val="restart"/>
            <w:shd w:val="clear" w:color="auto" w:fill="auto"/>
            <w:vAlign w:val="center"/>
          </w:tcPr>
          <w:p w14:paraId="7A7FB8B6">
            <w:pPr>
              <w:pStyle w:val="90"/>
            </w:pPr>
            <w:r>
              <w:rPr>
                <w:rFonts w:hint="eastAsia"/>
              </w:rPr>
              <w:t>润滑油生产车间</w:t>
            </w:r>
          </w:p>
        </w:tc>
        <w:tc>
          <w:tcPr>
            <w:tcW w:w="329" w:type="pct"/>
            <w:shd w:val="clear" w:color="auto" w:fill="auto"/>
            <w:vAlign w:val="center"/>
          </w:tcPr>
          <w:p w14:paraId="772F15B5">
            <w:pPr>
              <w:pStyle w:val="90"/>
            </w:pPr>
            <w:r>
              <w:rPr>
                <w:rFonts w:hint="eastAsia"/>
              </w:rPr>
              <w:t>预热器</w:t>
            </w:r>
          </w:p>
        </w:tc>
        <w:tc>
          <w:tcPr>
            <w:tcW w:w="667" w:type="pct"/>
            <w:shd w:val="clear" w:color="auto" w:fill="auto"/>
            <w:vAlign w:val="center"/>
          </w:tcPr>
          <w:p w14:paraId="7313EEAD">
            <w:pPr>
              <w:pStyle w:val="90"/>
            </w:pPr>
            <w:r>
              <w:rPr>
                <w:rFonts w:hint="eastAsia"/>
              </w:rPr>
              <w:t>FD</w:t>
            </w:r>
            <w:r>
              <w:t>1912</w:t>
            </w:r>
          </w:p>
        </w:tc>
        <w:tc>
          <w:tcPr>
            <w:tcW w:w="333" w:type="pct"/>
            <w:shd w:val="clear" w:color="auto" w:fill="auto"/>
            <w:vAlign w:val="center"/>
          </w:tcPr>
          <w:p w14:paraId="00E17ED2">
            <w:pPr>
              <w:pStyle w:val="90"/>
            </w:pPr>
            <w:r>
              <w:rPr>
                <w:rFonts w:hint="eastAsia"/>
              </w:rPr>
              <w:t>8</w:t>
            </w:r>
            <w:r>
              <w:t>5</w:t>
            </w:r>
          </w:p>
        </w:tc>
        <w:tc>
          <w:tcPr>
            <w:tcW w:w="246" w:type="pct"/>
            <w:vMerge w:val="restart"/>
            <w:shd w:val="clear" w:color="auto" w:fill="auto"/>
            <w:vAlign w:val="center"/>
          </w:tcPr>
          <w:p w14:paraId="63F21FC1">
            <w:pPr>
              <w:pStyle w:val="90"/>
            </w:pPr>
            <w:r>
              <w:rPr>
                <w:rFonts w:hint="eastAsia"/>
              </w:rPr>
              <w:t>基础减震、厂房隔声、厂界绿化吸声等</w:t>
            </w:r>
          </w:p>
        </w:tc>
        <w:tc>
          <w:tcPr>
            <w:tcW w:w="166" w:type="pct"/>
            <w:shd w:val="clear" w:color="auto" w:fill="auto"/>
            <w:vAlign w:val="center"/>
          </w:tcPr>
          <w:p w14:paraId="61F17FDF">
            <w:pPr>
              <w:pStyle w:val="90"/>
            </w:pPr>
            <w:r>
              <w:rPr>
                <w:rFonts w:hint="eastAsia"/>
              </w:rPr>
              <w:t>-</w:t>
            </w:r>
            <w:r>
              <w:t>57</w:t>
            </w:r>
          </w:p>
        </w:tc>
        <w:tc>
          <w:tcPr>
            <w:tcW w:w="147" w:type="pct"/>
            <w:shd w:val="clear" w:color="auto" w:fill="auto"/>
            <w:vAlign w:val="center"/>
          </w:tcPr>
          <w:p w14:paraId="5AB4E9A3">
            <w:pPr>
              <w:pStyle w:val="90"/>
            </w:pPr>
            <w:r>
              <w:t>15</w:t>
            </w:r>
          </w:p>
        </w:tc>
        <w:tc>
          <w:tcPr>
            <w:tcW w:w="156" w:type="pct"/>
            <w:shd w:val="clear" w:color="auto" w:fill="auto"/>
            <w:vAlign w:val="center"/>
          </w:tcPr>
          <w:p w14:paraId="37022FB4">
            <w:pPr>
              <w:pStyle w:val="90"/>
            </w:pPr>
            <w:r>
              <w:rPr>
                <w:rFonts w:hint="eastAsia"/>
              </w:rPr>
              <w:t>4</w:t>
            </w:r>
            <w:r>
              <w:t>.1</w:t>
            </w:r>
          </w:p>
        </w:tc>
        <w:tc>
          <w:tcPr>
            <w:tcW w:w="273" w:type="pct"/>
            <w:shd w:val="clear" w:color="auto" w:fill="auto"/>
            <w:vAlign w:val="center"/>
          </w:tcPr>
          <w:p w14:paraId="2E71988D">
            <w:pPr>
              <w:pStyle w:val="90"/>
            </w:pPr>
            <w:r>
              <w:rPr>
                <w:rFonts w:hint="eastAsia"/>
              </w:rPr>
              <w:t>15</w:t>
            </w:r>
          </w:p>
        </w:tc>
        <w:tc>
          <w:tcPr>
            <w:tcW w:w="379" w:type="pct"/>
            <w:shd w:val="clear" w:color="auto" w:fill="auto"/>
            <w:vAlign w:val="center"/>
          </w:tcPr>
          <w:p w14:paraId="5094915B">
            <w:pPr>
              <w:pStyle w:val="90"/>
            </w:pPr>
            <w:r>
              <w:rPr>
                <w:rFonts w:hint="eastAsia"/>
              </w:rPr>
              <w:t>64</w:t>
            </w:r>
          </w:p>
        </w:tc>
        <w:tc>
          <w:tcPr>
            <w:tcW w:w="231" w:type="pct"/>
            <w:vMerge w:val="restart"/>
            <w:shd w:val="clear" w:color="auto" w:fill="auto"/>
            <w:vAlign w:val="center"/>
          </w:tcPr>
          <w:p w14:paraId="5A55433B">
            <w:pPr>
              <w:pStyle w:val="90"/>
            </w:pPr>
            <w:r>
              <w:rPr>
                <w:rFonts w:hint="eastAsia"/>
              </w:rPr>
              <w:t>全时段</w:t>
            </w:r>
          </w:p>
        </w:tc>
        <w:tc>
          <w:tcPr>
            <w:tcW w:w="376" w:type="pct"/>
            <w:shd w:val="clear" w:color="auto" w:fill="auto"/>
            <w:vAlign w:val="center"/>
          </w:tcPr>
          <w:p w14:paraId="619FFEB9">
            <w:pPr>
              <w:pStyle w:val="90"/>
            </w:pPr>
            <w:r>
              <w:rPr>
                <w:rFonts w:hint="eastAsia"/>
              </w:rPr>
              <w:t>21</w:t>
            </w:r>
          </w:p>
        </w:tc>
        <w:tc>
          <w:tcPr>
            <w:tcW w:w="477" w:type="pct"/>
            <w:shd w:val="clear" w:color="auto" w:fill="auto"/>
            <w:vAlign w:val="center"/>
          </w:tcPr>
          <w:p w14:paraId="63516467">
            <w:pPr>
              <w:pStyle w:val="90"/>
            </w:pPr>
            <w:r>
              <w:rPr>
                <w:rFonts w:hint="eastAsia"/>
              </w:rPr>
              <w:t>64</w:t>
            </w:r>
          </w:p>
        </w:tc>
        <w:tc>
          <w:tcPr>
            <w:tcW w:w="418" w:type="pct"/>
            <w:shd w:val="clear" w:color="auto" w:fill="auto"/>
            <w:vAlign w:val="center"/>
          </w:tcPr>
          <w:p w14:paraId="4C4FFECE">
            <w:pPr>
              <w:pStyle w:val="90"/>
            </w:pPr>
            <w:r>
              <w:rPr>
                <w:rFonts w:hint="eastAsia"/>
              </w:rPr>
              <w:t>5</w:t>
            </w:r>
          </w:p>
        </w:tc>
      </w:tr>
      <w:tr w14:paraId="69C50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503C0E02">
            <w:pPr>
              <w:pStyle w:val="90"/>
              <w:numPr>
                <w:ilvl w:val="0"/>
                <w:numId w:val="18"/>
              </w:numPr>
            </w:pPr>
          </w:p>
        </w:tc>
        <w:tc>
          <w:tcPr>
            <w:tcW w:w="678" w:type="pct"/>
            <w:vMerge w:val="continue"/>
            <w:shd w:val="clear" w:color="auto" w:fill="auto"/>
            <w:vAlign w:val="center"/>
          </w:tcPr>
          <w:p w14:paraId="039C005C">
            <w:pPr>
              <w:pStyle w:val="90"/>
            </w:pPr>
          </w:p>
        </w:tc>
        <w:tc>
          <w:tcPr>
            <w:tcW w:w="329" w:type="pct"/>
            <w:shd w:val="clear" w:color="auto" w:fill="auto"/>
            <w:vAlign w:val="center"/>
          </w:tcPr>
          <w:p w14:paraId="2601228A">
            <w:pPr>
              <w:pStyle w:val="90"/>
            </w:pPr>
            <w:r>
              <w:rPr>
                <w:rFonts w:hint="eastAsia"/>
              </w:rPr>
              <w:t>进料泵</w:t>
            </w:r>
          </w:p>
        </w:tc>
        <w:tc>
          <w:tcPr>
            <w:tcW w:w="667" w:type="pct"/>
            <w:shd w:val="clear" w:color="auto" w:fill="auto"/>
            <w:vAlign w:val="center"/>
          </w:tcPr>
          <w:p w14:paraId="58AD4752">
            <w:pPr>
              <w:pStyle w:val="90"/>
            </w:pPr>
            <w:r>
              <w:rPr>
                <w:rFonts w:hint="eastAsia"/>
              </w:rPr>
              <w:t>YL</w:t>
            </w:r>
            <w:r>
              <w:t>654-40</w:t>
            </w:r>
          </w:p>
        </w:tc>
        <w:tc>
          <w:tcPr>
            <w:tcW w:w="333" w:type="pct"/>
            <w:shd w:val="clear" w:color="auto" w:fill="auto"/>
            <w:vAlign w:val="center"/>
          </w:tcPr>
          <w:p w14:paraId="462D0F9B">
            <w:pPr>
              <w:pStyle w:val="90"/>
            </w:pPr>
            <w:r>
              <w:rPr>
                <w:rFonts w:hint="eastAsia"/>
              </w:rPr>
              <w:t>8</w:t>
            </w:r>
            <w:r>
              <w:t>5</w:t>
            </w:r>
          </w:p>
        </w:tc>
        <w:tc>
          <w:tcPr>
            <w:tcW w:w="246" w:type="pct"/>
            <w:vMerge w:val="continue"/>
            <w:shd w:val="clear" w:color="auto" w:fill="auto"/>
            <w:vAlign w:val="center"/>
          </w:tcPr>
          <w:p w14:paraId="659906C2">
            <w:pPr>
              <w:pStyle w:val="90"/>
            </w:pPr>
          </w:p>
        </w:tc>
        <w:tc>
          <w:tcPr>
            <w:tcW w:w="166" w:type="pct"/>
            <w:shd w:val="clear" w:color="auto" w:fill="auto"/>
            <w:vAlign w:val="center"/>
          </w:tcPr>
          <w:p w14:paraId="58F3F367">
            <w:pPr>
              <w:pStyle w:val="90"/>
            </w:pPr>
            <w:r>
              <w:rPr>
                <w:rFonts w:hint="eastAsia"/>
              </w:rPr>
              <w:t>5</w:t>
            </w:r>
            <w:r>
              <w:t>1</w:t>
            </w:r>
          </w:p>
        </w:tc>
        <w:tc>
          <w:tcPr>
            <w:tcW w:w="147" w:type="pct"/>
            <w:shd w:val="clear" w:color="auto" w:fill="auto"/>
            <w:vAlign w:val="center"/>
          </w:tcPr>
          <w:p w14:paraId="0227A8B0">
            <w:pPr>
              <w:pStyle w:val="90"/>
            </w:pPr>
            <w:r>
              <w:rPr>
                <w:rFonts w:hint="eastAsia"/>
              </w:rPr>
              <w:t>1</w:t>
            </w:r>
            <w:r>
              <w:t>4</w:t>
            </w:r>
          </w:p>
        </w:tc>
        <w:tc>
          <w:tcPr>
            <w:tcW w:w="156" w:type="pct"/>
            <w:shd w:val="clear" w:color="auto" w:fill="auto"/>
            <w:vAlign w:val="center"/>
          </w:tcPr>
          <w:p w14:paraId="5C7A35CC">
            <w:pPr>
              <w:pStyle w:val="90"/>
            </w:pPr>
            <w:r>
              <w:rPr>
                <w:rFonts w:hint="eastAsia"/>
              </w:rPr>
              <w:t>1</w:t>
            </w:r>
            <w:r>
              <w:t>.7</w:t>
            </w:r>
          </w:p>
        </w:tc>
        <w:tc>
          <w:tcPr>
            <w:tcW w:w="273" w:type="pct"/>
            <w:shd w:val="clear" w:color="auto" w:fill="auto"/>
            <w:vAlign w:val="center"/>
          </w:tcPr>
          <w:p w14:paraId="3D95D935">
            <w:pPr>
              <w:pStyle w:val="90"/>
            </w:pPr>
            <w:r>
              <w:rPr>
                <w:rFonts w:hint="eastAsia"/>
              </w:rPr>
              <w:t>1</w:t>
            </w:r>
            <w:r>
              <w:t>2</w:t>
            </w:r>
          </w:p>
        </w:tc>
        <w:tc>
          <w:tcPr>
            <w:tcW w:w="379" w:type="pct"/>
            <w:shd w:val="clear" w:color="auto" w:fill="auto"/>
            <w:vAlign w:val="center"/>
          </w:tcPr>
          <w:p w14:paraId="0D5784E1">
            <w:pPr>
              <w:pStyle w:val="90"/>
            </w:pPr>
            <w:r>
              <w:rPr>
                <w:rFonts w:hint="eastAsia"/>
              </w:rPr>
              <w:t>7</w:t>
            </w:r>
            <w:r>
              <w:t>4</w:t>
            </w:r>
          </w:p>
        </w:tc>
        <w:tc>
          <w:tcPr>
            <w:tcW w:w="231" w:type="pct"/>
            <w:vMerge w:val="continue"/>
            <w:shd w:val="clear" w:color="auto" w:fill="auto"/>
            <w:vAlign w:val="center"/>
          </w:tcPr>
          <w:p w14:paraId="3F2089F6">
            <w:pPr>
              <w:pStyle w:val="90"/>
            </w:pPr>
          </w:p>
        </w:tc>
        <w:tc>
          <w:tcPr>
            <w:tcW w:w="376" w:type="pct"/>
            <w:shd w:val="clear" w:color="auto" w:fill="auto"/>
            <w:vAlign w:val="center"/>
          </w:tcPr>
          <w:p w14:paraId="21931E51">
            <w:pPr>
              <w:pStyle w:val="90"/>
            </w:pPr>
            <w:r>
              <w:t>11</w:t>
            </w:r>
          </w:p>
        </w:tc>
        <w:tc>
          <w:tcPr>
            <w:tcW w:w="477" w:type="pct"/>
            <w:shd w:val="clear" w:color="auto" w:fill="auto"/>
            <w:vAlign w:val="center"/>
          </w:tcPr>
          <w:p w14:paraId="0DD994BB">
            <w:pPr>
              <w:pStyle w:val="90"/>
            </w:pPr>
            <w:r>
              <w:rPr>
                <w:rFonts w:hint="eastAsia"/>
              </w:rPr>
              <w:t>7</w:t>
            </w:r>
            <w:r>
              <w:t>4</w:t>
            </w:r>
          </w:p>
        </w:tc>
        <w:tc>
          <w:tcPr>
            <w:tcW w:w="418" w:type="pct"/>
            <w:shd w:val="clear" w:color="auto" w:fill="auto"/>
            <w:vAlign w:val="center"/>
          </w:tcPr>
          <w:p w14:paraId="52E5C07F">
            <w:pPr>
              <w:pStyle w:val="90"/>
            </w:pPr>
            <w:r>
              <w:rPr>
                <w:rFonts w:hint="eastAsia"/>
              </w:rPr>
              <w:t>2</w:t>
            </w:r>
            <w:r>
              <w:t>.2</w:t>
            </w:r>
          </w:p>
        </w:tc>
      </w:tr>
      <w:tr w14:paraId="7FCF1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156D47AA">
            <w:pPr>
              <w:pStyle w:val="90"/>
              <w:numPr>
                <w:ilvl w:val="0"/>
                <w:numId w:val="18"/>
              </w:numPr>
            </w:pPr>
          </w:p>
        </w:tc>
        <w:tc>
          <w:tcPr>
            <w:tcW w:w="678" w:type="pct"/>
            <w:vMerge w:val="continue"/>
            <w:shd w:val="clear" w:color="auto" w:fill="auto"/>
            <w:vAlign w:val="center"/>
          </w:tcPr>
          <w:p w14:paraId="22273FD4">
            <w:pPr>
              <w:pStyle w:val="90"/>
            </w:pPr>
          </w:p>
        </w:tc>
        <w:tc>
          <w:tcPr>
            <w:tcW w:w="329" w:type="pct"/>
            <w:shd w:val="clear" w:color="auto" w:fill="auto"/>
            <w:vAlign w:val="center"/>
          </w:tcPr>
          <w:p w14:paraId="1029C9F6">
            <w:pPr>
              <w:pStyle w:val="90"/>
            </w:pPr>
            <w:r>
              <w:rPr>
                <w:rFonts w:hint="eastAsia"/>
              </w:rPr>
              <w:t>物料泵</w:t>
            </w:r>
          </w:p>
        </w:tc>
        <w:tc>
          <w:tcPr>
            <w:tcW w:w="667" w:type="pct"/>
            <w:shd w:val="clear" w:color="auto" w:fill="auto"/>
            <w:vAlign w:val="center"/>
          </w:tcPr>
          <w:p w14:paraId="61CAA9EA">
            <w:pPr>
              <w:pStyle w:val="90"/>
            </w:pPr>
            <w:r>
              <w:rPr>
                <w:rFonts w:hint="eastAsia"/>
              </w:rPr>
              <w:t>GIF</w:t>
            </w:r>
            <w:r>
              <w:t>-80</w:t>
            </w:r>
          </w:p>
        </w:tc>
        <w:tc>
          <w:tcPr>
            <w:tcW w:w="333" w:type="pct"/>
            <w:shd w:val="clear" w:color="auto" w:fill="auto"/>
            <w:vAlign w:val="center"/>
          </w:tcPr>
          <w:p w14:paraId="2652E491">
            <w:pPr>
              <w:pStyle w:val="90"/>
            </w:pPr>
            <w:r>
              <w:rPr>
                <w:rFonts w:hint="eastAsia"/>
              </w:rPr>
              <w:t>8</w:t>
            </w:r>
            <w:r>
              <w:t>5</w:t>
            </w:r>
          </w:p>
        </w:tc>
        <w:tc>
          <w:tcPr>
            <w:tcW w:w="246" w:type="pct"/>
            <w:vMerge w:val="continue"/>
            <w:shd w:val="clear" w:color="auto" w:fill="auto"/>
            <w:vAlign w:val="center"/>
          </w:tcPr>
          <w:p w14:paraId="1FB9F1CE">
            <w:pPr>
              <w:pStyle w:val="90"/>
            </w:pPr>
          </w:p>
        </w:tc>
        <w:tc>
          <w:tcPr>
            <w:tcW w:w="166" w:type="pct"/>
            <w:shd w:val="clear" w:color="auto" w:fill="auto"/>
            <w:vAlign w:val="center"/>
          </w:tcPr>
          <w:p w14:paraId="0FB12F18">
            <w:pPr>
              <w:pStyle w:val="90"/>
            </w:pPr>
            <w:r>
              <w:rPr>
                <w:rFonts w:hint="eastAsia"/>
              </w:rPr>
              <w:t>3</w:t>
            </w:r>
            <w:r>
              <w:t>4</w:t>
            </w:r>
          </w:p>
        </w:tc>
        <w:tc>
          <w:tcPr>
            <w:tcW w:w="147" w:type="pct"/>
            <w:shd w:val="clear" w:color="auto" w:fill="auto"/>
            <w:vAlign w:val="center"/>
          </w:tcPr>
          <w:p w14:paraId="4C5C8D13">
            <w:pPr>
              <w:pStyle w:val="90"/>
            </w:pPr>
            <w:r>
              <w:rPr>
                <w:rFonts w:hint="eastAsia"/>
              </w:rPr>
              <w:t>1</w:t>
            </w:r>
            <w:r>
              <w:t>3</w:t>
            </w:r>
          </w:p>
        </w:tc>
        <w:tc>
          <w:tcPr>
            <w:tcW w:w="156" w:type="pct"/>
            <w:shd w:val="clear" w:color="auto" w:fill="auto"/>
            <w:vAlign w:val="center"/>
          </w:tcPr>
          <w:p w14:paraId="6EDB6321">
            <w:pPr>
              <w:pStyle w:val="90"/>
            </w:pPr>
            <w:r>
              <w:rPr>
                <w:rFonts w:hint="eastAsia"/>
              </w:rPr>
              <w:t>1</w:t>
            </w:r>
            <w:r>
              <w:t>.6</w:t>
            </w:r>
          </w:p>
        </w:tc>
        <w:tc>
          <w:tcPr>
            <w:tcW w:w="273" w:type="pct"/>
            <w:shd w:val="clear" w:color="auto" w:fill="auto"/>
            <w:vAlign w:val="center"/>
          </w:tcPr>
          <w:p w14:paraId="5AF9B9E6">
            <w:pPr>
              <w:pStyle w:val="90"/>
            </w:pPr>
            <w:r>
              <w:rPr>
                <w:rFonts w:hint="eastAsia"/>
              </w:rPr>
              <w:t>6</w:t>
            </w:r>
          </w:p>
        </w:tc>
        <w:tc>
          <w:tcPr>
            <w:tcW w:w="379" w:type="pct"/>
            <w:shd w:val="clear" w:color="auto" w:fill="auto"/>
            <w:vAlign w:val="center"/>
          </w:tcPr>
          <w:p w14:paraId="184A7BA8">
            <w:pPr>
              <w:pStyle w:val="90"/>
            </w:pPr>
            <w:r>
              <w:rPr>
                <w:rFonts w:hint="eastAsia"/>
              </w:rPr>
              <w:t>7</w:t>
            </w:r>
            <w:r>
              <w:t>3</w:t>
            </w:r>
          </w:p>
        </w:tc>
        <w:tc>
          <w:tcPr>
            <w:tcW w:w="231" w:type="pct"/>
            <w:vMerge w:val="continue"/>
            <w:shd w:val="clear" w:color="auto" w:fill="auto"/>
            <w:vAlign w:val="center"/>
          </w:tcPr>
          <w:p w14:paraId="4522AE6E">
            <w:pPr>
              <w:pStyle w:val="90"/>
            </w:pPr>
          </w:p>
        </w:tc>
        <w:tc>
          <w:tcPr>
            <w:tcW w:w="376" w:type="pct"/>
            <w:shd w:val="clear" w:color="auto" w:fill="auto"/>
            <w:vAlign w:val="center"/>
          </w:tcPr>
          <w:p w14:paraId="402F0552">
            <w:pPr>
              <w:pStyle w:val="90"/>
            </w:pPr>
            <w:r>
              <w:rPr>
                <w:rFonts w:hint="eastAsia"/>
              </w:rPr>
              <w:t>1</w:t>
            </w:r>
            <w:r>
              <w:t>2</w:t>
            </w:r>
          </w:p>
        </w:tc>
        <w:tc>
          <w:tcPr>
            <w:tcW w:w="477" w:type="pct"/>
            <w:shd w:val="clear" w:color="auto" w:fill="auto"/>
            <w:vAlign w:val="center"/>
          </w:tcPr>
          <w:p w14:paraId="63377791">
            <w:pPr>
              <w:pStyle w:val="90"/>
            </w:pPr>
            <w:r>
              <w:rPr>
                <w:rFonts w:hint="eastAsia"/>
              </w:rPr>
              <w:t>7</w:t>
            </w:r>
            <w:r>
              <w:t>3</w:t>
            </w:r>
          </w:p>
        </w:tc>
        <w:tc>
          <w:tcPr>
            <w:tcW w:w="418" w:type="pct"/>
            <w:shd w:val="clear" w:color="auto" w:fill="auto"/>
            <w:vAlign w:val="center"/>
          </w:tcPr>
          <w:p w14:paraId="6DE5BCAD">
            <w:pPr>
              <w:pStyle w:val="90"/>
            </w:pPr>
            <w:r>
              <w:rPr>
                <w:rFonts w:hint="eastAsia"/>
              </w:rPr>
              <w:t>1</w:t>
            </w:r>
            <w:r>
              <w:t>.7</w:t>
            </w:r>
          </w:p>
        </w:tc>
      </w:tr>
      <w:tr w14:paraId="0AEEF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6558CCCB">
            <w:pPr>
              <w:pStyle w:val="90"/>
              <w:numPr>
                <w:ilvl w:val="0"/>
                <w:numId w:val="18"/>
              </w:numPr>
            </w:pPr>
          </w:p>
        </w:tc>
        <w:tc>
          <w:tcPr>
            <w:tcW w:w="678" w:type="pct"/>
            <w:vMerge w:val="continue"/>
            <w:shd w:val="clear" w:color="auto" w:fill="auto"/>
            <w:vAlign w:val="center"/>
          </w:tcPr>
          <w:p w14:paraId="51D4E876">
            <w:pPr>
              <w:pStyle w:val="90"/>
            </w:pPr>
          </w:p>
        </w:tc>
        <w:tc>
          <w:tcPr>
            <w:tcW w:w="329" w:type="pct"/>
            <w:shd w:val="clear" w:color="auto" w:fill="auto"/>
            <w:vAlign w:val="center"/>
          </w:tcPr>
          <w:p w14:paraId="44C8D4EF">
            <w:pPr>
              <w:pStyle w:val="90"/>
            </w:pPr>
            <w:r>
              <w:rPr>
                <w:rFonts w:hint="eastAsia"/>
              </w:rPr>
              <w:t>风机</w:t>
            </w:r>
          </w:p>
        </w:tc>
        <w:tc>
          <w:tcPr>
            <w:tcW w:w="667" w:type="pct"/>
            <w:shd w:val="clear" w:color="auto" w:fill="auto"/>
            <w:vAlign w:val="center"/>
          </w:tcPr>
          <w:p w14:paraId="1AD64F57">
            <w:pPr>
              <w:pStyle w:val="90"/>
            </w:pPr>
            <w:r>
              <w:rPr>
                <w:rFonts w:hint="eastAsia"/>
              </w:rPr>
              <w:t>/</w:t>
            </w:r>
          </w:p>
        </w:tc>
        <w:tc>
          <w:tcPr>
            <w:tcW w:w="333" w:type="pct"/>
            <w:shd w:val="clear" w:color="auto" w:fill="auto"/>
            <w:vAlign w:val="center"/>
          </w:tcPr>
          <w:p w14:paraId="6AEEEFC7">
            <w:pPr>
              <w:pStyle w:val="90"/>
            </w:pPr>
            <w:r>
              <w:rPr>
                <w:rFonts w:hint="eastAsia"/>
              </w:rPr>
              <w:t>7</w:t>
            </w:r>
            <w:r>
              <w:t>5</w:t>
            </w:r>
          </w:p>
        </w:tc>
        <w:tc>
          <w:tcPr>
            <w:tcW w:w="246" w:type="pct"/>
            <w:vMerge w:val="continue"/>
            <w:shd w:val="clear" w:color="auto" w:fill="auto"/>
            <w:vAlign w:val="center"/>
          </w:tcPr>
          <w:p w14:paraId="76E7CAB6">
            <w:pPr>
              <w:pStyle w:val="90"/>
            </w:pPr>
          </w:p>
        </w:tc>
        <w:tc>
          <w:tcPr>
            <w:tcW w:w="166" w:type="pct"/>
            <w:shd w:val="clear" w:color="auto" w:fill="auto"/>
            <w:vAlign w:val="center"/>
          </w:tcPr>
          <w:p w14:paraId="28DE7BA1">
            <w:pPr>
              <w:pStyle w:val="90"/>
            </w:pPr>
            <w:r>
              <w:rPr>
                <w:rFonts w:hint="eastAsia"/>
              </w:rPr>
              <w:t>3</w:t>
            </w:r>
            <w:r>
              <w:t>6</w:t>
            </w:r>
          </w:p>
        </w:tc>
        <w:tc>
          <w:tcPr>
            <w:tcW w:w="147" w:type="pct"/>
            <w:shd w:val="clear" w:color="auto" w:fill="auto"/>
            <w:vAlign w:val="center"/>
          </w:tcPr>
          <w:p w14:paraId="5EE499F1">
            <w:pPr>
              <w:pStyle w:val="90"/>
            </w:pPr>
            <w:r>
              <w:rPr>
                <w:rFonts w:hint="eastAsia"/>
              </w:rPr>
              <w:t>1</w:t>
            </w:r>
            <w:r>
              <w:t>2</w:t>
            </w:r>
          </w:p>
        </w:tc>
        <w:tc>
          <w:tcPr>
            <w:tcW w:w="156" w:type="pct"/>
            <w:shd w:val="clear" w:color="auto" w:fill="auto"/>
            <w:vAlign w:val="center"/>
          </w:tcPr>
          <w:p w14:paraId="17F82558">
            <w:pPr>
              <w:pStyle w:val="90"/>
            </w:pPr>
            <w:r>
              <w:rPr>
                <w:rFonts w:hint="eastAsia"/>
              </w:rPr>
              <w:t>1</w:t>
            </w:r>
            <w:r>
              <w:t>.3</w:t>
            </w:r>
          </w:p>
        </w:tc>
        <w:tc>
          <w:tcPr>
            <w:tcW w:w="273" w:type="pct"/>
            <w:shd w:val="clear" w:color="auto" w:fill="auto"/>
            <w:vAlign w:val="center"/>
          </w:tcPr>
          <w:p w14:paraId="2582FE05">
            <w:pPr>
              <w:pStyle w:val="90"/>
            </w:pPr>
            <w:r>
              <w:rPr>
                <w:rFonts w:hint="eastAsia"/>
              </w:rPr>
              <w:t>3</w:t>
            </w:r>
          </w:p>
        </w:tc>
        <w:tc>
          <w:tcPr>
            <w:tcW w:w="379" w:type="pct"/>
            <w:shd w:val="clear" w:color="auto" w:fill="auto"/>
            <w:vAlign w:val="center"/>
          </w:tcPr>
          <w:p w14:paraId="44521209">
            <w:pPr>
              <w:pStyle w:val="90"/>
            </w:pPr>
            <w:r>
              <w:rPr>
                <w:rFonts w:hint="eastAsia"/>
              </w:rPr>
              <w:t>6</w:t>
            </w:r>
            <w:r>
              <w:t>5</w:t>
            </w:r>
          </w:p>
        </w:tc>
        <w:tc>
          <w:tcPr>
            <w:tcW w:w="231" w:type="pct"/>
            <w:vMerge w:val="continue"/>
            <w:shd w:val="clear" w:color="auto" w:fill="auto"/>
            <w:vAlign w:val="center"/>
          </w:tcPr>
          <w:p w14:paraId="06D4AFCD">
            <w:pPr>
              <w:pStyle w:val="90"/>
            </w:pPr>
          </w:p>
        </w:tc>
        <w:tc>
          <w:tcPr>
            <w:tcW w:w="376" w:type="pct"/>
            <w:shd w:val="clear" w:color="auto" w:fill="auto"/>
            <w:vAlign w:val="center"/>
          </w:tcPr>
          <w:p w14:paraId="71025F94">
            <w:pPr>
              <w:pStyle w:val="90"/>
            </w:pPr>
            <w:r>
              <w:rPr>
                <w:rFonts w:hint="eastAsia"/>
              </w:rPr>
              <w:t>1</w:t>
            </w:r>
            <w:r>
              <w:t>0</w:t>
            </w:r>
          </w:p>
        </w:tc>
        <w:tc>
          <w:tcPr>
            <w:tcW w:w="477" w:type="pct"/>
            <w:shd w:val="clear" w:color="auto" w:fill="auto"/>
            <w:vAlign w:val="center"/>
          </w:tcPr>
          <w:p w14:paraId="3498FC30">
            <w:pPr>
              <w:pStyle w:val="90"/>
            </w:pPr>
            <w:r>
              <w:rPr>
                <w:rFonts w:hint="eastAsia"/>
              </w:rPr>
              <w:t>6</w:t>
            </w:r>
            <w:r>
              <w:t>5</w:t>
            </w:r>
          </w:p>
        </w:tc>
        <w:tc>
          <w:tcPr>
            <w:tcW w:w="418" w:type="pct"/>
            <w:shd w:val="clear" w:color="auto" w:fill="auto"/>
            <w:vAlign w:val="center"/>
          </w:tcPr>
          <w:p w14:paraId="0EB131BE">
            <w:pPr>
              <w:pStyle w:val="90"/>
            </w:pPr>
            <w:r>
              <w:rPr>
                <w:rFonts w:hint="eastAsia"/>
              </w:rPr>
              <w:t>1</w:t>
            </w:r>
            <w:r>
              <w:t>.5</w:t>
            </w:r>
          </w:p>
        </w:tc>
      </w:tr>
      <w:tr w14:paraId="007DA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2FDE21BC">
            <w:pPr>
              <w:pStyle w:val="90"/>
              <w:numPr>
                <w:ilvl w:val="0"/>
                <w:numId w:val="18"/>
              </w:numPr>
            </w:pPr>
          </w:p>
        </w:tc>
        <w:tc>
          <w:tcPr>
            <w:tcW w:w="678" w:type="pct"/>
            <w:vMerge w:val="continue"/>
            <w:shd w:val="clear" w:color="auto" w:fill="auto"/>
            <w:vAlign w:val="center"/>
          </w:tcPr>
          <w:p w14:paraId="69132A97">
            <w:pPr>
              <w:pStyle w:val="90"/>
            </w:pPr>
          </w:p>
        </w:tc>
        <w:tc>
          <w:tcPr>
            <w:tcW w:w="329" w:type="pct"/>
            <w:shd w:val="clear" w:color="auto" w:fill="auto"/>
            <w:vAlign w:val="center"/>
          </w:tcPr>
          <w:p w14:paraId="1F0BCF22">
            <w:pPr>
              <w:pStyle w:val="90"/>
            </w:pPr>
            <w:r>
              <w:rPr>
                <w:rFonts w:hint="eastAsia"/>
              </w:rPr>
              <w:t>加温白土锅</w:t>
            </w:r>
          </w:p>
        </w:tc>
        <w:tc>
          <w:tcPr>
            <w:tcW w:w="667" w:type="pct"/>
            <w:shd w:val="clear" w:color="auto" w:fill="auto"/>
            <w:vAlign w:val="center"/>
          </w:tcPr>
          <w:p w14:paraId="093C40CD">
            <w:pPr>
              <w:pStyle w:val="90"/>
            </w:pPr>
            <w:r>
              <w:rPr>
                <w:rFonts w:hint="eastAsia"/>
              </w:rPr>
              <w:t>XR</w:t>
            </w:r>
            <w:r>
              <w:t>255</w:t>
            </w:r>
          </w:p>
        </w:tc>
        <w:tc>
          <w:tcPr>
            <w:tcW w:w="333" w:type="pct"/>
            <w:shd w:val="clear" w:color="auto" w:fill="auto"/>
            <w:vAlign w:val="center"/>
          </w:tcPr>
          <w:p w14:paraId="0E6AC506">
            <w:pPr>
              <w:pStyle w:val="90"/>
            </w:pPr>
            <w:r>
              <w:rPr>
                <w:rFonts w:hint="eastAsia"/>
              </w:rPr>
              <w:t>8</w:t>
            </w:r>
            <w:r>
              <w:t>0</w:t>
            </w:r>
          </w:p>
        </w:tc>
        <w:tc>
          <w:tcPr>
            <w:tcW w:w="246" w:type="pct"/>
            <w:vMerge w:val="continue"/>
            <w:shd w:val="clear" w:color="auto" w:fill="auto"/>
            <w:vAlign w:val="center"/>
          </w:tcPr>
          <w:p w14:paraId="73CDD217">
            <w:pPr>
              <w:pStyle w:val="90"/>
            </w:pPr>
          </w:p>
        </w:tc>
        <w:tc>
          <w:tcPr>
            <w:tcW w:w="166" w:type="pct"/>
            <w:shd w:val="clear" w:color="auto" w:fill="auto"/>
            <w:vAlign w:val="center"/>
          </w:tcPr>
          <w:p w14:paraId="67E8EE4A">
            <w:pPr>
              <w:pStyle w:val="90"/>
            </w:pPr>
            <w:r>
              <w:rPr>
                <w:rFonts w:hint="eastAsia"/>
              </w:rPr>
              <w:t>2</w:t>
            </w:r>
            <w:r>
              <w:t>2</w:t>
            </w:r>
          </w:p>
        </w:tc>
        <w:tc>
          <w:tcPr>
            <w:tcW w:w="147" w:type="pct"/>
            <w:shd w:val="clear" w:color="auto" w:fill="auto"/>
            <w:vAlign w:val="center"/>
          </w:tcPr>
          <w:p w14:paraId="5A0D940C">
            <w:pPr>
              <w:pStyle w:val="90"/>
            </w:pPr>
            <w:r>
              <w:rPr>
                <w:rFonts w:hint="eastAsia"/>
              </w:rPr>
              <w:t>1</w:t>
            </w:r>
            <w:r>
              <w:t>7</w:t>
            </w:r>
          </w:p>
        </w:tc>
        <w:tc>
          <w:tcPr>
            <w:tcW w:w="156" w:type="pct"/>
            <w:shd w:val="clear" w:color="auto" w:fill="auto"/>
            <w:vAlign w:val="center"/>
          </w:tcPr>
          <w:p w14:paraId="0B2E447D">
            <w:pPr>
              <w:pStyle w:val="90"/>
            </w:pPr>
            <w:r>
              <w:rPr>
                <w:rFonts w:hint="eastAsia"/>
              </w:rPr>
              <w:t>1</w:t>
            </w:r>
            <w:r>
              <w:t>.0</w:t>
            </w:r>
          </w:p>
        </w:tc>
        <w:tc>
          <w:tcPr>
            <w:tcW w:w="273" w:type="pct"/>
            <w:shd w:val="clear" w:color="auto" w:fill="auto"/>
            <w:vAlign w:val="center"/>
          </w:tcPr>
          <w:p w14:paraId="046A7D31">
            <w:pPr>
              <w:pStyle w:val="90"/>
            </w:pPr>
            <w:r>
              <w:rPr>
                <w:rFonts w:hint="eastAsia"/>
              </w:rPr>
              <w:t>7</w:t>
            </w:r>
          </w:p>
        </w:tc>
        <w:tc>
          <w:tcPr>
            <w:tcW w:w="379" w:type="pct"/>
            <w:shd w:val="clear" w:color="auto" w:fill="auto"/>
            <w:vAlign w:val="center"/>
          </w:tcPr>
          <w:p w14:paraId="5A547762">
            <w:pPr>
              <w:pStyle w:val="90"/>
            </w:pPr>
            <w:r>
              <w:rPr>
                <w:rFonts w:hint="eastAsia"/>
              </w:rPr>
              <w:t>6</w:t>
            </w:r>
            <w:r>
              <w:t>9</w:t>
            </w:r>
          </w:p>
        </w:tc>
        <w:tc>
          <w:tcPr>
            <w:tcW w:w="231" w:type="pct"/>
            <w:vMerge w:val="continue"/>
            <w:shd w:val="clear" w:color="auto" w:fill="auto"/>
            <w:vAlign w:val="center"/>
          </w:tcPr>
          <w:p w14:paraId="00720C3B">
            <w:pPr>
              <w:pStyle w:val="90"/>
            </w:pPr>
          </w:p>
        </w:tc>
        <w:tc>
          <w:tcPr>
            <w:tcW w:w="376" w:type="pct"/>
            <w:shd w:val="clear" w:color="auto" w:fill="auto"/>
            <w:vAlign w:val="center"/>
          </w:tcPr>
          <w:p w14:paraId="69340201">
            <w:pPr>
              <w:pStyle w:val="90"/>
            </w:pPr>
            <w:r>
              <w:rPr>
                <w:rFonts w:hint="eastAsia"/>
              </w:rPr>
              <w:t>1</w:t>
            </w:r>
            <w:r>
              <w:t>4</w:t>
            </w:r>
          </w:p>
        </w:tc>
        <w:tc>
          <w:tcPr>
            <w:tcW w:w="477" w:type="pct"/>
            <w:shd w:val="clear" w:color="auto" w:fill="auto"/>
            <w:vAlign w:val="center"/>
          </w:tcPr>
          <w:p w14:paraId="7A4CD46C">
            <w:pPr>
              <w:pStyle w:val="90"/>
            </w:pPr>
            <w:r>
              <w:rPr>
                <w:rFonts w:hint="eastAsia"/>
              </w:rPr>
              <w:t>6</w:t>
            </w:r>
            <w:r>
              <w:t>9</w:t>
            </w:r>
          </w:p>
        </w:tc>
        <w:tc>
          <w:tcPr>
            <w:tcW w:w="418" w:type="pct"/>
            <w:shd w:val="clear" w:color="auto" w:fill="auto"/>
            <w:vAlign w:val="center"/>
          </w:tcPr>
          <w:p w14:paraId="5BEFB5D9">
            <w:pPr>
              <w:pStyle w:val="90"/>
            </w:pPr>
            <w:r>
              <w:rPr>
                <w:rFonts w:hint="eastAsia"/>
              </w:rPr>
              <w:t>1</w:t>
            </w:r>
            <w:r>
              <w:t>.3</w:t>
            </w:r>
          </w:p>
        </w:tc>
      </w:tr>
      <w:tr w14:paraId="6CB29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47883FFA">
            <w:pPr>
              <w:pStyle w:val="90"/>
              <w:numPr>
                <w:ilvl w:val="0"/>
                <w:numId w:val="18"/>
              </w:numPr>
            </w:pPr>
          </w:p>
        </w:tc>
        <w:tc>
          <w:tcPr>
            <w:tcW w:w="678" w:type="pct"/>
            <w:vMerge w:val="continue"/>
            <w:shd w:val="clear" w:color="auto" w:fill="auto"/>
            <w:vAlign w:val="center"/>
          </w:tcPr>
          <w:p w14:paraId="71ACEE8C">
            <w:pPr>
              <w:pStyle w:val="90"/>
            </w:pPr>
          </w:p>
        </w:tc>
        <w:tc>
          <w:tcPr>
            <w:tcW w:w="329" w:type="pct"/>
            <w:shd w:val="clear" w:color="auto" w:fill="auto"/>
            <w:vAlign w:val="center"/>
          </w:tcPr>
          <w:p w14:paraId="6F61B062">
            <w:pPr>
              <w:pStyle w:val="90"/>
            </w:pPr>
            <w:r>
              <w:rPr>
                <w:rFonts w:hint="eastAsia"/>
              </w:rPr>
              <w:t>循环泵</w:t>
            </w:r>
          </w:p>
        </w:tc>
        <w:tc>
          <w:tcPr>
            <w:tcW w:w="667" w:type="pct"/>
            <w:shd w:val="clear" w:color="auto" w:fill="auto"/>
            <w:vAlign w:val="center"/>
          </w:tcPr>
          <w:p w14:paraId="6C381F04">
            <w:pPr>
              <w:pStyle w:val="90"/>
            </w:pPr>
            <w:r>
              <w:t>PGZ/LGZ</w:t>
            </w:r>
          </w:p>
        </w:tc>
        <w:tc>
          <w:tcPr>
            <w:tcW w:w="333" w:type="pct"/>
            <w:shd w:val="clear" w:color="auto" w:fill="auto"/>
            <w:vAlign w:val="center"/>
          </w:tcPr>
          <w:p w14:paraId="556C787A">
            <w:pPr>
              <w:pStyle w:val="90"/>
            </w:pPr>
            <w:r>
              <w:rPr>
                <w:rFonts w:hint="eastAsia"/>
              </w:rPr>
              <w:t>8</w:t>
            </w:r>
            <w:r>
              <w:t>0</w:t>
            </w:r>
          </w:p>
        </w:tc>
        <w:tc>
          <w:tcPr>
            <w:tcW w:w="246" w:type="pct"/>
            <w:vMerge w:val="continue"/>
            <w:shd w:val="clear" w:color="auto" w:fill="auto"/>
            <w:vAlign w:val="center"/>
          </w:tcPr>
          <w:p w14:paraId="38172F96">
            <w:pPr>
              <w:pStyle w:val="90"/>
            </w:pPr>
          </w:p>
        </w:tc>
        <w:tc>
          <w:tcPr>
            <w:tcW w:w="166" w:type="pct"/>
            <w:shd w:val="clear" w:color="auto" w:fill="auto"/>
            <w:vAlign w:val="center"/>
          </w:tcPr>
          <w:p w14:paraId="47FCF258">
            <w:pPr>
              <w:pStyle w:val="90"/>
            </w:pPr>
            <w:r>
              <w:rPr>
                <w:rFonts w:hint="eastAsia"/>
              </w:rPr>
              <w:t>2</w:t>
            </w:r>
            <w:r>
              <w:t>6</w:t>
            </w:r>
          </w:p>
        </w:tc>
        <w:tc>
          <w:tcPr>
            <w:tcW w:w="147" w:type="pct"/>
            <w:shd w:val="clear" w:color="auto" w:fill="auto"/>
            <w:vAlign w:val="center"/>
          </w:tcPr>
          <w:p w14:paraId="0F36B829">
            <w:pPr>
              <w:pStyle w:val="90"/>
            </w:pPr>
            <w:r>
              <w:rPr>
                <w:rFonts w:hint="eastAsia"/>
              </w:rPr>
              <w:t>1</w:t>
            </w:r>
            <w:r>
              <w:t>0</w:t>
            </w:r>
          </w:p>
        </w:tc>
        <w:tc>
          <w:tcPr>
            <w:tcW w:w="156" w:type="pct"/>
            <w:shd w:val="clear" w:color="auto" w:fill="auto"/>
            <w:vAlign w:val="center"/>
          </w:tcPr>
          <w:p w14:paraId="52AD7868">
            <w:pPr>
              <w:pStyle w:val="90"/>
            </w:pPr>
            <w:r>
              <w:rPr>
                <w:rFonts w:hint="eastAsia"/>
              </w:rPr>
              <w:t>1</w:t>
            </w:r>
            <w:r>
              <w:t>.9</w:t>
            </w:r>
          </w:p>
        </w:tc>
        <w:tc>
          <w:tcPr>
            <w:tcW w:w="273" w:type="pct"/>
            <w:shd w:val="clear" w:color="auto" w:fill="auto"/>
            <w:vAlign w:val="center"/>
          </w:tcPr>
          <w:p w14:paraId="69149C9A">
            <w:pPr>
              <w:pStyle w:val="90"/>
            </w:pPr>
            <w:r>
              <w:rPr>
                <w:rFonts w:hint="eastAsia"/>
              </w:rPr>
              <w:t>6</w:t>
            </w:r>
          </w:p>
        </w:tc>
        <w:tc>
          <w:tcPr>
            <w:tcW w:w="379" w:type="pct"/>
            <w:shd w:val="clear" w:color="auto" w:fill="auto"/>
            <w:vAlign w:val="center"/>
          </w:tcPr>
          <w:p w14:paraId="6C4E84A8">
            <w:pPr>
              <w:pStyle w:val="90"/>
            </w:pPr>
            <w:r>
              <w:rPr>
                <w:rFonts w:hint="eastAsia"/>
              </w:rPr>
              <w:t>6</w:t>
            </w:r>
            <w:r>
              <w:t>5</w:t>
            </w:r>
          </w:p>
        </w:tc>
        <w:tc>
          <w:tcPr>
            <w:tcW w:w="231" w:type="pct"/>
            <w:vMerge w:val="continue"/>
            <w:shd w:val="clear" w:color="auto" w:fill="auto"/>
            <w:vAlign w:val="center"/>
          </w:tcPr>
          <w:p w14:paraId="609D5091">
            <w:pPr>
              <w:pStyle w:val="90"/>
            </w:pPr>
          </w:p>
        </w:tc>
        <w:tc>
          <w:tcPr>
            <w:tcW w:w="376" w:type="pct"/>
            <w:shd w:val="clear" w:color="auto" w:fill="auto"/>
            <w:vAlign w:val="center"/>
          </w:tcPr>
          <w:p w14:paraId="24A589DC">
            <w:pPr>
              <w:pStyle w:val="90"/>
            </w:pPr>
            <w:r>
              <w:rPr>
                <w:rFonts w:hint="eastAsia"/>
              </w:rPr>
              <w:t>1</w:t>
            </w:r>
            <w:r>
              <w:t>5</w:t>
            </w:r>
          </w:p>
        </w:tc>
        <w:tc>
          <w:tcPr>
            <w:tcW w:w="477" w:type="pct"/>
            <w:shd w:val="clear" w:color="auto" w:fill="auto"/>
            <w:vAlign w:val="center"/>
          </w:tcPr>
          <w:p w14:paraId="5A4088E8">
            <w:pPr>
              <w:pStyle w:val="90"/>
            </w:pPr>
            <w:r>
              <w:rPr>
                <w:rFonts w:hint="eastAsia"/>
              </w:rPr>
              <w:t>6</w:t>
            </w:r>
            <w:r>
              <w:t>5</w:t>
            </w:r>
          </w:p>
        </w:tc>
        <w:tc>
          <w:tcPr>
            <w:tcW w:w="418" w:type="pct"/>
            <w:shd w:val="clear" w:color="auto" w:fill="auto"/>
            <w:vAlign w:val="center"/>
          </w:tcPr>
          <w:p w14:paraId="70916772">
            <w:pPr>
              <w:pStyle w:val="90"/>
            </w:pPr>
            <w:r>
              <w:rPr>
                <w:rFonts w:hint="eastAsia"/>
              </w:rPr>
              <w:t>1</w:t>
            </w:r>
            <w:r>
              <w:t>.1</w:t>
            </w:r>
          </w:p>
        </w:tc>
      </w:tr>
      <w:tr w14:paraId="118CB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6CC6FAA3">
            <w:pPr>
              <w:pStyle w:val="90"/>
              <w:numPr>
                <w:ilvl w:val="0"/>
                <w:numId w:val="18"/>
              </w:numPr>
            </w:pPr>
          </w:p>
        </w:tc>
        <w:tc>
          <w:tcPr>
            <w:tcW w:w="678" w:type="pct"/>
            <w:vMerge w:val="restart"/>
            <w:shd w:val="clear" w:color="auto" w:fill="auto"/>
            <w:vAlign w:val="center"/>
          </w:tcPr>
          <w:p w14:paraId="432C5241">
            <w:pPr>
              <w:pStyle w:val="90"/>
            </w:pPr>
            <w:r>
              <w:rPr>
                <w:rFonts w:hint="eastAsia"/>
              </w:rPr>
              <w:t>润滑脂生产车间</w:t>
            </w:r>
          </w:p>
        </w:tc>
        <w:tc>
          <w:tcPr>
            <w:tcW w:w="329" w:type="pct"/>
            <w:shd w:val="clear" w:color="auto" w:fill="auto"/>
            <w:vAlign w:val="center"/>
          </w:tcPr>
          <w:p w14:paraId="56967CA7">
            <w:pPr>
              <w:pStyle w:val="90"/>
            </w:pPr>
            <w:r>
              <w:rPr>
                <w:rFonts w:hint="eastAsia"/>
              </w:rPr>
              <w:t>皂化釜</w:t>
            </w:r>
          </w:p>
        </w:tc>
        <w:tc>
          <w:tcPr>
            <w:tcW w:w="667" w:type="pct"/>
            <w:shd w:val="clear" w:color="auto" w:fill="auto"/>
            <w:vAlign w:val="center"/>
          </w:tcPr>
          <w:p w14:paraId="7DD4943B">
            <w:pPr>
              <w:pStyle w:val="90"/>
            </w:pPr>
            <w:r>
              <w:t>P5-5.24</w:t>
            </w:r>
          </w:p>
        </w:tc>
        <w:tc>
          <w:tcPr>
            <w:tcW w:w="333" w:type="pct"/>
            <w:shd w:val="clear" w:color="auto" w:fill="auto"/>
            <w:vAlign w:val="center"/>
          </w:tcPr>
          <w:p w14:paraId="7AEB1FE7">
            <w:pPr>
              <w:pStyle w:val="90"/>
            </w:pPr>
            <w:r>
              <w:rPr>
                <w:rFonts w:hint="eastAsia"/>
              </w:rPr>
              <w:t>8</w:t>
            </w:r>
            <w:r>
              <w:t>0</w:t>
            </w:r>
          </w:p>
        </w:tc>
        <w:tc>
          <w:tcPr>
            <w:tcW w:w="246" w:type="pct"/>
            <w:vMerge w:val="continue"/>
            <w:shd w:val="clear" w:color="auto" w:fill="auto"/>
            <w:vAlign w:val="center"/>
          </w:tcPr>
          <w:p w14:paraId="4205A36B">
            <w:pPr>
              <w:pStyle w:val="90"/>
            </w:pPr>
          </w:p>
        </w:tc>
        <w:tc>
          <w:tcPr>
            <w:tcW w:w="166" w:type="pct"/>
            <w:shd w:val="clear" w:color="auto" w:fill="auto"/>
            <w:vAlign w:val="center"/>
          </w:tcPr>
          <w:p w14:paraId="24A90AE3">
            <w:pPr>
              <w:pStyle w:val="90"/>
            </w:pPr>
            <w:r>
              <w:rPr>
                <w:rFonts w:hint="eastAsia"/>
              </w:rPr>
              <w:t>2</w:t>
            </w:r>
            <w:r>
              <w:t>3</w:t>
            </w:r>
          </w:p>
        </w:tc>
        <w:tc>
          <w:tcPr>
            <w:tcW w:w="147" w:type="pct"/>
            <w:shd w:val="clear" w:color="auto" w:fill="auto"/>
            <w:vAlign w:val="center"/>
          </w:tcPr>
          <w:p w14:paraId="2FF31E05">
            <w:pPr>
              <w:pStyle w:val="90"/>
            </w:pPr>
            <w:r>
              <w:rPr>
                <w:rFonts w:hint="eastAsia"/>
              </w:rPr>
              <w:t>4</w:t>
            </w:r>
            <w:r>
              <w:t>3</w:t>
            </w:r>
          </w:p>
        </w:tc>
        <w:tc>
          <w:tcPr>
            <w:tcW w:w="156" w:type="pct"/>
            <w:shd w:val="clear" w:color="auto" w:fill="auto"/>
            <w:vAlign w:val="center"/>
          </w:tcPr>
          <w:p w14:paraId="5DFF8513">
            <w:pPr>
              <w:pStyle w:val="90"/>
            </w:pPr>
            <w:r>
              <w:rPr>
                <w:rFonts w:hint="eastAsia"/>
              </w:rPr>
              <w:t>1</w:t>
            </w:r>
            <w:r>
              <w:t>.8</w:t>
            </w:r>
          </w:p>
        </w:tc>
        <w:tc>
          <w:tcPr>
            <w:tcW w:w="273" w:type="pct"/>
            <w:shd w:val="clear" w:color="auto" w:fill="auto"/>
            <w:vAlign w:val="center"/>
          </w:tcPr>
          <w:p w14:paraId="0DC9AAF2">
            <w:pPr>
              <w:pStyle w:val="90"/>
            </w:pPr>
            <w:r>
              <w:rPr>
                <w:rFonts w:hint="eastAsia"/>
              </w:rPr>
              <w:t>5</w:t>
            </w:r>
          </w:p>
        </w:tc>
        <w:tc>
          <w:tcPr>
            <w:tcW w:w="379" w:type="pct"/>
            <w:shd w:val="clear" w:color="auto" w:fill="auto"/>
            <w:vAlign w:val="center"/>
          </w:tcPr>
          <w:p w14:paraId="082E5BCF">
            <w:pPr>
              <w:pStyle w:val="90"/>
            </w:pPr>
            <w:r>
              <w:rPr>
                <w:rFonts w:hint="eastAsia"/>
              </w:rPr>
              <w:t>7</w:t>
            </w:r>
            <w:r>
              <w:t>5</w:t>
            </w:r>
          </w:p>
        </w:tc>
        <w:tc>
          <w:tcPr>
            <w:tcW w:w="231" w:type="pct"/>
            <w:vMerge w:val="continue"/>
            <w:shd w:val="clear" w:color="auto" w:fill="auto"/>
            <w:vAlign w:val="center"/>
          </w:tcPr>
          <w:p w14:paraId="01E14376">
            <w:pPr>
              <w:pStyle w:val="90"/>
            </w:pPr>
          </w:p>
        </w:tc>
        <w:tc>
          <w:tcPr>
            <w:tcW w:w="376" w:type="pct"/>
            <w:shd w:val="clear" w:color="auto" w:fill="auto"/>
            <w:vAlign w:val="center"/>
          </w:tcPr>
          <w:p w14:paraId="623330D2">
            <w:pPr>
              <w:pStyle w:val="90"/>
            </w:pPr>
            <w:r>
              <w:rPr>
                <w:rFonts w:hint="eastAsia"/>
              </w:rPr>
              <w:t>5</w:t>
            </w:r>
          </w:p>
        </w:tc>
        <w:tc>
          <w:tcPr>
            <w:tcW w:w="477" w:type="pct"/>
            <w:shd w:val="clear" w:color="auto" w:fill="auto"/>
            <w:vAlign w:val="center"/>
          </w:tcPr>
          <w:p w14:paraId="073BBC9A">
            <w:pPr>
              <w:pStyle w:val="90"/>
            </w:pPr>
            <w:r>
              <w:rPr>
                <w:rFonts w:hint="eastAsia"/>
              </w:rPr>
              <w:t>7</w:t>
            </w:r>
            <w:r>
              <w:t>5</w:t>
            </w:r>
          </w:p>
        </w:tc>
        <w:tc>
          <w:tcPr>
            <w:tcW w:w="418" w:type="pct"/>
            <w:shd w:val="clear" w:color="auto" w:fill="auto"/>
            <w:vAlign w:val="center"/>
          </w:tcPr>
          <w:p w14:paraId="686FF345">
            <w:pPr>
              <w:pStyle w:val="90"/>
            </w:pPr>
            <w:r>
              <w:rPr>
                <w:rFonts w:hint="eastAsia"/>
              </w:rPr>
              <w:t>1</w:t>
            </w:r>
            <w:r>
              <w:t>.7</w:t>
            </w:r>
          </w:p>
        </w:tc>
      </w:tr>
      <w:tr w14:paraId="35B47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13977CC1">
            <w:pPr>
              <w:pStyle w:val="90"/>
              <w:numPr>
                <w:ilvl w:val="0"/>
                <w:numId w:val="18"/>
              </w:numPr>
            </w:pPr>
          </w:p>
        </w:tc>
        <w:tc>
          <w:tcPr>
            <w:tcW w:w="678" w:type="pct"/>
            <w:vMerge w:val="continue"/>
            <w:shd w:val="clear" w:color="auto" w:fill="auto"/>
            <w:vAlign w:val="center"/>
          </w:tcPr>
          <w:p w14:paraId="1D2D35C1">
            <w:pPr>
              <w:pStyle w:val="90"/>
            </w:pPr>
          </w:p>
        </w:tc>
        <w:tc>
          <w:tcPr>
            <w:tcW w:w="329" w:type="pct"/>
            <w:shd w:val="clear" w:color="auto" w:fill="auto"/>
            <w:vAlign w:val="center"/>
          </w:tcPr>
          <w:p w14:paraId="44E1F82A">
            <w:pPr>
              <w:pStyle w:val="90"/>
            </w:pPr>
            <w:r>
              <w:rPr>
                <w:rFonts w:hint="eastAsia"/>
              </w:rPr>
              <w:t>调和釜</w:t>
            </w:r>
          </w:p>
        </w:tc>
        <w:tc>
          <w:tcPr>
            <w:tcW w:w="667" w:type="pct"/>
            <w:shd w:val="clear" w:color="auto" w:fill="auto"/>
            <w:vAlign w:val="center"/>
          </w:tcPr>
          <w:p w14:paraId="316F39C7">
            <w:pPr>
              <w:pStyle w:val="90"/>
            </w:pPr>
            <w:r>
              <w:t>P5-6.75</w:t>
            </w:r>
          </w:p>
        </w:tc>
        <w:tc>
          <w:tcPr>
            <w:tcW w:w="333" w:type="pct"/>
            <w:shd w:val="clear" w:color="auto" w:fill="auto"/>
            <w:vAlign w:val="center"/>
          </w:tcPr>
          <w:p w14:paraId="7BDA8786">
            <w:pPr>
              <w:pStyle w:val="90"/>
            </w:pPr>
            <w:r>
              <w:rPr>
                <w:rFonts w:hint="eastAsia"/>
              </w:rPr>
              <w:t>8</w:t>
            </w:r>
            <w:r>
              <w:t>0</w:t>
            </w:r>
          </w:p>
        </w:tc>
        <w:tc>
          <w:tcPr>
            <w:tcW w:w="246" w:type="pct"/>
            <w:vMerge w:val="continue"/>
            <w:shd w:val="clear" w:color="auto" w:fill="auto"/>
            <w:vAlign w:val="center"/>
          </w:tcPr>
          <w:p w14:paraId="60911442">
            <w:pPr>
              <w:pStyle w:val="90"/>
            </w:pPr>
          </w:p>
        </w:tc>
        <w:tc>
          <w:tcPr>
            <w:tcW w:w="166" w:type="pct"/>
            <w:shd w:val="clear" w:color="auto" w:fill="auto"/>
            <w:vAlign w:val="center"/>
          </w:tcPr>
          <w:p w14:paraId="6896FC6F">
            <w:pPr>
              <w:pStyle w:val="90"/>
            </w:pPr>
            <w:r>
              <w:rPr>
                <w:rFonts w:hint="eastAsia"/>
              </w:rPr>
              <w:t>2</w:t>
            </w:r>
            <w:r>
              <w:t>5</w:t>
            </w:r>
          </w:p>
        </w:tc>
        <w:tc>
          <w:tcPr>
            <w:tcW w:w="147" w:type="pct"/>
            <w:shd w:val="clear" w:color="auto" w:fill="auto"/>
            <w:vAlign w:val="center"/>
          </w:tcPr>
          <w:p w14:paraId="4BCC85B1">
            <w:pPr>
              <w:pStyle w:val="90"/>
            </w:pPr>
            <w:r>
              <w:rPr>
                <w:rFonts w:hint="eastAsia"/>
              </w:rPr>
              <w:t>4</w:t>
            </w:r>
            <w:r>
              <w:t>1</w:t>
            </w:r>
          </w:p>
        </w:tc>
        <w:tc>
          <w:tcPr>
            <w:tcW w:w="156" w:type="pct"/>
            <w:shd w:val="clear" w:color="auto" w:fill="auto"/>
            <w:vAlign w:val="center"/>
          </w:tcPr>
          <w:p w14:paraId="578117A4">
            <w:pPr>
              <w:pStyle w:val="90"/>
            </w:pPr>
            <w:r>
              <w:rPr>
                <w:rFonts w:hint="eastAsia"/>
              </w:rPr>
              <w:t>1</w:t>
            </w:r>
            <w:r>
              <w:t>.9</w:t>
            </w:r>
          </w:p>
        </w:tc>
        <w:tc>
          <w:tcPr>
            <w:tcW w:w="273" w:type="pct"/>
            <w:shd w:val="clear" w:color="auto" w:fill="auto"/>
            <w:vAlign w:val="center"/>
          </w:tcPr>
          <w:p w14:paraId="02DA6AD4">
            <w:pPr>
              <w:pStyle w:val="90"/>
            </w:pPr>
            <w:r>
              <w:rPr>
                <w:rFonts w:hint="eastAsia"/>
              </w:rPr>
              <w:t>6</w:t>
            </w:r>
          </w:p>
        </w:tc>
        <w:tc>
          <w:tcPr>
            <w:tcW w:w="379" w:type="pct"/>
            <w:shd w:val="clear" w:color="auto" w:fill="auto"/>
            <w:vAlign w:val="center"/>
          </w:tcPr>
          <w:p w14:paraId="13F9FAC6">
            <w:pPr>
              <w:pStyle w:val="90"/>
            </w:pPr>
            <w:r>
              <w:rPr>
                <w:rFonts w:hint="eastAsia"/>
              </w:rPr>
              <w:t>7</w:t>
            </w:r>
            <w:r>
              <w:t>1</w:t>
            </w:r>
          </w:p>
        </w:tc>
        <w:tc>
          <w:tcPr>
            <w:tcW w:w="231" w:type="pct"/>
            <w:vMerge w:val="continue"/>
            <w:shd w:val="clear" w:color="auto" w:fill="auto"/>
            <w:vAlign w:val="center"/>
          </w:tcPr>
          <w:p w14:paraId="155B36F8">
            <w:pPr>
              <w:pStyle w:val="90"/>
            </w:pPr>
          </w:p>
        </w:tc>
        <w:tc>
          <w:tcPr>
            <w:tcW w:w="376" w:type="pct"/>
            <w:shd w:val="clear" w:color="auto" w:fill="auto"/>
            <w:vAlign w:val="center"/>
          </w:tcPr>
          <w:p w14:paraId="32BE8F09">
            <w:pPr>
              <w:pStyle w:val="90"/>
            </w:pPr>
            <w:r>
              <w:rPr>
                <w:rFonts w:hint="eastAsia"/>
              </w:rPr>
              <w:t>9</w:t>
            </w:r>
          </w:p>
        </w:tc>
        <w:tc>
          <w:tcPr>
            <w:tcW w:w="477" w:type="pct"/>
            <w:shd w:val="clear" w:color="auto" w:fill="auto"/>
            <w:vAlign w:val="center"/>
          </w:tcPr>
          <w:p w14:paraId="0EBAC32E">
            <w:pPr>
              <w:pStyle w:val="90"/>
            </w:pPr>
            <w:r>
              <w:rPr>
                <w:rFonts w:hint="eastAsia"/>
              </w:rPr>
              <w:t>7</w:t>
            </w:r>
            <w:r>
              <w:t>1</w:t>
            </w:r>
          </w:p>
        </w:tc>
        <w:tc>
          <w:tcPr>
            <w:tcW w:w="418" w:type="pct"/>
            <w:shd w:val="clear" w:color="auto" w:fill="auto"/>
            <w:vAlign w:val="center"/>
          </w:tcPr>
          <w:p w14:paraId="4B4E3CA4">
            <w:pPr>
              <w:pStyle w:val="90"/>
            </w:pPr>
            <w:r>
              <w:rPr>
                <w:rFonts w:hint="eastAsia"/>
              </w:rPr>
              <w:t>1</w:t>
            </w:r>
            <w:r>
              <w:t>.6</w:t>
            </w:r>
          </w:p>
        </w:tc>
      </w:tr>
      <w:tr w14:paraId="3FD34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4EA9E8D2">
            <w:pPr>
              <w:pStyle w:val="90"/>
              <w:numPr>
                <w:ilvl w:val="0"/>
                <w:numId w:val="18"/>
              </w:numPr>
            </w:pPr>
          </w:p>
        </w:tc>
        <w:tc>
          <w:tcPr>
            <w:tcW w:w="678" w:type="pct"/>
            <w:vMerge w:val="continue"/>
            <w:shd w:val="clear" w:color="auto" w:fill="auto"/>
            <w:vAlign w:val="center"/>
          </w:tcPr>
          <w:p w14:paraId="12CAAC3D">
            <w:pPr>
              <w:pStyle w:val="90"/>
            </w:pPr>
          </w:p>
        </w:tc>
        <w:tc>
          <w:tcPr>
            <w:tcW w:w="329" w:type="pct"/>
            <w:shd w:val="clear" w:color="auto" w:fill="auto"/>
            <w:vAlign w:val="center"/>
          </w:tcPr>
          <w:p w14:paraId="4DF73BE2">
            <w:pPr>
              <w:pStyle w:val="90"/>
            </w:pPr>
            <w:r>
              <w:rPr>
                <w:rFonts w:hint="eastAsia"/>
              </w:rPr>
              <w:t>均质机</w:t>
            </w:r>
          </w:p>
        </w:tc>
        <w:tc>
          <w:tcPr>
            <w:tcW w:w="667" w:type="pct"/>
            <w:shd w:val="clear" w:color="auto" w:fill="auto"/>
            <w:vAlign w:val="center"/>
          </w:tcPr>
          <w:p w14:paraId="5B46C156">
            <w:pPr>
              <w:pStyle w:val="90"/>
            </w:pPr>
            <w:r>
              <w:rPr>
                <w:rFonts w:hint="eastAsia"/>
              </w:rPr>
              <w:t>6</w:t>
            </w:r>
            <w:r>
              <w:t>000-3</w:t>
            </w:r>
            <w:r>
              <w:rPr>
                <w:rFonts w:hint="eastAsia"/>
              </w:rPr>
              <w:t>S</w:t>
            </w:r>
          </w:p>
        </w:tc>
        <w:tc>
          <w:tcPr>
            <w:tcW w:w="333" w:type="pct"/>
            <w:shd w:val="clear" w:color="auto" w:fill="auto"/>
            <w:vAlign w:val="center"/>
          </w:tcPr>
          <w:p w14:paraId="173C5161">
            <w:pPr>
              <w:pStyle w:val="90"/>
            </w:pPr>
            <w:r>
              <w:rPr>
                <w:rFonts w:hint="eastAsia"/>
              </w:rPr>
              <w:t>7</w:t>
            </w:r>
            <w:r>
              <w:t>0</w:t>
            </w:r>
          </w:p>
        </w:tc>
        <w:tc>
          <w:tcPr>
            <w:tcW w:w="246" w:type="pct"/>
            <w:vMerge w:val="continue"/>
            <w:shd w:val="clear" w:color="auto" w:fill="auto"/>
            <w:vAlign w:val="center"/>
          </w:tcPr>
          <w:p w14:paraId="37D3B5B6">
            <w:pPr>
              <w:pStyle w:val="90"/>
            </w:pPr>
          </w:p>
        </w:tc>
        <w:tc>
          <w:tcPr>
            <w:tcW w:w="166" w:type="pct"/>
            <w:shd w:val="clear" w:color="auto" w:fill="auto"/>
            <w:vAlign w:val="center"/>
          </w:tcPr>
          <w:p w14:paraId="25B94A7C">
            <w:pPr>
              <w:pStyle w:val="90"/>
            </w:pPr>
            <w:r>
              <w:rPr>
                <w:rFonts w:hint="eastAsia"/>
              </w:rPr>
              <w:t>3</w:t>
            </w:r>
            <w:r>
              <w:t>1</w:t>
            </w:r>
          </w:p>
        </w:tc>
        <w:tc>
          <w:tcPr>
            <w:tcW w:w="147" w:type="pct"/>
            <w:shd w:val="clear" w:color="auto" w:fill="auto"/>
            <w:vAlign w:val="center"/>
          </w:tcPr>
          <w:p w14:paraId="29088E9E">
            <w:pPr>
              <w:pStyle w:val="90"/>
            </w:pPr>
            <w:r>
              <w:rPr>
                <w:rFonts w:hint="eastAsia"/>
              </w:rPr>
              <w:t>3</w:t>
            </w:r>
            <w:r>
              <w:t>6</w:t>
            </w:r>
          </w:p>
        </w:tc>
        <w:tc>
          <w:tcPr>
            <w:tcW w:w="156" w:type="pct"/>
            <w:shd w:val="clear" w:color="auto" w:fill="auto"/>
            <w:vAlign w:val="center"/>
          </w:tcPr>
          <w:p w14:paraId="504544E7">
            <w:pPr>
              <w:pStyle w:val="90"/>
            </w:pPr>
            <w:r>
              <w:rPr>
                <w:rFonts w:hint="eastAsia"/>
              </w:rPr>
              <w:t>1</w:t>
            </w:r>
            <w:r>
              <w:t>.7</w:t>
            </w:r>
          </w:p>
        </w:tc>
        <w:tc>
          <w:tcPr>
            <w:tcW w:w="273" w:type="pct"/>
            <w:shd w:val="clear" w:color="auto" w:fill="auto"/>
            <w:vAlign w:val="center"/>
          </w:tcPr>
          <w:p w14:paraId="1A9E5432">
            <w:pPr>
              <w:pStyle w:val="90"/>
            </w:pPr>
            <w:r>
              <w:rPr>
                <w:rFonts w:hint="eastAsia"/>
              </w:rPr>
              <w:t>9</w:t>
            </w:r>
          </w:p>
        </w:tc>
        <w:tc>
          <w:tcPr>
            <w:tcW w:w="379" w:type="pct"/>
            <w:shd w:val="clear" w:color="auto" w:fill="auto"/>
            <w:vAlign w:val="center"/>
          </w:tcPr>
          <w:p w14:paraId="6AAE2EC5">
            <w:pPr>
              <w:pStyle w:val="90"/>
            </w:pPr>
            <w:r>
              <w:rPr>
                <w:rFonts w:hint="eastAsia"/>
              </w:rPr>
              <w:t>6</w:t>
            </w:r>
            <w:r>
              <w:t>6</w:t>
            </w:r>
          </w:p>
        </w:tc>
        <w:tc>
          <w:tcPr>
            <w:tcW w:w="231" w:type="pct"/>
            <w:vMerge w:val="continue"/>
            <w:shd w:val="clear" w:color="auto" w:fill="auto"/>
            <w:vAlign w:val="center"/>
          </w:tcPr>
          <w:p w14:paraId="4786BE95">
            <w:pPr>
              <w:pStyle w:val="90"/>
            </w:pPr>
          </w:p>
        </w:tc>
        <w:tc>
          <w:tcPr>
            <w:tcW w:w="376" w:type="pct"/>
            <w:shd w:val="clear" w:color="auto" w:fill="auto"/>
            <w:vAlign w:val="center"/>
          </w:tcPr>
          <w:p w14:paraId="780BC31D">
            <w:pPr>
              <w:pStyle w:val="90"/>
            </w:pPr>
            <w:r>
              <w:t>10</w:t>
            </w:r>
          </w:p>
        </w:tc>
        <w:tc>
          <w:tcPr>
            <w:tcW w:w="477" w:type="pct"/>
            <w:shd w:val="clear" w:color="auto" w:fill="auto"/>
            <w:vAlign w:val="center"/>
          </w:tcPr>
          <w:p w14:paraId="02C2E48A">
            <w:pPr>
              <w:pStyle w:val="90"/>
            </w:pPr>
            <w:r>
              <w:rPr>
                <w:rFonts w:hint="eastAsia"/>
              </w:rPr>
              <w:t>6</w:t>
            </w:r>
            <w:r>
              <w:t>5</w:t>
            </w:r>
          </w:p>
        </w:tc>
        <w:tc>
          <w:tcPr>
            <w:tcW w:w="418" w:type="pct"/>
            <w:shd w:val="clear" w:color="auto" w:fill="auto"/>
            <w:vAlign w:val="center"/>
          </w:tcPr>
          <w:p w14:paraId="66FD1393">
            <w:pPr>
              <w:pStyle w:val="90"/>
            </w:pPr>
            <w:r>
              <w:rPr>
                <w:rFonts w:hint="eastAsia"/>
              </w:rPr>
              <w:t>1</w:t>
            </w:r>
            <w:r>
              <w:t>.1</w:t>
            </w:r>
          </w:p>
        </w:tc>
      </w:tr>
      <w:tr w14:paraId="54BE9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5DF459F9">
            <w:pPr>
              <w:pStyle w:val="90"/>
              <w:numPr>
                <w:ilvl w:val="0"/>
                <w:numId w:val="18"/>
              </w:numPr>
            </w:pPr>
          </w:p>
        </w:tc>
        <w:tc>
          <w:tcPr>
            <w:tcW w:w="678" w:type="pct"/>
            <w:vMerge w:val="continue"/>
            <w:shd w:val="clear" w:color="auto" w:fill="auto"/>
            <w:vAlign w:val="center"/>
          </w:tcPr>
          <w:p w14:paraId="2A079257">
            <w:pPr>
              <w:pStyle w:val="90"/>
            </w:pPr>
          </w:p>
        </w:tc>
        <w:tc>
          <w:tcPr>
            <w:tcW w:w="329" w:type="pct"/>
            <w:shd w:val="clear" w:color="auto" w:fill="auto"/>
            <w:vAlign w:val="center"/>
          </w:tcPr>
          <w:p w14:paraId="3A7693F4">
            <w:pPr>
              <w:pStyle w:val="90"/>
            </w:pPr>
            <w:r>
              <w:rPr>
                <w:rFonts w:hint="eastAsia"/>
              </w:rPr>
              <w:t>物料泵</w:t>
            </w:r>
          </w:p>
        </w:tc>
        <w:tc>
          <w:tcPr>
            <w:tcW w:w="667" w:type="pct"/>
            <w:shd w:val="clear" w:color="auto" w:fill="auto"/>
            <w:vAlign w:val="center"/>
          </w:tcPr>
          <w:p w14:paraId="3AEAABC8">
            <w:pPr>
              <w:pStyle w:val="90"/>
            </w:pPr>
            <w:r>
              <w:t>ZAII40-200C</w:t>
            </w:r>
          </w:p>
        </w:tc>
        <w:tc>
          <w:tcPr>
            <w:tcW w:w="333" w:type="pct"/>
            <w:shd w:val="clear" w:color="auto" w:fill="auto"/>
            <w:vAlign w:val="center"/>
          </w:tcPr>
          <w:p w14:paraId="25F48458">
            <w:pPr>
              <w:pStyle w:val="90"/>
            </w:pPr>
            <w:r>
              <w:rPr>
                <w:rFonts w:hint="eastAsia"/>
              </w:rPr>
              <w:t>8</w:t>
            </w:r>
            <w:r>
              <w:t>5</w:t>
            </w:r>
          </w:p>
        </w:tc>
        <w:tc>
          <w:tcPr>
            <w:tcW w:w="246" w:type="pct"/>
            <w:vMerge w:val="continue"/>
            <w:shd w:val="clear" w:color="auto" w:fill="auto"/>
            <w:vAlign w:val="center"/>
          </w:tcPr>
          <w:p w14:paraId="121A719B">
            <w:pPr>
              <w:pStyle w:val="90"/>
            </w:pPr>
          </w:p>
        </w:tc>
        <w:tc>
          <w:tcPr>
            <w:tcW w:w="166" w:type="pct"/>
            <w:shd w:val="clear" w:color="auto" w:fill="auto"/>
            <w:vAlign w:val="center"/>
          </w:tcPr>
          <w:p w14:paraId="767BE3A8">
            <w:pPr>
              <w:pStyle w:val="90"/>
            </w:pPr>
            <w:r>
              <w:rPr>
                <w:rFonts w:hint="eastAsia"/>
              </w:rPr>
              <w:t>3</w:t>
            </w:r>
            <w:r>
              <w:t>3</w:t>
            </w:r>
          </w:p>
        </w:tc>
        <w:tc>
          <w:tcPr>
            <w:tcW w:w="147" w:type="pct"/>
            <w:shd w:val="clear" w:color="auto" w:fill="auto"/>
            <w:vAlign w:val="center"/>
          </w:tcPr>
          <w:p w14:paraId="7A10AF8D">
            <w:pPr>
              <w:pStyle w:val="90"/>
            </w:pPr>
            <w:r>
              <w:rPr>
                <w:rFonts w:hint="eastAsia"/>
              </w:rPr>
              <w:t>1</w:t>
            </w:r>
            <w:r>
              <w:t>1</w:t>
            </w:r>
          </w:p>
        </w:tc>
        <w:tc>
          <w:tcPr>
            <w:tcW w:w="156" w:type="pct"/>
            <w:shd w:val="clear" w:color="auto" w:fill="auto"/>
            <w:vAlign w:val="center"/>
          </w:tcPr>
          <w:p w14:paraId="793A7D0A">
            <w:pPr>
              <w:pStyle w:val="90"/>
            </w:pPr>
            <w:r>
              <w:rPr>
                <w:rFonts w:hint="eastAsia"/>
              </w:rPr>
              <w:t>1</w:t>
            </w:r>
            <w:r>
              <w:t>.2</w:t>
            </w:r>
          </w:p>
        </w:tc>
        <w:tc>
          <w:tcPr>
            <w:tcW w:w="273" w:type="pct"/>
            <w:shd w:val="clear" w:color="auto" w:fill="auto"/>
            <w:vAlign w:val="center"/>
          </w:tcPr>
          <w:p w14:paraId="0CF779E4">
            <w:pPr>
              <w:pStyle w:val="90"/>
            </w:pPr>
            <w:r>
              <w:rPr>
                <w:rFonts w:hint="eastAsia"/>
              </w:rPr>
              <w:t>8</w:t>
            </w:r>
          </w:p>
        </w:tc>
        <w:tc>
          <w:tcPr>
            <w:tcW w:w="379" w:type="pct"/>
            <w:shd w:val="clear" w:color="auto" w:fill="auto"/>
            <w:vAlign w:val="center"/>
          </w:tcPr>
          <w:p w14:paraId="1E2A5DD5">
            <w:pPr>
              <w:pStyle w:val="90"/>
            </w:pPr>
            <w:r>
              <w:rPr>
                <w:rFonts w:hint="eastAsia"/>
              </w:rPr>
              <w:t>7</w:t>
            </w:r>
            <w:r>
              <w:t>3</w:t>
            </w:r>
          </w:p>
        </w:tc>
        <w:tc>
          <w:tcPr>
            <w:tcW w:w="231" w:type="pct"/>
            <w:vMerge w:val="continue"/>
            <w:shd w:val="clear" w:color="auto" w:fill="auto"/>
            <w:vAlign w:val="center"/>
          </w:tcPr>
          <w:p w14:paraId="06E80124">
            <w:pPr>
              <w:pStyle w:val="90"/>
            </w:pPr>
          </w:p>
        </w:tc>
        <w:tc>
          <w:tcPr>
            <w:tcW w:w="376" w:type="pct"/>
            <w:shd w:val="clear" w:color="auto" w:fill="auto"/>
            <w:vAlign w:val="center"/>
          </w:tcPr>
          <w:p w14:paraId="055DD3C1">
            <w:pPr>
              <w:pStyle w:val="90"/>
            </w:pPr>
            <w:r>
              <w:rPr>
                <w:rFonts w:hint="eastAsia"/>
              </w:rPr>
              <w:t>1</w:t>
            </w:r>
            <w:r>
              <w:t>2</w:t>
            </w:r>
          </w:p>
        </w:tc>
        <w:tc>
          <w:tcPr>
            <w:tcW w:w="477" w:type="pct"/>
            <w:shd w:val="clear" w:color="auto" w:fill="auto"/>
            <w:vAlign w:val="center"/>
          </w:tcPr>
          <w:p w14:paraId="6ECCFC9F">
            <w:pPr>
              <w:pStyle w:val="90"/>
            </w:pPr>
            <w:r>
              <w:rPr>
                <w:rFonts w:hint="eastAsia"/>
              </w:rPr>
              <w:t>7</w:t>
            </w:r>
            <w:r>
              <w:t>3</w:t>
            </w:r>
          </w:p>
        </w:tc>
        <w:tc>
          <w:tcPr>
            <w:tcW w:w="418" w:type="pct"/>
            <w:shd w:val="clear" w:color="auto" w:fill="auto"/>
            <w:vAlign w:val="center"/>
          </w:tcPr>
          <w:p w14:paraId="31767B71">
            <w:pPr>
              <w:pStyle w:val="90"/>
            </w:pPr>
            <w:r>
              <w:rPr>
                <w:rFonts w:hint="eastAsia"/>
              </w:rPr>
              <w:t>1</w:t>
            </w:r>
            <w:r>
              <w:t>.7</w:t>
            </w:r>
          </w:p>
        </w:tc>
      </w:tr>
      <w:tr w14:paraId="6B33C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3" w:type="pct"/>
            <w:shd w:val="clear" w:color="auto" w:fill="auto"/>
            <w:vAlign w:val="center"/>
          </w:tcPr>
          <w:p w14:paraId="2947C62D">
            <w:pPr>
              <w:pStyle w:val="90"/>
              <w:numPr>
                <w:ilvl w:val="0"/>
                <w:numId w:val="18"/>
              </w:numPr>
            </w:pPr>
          </w:p>
        </w:tc>
        <w:tc>
          <w:tcPr>
            <w:tcW w:w="678" w:type="pct"/>
            <w:vMerge w:val="continue"/>
            <w:shd w:val="clear" w:color="auto" w:fill="auto"/>
            <w:vAlign w:val="center"/>
          </w:tcPr>
          <w:p w14:paraId="13C0A411">
            <w:pPr>
              <w:pStyle w:val="90"/>
            </w:pPr>
          </w:p>
        </w:tc>
        <w:tc>
          <w:tcPr>
            <w:tcW w:w="329" w:type="pct"/>
            <w:shd w:val="clear" w:color="auto" w:fill="auto"/>
            <w:vAlign w:val="center"/>
          </w:tcPr>
          <w:p w14:paraId="0B7D70BF">
            <w:pPr>
              <w:pStyle w:val="90"/>
            </w:pPr>
            <w:r>
              <w:rPr>
                <w:rFonts w:hint="eastAsia"/>
              </w:rPr>
              <w:t>风机</w:t>
            </w:r>
          </w:p>
        </w:tc>
        <w:tc>
          <w:tcPr>
            <w:tcW w:w="667" w:type="pct"/>
            <w:shd w:val="clear" w:color="auto" w:fill="auto"/>
            <w:vAlign w:val="center"/>
          </w:tcPr>
          <w:p w14:paraId="0EB0FA34">
            <w:pPr>
              <w:pStyle w:val="90"/>
            </w:pPr>
            <w:r>
              <w:rPr>
                <w:rFonts w:hint="eastAsia"/>
              </w:rPr>
              <w:t>/</w:t>
            </w:r>
          </w:p>
        </w:tc>
        <w:tc>
          <w:tcPr>
            <w:tcW w:w="333" w:type="pct"/>
            <w:shd w:val="clear" w:color="auto" w:fill="auto"/>
            <w:vAlign w:val="center"/>
          </w:tcPr>
          <w:p w14:paraId="5DC11338">
            <w:pPr>
              <w:pStyle w:val="90"/>
            </w:pPr>
            <w:r>
              <w:rPr>
                <w:rFonts w:hint="eastAsia"/>
              </w:rPr>
              <w:t>7</w:t>
            </w:r>
            <w:r>
              <w:t>5</w:t>
            </w:r>
          </w:p>
        </w:tc>
        <w:tc>
          <w:tcPr>
            <w:tcW w:w="246" w:type="pct"/>
            <w:vMerge w:val="continue"/>
            <w:shd w:val="clear" w:color="auto" w:fill="auto"/>
            <w:vAlign w:val="center"/>
          </w:tcPr>
          <w:p w14:paraId="4A9060C2">
            <w:pPr>
              <w:pStyle w:val="90"/>
            </w:pPr>
          </w:p>
        </w:tc>
        <w:tc>
          <w:tcPr>
            <w:tcW w:w="166" w:type="pct"/>
            <w:shd w:val="clear" w:color="auto" w:fill="auto"/>
            <w:vAlign w:val="center"/>
          </w:tcPr>
          <w:p w14:paraId="44959A69">
            <w:pPr>
              <w:pStyle w:val="90"/>
            </w:pPr>
            <w:r>
              <w:rPr>
                <w:rFonts w:hint="eastAsia"/>
              </w:rPr>
              <w:t>3</w:t>
            </w:r>
            <w:r>
              <w:t>6</w:t>
            </w:r>
          </w:p>
        </w:tc>
        <w:tc>
          <w:tcPr>
            <w:tcW w:w="147" w:type="pct"/>
            <w:shd w:val="clear" w:color="auto" w:fill="auto"/>
            <w:vAlign w:val="center"/>
          </w:tcPr>
          <w:p w14:paraId="1A876961">
            <w:pPr>
              <w:pStyle w:val="90"/>
            </w:pPr>
            <w:r>
              <w:rPr>
                <w:rFonts w:hint="eastAsia"/>
              </w:rPr>
              <w:t>1</w:t>
            </w:r>
            <w:r>
              <w:t>2</w:t>
            </w:r>
          </w:p>
        </w:tc>
        <w:tc>
          <w:tcPr>
            <w:tcW w:w="156" w:type="pct"/>
            <w:shd w:val="clear" w:color="auto" w:fill="auto"/>
            <w:vAlign w:val="center"/>
          </w:tcPr>
          <w:p w14:paraId="00D3F0E5">
            <w:pPr>
              <w:pStyle w:val="90"/>
            </w:pPr>
            <w:r>
              <w:rPr>
                <w:rFonts w:hint="eastAsia"/>
              </w:rPr>
              <w:t>1</w:t>
            </w:r>
            <w:r>
              <w:t>.3</w:t>
            </w:r>
          </w:p>
        </w:tc>
        <w:tc>
          <w:tcPr>
            <w:tcW w:w="273" w:type="pct"/>
            <w:shd w:val="clear" w:color="auto" w:fill="auto"/>
            <w:vAlign w:val="center"/>
          </w:tcPr>
          <w:p w14:paraId="5D89C5DB">
            <w:pPr>
              <w:pStyle w:val="90"/>
            </w:pPr>
            <w:r>
              <w:rPr>
                <w:rFonts w:hint="eastAsia"/>
              </w:rPr>
              <w:t>3</w:t>
            </w:r>
          </w:p>
        </w:tc>
        <w:tc>
          <w:tcPr>
            <w:tcW w:w="379" w:type="pct"/>
            <w:shd w:val="clear" w:color="auto" w:fill="auto"/>
            <w:vAlign w:val="center"/>
          </w:tcPr>
          <w:p w14:paraId="7D0FCAE5">
            <w:pPr>
              <w:pStyle w:val="90"/>
            </w:pPr>
            <w:r>
              <w:rPr>
                <w:rFonts w:hint="eastAsia"/>
              </w:rPr>
              <w:t>6</w:t>
            </w:r>
            <w:r>
              <w:t>5</w:t>
            </w:r>
          </w:p>
        </w:tc>
        <w:tc>
          <w:tcPr>
            <w:tcW w:w="231" w:type="pct"/>
            <w:vMerge w:val="continue"/>
            <w:shd w:val="clear" w:color="auto" w:fill="auto"/>
            <w:vAlign w:val="center"/>
          </w:tcPr>
          <w:p w14:paraId="328A7DCD">
            <w:pPr>
              <w:pStyle w:val="90"/>
            </w:pPr>
          </w:p>
        </w:tc>
        <w:tc>
          <w:tcPr>
            <w:tcW w:w="376" w:type="pct"/>
            <w:shd w:val="clear" w:color="auto" w:fill="auto"/>
            <w:vAlign w:val="center"/>
          </w:tcPr>
          <w:p w14:paraId="327695E3">
            <w:pPr>
              <w:pStyle w:val="90"/>
            </w:pPr>
            <w:r>
              <w:rPr>
                <w:rFonts w:hint="eastAsia"/>
              </w:rPr>
              <w:t>1</w:t>
            </w:r>
            <w:r>
              <w:t>0</w:t>
            </w:r>
          </w:p>
        </w:tc>
        <w:tc>
          <w:tcPr>
            <w:tcW w:w="477" w:type="pct"/>
            <w:shd w:val="clear" w:color="auto" w:fill="auto"/>
            <w:vAlign w:val="center"/>
          </w:tcPr>
          <w:p w14:paraId="3CD8A816">
            <w:pPr>
              <w:pStyle w:val="90"/>
            </w:pPr>
            <w:r>
              <w:rPr>
                <w:rFonts w:hint="eastAsia"/>
              </w:rPr>
              <w:t>6</w:t>
            </w:r>
            <w:r>
              <w:t>5</w:t>
            </w:r>
          </w:p>
        </w:tc>
        <w:tc>
          <w:tcPr>
            <w:tcW w:w="418" w:type="pct"/>
            <w:shd w:val="clear" w:color="auto" w:fill="auto"/>
            <w:vAlign w:val="center"/>
          </w:tcPr>
          <w:p w14:paraId="441EC4F6">
            <w:pPr>
              <w:pStyle w:val="90"/>
            </w:pPr>
            <w:r>
              <w:rPr>
                <w:rFonts w:hint="eastAsia"/>
              </w:rPr>
              <w:t>1</w:t>
            </w:r>
            <w:r>
              <w:t>.5</w:t>
            </w:r>
          </w:p>
        </w:tc>
      </w:tr>
      <w:tr w14:paraId="7C1D8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01" w:type="pct"/>
            <w:gridSpan w:val="2"/>
            <w:shd w:val="clear" w:color="auto" w:fill="auto"/>
            <w:vAlign w:val="center"/>
          </w:tcPr>
          <w:p w14:paraId="29A4CCEE">
            <w:pPr>
              <w:pStyle w:val="90"/>
            </w:pPr>
            <w:r>
              <w:rPr>
                <w:rFonts w:hint="eastAsia"/>
              </w:rPr>
              <w:t>室外噪声源</w:t>
            </w:r>
          </w:p>
        </w:tc>
        <w:tc>
          <w:tcPr>
            <w:tcW w:w="4199" w:type="pct"/>
            <w:gridSpan w:val="13"/>
            <w:shd w:val="clear" w:color="auto" w:fill="auto"/>
            <w:vAlign w:val="center"/>
          </w:tcPr>
          <w:p w14:paraId="0BDFAAD1">
            <w:pPr>
              <w:pStyle w:val="90"/>
            </w:pPr>
            <w:r>
              <w:rPr>
                <w:rFonts w:hint="eastAsia"/>
              </w:rPr>
              <w:t>本项目生产设备均布置在生产厂房内，室外噪声源主要为运输车辆，噪声源源强为≤8</w:t>
            </w:r>
            <w:r>
              <w:t>5</w:t>
            </w:r>
            <w:r>
              <w:rPr>
                <w:rFonts w:hint="eastAsia"/>
              </w:rPr>
              <w:t>dB（A），无其他室外噪声源。</w:t>
            </w:r>
          </w:p>
        </w:tc>
      </w:tr>
    </w:tbl>
    <w:p w14:paraId="3C6DD650">
      <w:pPr>
        <w:pStyle w:val="41"/>
      </w:pPr>
      <w:bookmarkStart w:id="204" w:name="_Toc152864175"/>
      <w:r>
        <w:rPr>
          <w:rFonts w:hint="eastAsia"/>
        </w:rPr>
        <w:t>固体废物</w:t>
      </w:r>
    </w:p>
    <w:p w14:paraId="0D3D153A">
      <w:pPr>
        <w:ind w:firstLine="480"/>
      </w:pPr>
      <w:r>
        <w:rPr>
          <w:rFonts w:hint="eastAsia"/>
        </w:rPr>
        <w:t>（1）生产固废</w:t>
      </w:r>
    </w:p>
    <w:p w14:paraId="3301A352">
      <w:pPr>
        <w:ind w:firstLine="480"/>
      </w:pPr>
      <w:r>
        <w:rPr>
          <w:rFonts w:hint="eastAsia"/>
        </w:rPr>
        <w:t>本项目运行过程中的固体废物主要为润滑油生产车间中过滤器产生的白土废渣，根据物料平衡中白土废渣的产生量为</w:t>
      </w:r>
      <w:r>
        <w:t>312</w:t>
      </w:r>
      <w:r>
        <w:rPr>
          <w:rFonts w:hint="eastAsia"/>
        </w:rPr>
        <w:t>t</w:t>
      </w:r>
      <w:r>
        <w:t>/a</w:t>
      </w:r>
      <w:r>
        <w:rPr>
          <w:rFonts w:hint="eastAsia"/>
        </w:rPr>
        <w:t>，经查阅《国家危险废物名录2021》可知，白土废渣属于含油废弃物，属于HW</w:t>
      </w:r>
      <w:r>
        <w:t>08</w:t>
      </w:r>
      <w:r>
        <w:rPr>
          <w:rFonts w:hint="eastAsia"/>
        </w:rPr>
        <w:t>类危险废物中的一种，危险废物代码为9</w:t>
      </w:r>
      <w:r>
        <w:t>00-249-08</w:t>
      </w:r>
      <w:r>
        <w:rPr>
          <w:rFonts w:hint="eastAsia"/>
        </w:rPr>
        <w:t>，采用专用容器收集后在厂区危险废物暂存库暂存，委托有资质单位定期清运处理。</w:t>
      </w:r>
    </w:p>
    <w:p w14:paraId="49669F20">
      <w:pPr>
        <w:ind w:firstLine="480"/>
      </w:pPr>
      <w:r>
        <w:rPr>
          <w:rFonts w:hint="eastAsia"/>
        </w:rPr>
        <w:t>（2）包装废料</w:t>
      </w:r>
    </w:p>
    <w:p w14:paraId="586928F1">
      <w:pPr>
        <w:ind w:firstLine="480"/>
      </w:pPr>
      <w:r>
        <w:rPr>
          <w:rFonts w:hint="eastAsia"/>
        </w:rPr>
        <w:t>本项目所用辅料白土、硬脂酸、单水氢氧化锂等采用袋装储存，50kg/袋，根据用量核算所用包装袋数量约为63000个，每个包装袋重量约为125g，则本项目废包装袋产生量为7.875t/a，属于一般固体废物，收集后委托处置。</w:t>
      </w:r>
    </w:p>
    <w:p w14:paraId="48E588E7">
      <w:pPr>
        <w:ind w:firstLine="480"/>
      </w:pPr>
      <w:r>
        <w:rPr>
          <w:rFonts w:hint="eastAsia"/>
        </w:rPr>
        <w:t>（3）废活性炭</w:t>
      </w:r>
    </w:p>
    <w:p w14:paraId="09134B47">
      <w:pPr>
        <w:ind w:firstLine="480"/>
      </w:pPr>
      <w:r>
        <w:rPr>
          <w:rFonts w:hint="eastAsia"/>
        </w:rPr>
        <w:t>本项目罐区油气回收装置吸附阶段采用活性炭进行吸附，活性炭需要定期更换，产生的废活性炭属于危险废物，危险废物代码为：9</w:t>
      </w:r>
      <w:r>
        <w:t>00-039-49</w:t>
      </w:r>
      <w:r>
        <w:rPr>
          <w:rFonts w:hint="eastAsia"/>
        </w:rPr>
        <w:t>，本项目采用</w:t>
      </w:r>
      <w:r>
        <w:t>颗粒活性炭，活性炭吸附应选择碘值不低于800毫克/克的活性炭</w:t>
      </w:r>
      <w:r>
        <w:rPr>
          <w:rFonts w:hint="eastAsia"/>
        </w:rPr>
        <w:t>，3个月更换一次，活性炭吸附量为0.5kg/kg废气污染物，则本项目废活性炭产生量为5</w:t>
      </w:r>
      <w:r>
        <w:t>.53</w:t>
      </w:r>
      <w:r>
        <w:rPr>
          <w:rFonts w:hint="eastAsia"/>
        </w:rPr>
        <w:t>t</w:t>
      </w:r>
      <w:r>
        <w:t>/a</w:t>
      </w:r>
      <w:r>
        <w:rPr>
          <w:rFonts w:hint="eastAsia"/>
        </w:rPr>
        <w:t>。</w:t>
      </w:r>
    </w:p>
    <w:p w14:paraId="78627E59">
      <w:pPr>
        <w:ind w:firstLine="480"/>
      </w:pPr>
      <w:r>
        <w:rPr>
          <w:rFonts w:hint="eastAsia"/>
        </w:rPr>
        <w:t>（4）废导热油</w:t>
      </w:r>
    </w:p>
    <w:p w14:paraId="4968E7E0">
      <w:pPr>
        <w:ind w:firstLine="480"/>
      </w:pPr>
      <w:r>
        <w:rPr>
          <w:rFonts w:hint="eastAsia"/>
        </w:rPr>
        <w:t>本项目导热油炉中所用的换热介质是导热油，每5年更换1次，1次更换量为3吨，平均每年的废导热油产生量为0</w:t>
      </w:r>
      <w:r>
        <w:t>.6</w:t>
      </w:r>
      <w:r>
        <w:rPr>
          <w:rFonts w:hint="eastAsia"/>
        </w:rPr>
        <w:t>t</w:t>
      </w:r>
      <w:r>
        <w:t>/a</w:t>
      </w:r>
      <w:r>
        <w:rPr>
          <w:rFonts w:hint="eastAsia"/>
        </w:rPr>
        <w:t>，依据《国家危险废物名录2021》判定废导热油属于危险废物，危险废物代码为：9</w:t>
      </w:r>
      <w:r>
        <w:t>00-249-08</w:t>
      </w:r>
      <w:r>
        <w:rPr>
          <w:rFonts w:hint="eastAsia"/>
        </w:rPr>
        <w:t>。</w:t>
      </w:r>
    </w:p>
    <w:p w14:paraId="18C8C45B">
      <w:pPr>
        <w:ind w:firstLine="480"/>
      </w:pPr>
      <w:r>
        <w:rPr>
          <w:rFonts w:hint="eastAsia"/>
        </w:rPr>
        <w:t>（5）污水处理站污泥</w:t>
      </w:r>
    </w:p>
    <w:p w14:paraId="6C4DAC2A">
      <w:pPr>
        <w:ind w:firstLine="480"/>
      </w:pPr>
      <w:r>
        <w:rPr>
          <w:rFonts w:hint="eastAsia"/>
        </w:rPr>
        <w:t>本项目新建污水处理站1座，隔油池、生化池等运行过程中产生油泥或污泥，本项目的废水设计指标中石油类进水浓度为</w:t>
      </w:r>
      <w:r>
        <w:t>300</w:t>
      </w:r>
      <w:r>
        <w:rPr>
          <w:rFonts w:hint="eastAsia"/>
        </w:rPr>
        <w:t>mg</w:t>
      </w:r>
      <w:r>
        <w:t>/</w:t>
      </w:r>
      <w:r>
        <w:rPr>
          <w:rFonts w:hint="eastAsia"/>
        </w:rPr>
        <w:t>L，出水浓度为</w:t>
      </w:r>
      <w:r>
        <w:t>15</w:t>
      </w:r>
      <w:r>
        <w:rPr>
          <w:rFonts w:hint="eastAsia"/>
        </w:rPr>
        <w:t>mg</w:t>
      </w:r>
      <w:r>
        <w:t>/</w:t>
      </w:r>
      <w:r>
        <w:rPr>
          <w:rFonts w:hint="eastAsia"/>
        </w:rPr>
        <w:t>L，废水量为5</w:t>
      </w:r>
      <w:r>
        <w:t>534.74</w:t>
      </w:r>
      <w:r>
        <w:rPr>
          <w:rFonts w:hint="eastAsia"/>
        </w:rPr>
        <w:t>m</w:t>
      </w:r>
      <w:r>
        <w:rPr>
          <w:vertAlign w:val="superscript"/>
        </w:rPr>
        <w:t>3</w:t>
      </w:r>
      <w:r>
        <w:t>/a</w:t>
      </w:r>
      <w:r>
        <w:rPr>
          <w:rFonts w:hint="eastAsia"/>
        </w:rPr>
        <w:t>，污泥含水率按照6</w:t>
      </w:r>
      <w:r>
        <w:t>0%</w:t>
      </w:r>
      <w:r>
        <w:rPr>
          <w:rFonts w:hint="eastAsia"/>
        </w:rPr>
        <w:t>计算，则本项目污泥产生量为</w:t>
      </w:r>
      <w:r>
        <w:t>3.95</w:t>
      </w:r>
      <w:r>
        <w:rPr>
          <w:rFonts w:hint="eastAsia"/>
        </w:rPr>
        <w:t>t</w:t>
      </w:r>
      <w:r>
        <w:t>/a</w:t>
      </w:r>
      <w:r>
        <w:rPr>
          <w:rFonts w:hint="eastAsia"/>
        </w:rPr>
        <w:t>，根据《国家危险废物名录2021》判定污水处理站污泥属于危险废物，危险废物代码为：9</w:t>
      </w:r>
      <w:r>
        <w:t>00-210-08</w:t>
      </w:r>
      <w:r>
        <w:rPr>
          <w:rFonts w:hint="eastAsia"/>
        </w:rPr>
        <w:t>。</w:t>
      </w:r>
    </w:p>
    <w:p w14:paraId="12DEAD34">
      <w:pPr>
        <w:ind w:firstLine="480"/>
      </w:pPr>
      <w:r>
        <w:rPr>
          <w:rFonts w:hint="eastAsia"/>
        </w:rPr>
        <w:t>（</w:t>
      </w:r>
      <w:r>
        <w:t>6</w:t>
      </w:r>
      <w:r>
        <w:rPr>
          <w:rFonts w:hint="eastAsia"/>
        </w:rPr>
        <w:t>）生活垃圾</w:t>
      </w:r>
    </w:p>
    <w:p w14:paraId="0FA189A4">
      <w:pPr>
        <w:ind w:firstLine="480"/>
      </w:pPr>
      <w:r>
        <w:rPr>
          <w:rFonts w:hint="eastAsia"/>
        </w:rPr>
        <w:t>本项目劳动定员为1</w:t>
      </w:r>
      <w:r>
        <w:t>00</w:t>
      </w:r>
      <w:r>
        <w:rPr>
          <w:rFonts w:hint="eastAsia"/>
        </w:rPr>
        <w:t>人，按照每人每天产生生活垃圾0</w:t>
      </w:r>
      <w:r>
        <w:t>.5</w:t>
      </w:r>
      <w:r>
        <w:rPr>
          <w:rFonts w:hint="eastAsia"/>
        </w:rPr>
        <w:t>kg计算，则本项目生活垃圾产生量为1</w:t>
      </w:r>
      <w:r>
        <w:t>00</w:t>
      </w:r>
      <w:r>
        <w:rPr>
          <w:rFonts w:hint="eastAsia"/>
        </w:rPr>
        <w:t>×0</w:t>
      </w:r>
      <w:r>
        <w:t>.5</w:t>
      </w:r>
      <w:r>
        <w:rPr>
          <w:rFonts w:hint="eastAsia"/>
        </w:rPr>
        <w:t>×3</w:t>
      </w:r>
      <w:r>
        <w:t>00</w:t>
      </w:r>
      <w:r>
        <w:rPr>
          <w:rFonts w:hint="eastAsia"/>
        </w:rPr>
        <w:t>÷1</w:t>
      </w:r>
      <w:r>
        <w:t>000=15</w:t>
      </w:r>
      <w:r>
        <w:rPr>
          <w:rFonts w:hint="eastAsia"/>
        </w:rPr>
        <w:t>t</w:t>
      </w:r>
      <w:r>
        <w:t>/a</w:t>
      </w:r>
      <w:r>
        <w:rPr>
          <w:rFonts w:hint="eastAsia"/>
        </w:rPr>
        <w:t>，厂区设置垃圾桶集中收集后，委托园区环卫部门定期清运处理。</w:t>
      </w:r>
    </w:p>
    <w:p w14:paraId="7358CA1C">
      <w:pPr>
        <w:ind w:firstLine="480"/>
      </w:pPr>
      <w:r>
        <w:rPr>
          <w:rFonts w:hint="eastAsia"/>
        </w:rPr>
        <w:t>综上所述，本项目运营期产生</w:t>
      </w:r>
      <w:r>
        <w:t>的固体废物主要为</w:t>
      </w:r>
      <w:r>
        <w:rPr>
          <w:rFonts w:hint="eastAsia"/>
        </w:rPr>
        <w:t>白土废渣</w:t>
      </w:r>
      <w:r>
        <w:t>、</w:t>
      </w:r>
      <w:r>
        <w:rPr>
          <w:rFonts w:hint="eastAsia"/>
        </w:rPr>
        <w:t>包装废料、废活性炭、废导热油、污泥及生活垃圾。其中，白土废渣（9</w:t>
      </w:r>
      <w:r>
        <w:t>00-249-08</w:t>
      </w:r>
      <w:r>
        <w:rPr>
          <w:rFonts w:hint="eastAsia"/>
        </w:rPr>
        <w:t>）</w:t>
      </w:r>
      <w:r>
        <w:t>、</w:t>
      </w:r>
      <w:r>
        <w:rPr>
          <w:rFonts w:hint="eastAsia"/>
        </w:rPr>
        <w:t>废活性炭（9</w:t>
      </w:r>
      <w:r>
        <w:t>00-039-49</w:t>
      </w:r>
      <w:r>
        <w:rPr>
          <w:rFonts w:hint="eastAsia"/>
        </w:rPr>
        <w:t>）、废导热油（9</w:t>
      </w:r>
      <w:r>
        <w:t>00-249-08</w:t>
      </w:r>
      <w:r>
        <w:rPr>
          <w:rFonts w:hint="eastAsia"/>
        </w:rPr>
        <w:t>）、污泥（9</w:t>
      </w:r>
      <w:r>
        <w:t>00-210-08</w:t>
      </w:r>
      <w:r>
        <w:rPr>
          <w:rFonts w:hint="eastAsia"/>
        </w:rPr>
        <w:t>）属于</w:t>
      </w:r>
      <w:r>
        <w:t>危险废物，采用各自的专用收集容器在产生点收集后</w:t>
      </w:r>
      <w:r>
        <w:rPr>
          <w:rFonts w:hint="eastAsia"/>
        </w:rPr>
        <w:t>密封</w:t>
      </w:r>
      <w:r>
        <w:t>，通过厂区转运车运至</w:t>
      </w:r>
      <w:r>
        <w:rPr>
          <w:rFonts w:hint="eastAsia"/>
        </w:rPr>
        <w:t>厂区</w:t>
      </w:r>
      <w:r>
        <w:t>危险废物暂存间暂存，委托有资质单位定期清运处理</w:t>
      </w:r>
      <w:r>
        <w:rPr>
          <w:rFonts w:hint="eastAsia"/>
        </w:rPr>
        <w:t>；包装废料属于一般工业固体废物，在产生处用打包收集暂存，每周定期外售给回收企业；生活垃圾在厂区垃圾桶收集，委托园区环卫部门每日清运</w:t>
      </w:r>
      <w:r>
        <w:t>。</w:t>
      </w:r>
    </w:p>
    <w:p w14:paraId="35F98A8E">
      <w:pPr>
        <w:ind w:firstLine="480"/>
        <w:rPr>
          <w:rFonts w:hint="eastAsia"/>
        </w:rPr>
      </w:pPr>
      <w:r>
        <w:rPr>
          <w:rFonts w:hint="eastAsia"/>
        </w:rPr>
        <w:t>本项目固体废物产生情况统计见表3</w:t>
      </w:r>
      <w:r>
        <w:t>.5-1</w:t>
      </w:r>
      <w:r>
        <w:rPr>
          <w:rFonts w:hint="eastAsia"/>
        </w:rPr>
        <w:t>。</w:t>
      </w:r>
    </w:p>
    <w:p w14:paraId="4C16475A">
      <w:pPr>
        <w:ind w:firstLine="480"/>
        <w:rPr>
          <w:rFonts w:hint="eastAsia"/>
        </w:rPr>
      </w:pPr>
    </w:p>
    <w:p w14:paraId="3A3107C7">
      <w:pPr>
        <w:pStyle w:val="47"/>
        <w:spacing w:before="65"/>
      </w:pPr>
      <w:r>
        <w:rPr>
          <w:rFonts w:hint="eastAsia"/>
        </w:rPr>
        <w:t>表3</w:t>
      </w:r>
      <w:r>
        <w:t xml:space="preserve">.5-1   </w:t>
      </w:r>
      <w:r>
        <w:rPr>
          <w:rFonts w:hint="eastAsia"/>
        </w:rPr>
        <w:t>本项目固体废物产排统计一览表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5"/>
        <w:gridCol w:w="1423"/>
        <w:gridCol w:w="1133"/>
        <w:gridCol w:w="1275"/>
        <w:gridCol w:w="1133"/>
        <w:gridCol w:w="1954"/>
        <w:gridCol w:w="1247"/>
      </w:tblGrid>
      <w:tr w14:paraId="22D72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38291F66">
            <w:pPr>
              <w:pStyle w:val="90"/>
            </w:pPr>
            <w:r>
              <w:rPr>
                <w:rFonts w:hint="eastAsia"/>
              </w:rPr>
              <w:t>序号</w:t>
            </w:r>
          </w:p>
        </w:tc>
        <w:tc>
          <w:tcPr>
            <w:tcW w:w="815" w:type="pct"/>
            <w:vAlign w:val="center"/>
          </w:tcPr>
          <w:p w14:paraId="1CAF3040">
            <w:pPr>
              <w:pStyle w:val="90"/>
            </w:pPr>
            <w:r>
              <w:rPr>
                <w:rFonts w:hint="eastAsia"/>
              </w:rPr>
              <w:t>名称</w:t>
            </w:r>
          </w:p>
        </w:tc>
        <w:tc>
          <w:tcPr>
            <w:tcW w:w="649" w:type="pct"/>
            <w:vAlign w:val="center"/>
          </w:tcPr>
          <w:p w14:paraId="4C8F69CA">
            <w:pPr>
              <w:pStyle w:val="90"/>
            </w:pPr>
            <w:r>
              <w:rPr>
                <w:rFonts w:hint="eastAsia"/>
              </w:rPr>
              <w:t>类别</w:t>
            </w:r>
          </w:p>
        </w:tc>
        <w:tc>
          <w:tcPr>
            <w:tcW w:w="730" w:type="pct"/>
            <w:vAlign w:val="center"/>
          </w:tcPr>
          <w:p w14:paraId="2E40F9CE">
            <w:pPr>
              <w:pStyle w:val="90"/>
            </w:pPr>
            <w:r>
              <w:rPr>
                <w:rFonts w:hint="eastAsia"/>
              </w:rPr>
              <w:t>固废代码</w:t>
            </w:r>
          </w:p>
        </w:tc>
        <w:tc>
          <w:tcPr>
            <w:tcW w:w="649" w:type="pct"/>
            <w:vAlign w:val="center"/>
          </w:tcPr>
          <w:p w14:paraId="542C8725">
            <w:pPr>
              <w:pStyle w:val="90"/>
            </w:pPr>
            <w:r>
              <w:rPr>
                <w:rFonts w:hint="eastAsia"/>
              </w:rPr>
              <w:t>产生量（t</w:t>
            </w:r>
            <w:r>
              <w:t>/a</w:t>
            </w:r>
            <w:r>
              <w:rPr>
                <w:rFonts w:hint="eastAsia"/>
              </w:rPr>
              <w:t>）</w:t>
            </w:r>
          </w:p>
        </w:tc>
        <w:tc>
          <w:tcPr>
            <w:tcW w:w="1119" w:type="pct"/>
            <w:vAlign w:val="center"/>
          </w:tcPr>
          <w:p w14:paraId="24B04276">
            <w:pPr>
              <w:pStyle w:val="90"/>
            </w:pPr>
            <w:r>
              <w:rPr>
                <w:rFonts w:hint="eastAsia"/>
              </w:rPr>
              <w:t>处置方式及去向</w:t>
            </w:r>
          </w:p>
        </w:tc>
        <w:tc>
          <w:tcPr>
            <w:tcW w:w="714" w:type="pct"/>
            <w:vAlign w:val="center"/>
          </w:tcPr>
          <w:p w14:paraId="32E4D266">
            <w:pPr>
              <w:pStyle w:val="90"/>
            </w:pPr>
            <w:r>
              <w:rPr>
                <w:rFonts w:hint="eastAsia"/>
              </w:rPr>
              <w:t>排放量（t</w:t>
            </w:r>
            <w:r>
              <w:t>/a</w:t>
            </w:r>
            <w:r>
              <w:rPr>
                <w:rFonts w:hint="eastAsia"/>
              </w:rPr>
              <w:t>）</w:t>
            </w:r>
          </w:p>
        </w:tc>
      </w:tr>
      <w:tr w14:paraId="3ABAF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3B05C53A">
            <w:pPr>
              <w:pStyle w:val="90"/>
              <w:numPr>
                <w:ilvl w:val="0"/>
                <w:numId w:val="19"/>
              </w:numPr>
            </w:pPr>
          </w:p>
        </w:tc>
        <w:tc>
          <w:tcPr>
            <w:tcW w:w="815" w:type="pct"/>
            <w:vAlign w:val="center"/>
          </w:tcPr>
          <w:p w14:paraId="19C2DC2B">
            <w:pPr>
              <w:pStyle w:val="90"/>
            </w:pPr>
            <w:r>
              <w:rPr>
                <w:rFonts w:hint="eastAsia"/>
              </w:rPr>
              <w:t>白土废渣</w:t>
            </w:r>
          </w:p>
        </w:tc>
        <w:tc>
          <w:tcPr>
            <w:tcW w:w="649" w:type="pct"/>
            <w:vMerge w:val="restart"/>
            <w:vAlign w:val="center"/>
          </w:tcPr>
          <w:p w14:paraId="4A707F1F">
            <w:pPr>
              <w:pStyle w:val="90"/>
            </w:pPr>
            <w:r>
              <w:rPr>
                <w:rFonts w:hint="eastAsia"/>
              </w:rPr>
              <w:t>危险废物</w:t>
            </w:r>
          </w:p>
        </w:tc>
        <w:tc>
          <w:tcPr>
            <w:tcW w:w="730" w:type="pct"/>
            <w:vAlign w:val="center"/>
          </w:tcPr>
          <w:p w14:paraId="6660B807">
            <w:pPr>
              <w:pStyle w:val="90"/>
            </w:pPr>
            <w:r>
              <w:rPr>
                <w:rFonts w:hint="eastAsia"/>
                <w:lang w:val="en-US"/>
              </w:rPr>
              <w:t>9</w:t>
            </w:r>
            <w:r>
              <w:rPr>
                <w:lang w:val="en-US"/>
              </w:rPr>
              <w:t>00-249-08</w:t>
            </w:r>
          </w:p>
        </w:tc>
        <w:tc>
          <w:tcPr>
            <w:tcW w:w="649" w:type="pct"/>
            <w:vAlign w:val="center"/>
          </w:tcPr>
          <w:p w14:paraId="466C973C">
            <w:pPr>
              <w:pStyle w:val="90"/>
            </w:pPr>
            <w:r>
              <w:rPr>
                <w:rFonts w:hint="eastAsia"/>
              </w:rPr>
              <w:t>3</w:t>
            </w:r>
            <w:r>
              <w:t>12</w:t>
            </w:r>
          </w:p>
        </w:tc>
        <w:tc>
          <w:tcPr>
            <w:tcW w:w="1119" w:type="pct"/>
            <w:vMerge w:val="restart"/>
            <w:vAlign w:val="center"/>
          </w:tcPr>
          <w:p w14:paraId="77A783B7">
            <w:pPr>
              <w:pStyle w:val="90"/>
            </w:pPr>
            <w:r>
              <w:rPr>
                <w:rFonts w:hint="eastAsia"/>
              </w:rPr>
              <w:t>专用收集容器收集，危废间暂存，委托有资质单位处置。</w:t>
            </w:r>
          </w:p>
        </w:tc>
        <w:tc>
          <w:tcPr>
            <w:tcW w:w="714" w:type="pct"/>
            <w:vAlign w:val="center"/>
          </w:tcPr>
          <w:p w14:paraId="08B808B8">
            <w:pPr>
              <w:pStyle w:val="90"/>
            </w:pPr>
            <w:r>
              <w:rPr>
                <w:rFonts w:hint="eastAsia"/>
              </w:rPr>
              <w:t>3</w:t>
            </w:r>
            <w:r>
              <w:t>12</w:t>
            </w:r>
          </w:p>
        </w:tc>
      </w:tr>
      <w:tr w14:paraId="47206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19D3FEFE">
            <w:pPr>
              <w:pStyle w:val="90"/>
              <w:numPr>
                <w:ilvl w:val="0"/>
                <w:numId w:val="19"/>
              </w:numPr>
            </w:pPr>
          </w:p>
        </w:tc>
        <w:tc>
          <w:tcPr>
            <w:tcW w:w="815" w:type="pct"/>
            <w:vAlign w:val="center"/>
          </w:tcPr>
          <w:p w14:paraId="359C0C80">
            <w:pPr>
              <w:pStyle w:val="90"/>
            </w:pPr>
            <w:r>
              <w:rPr>
                <w:rFonts w:hint="eastAsia"/>
              </w:rPr>
              <w:t>废活性炭</w:t>
            </w:r>
          </w:p>
        </w:tc>
        <w:tc>
          <w:tcPr>
            <w:tcW w:w="649" w:type="pct"/>
            <w:vMerge w:val="continue"/>
            <w:vAlign w:val="center"/>
          </w:tcPr>
          <w:p w14:paraId="35D2CAC3">
            <w:pPr>
              <w:pStyle w:val="90"/>
            </w:pPr>
          </w:p>
        </w:tc>
        <w:tc>
          <w:tcPr>
            <w:tcW w:w="730" w:type="pct"/>
            <w:vAlign w:val="center"/>
          </w:tcPr>
          <w:p w14:paraId="4F4D08D2">
            <w:pPr>
              <w:pStyle w:val="90"/>
            </w:pPr>
            <w:r>
              <w:rPr>
                <w:rFonts w:hint="eastAsia"/>
                <w:lang w:val="en-US"/>
              </w:rPr>
              <w:t>9</w:t>
            </w:r>
            <w:r>
              <w:rPr>
                <w:lang w:val="en-US"/>
              </w:rPr>
              <w:t>00-039-49</w:t>
            </w:r>
          </w:p>
        </w:tc>
        <w:tc>
          <w:tcPr>
            <w:tcW w:w="649" w:type="pct"/>
            <w:vAlign w:val="center"/>
          </w:tcPr>
          <w:p w14:paraId="399D8C06">
            <w:pPr>
              <w:pStyle w:val="90"/>
            </w:pPr>
            <w:r>
              <w:rPr>
                <w:rFonts w:hint="eastAsia"/>
              </w:rPr>
              <w:t>5</w:t>
            </w:r>
            <w:r>
              <w:t>.53</w:t>
            </w:r>
          </w:p>
        </w:tc>
        <w:tc>
          <w:tcPr>
            <w:tcW w:w="1119" w:type="pct"/>
            <w:vMerge w:val="continue"/>
            <w:vAlign w:val="center"/>
          </w:tcPr>
          <w:p w14:paraId="1594BCD1">
            <w:pPr>
              <w:pStyle w:val="90"/>
            </w:pPr>
          </w:p>
        </w:tc>
        <w:tc>
          <w:tcPr>
            <w:tcW w:w="714" w:type="pct"/>
            <w:vAlign w:val="center"/>
          </w:tcPr>
          <w:p w14:paraId="61BD3779">
            <w:pPr>
              <w:pStyle w:val="90"/>
            </w:pPr>
            <w:r>
              <w:rPr>
                <w:rFonts w:hint="eastAsia"/>
              </w:rPr>
              <w:t>5</w:t>
            </w:r>
            <w:r>
              <w:t>.53</w:t>
            </w:r>
          </w:p>
        </w:tc>
      </w:tr>
      <w:tr w14:paraId="35ED9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657A684E">
            <w:pPr>
              <w:pStyle w:val="90"/>
              <w:numPr>
                <w:ilvl w:val="0"/>
                <w:numId w:val="19"/>
              </w:numPr>
            </w:pPr>
          </w:p>
        </w:tc>
        <w:tc>
          <w:tcPr>
            <w:tcW w:w="815" w:type="pct"/>
            <w:vAlign w:val="center"/>
          </w:tcPr>
          <w:p w14:paraId="64473D6B">
            <w:pPr>
              <w:pStyle w:val="90"/>
            </w:pPr>
            <w:r>
              <w:rPr>
                <w:rFonts w:hint="eastAsia"/>
              </w:rPr>
              <w:t>废导热油</w:t>
            </w:r>
          </w:p>
        </w:tc>
        <w:tc>
          <w:tcPr>
            <w:tcW w:w="649" w:type="pct"/>
            <w:vMerge w:val="continue"/>
            <w:vAlign w:val="center"/>
          </w:tcPr>
          <w:p w14:paraId="6A520144">
            <w:pPr>
              <w:pStyle w:val="90"/>
            </w:pPr>
          </w:p>
        </w:tc>
        <w:tc>
          <w:tcPr>
            <w:tcW w:w="730" w:type="pct"/>
            <w:vAlign w:val="center"/>
          </w:tcPr>
          <w:p w14:paraId="25EC95F0">
            <w:pPr>
              <w:pStyle w:val="90"/>
            </w:pPr>
            <w:r>
              <w:rPr>
                <w:rFonts w:hint="eastAsia"/>
                <w:lang w:val="en-US"/>
              </w:rPr>
              <w:t>9</w:t>
            </w:r>
            <w:r>
              <w:rPr>
                <w:lang w:val="en-US"/>
              </w:rPr>
              <w:t>00-249-08</w:t>
            </w:r>
          </w:p>
        </w:tc>
        <w:tc>
          <w:tcPr>
            <w:tcW w:w="649" w:type="pct"/>
            <w:vAlign w:val="center"/>
          </w:tcPr>
          <w:p w14:paraId="73C8C678">
            <w:pPr>
              <w:pStyle w:val="90"/>
            </w:pPr>
            <w:r>
              <w:rPr>
                <w:rFonts w:hint="eastAsia"/>
              </w:rPr>
              <w:t>0</w:t>
            </w:r>
            <w:r>
              <w:t>.6</w:t>
            </w:r>
          </w:p>
        </w:tc>
        <w:tc>
          <w:tcPr>
            <w:tcW w:w="1119" w:type="pct"/>
            <w:vMerge w:val="continue"/>
            <w:vAlign w:val="center"/>
          </w:tcPr>
          <w:p w14:paraId="5671CE82">
            <w:pPr>
              <w:pStyle w:val="90"/>
            </w:pPr>
          </w:p>
        </w:tc>
        <w:tc>
          <w:tcPr>
            <w:tcW w:w="714" w:type="pct"/>
            <w:vAlign w:val="center"/>
          </w:tcPr>
          <w:p w14:paraId="21899BF0">
            <w:pPr>
              <w:pStyle w:val="90"/>
            </w:pPr>
            <w:r>
              <w:rPr>
                <w:rFonts w:hint="eastAsia"/>
              </w:rPr>
              <w:t>0</w:t>
            </w:r>
            <w:r>
              <w:t>.6</w:t>
            </w:r>
          </w:p>
        </w:tc>
      </w:tr>
      <w:tr w14:paraId="39E21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0C760E82">
            <w:pPr>
              <w:pStyle w:val="90"/>
              <w:numPr>
                <w:ilvl w:val="0"/>
                <w:numId w:val="19"/>
              </w:numPr>
            </w:pPr>
          </w:p>
        </w:tc>
        <w:tc>
          <w:tcPr>
            <w:tcW w:w="815" w:type="pct"/>
            <w:vAlign w:val="center"/>
          </w:tcPr>
          <w:p w14:paraId="558B6DC6">
            <w:pPr>
              <w:pStyle w:val="90"/>
            </w:pPr>
            <w:r>
              <w:rPr>
                <w:rFonts w:hint="eastAsia"/>
              </w:rPr>
              <w:t>污泥</w:t>
            </w:r>
          </w:p>
        </w:tc>
        <w:tc>
          <w:tcPr>
            <w:tcW w:w="649" w:type="pct"/>
            <w:vMerge w:val="continue"/>
            <w:vAlign w:val="center"/>
          </w:tcPr>
          <w:p w14:paraId="05092D55">
            <w:pPr>
              <w:pStyle w:val="90"/>
            </w:pPr>
          </w:p>
        </w:tc>
        <w:tc>
          <w:tcPr>
            <w:tcW w:w="730" w:type="pct"/>
            <w:vAlign w:val="center"/>
          </w:tcPr>
          <w:p w14:paraId="0EAE11AC">
            <w:pPr>
              <w:pStyle w:val="90"/>
            </w:pPr>
            <w:r>
              <w:rPr>
                <w:rFonts w:hint="eastAsia"/>
                <w:lang w:val="en-US"/>
              </w:rPr>
              <w:t>9</w:t>
            </w:r>
            <w:r>
              <w:rPr>
                <w:lang w:val="en-US"/>
              </w:rPr>
              <w:t>00-210-08</w:t>
            </w:r>
          </w:p>
        </w:tc>
        <w:tc>
          <w:tcPr>
            <w:tcW w:w="649" w:type="pct"/>
            <w:vAlign w:val="center"/>
          </w:tcPr>
          <w:p w14:paraId="13FF5B03">
            <w:pPr>
              <w:pStyle w:val="90"/>
            </w:pPr>
            <w:r>
              <w:rPr>
                <w:rFonts w:hint="eastAsia"/>
              </w:rPr>
              <w:t>3</w:t>
            </w:r>
            <w:r>
              <w:t>.95</w:t>
            </w:r>
          </w:p>
        </w:tc>
        <w:tc>
          <w:tcPr>
            <w:tcW w:w="1119" w:type="pct"/>
            <w:vMerge w:val="continue"/>
            <w:vAlign w:val="center"/>
          </w:tcPr>
          <w:p w14:paraId="5230F447">
            <w:pPr>
              <w:pStyle w:val="90"/>
            </w:pPr>
          </w:p>
        </w:tc>
        <w:tc>
          <w:tcPr>
            <w:tcW w:w="714" w:type="pct"/>
            <w:vAlign w:val="center"/>
          </w:tcPr>
          <w:p w14:paraId="1649EF0C">
            <w:pPr>
              <w:pStyle w:val="90"/>
            </w:pPr>
            <w:r>
              <w:rPr>
                <w:rFonts w:hint="eastAsia"/>
              </w:rPr>
              <w:t>3</w:t>
            </w:r>
            <w:r>
              <w:t>.95</w:t>
            </w:r>
          </w:p>
        </w:tc>
      </w:tr>
      <w:tr w14:paraId="10DEF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795229F7">
            <w:pPr>
              <w:pStyle w:val="90"/>
              <w:numPr>
                <w:ilvl w:val="0"/>
                <w:numId w:val="19"/>
              </w:numPr>
            </w:pPr>
          </w:p>
        </w:tc>
        <w:tc>
          <w:tcPr>
            <w:tcW w:w="815" w:type="pct"/>
            <w:vAlign w:val="center"/>
          </w:tcPr>
          <w:p w14:paraId="3BD9BCC2">
            <w:pPr>
              <w:pStyle w:val="90"/>
            </w:pPr>
            <w:r>
              <w:rPr>
                <w:rFonts w:hint="eastAsia"/>
              </w:rPr>
              <w:t>包装废料</w:t>
            </w:r>
          </w:p>
        </w:tc>
        <w:tc>
          <w:tcPr>
            <w:tcW w:w="649" w:type="pct"/>
            <w:vAlign w:val="center"/>
          </w:tcPr>
          <w:p w14:paraId="04A61864">
            <w:pPr>
              <w:pStyle w:val="90"/>
            </w:pPr>
            <w:r>
              <w:rPr>
                <w:rFonts w:hint="eastAsia"/>
              </w:rPr>
              <w:t>一般固废</w:t>
            </w:r>
          </w:p>
        </w:tc>
        <w:tc>
          <w:tcPr>
            <w:tcW w:w="730" w:type="pct"/>
            <w:vAlign w:val="center"/>
          </w:tcPr>
          <w:p w14:paraId="5628841F">
            <w:pPr>
              <w:pStyle w:val="90"/>
            </w:pPr>
            <w:r>
              <w:t>900-999-65</w:t>
            </w:r>
          </w:p>
        </w:tc>
        <w:tc>
          <w:tcPr>
            <w:tcW w:w="649" w:type="pct"/>
            <w:vAlign w:val="center"/>
          </w:tcPr>
          <w:p w14:paraId="0BAAB2C8">
            <w:pPr>
              <w:pStyle w:val="90"/>
            </w:pPr>
            <w:r>
              <w:rPr>
                <w:rFonts w:hint="eastAsia"/>
              </w:rPr>
              <w:t>7</w:t>
            </w:r>
            <w:r>
              <w:t>.875</w:t>
            </w:r>
          </w:p>
        </w:tc>
        <w:tc>
          <w:tcPr>
            <w:tcW w:w="1119" w:type="pct"/>
            <w:vAlign w:val="center"/>
          </w:tcPr>
          <w:p w14:paraId="3FFA26F6">
            <w:pPr>
              <w:pStyle w:val="90"/>
            </w:pPr>
            <w:r>
              <w:rPr>
                <w:rFonts w:hint="eastAsia"/>
              </w:rPr>
              <w:t>打包暂存，外售</w:t>
            </w:r>
          </w:p>
        </w:tc>
        <w:tc>
          <w:tcPr>
            <w:tcW w:w="714" w:type="pct"/>
            <w:vAlign w:val="center"/>
          </w:tcPr>
          <w:p w14:paraId="21A6A206">
            <w:pPr>
              <w:pStyle w:val="90"/>
            </w:pPr>
            <w:r>
              <w:rPr>
                <w:rFonts w:hint="eastAsia"/>
              </w:rPr>
              <w:t>7</w:t>
            </w:r>
            <w:r>
              <w:t>.875</w:t>
            </w:r>
          </w:p>
        </w:tc>
      </w:tr>
      <w:tr w14:paraId="181A5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Align w:val="center"/>
          </w:tcPr>
          <w:p w14:paraId="5F866B48">
            <w:pPr>
              <w:pStyle w:val="90"/>
              <w:numPr>
                <w:ilvl w:val="0"/>
                <w:numId w:val="19"/>
              </w:numPr>
            </w:pPr>
          </w:p>
        </w:tc>
        <w:tc>
          <w:tcPr>
            <w:tcW w:w="815" w:type="pct"/>
            <w:vAlign w:val="center"/>
          </w:tcPr>
          <w:p w14:paraId="14ED11F3">
            <w:pPr>
              <w:pStyle w:val="90"/>
            </w:pPr>
            <w:r>
              <w:rPr>
                <w:rFonts w:hint="eastAsia"/>
              </w:rPr>
              <w:t>生活垃圾</w:t>
            </w:r>
          </w:p>
        </w:tc>
        <w:tc>
          <w:tcPr>
            <w:tcW w:w="649" w:type="pct"/>
            <w:vAlign w:val="center"/>
          </w:tcPr>
          <w:p w14:paraId="23F2E0DA">
            <w:pPr>
              <w:pStyle w:val="90"/>
            </w:pPr>
            <w:r>
              <w:rPr>
                <w:rFonts w:hint="eastAsia"/>
              </w:rPr>
              <w:t>一般固废</w:t>
            </w:r>
          </w:p>
        </w:tc>
        <w:tc>
          <w:tcPr>
            <w:tcW w:w="730" w:type="pct"/>
            <w:vAlign w:val="center"/>
          </w:tcPr>
          <w:p w14:paraId="41C55E6C">
            <w:pPr>
              <w:pStyle w:val="90"/>
            </w:pPr>
            <w:r>
              <w:t>900-999-99</w:t>
            </w:r>
          </w:p>
        </w:tc>
        <w:tc>
          <w:tcPr>
            <w:tcW w:w="649" w:type="pct"/>
            <w:vAlign w:val="center"/>
          </w:tcPr>
          <w:p w14:paraId="2C4C3AF0">
            <w:pPr>
              <w:pStyle w:val="90"/>
            </w:pPr>
            <w:r>
              <w:rPr>
                <w:rFonts w:hint="eastAsia"/>
              </w:rPr>
              <w:t>1</w:t>
            </w:r>
            <w:r>
              <w:t>5</w:t>
            </w:r>
          </w:p>
        </w:tc>
        <w:tc>
          <w:tcPr>
            <w:tcW w:w="1119" w:type="pct"/>
            <w:vAlign w:val="center"/>
          </w:tcPr>
          <w:p w14:paraId="4B363D63">
            <w:pPr>
              <w:pStyle w:val="90"/>
            </w:pPr>
            <w:r>
              <w:rPr>
                <w:rFonts w:hint="eastAsia"/>
              </w:rPr>
              <w:t>由环卫部门处理。</w:t>
            </w:r>
          </w:p>
        </w:tc>
        <w:tc>
          <w:tcPr>
            <w:tcW w:w="714" w:type="pct"/>
            <w:vAlign w:val="center"/>
          </w:tcPr>
          <w:p w14:paraId="7A0774FA">
            <w:pPr>
              <w:pStyle w:val="90"/>
            </w:pPr>
            <w:r>
              <w:rPr>
                <w:rFonts w:hint="eastAsia"/>
              </w:rPr>
              <w:t>1</w:t>
            </w:r>
            <w:r>
              <w:t>5</w:t>
            </w:r>
          </w:p>
        </w:tc>
      </w:tr>
    </w:tbl>
    <w:p w14:paraId="67709C6E">
      <w:pPr>
        <w:ind w:firstLine="480"/>
      </w:pPr>
      <w:r>
        <w:rPr>
          <w:rFonts w:hint="eastAsia"/>
        </w:rPr>
        <w:t>本项目“三废”排放情况汇总见表3</w:t>
      </w:r>
      <w:r>
        <w:t>.5-2</w:t>
      </w:r>
      <w:r>
        <w:rPr>
          <w:rFonts w:hint="eastAsia"/>
        </w:rPr>
        <w:t>。</w:t>
      </w:r>
    </w:p>
    <w:p w14:paraId="2B3AED1A">
      <w:pPr>
        <w:pStyle w:val="47"/>
        <w:spacing w:before="65"/>
      </w:pPr>
      <w:r>
        <w:rPr>
          <w:rFonts w:hint="eastAsia"/>
        </w:rPr>
        <w:t>表3</w:t>
      </w:r>
      <w:r>
        <w:t xml:space="preserve">.5-2   </w:t>
      </w:r>
      <w:r>
        <w:rPr>
          <w:rFonts w:hint="eastAsia"/>
        </w:rPr>
        <w:t>“三废”排放情况汇总一览表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69"/>
        <w:gridCol w:w="760"/>
        <w:gridCol w:w="1850"/>
        <w:gridCol w:w="828"/>
        <w:gridCol w:w="1097"/>
        <w:gridCol w:w="1647"/>
        <w:gridCol w:w="1095"/>
        <w:gridCol w:w="1084"/>
      </w:tblGrid>
      <w:tr w14:paraId="534A51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646" w:type="pct"/>
            <w:gridSpan w:val="2"/>
            <w:vAlign w:val="center"/>
          </w:tcPr>
          <w:p w14:paraId="10384CED">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类别</w:t>
            </w:r>
          </w:p>
        </w:tc>
        <w:tc>
          <w:tcPr>
            <w:tcW w:w="1058" w:type="pct"/>
            <w:vAlign w:val="center"/>
          </w:tcPr>
          <w:p w14:paraId="0FB0DE97">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污染物</w:t>
            </w:r>
            <w:r>
              <w:rPr>
                <w:rFonts w:hint="eastAsia"/>
                <w:kern w:val="0"/>
                <w:sz w:val="21"/>
                <w:szCs w:val="21"/>
                <w:lang w:eastAsia="en-US"/>
              </w:rPr>
              <w:t>名称</w:t>
            </w:r>
          </w:p>
        </w:tc>
        <w:tc>
          <w:tcPr>
            <w:tcW w:w="474" w:type="pct"/>
            <w:vAlign w:val="center"/>
          </w:tcPr>
          <w:p w14:paraId="5DC5201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单位</w:t>
            </w:r>
          </w:p>
        </w:tc>
        <w:tc>
          <w:tcPr>
            <w:tcW w:w="628" w:type="pct"/>
            <w:vAlign w:val="center"/>
          </w:tcPr>
          <w:p w14:paraId="07E86DB9">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产生量</w:t>
            </w:r>
          </w:p>
        </w:tc>
        <w:tc>
          <w:tcPr>
            <w:tcW w:w="943" w:type="pct"/>
            <w:vAlign w:val="center"/>
          </w:tcPr>
          <w:p w14:paraId="1541CBB4">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措施</w:t>
            </w:r>
          </w:p>
        </w:tc>
        <w:tc>
          <w:tcPr>
            <w:tcW w:w="627" w:type="pct"/>
            <w:vAlign w:val="center"/>
          </w:tcPr>
          <w:p w14:paraId="6207F89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削减量</w:t>
            </w:r>
          </w:p>
        </w:tc>
        <w:tc>
          <w:tcPr>
            <w:tcW w:w="620" w:type="pct"/>
            <w:vAlign w:val="center"/>
          </w:tcPr>
          <w:p w14:paraId="4657CEC8">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排放量</w:t>
            </w:r>
          </w:p>
        </w:tc>
      </w:tr>
      <w:tr w14:paraId="55C912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restart"/>
            <w:vAlign w:val="center"/>
          </w:tcPr>
          <w:p w14:paraId="247E88C0">
            <w:pPr>
              <w:adjustRightInd w:val="0"/>
              <w:snapToGrid w:val="0"/>
              <w:spacing w:line="240" w:lineRule="auto"/>
              <w:ind w:firstLine="0" w:firstLineChars="0"/>
              <w:jc w:val="center"/>
              <w:rPr>
                <w:sz w:val="21"/>
                <w:szCs w:val="20"/>
              </w:rPr>
            </w:pPr>
            <w:r>
              <w:rPr>
                <w:rFonts w:hint="eastAsia"/>
                <w:sz w:val="21"/>
                <w:szCs w:val="20"/>
              </w:rPr>
              <w:t>废气</w:t>
            </w:r>
          </w:p>
        </w:tc>
        <w:tc>
          <w:tcPr>
            <w:tcW w:w="435" w:type="pct"/>
            <w:vMerge w:val="restart"/>
            <w:vAlign w:val="center"/>
          </w:tcPr>
          <w:p w14:paraId="3E49E001">
            <w:pPr>
              <w:adjustRightInd w:val="0"/>
              <w:snapToGrid w:val="0"/>
              <w:spacing w:line="240" w:lineRule="auto"/>
              <w:ind w:firstLine="0" w:firstLineChars="0"/>
              <w:jc w:val="center"/>
              <w:rPr>
                <w:sz w:val="21"/>
                <w:szCs w:val="20"/>
              </w:rPr>
            </w:pPr>
            <w:r>
              <w:rPr>
                <w:rFonts w:hint="eastAsia"/>
                <w:sz w:val="21"/>
                <w:szCs w:val="20"/>
              </w:rPr>
              <w:t>有组织</w:t>
            </w:r>
          </w:p>
        </w:tc>
        <w:tc>
          <w:tcPr>
            <w:tcW w:w="1058" w:type="pct"/>
            <w:vAlign w:val="center"/>
          </w:tcPr>
          <w:p w14:paraId="2AE17F65">
            <w:pPr>
              <w:pStyle w:val="90"/>
            </w:pPr>
            <w:r>
              <w:t>SO</w:t>
            </w:r>
            <w:r>
              <w:rPr>
                <w:vertAlign w:val="subscript"/>
              </w:rPr>
              <w:t>2</w:t>
            </w:r>
          </w:p>
        </w:tc>
        <w:tc>
          <w:tcPr>
            <w:tcW w:w="474" w:type="pct"/>
            <w:vAlign w:val="center"/>
          </w:tcPr>
          <w:p w14:paraId="0F54B670">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32148E23">
            <w:pPr>
              <w:pStyle w:val="90"/>
            </w:pPr>
            <w:r>
              <w:rPr>
                <w:rFonts w:hint="eastAsia"/>
              </w:rPr>
              <w:t>0</w:t>
            </w:r>
            <w:r>
              <w:t>.018</w:t>
            </w:r>
          </w:p>
        </w:tc>
        <w:tc>
          <w:tcPr>
            <w:tcW w:w="943" w:type="pct"/>
            <w:vAlign w:val="center"/>
          </w:tcPr>
          <w:p w14:paraId="152CBF67">
            <w:pPr>
              <w:adjustRightInd w:val="0"/>
              <w:snapToGrid w:val="0"/>
              <w:spacing w:line="240" w:lineRule="auto"/>
              <w:ind w:firstLine="0" w:firstLineChars="0"/>
              <w:jc w:val="center"/>
              <w:rPr>
                <w:kern w:val="0"/>
                <w:sz w:val="21"/>
                <w:szCs w:val="21"/>
              </w:rPr>
            </w:pPr>
            <w:r>
              <w:rPr>
                <w:rFonts w:hint="eastAsia"/>
                <w:kern w:val="0"/>
                <w:sz w:val="21"/>
                <w:szCs w:val="21"/>
              </w:rPr>
              <w:t>/</w:t>
            </w:r>
          </w:p>
        </w:tc>
        <w:tc>
          <w:tcPr>
            <w:tcW w:w="627" w:type="pct"/>
            <w:vAlign w:val="center"/>
          </w:tcPr>
          <w:p w14:paraId="26639B96">
            <w:pPr>
              <w:adjustRightInd w:val="0"/>
              <w:snapToGrid w:val="0"/>
              <w:spacing w:line="240" w:lineRule="auto"/>
              <w:ind w:firstLine="0" w:firstLineChars="0"/>
              <w:jc w:val="center"/>
              <w:rPr>
                <w:kern w:val="0"/>
                <w:sz w:val="21"/>
                <w:szCs w:val="20"/>
              </w:rPr>
            </w:pPr>
            <w:r>
              <w:rPr>
                <w:rFonts w:hint="eastAsia"/>
                <w:kern w:val="0"/>
                <w:sz w:val="21"/>
                <w:szCs w:val="20"/>
              </w:rPr>
              <w:t>0</w:t>
            </w:r>
          </w:p>
        </w:tc>
        <w:tc>
          <w:tcPr>
            <w:tcW w:w="620" w:type="pct"/>
            <w:vAlign w:val="center"/>
          </w:tcPr>
          <w:p w14:paraId="06D57897">
            <w:pPr>
              <w:pStyle w:val="90"/>
            </w:pPr>
            <w:r>
              <w:rPr>
                <w:rFonts w:hint="eastAsia"/>
              </w:rPr>
              <w:t>0</w:t>
            </w:r>
            <w:r>
              <w:t>.018</w:t>
            </w:r>
          </w:p>
        </w:tc>
      </w:tr>
      <w:tr w14:paraId="6EC68D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60DEFA7D">
            <w:pPr>
              <w:adjustRightInd w:val="0"/>
              <w:snapToGrid w:val="0"/>
              <w:spacing w:line="240" w:lineRule="auto"/>
              <w:ind w:firstLine="0" w:firstLineChars="0"/>
              <w:jc w:val="center"/>
              <w:rPr>
                <w:sz w:val="21"/>
                <w:szCs w:val="20"/>
              </w:rPr>
            </w:pPr>
          </w:p>
        </w:tc>
        <w:tc>
          <w:tcPr>
            <w:tcW w:w="435" w:type="pct"/>
            <w:vMerge w:val="continue"/>
            <w:vAlign w:val="center"/>
          </w:tcPr>
          <w:p w14:paraId="794F4249">
            <w:pPr>
              <w:adjustRightInd w:val="0"/>
              <w:snapToGrid w:val="0"/>
              <w:spacing w:line="240" w:lineRule="auto"/>
              <w:ind w:firstLine="0" w:firstLineChars="0"/>
              <w:jc w:val="center"/>
              <w:rPr>
                <w:sz w:val="21"/>
                <w:szCs w:val="20"/>
              </w:rPr>
            </w:pPr>
          </w:p>
        </w:tc>
        <w:tc>
          <w:tcPr>
            <w:tcW w:w="1058" w:type="pct"/>
            <w:vAlign w:val="center"/>
          </w:tcPr>
          <w:p w14:paraId="23A35FB9">
            <w:pPr>
              <w:pStyle w:val="90"/>
            </w:pPr>
            <w:r>
              <w:t>NO</w:t>
            </w:r>
            <w:r>
              <w:rPr>
                <w:vertAlign w:val="subscript"/>
              </w:rPr>
              <w:t>x</w:t>
            </w:r>
          </w:p>
        </w:tc>
        <w:tc>
          <w:tcPr>
            <w:tcW w:w="474" w:type="pct"/>
            <w:vAlign w:val="center"/>
          </w:tcPr>
          <w:p w14:paraId="06DF4084">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70BFB015">
            <w:pPr>
              <w:pStyle w:val="90"/>
            </w:pPr>
            <w:r>
              <w:rPr>
                <w:rFonts w:hint="eastAsia"/>
              </w:rPr>
              <w:t>0</w:t>
            </w:r>
            <w:r>
              <w:t>.136</w:t>
            </w:r>
          </w:p>
        </w:tc>
        <w:tc>
          <w:tcPr>
            <w:tcW w:w="943" w:type="pct"/>
            <w:vAlign w:val="center"/>
          </w:tcPr>
          <w:p w14:paraId="13E2B573">
            <w:pPr>
              <w:adjustRightInd w:val="0"/>
              <w:snapToGrid w:val="0"/>
              <w:spacing w:line="240" w:lineRule="auto"/>
              <w:ind w:firstLine="0" w:firstLineChars="0"/>
              <w:jc w:val="center"/>
              <w:rPr>
                <w:kern w:val="0"/>
                <w:sz w:val="21"/>
                <w:szCs w:val="21"/>
              </w:rPr>
            </w:pPr>
            <w:r>
              <w:rPr>
                <w:rFonts w:hint="eastAsia"/>
                <w:kern w:val="0"/>
                <w:sz w:val="21"/>
                <w:szCs w:val="21"/>
              </w:rPr>
              <w:t>低氮燃烧</w:t>
            </w:r>
          </w:p>
        </w:tc>
        <w:tc>
          <w:tcPr>
            <w:tcW w:w="627" w:type="pct"/>
            <w:vAlign w:val="center"/>
          </w:tcPr>
          <w:p w14:paraId="1AECCF8D">
            <w:pPr>
              <w:adjustRightInd w:val="0"/>
              <w:snapToGrid w:val="0"/>
              <w:spacing w:line="240" w:lineRule="auto"/>
              <w:ind w:firstLine="0" w:firstLineChars="0"/>
              <w:jc w:val="center"/>
              <w:rPr>
                <w:sz w:val="21"/>
                <w:szCs w:val="20"/>
              </w:rPr>
            </w:pPr>
            <w:r>
              <w:rPr>
                <w:rFonts w:hint="eastAsia"/>
                <w:sz w:val="21"/>
                <w:szCs w:val="20"/>
              </w:rPr>
              <w:t>0</w:t>
            </w:r>
          </w:p>
        </w:tc>
        <w:tc>
          <w:tcPr>
            <w:tcW w:w="620" w:type="pct"/>
            <w:vAlign w:val="center"/>
          </w:tcPr>
          <w:p w14:paraId="653505A6">
            <w:pPr>
              <w:pStyle w:val="90"/>
            </w:pPr>
            <w:r>
              <w:rPr>
                <w:rFonts w:hint="eastAsia"/>
              </w:rPr>
              <w:t>0</w:t>
            </w:r>
            <w:r>
              <w:t>.136</w:t>
            </w:r>
          </w:p>
        </w:tc>
      </w:tr>
      <w:tr w14:paraId="3AA414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711378B3">
            <w:pPr>
              <w:adjustRightInd w:val="0"/>
              <w:snapToGrid w:val="0"/>
              <w:spacing w:line="240" w:lineRule="auto"/>
              <w:ind w:firstLine="0" w:firstLineChars="0"/>
              <w:jc w:val="center"/>
              <w:rPr>
                <w:sz w:val="21"/>
                <w:szCs w:val="20"/>
              </w:rPr>
            </w:pPr>
          </w:p>
        </w:tc>
        <w:tc>
          <w:tcPr>
            <w:tcW w:w="435" w:type="pct"/>
            <w:vMerge w:val="continue"/>
            <w:vAlign w:val="center"/>
          </w:tcPr>
          <w:p w14:paraId="3CFBF1D5">
            <w:pPr>
              <w:adjustRightInd w:val="0"/>
              <w:snapToGrid w:val="0"/>
              <w:spacing w:line="240" w:lineRule="auto"/>
              <w:ind w:firstLine="0" w:firstLineChars="0"/>
              <w:jc w:val="center"/>
              <w:rPr>
                <w:sz w:val="21"/>
                <w:szCs w:val="20"/>
              </w:rPr>
            </w:pPr>
          </w:p>
        </w:tc>
        <w:tc>
          <w:tcPr>
            <w:tcW w:w="1058" w:type="pct"/>
            <w:vAlign w:val="center"/>
          </w:tcPr>
          <w:p w14:paraId="0034C626">
            <w:pPr>
              <w:pStyle w:val="90"/>
            </w:pPr>
            <w:r>
              <w:rPr>
                <w:rFonts w:hint="eastAsia"/>
              </w:rPr>
              <w:t>颗粒物</w:t>
            </w:r>
          </w:p>
        </w:tc>
        <w:tc>
          <w:tcPr>
            <w:tcW w:w="474" w:type="pct"/>
            <w:vAlign w:val="center"/>
          </w:tcPr>
          <w:p w14:paraId="3CD05616">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548031FA">
            <w:pPr>
              <w:pStyle w:val="90"/>
            </w:pPr>
            <w:r>
              <w:t>0.1</w:t>
            </w:r>
          </w:p>
        </w:tc>
        <w:tc>
          <w:tcPr>
            <w:tcW w:w="943" w:type="pct"/>
            <w:vAlign w:val="center"/>
          </w:tcPr>
          <w:p w14:paraId="77EFDAAF">
            <w:pPr>
              <w:adjustRightInd w:val="0"/>
              <w:snapToGrid w:val="0"/>
              <w:spacing w:line="240" w:lineRule="auto"/>
              <w:ind w:firstLine="0" w:firstLineChars="0"/>
              <w:jc w:val="center"/>
              <w:rPr>
                <w:kern w:val="0"/>
                <w:sz w:val="21"/>
                <w:szCs w:val="21"/>
              </w:rPr>
            </w:pPr>
            <w:r>
              <w:rPr>
                <w:rFonts w:hint="eastAsia"/>
                <w:kern w:val="0"/>
                <w:sz w:val="21"/>
                <w:szCs w:val="21"/>
              </w:rPr>
              <w:t>/</w:t>
            </w:r>
          </w:p>
        </w:tc>
        <w:tc>
          <w:tcPr>
            <w:tcW w:w="627" w:type="pct"/>
            <w:vAlign w:val="center"/>
          </w:tcPr>
          <w:p w14:paraId="475A85BE">
            <w:pPr>
              <w:adjustRightInd w:val="0"/>
              <w:snapToGrid w:val="0"/>
              <w:spacing w:line="240" w:lineRule="auto"/>
              <w:ind w:firstLine="0" w:firstLineChars="0"/>
              <w:jc w:val="center"/>
              <w:rPr>
                <w:sz w:val="21"/>
                <w:szCs w:val="20"/>
              </w:rPr>
            </w:pPr>
            <w:r>
              <w:rPr>
                <w:rFonts w:hint="eastAsia"/>
                <w:sz w:val="21"/>
                <w:szCs w:val="20"/>
              </w:rPr>
              <w:t>0</w:t>
            </w:r>
          </w:p>
        </w:tc>
        <w:tc>
          <w:tcPr>
            <w:tcW w:w="620" w:type="pct"/>
            <w:vAlign w:val="center"/>
          </w:tcPr>
          <w:p w14:paraId="63B294B5">
            <w:pPr>
              <w:pStyle w:val="90"/>
            </w:pPr>
            <w:r>
              <w:t>0.1</w:t>
            </w:r>
          </w:p>
        </w:tc>
      </w:tr>
      <w:tr w14:paraId="01C34D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62700DB3">
            <w:pPr>
              <w:adjustRightInd w:val="0"/>
              <w:snapToGrid w:val="0"/>
              <w:spacing w:line="240" w:lineRule="auto"/>
              <w:ind w:firstLine="0" w:firstLineChars="0"/>
              <w:jc w:val="center"/>
              <w:rPr>
                <w:sz w:val="21"/>
                <w:szCs w:val="20"/>
              </w:rPr>
            </w:pPr>
          </w:p>
        </w:tc>
        <w:tc>
          <w:tcPr>
            <w:tcW w:w="435" w:type="pct"/>
            <w:vMerge w:val="continue"/>
            <w:vAlign w:val="center"/>
          </w:tcPr>
          <w:p w14:paraId="05719E69">
            <w:pPr>
              <w:adjustRightInd w:val="0"/>
              <w:snapToGrid w:val="0"/>
              <w:spacing w:line="240" w:lineRule="auto"/>
              <w:ind w:firstLine="0" w:firstLineChars="0"/>
              <w:jc w:val="center"/>
              <w:rPr>
                <w:sz w:val="21"/>
                <w:szCs w:val="20"/>
              </w:rPr>
            </w:pPr>
          </w:p>
        </w:tc>
        <w:tc>
          <w:tcPr>
            <w:tcW w:w="1058" w:type="pct"/>
            <w:vAlign w:val="center"/>
          </w:tcPr>
          <w:p w14:paraId="3DD3174D">
            <w:pPr>
              <w:adjustRightInd w:val="0"/>
              <w:snapToGrid w:val="0"/>
              <w:spacing w:line="240" w:lineRule="auto"/>
              <w:ind w:firstLine="0" w:firstLineChars="0"/>
              <w:jc w:val="center"/>
              <w:rPr>
                <w:sz w:val="21"/>
                <w:szCs w:val="20"/>
              </w:rPr>
            </w:pPr>
            <w:r>
              <w:rPr>
                <w:rFonts w:hint="eastAsia"/>
                <w:sz w:val="21"/>
                <w:szCs w:val="20"/>
              </w:rPr>
              <w:t>非甲烷总烃</w:t>
            </w:r>
          </w:p>
        </w:tc>
        <w:tc>
          <w:tcPr>
            <w:tcW w:w="474" w:type="pct"/>
            <w:vAlign w:val="center"/>
          </w:tcPr>
          <w:p w14:paraId="0752759B">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521534FA">
            <w:pPr>
              <w:adjustRightInd w:val="0"/>
              <w:snapToGrid w:val="0"/>
              <w:spacing w:line="240" w:lineRule="auto"/>
              <w:ind w:firstLine="0" w:firstLineChars="0"/>
              <w:jc w:val="center"/>
              <w:rPr>
                <w:sz w:val="21"/>
                <w:szCs w:val="20"/>
              </w:rPr>
            </w:pPr>
            <w:r>
              <w:rPr>
                <w:sz w:val="21"/>
                <w:szCs w:val="20"/>
              </w:rPr>
              <w:t>42.58</w:t>
            </w:r>
          </w:p>
        </w:tc>
        <w:tc>
          <w:tcPr>
            <w:tcW w:w="943" w:type="pct"/>
            <w:vAlign w:val="center"/>
          </w:tcPr>
          <w:p w14:paraId="5B5D1A93">
            <w:pPr>
              <w:adjustRightInd w:val="0"/>
              <w:snapToGrid w:val="0"/>
              <w:spacing w:line="240" w:lineRule="auto"/>
              <w:ind w:firstLine="0" w:firstLineChars="0"/>
              <w:jc w:val="center"/>
              <w:rPr>
                <w:kern w:val="0"/>
                <w:sz w:val="21"/>
                <w:szCs w:val="21"/>
              </w:rPr>
            </w:pPr>
            <w:r>
              <w:rPr>
                <w:rFonts w:hint="eastAsia"/>
                <w:kern w:val="0"/>
                <w:sz w:val="21"/>
                <w:szCs w:val="21"/>
              </w:rPr>
              <w:t>收集油气回收</w:t>
            </w:r>
          </w:p>
        </w:tc>
        <w:tc>
          <w:tcPr>
            <w:tcW w:w="627" w:type="pct"/>
            <w:vAlign w:val="center"/>
          </w:tcPr>
          <w:p w14:paraId="5AB94104">
            <w:pPr>
              <w:adjustRightInd w:val="0"/>
              <w:snapToGrid w:val="0"/>
              <w:spacing w:line="240" w:lineRule="auto"/>
              <w:ind w:firstLine="0" w:firstLineChars="0"/>
              <w:jc w:val="center"/>
              <w:rPr>
                <w:sz w:val="21"/>
                <w:szCs w:val="20"/>
              </w:rPr>
            </w:pPr>
            <w:r>
              <w:rPr>
                <w:sz w:val="21"/>
                <w:szCs w:val="20"/>
              </w:rPr>
              <w:t>41.36</w:t>
            </w:r>
          </w:p>
        </w:tc>
        <w:tc>
          <w:tcPr>
            <w:tcW w:w="620" w:type="pct"/>
            <w:vAlign w:val="center"/>
          </w:tcPr>
          <w:p w14:paraId="53320D35">
            <w:pPr>
              <w:adjustRightInd w:val="0"/>
              <w:snapToGrid w:val="0"/>
              <w:spacing w:line="240" w:lineRule="auto"/>
              <w:ind w:firstLine="0" w:firstLineChars="0"/>
              <w:jc w:val="center"/>
              <w:rPr>
                <w:sz w:val="21"/>
                <w:szCs w:val="20"/>
              </w:rPr>
            </w:pPr>
            <w:r>
              <w:rPr>
                <w:sz w:val="21"/>
                <w:szCs w:val="20"/>
              </w:rPr>
              <w:t>1.22</w:t>
            </w:r>
          </w:p>
        </w:tc>
      </w:tr>
      <w:tr w14:paraId="79731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13046246">
            <w:pPr>
              <w:adjustRightInd w:val="0"/>
              <w:snapToGrid w:val="0"/>
              <w:spacing w:line="240" w:lineRule="auto"/>
              <w:ind w:firstLine="0" w:firstLineChars="0"/>
              <w:jc w:val="center"/>
              <w:rPr>
                <w:sz w:val="21"/>
                <w:szCs w:val="20"/>
              </w:rPr>
            </w:pPr>
          </w:p>
        </w:tc>
        <w:tc>
          <w:tcPr>
            <w:tcW w:w="435" w:type="pct"/>
            <w:vMerge w:val="continue"/>
            <w:vAlign w:val="center"/>
          </w:tcPr>
          <w:p w14:paraId="39CA38ED">
            <w:pPr>
              <w:adjustRightInd w:val="0"/>
              <w:snapToGrid w:val="0"/>
              <w:spacing w:line="240" w:lineRule="auto"/>
              <w:ind w:firstLine="0" w:firstLineChars="0"/>
              <w:jc w:val="center"/>
              <w:rPr>
                <w:sz w:val="21"/>
                <w:szCs w:val="20"/>
              </w:rPr>
            </w:pPr>
          </w:p>
        </w:tc>
        <w:tc>
          <w:tcPr>
            <w:tcW w:w="1058" w:type="pct"/>
            <w:vAlign w:val="center"/>
          </w:tcPr>
          <w:p w14:paraId="357FA557">
            <w:pPr>
              <w:adjustRightInd w:val="0"/>
              <w:snapToGrid w:val="0"/>
              <w:spacing w:line="240" w:lineRule="auto"/>
              <w:ind w:firstLine="0" w:firstLineChars="0"/>
              <w:jc w:val="center"/>
              <w:rPr>
                <w:rFonts w:hint="eastAsia" w:eastAsia="宋体"/>
                <w:sz w:val="21"/>
                <w:szCs w:val="20"/>
                <w:lang w:eastAsia="zh-CN"/>
              </w:rPr>
            </w:pPr>
            <w:r>
              <w:rPr>
                <w:rFonts w:hint="eastAsia"/>
                <w:sz w:val="21"/>
                <w:szCs w:val="20"/>
              </w:rPr>
              <w:t>非甲烷总烃</w:t>
            </w:r>
          </w:p>
        </w:tc>
        <w:tc>
          <w:tcPr>
            <w:tcW w:w="474" w:type="pct"/>
            <w:vAlign w:val="center"/>
          </w:tcPr>
          <w:p w14:paraId="5B2CEE45">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rPr>
              <w:t>t</w:t>
            </w:r>
            <w:r>
              <w:rPr>
                <w:kern w:val="0"/>
                <w:sz w:val="21"/>
                <w:szCs w:val="21"/>
              </w:rPr>
              <w:t>/a</w:t>
            </w:r>
          </w:p>
        </w:tc>
        <w:tc>
          <w:tcPr>
            <w:tcW w:w="628" w:type="pct"/>
            <w:vAlign w:val="center"/>
          </w:tcPr>
          <w:p w14:paraId="50C97FE6">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102.82</w:t>
            </w:r>
          </w:p>
        </w:tc>
        <w:tc>
          <w:tcPr>
            <w:tcW w:w="943" w:type="pct"/>
            <w:vMerge w:val="restart"/>
            <w:vAlign w:val="center"/>
          </w:tcPr>
          <w:p w14:paraId="582987D4">
            <w:pPr>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碱洗喷淋+活性炭吸附</w:t>
            </w:r>
          </w:p>
        </w:tc>
        <w:tc>
          <w:tcPr>
            <w:tcW w:w="627" w:type="pct"/>
            <w:vAlign w:val="center"/>
          </w:tcPr>
          <w:p w14:paraId="65F8DD53">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97.679</w:t>
            </w:r>
          </w:p>
        </w:tc>
        <w:tc>
          <w:tcPr>
            <w:tcW w:w="620" w:type="pct"/>
            <w:vAlign w:val="center"/>
          </w:tcPr>
          <w:p w14:paraId="011AC82F">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5.141</w:t>
            </w:r>
          </w:p>
        </w:tc>
      </w:tr>
      <w:tr w14:paraId="6229F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5E15736F">
            <w:pPr>
              <w:adjustRightInd w:val="0"/>
              <w:snapToGrid w:val="0"/>
              <w:spacing w:line="240" w:lineRule="auto"/>
              <w:ind w:firstLine="0" w:firstLineChars="0"/>
              <w:jc w:val="center"/>
              <w:rPr>
                <w:sz w:val="21"/>
                <w:szCs w:val="20"/>
              </w:rPr>
            </w:pPr>
          </w:p>
        </w:tc>
        <w:tc>
          <w:tcPr>
            <w:tcW w:w="435" w:type="pct"/>
            <w:vMerge w:val="continue"/>
            <w:vAlign w:val="center"/>
          </w:tcPr>
          <w:p w14:paraId="7A735A1D">
            <w:pPr>
              <w:adjustRightInd w:val="0"/>
              <w:snapToGrid w:val="0"/>
              <w:spacing w:line="240" w:lineRule="auto"/>
              <w:ind w:firstLine="0" w:firstLineChars="0"/>
              <w:jc w:val="center"/>
              <w:rPr>
                <w:sz w:val="21"/>
                <w:szCs w:val="20"/>
              </w:rPr>
            </w:pPr>
          </w:p>
        </w:tc>
        <w:tc>
          <w:tcPr>
            <w:tcW w:w="1058" w:type="pct"/>
            <w:vAlign w:val="center"/>
          </w:tcPr>
          <w:p w14:paraId="290CF873">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硫酸雾</w:t>
            </w:r>
          </w:p>
        </w:tc>
        <w:tc>
          <w:tcPr>
            <w:tcW w:w="474" w:type="pct"/>
            <w:vAlign w:val="center"/>
          </w:tcPr>
          <w:p w14:paraId="2615E830">
            <w:pPr>
              <w:widowControl/>
              <w:adjustRightInd w:val="0"/>
              <w:snapToGrid w:val="0"/>
              <w:spacing w:line="240" w:lineRule="auto"/>
              <w:ind w:firstLine="0" w:firstLineChars="0"/>
              <w:jc w:val="center"/>
              <w:rPr>
                <w:rFonts w:hint="eastAsia"/>
                <w:kern w:val="0"/>
                <w:sz w:val="21"/>
                <w:szCs w:val="21"/>
              </w:rPr>
            </w:pPr>
            <w:r>
              <w:rPr>
                <w:rFonts w:hint="eastAsia"/>
                <w:kern w:val="0"/>
                <w:sz w:val="21"/>
                <w:szCs w:val="21"/>
              </w:rPr>
              <w:t>t</w:t>
            </w:r>
            <w:r>
              <w:rPr>
                <w:kern w:val="0"/>
                <w:sz w:val="21"/>
                <w:szCs w:val="21"/>
              </w:rPr>
              <w:t>/a</w:t>
            </w:r>
          </w:p>
        </w:tc>
        <w:tc>
          <w:tcPr>
            <w:tcW w:w="628" w:type="pct"/>
            <w:vAlign w:val="center"/>
          </w:tcPr>
          <w:p w14:paraId="18B153CD">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9.25</w:t>
            </w:r>
          </w:p>
        </w:tc>
        <w:tc>
          <w:tcPr>
            <w:tcW w:w="943" w:type="pct"/>
            <w:vMerge w:val="continue"/>
            <w:vAlign w:val="center"/>
          </w:tcPr>
          <w:p w14:paraId="198046D9">
            <w:pPr>
              <w:adjustRightInd w:val="0"/>
              <w:snapToGrid w:val="0"/>
              <w:spacing w:line="240" w:lineRule="auto"/>
              <w:ind w:firstLine="0" w:firstLineChars="0"/>
              <w:jc w:val="center"/>
              <w:rPr>
                <w:rFonts w:hint="eastAsia"/>
                <w:kern w:val="0"/>
                <w:sz w:val="21"/>
                <w:szCs w:val="21"/>
              </w:rPr>
            </w:pPr>
          </w:p>
        </w:tc>
        <w:tc>
          <w:tcPr>
            <w:tcW w:w="627" w:type="pct"/>
            <w:vAlign w:val="center"/>
          </w:tcPr>
          <w:p w14:paraId="464B0683">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9.157</w:t>
            </w:r>
          </w:p>
        </w:tc>
        <w:tc>
          <w:tcPr>
            <w:tcW w:w="620" w:type="pct"/>
            <w:vAlign w:val="center"/>
          </w:tcPr>
          <w:p w14:paraId="7A73E112">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0.093</w:t>
            </w:r>
          </w:p>
        </w:tc>
      </w:tr>
      <w:tr w14:paraId="13569E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019AD623">
            <w:pPr>
              <w:widowControl/>
              <w:adjustRightInd w:val="0"/>
              <w:snapToGrid w:val="0"/>
              <w:spacing w:line="240" w:lineRule="auto"/>
              <w:ind w:firstLine="0" w:firstLineChars="0"/>
              <w:jc w:val="center"/>
              <w:rPr>
                <w:kern w:val="0"/>
                <w:sz w:val="21"/>
                <w:szCs w:val="21"/>
                <w:lang w:eastAsia="en-US"/>
              </w:rPr>
            </w:pPr>
          </w:p>
        </w:tc>
        <w:tc>
          <w:tcPr>
            <w:tcW w:w="435" w:type="pct"/>
            <w:vMerge w:val="restart"/>
            <w:vAlign w:val="center"/>
          </w:tcPr>
          <w:p w14:paraId="629C5718">
            <w:pPr>
              <w:adjustRightInd w:val="0"/>
              <w:snapToGrid w:val="0"/>
              <w:spacing w:line="240" w:lineRule="auto"/>
              <w:ind w:firstLine="0" w:firstLineChars="0"/>
              <w:jc w:val="center"/>
              <w:rPr>
                <w:sz w:val="21"/>
                <w:szCs w:val="20"/>
              </w:rPr>
            </w:pPr>
            <w:r>
              <w:rPr>
                <w:rFonts w:hint="eastAsia"/>
                <w:sz w:val="21"/>
                <w:szCs w:val="20"/>
              </w:rPr>
              <w:t>无组织</w:t>
            </w:r>
          </w:p>
        </w:tc>
        <w:tc>
          <w:tcPr>
            <w:tcW w:w="1058" w:type="pct"/>
            <w:vAlign w:val="center"/>
          </w:tcPr>
          <w:p w14:paraId="5F9FAF5B">
            <w:pPr>
              <w:widowControl/>
              <w:adjustRightInd w:val="0"/>
              <w:snapToGrid w:val="0"/>
              <w:spacing w:line="240" w:lineRule="auto"/>
              <w:ind w:firstLine="0" w:firstLineChars="0"/>
              <w:jc w:val="center"/>
              <w:rPr>
                <w:kern w:val="0"/>
                <w:sz w:val="21"/>
                <w:szCs w:val="21"/>
              </w:rPr>
            </w:pPr>
            <w:r>
              <w:rPr>
                <w:rFonts w:hint="eastAsia"/>
                <w:kern w:val="0"/>
                <w:sz w:val="21"/>
                <w:szCs w:val="21"/>
              </w:rPr>
              <w:t>非甲烷总烃</w:t>
            </w:r>
          </w:p>
        </w:tc>
        <w:tc>
          <w:tcPr>
            <w:tcW w:w="474" w:type="pct"/>
            <w:vAlign w:val="center"/>
          </w:tcPr>
          <w:p w14:paraId="6B37805D">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08169EFC">
            <w:pPr>
              <w:widowControl/>
              <w:adjustRightInd w:val="0"/>
              <w:snapToGrid w:val="0"/>
              <w:spacing w:line="240" w:lineRule="auto"/>
              <w:ind w:firstLine="0" w:firstLineChars="0"/>
              <w:jc w:val="center"/>
              <w:rPr>
                <w:kern w:val="0"/>
                <w:sz w:val="21"/>
                <w:szCs w:val="21"/>
              </w:rPr>
            </w:pPr>
            <w:r>
              <w:rPr>
                <w:kern w:val="0"/>
                <w:sz w:val="21"/>
                <w:szCs w:val="21"/>
              </w:rPr>
              <w:t>0.4435</w:t>
            </w:r>
          </w:p>
        </w:tc>
        <w:tc>
          <w:tcPr>
            <w:tcW w:w="943" w:type="pct"/>
            <w:vMerge w:val="restart"/>
            <w:vAlign w:val="center"/>
          </w:tcPr>
          <w:p w14:paraId="386BB525">
            <w:pPr>
              <w:widowControl/>
              <w:adjustRightInd w:val="0"/>
              <w:snapToGrid w:val="0"/>
              <w:spacing w:line="240" w:lineRule="auto"/>
              <w:ind w:firstLine="0" w:firstLineChars="0"/>
              <w:jc w:val="center"/>
              <w:rPr>
                <w:kern w:val="0"/>
                <w:sz w:val="21"/>
                <w:szCs w:val="21"/>
              </w:rPr>
            </w:pPr>
            <w:r>
              <w:rPr>
                <w:rFonts w:hint="eastAsia"/>
                <w:kern w:val="0"/>
                <w:sz w:val="21"/>
                <w:szCs w:val="21"/>
              </w:rPr>
              <w:t>密闭设备，加强管理。</w:t>
            </w:r>
          </w:p>
        </w:tc>
        <w:tc>
          <w:tcPr>
            <w:tcW w:w="627" w:type="pct"/>
            <w:vAlign w:val="center"/>
          </w:tcPr>
          <w:p w14:paraId="3C9C7103">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c>
          <w:tcPr>
            <w:tcW w:w="620" w:type="pct"/>
            <w:vAlign w:val="center"/>
          </w:tcPr>
          <w:p w14:paraId="5B56D634">
            <w:pPr>
              <w:widowControl/>
              <w:adjustRightInd w:val="0"/>
              <w:snapToGrid w:val="0"/>
              <w:spacing w:line="240" w:lineRule="auto"/>
              <w:ind w:firstLine="0" w:firstLineChars="0"/>
              <w:jc w:val="center"/>
              <w:rPr>
                <w:kern w:val="0"/>
                <w:sz w:val="21"/>
                <w:szCs w:val="21"/>
              </w:rPr>
            </w:pPr>
            <w:r>
              <w:rPr>
                <w:kern w:val="0"/>
                <w:sz w:val="21"/>
                <w:szCs w:val="21"/>
              </w:rPr>
              <w:t>0.4435</w:t>
            </w:r>
          </w:p>
        </w:tc>
      </w:tr>
      <w:tr w14:paraId="4A8217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00AA1A33">
            <w:pPr>
              <w:widowControl/>
              <w:adjustRightInd w:val="0"/>
              <w:snapToGrid w:val="0"/>
              <w:spacing w:line="240" w:lineRule="auto"/>
              <w:ind w:firstLine="0" w:firstLineChars="0"/>
              <w:jc w:val="center"/>
              <w:rPr>
                <w:kern w:val="0"/>
                <w:sz w:val="21"/>
                <w:szCs w:val="21"/>
                <w:lang w:eastAsia="en-US"/>
              </w:rPr>
            </w:pPr>
          </w:p>
        </w:tc>
        <w:tc>
          <w:tcPr>
            <w:tcW w:w="435" w:type="pct"/>
            <w:vMerge w:val="continue"/>
            <w:vAlign w:val="center"/>
          </w:tcPr>
          <w:p w14:paraId="57E7FCA6">
            <w:pPr>
              <w:adjustRightInd w:val="0"/>
              <w:snapToGrid w:val="0"/>
              <w:spacing w:line="240" w:lineRule="auto"/>
              <w:ind w:firstLine="0" w:firstLineChars="0"/>
              <w:jc w:val="center"/>
              <w:rPr>
                <w:sz w:val="21"/>
                <w:szCs w:val="20"/>
              </w:rPr>
            </w:pPr>
          </w:p>
        </w:tc>
        <w:tc>
          <w:tcPr>
            <w:tcW w:w="1058" w:type="pct"/>
            <w:vAlign w:val="center"/>
          </w:tcPr>
          <w:p w14:paraId="17C78896">
            <w:pPr>
              <w:widowControl/>
              <w:adjustRightInd w:val="0"/>
              <w:snapToGrid w:val="0"/>
              <w:spacing w:line="240" w:lineRule="auto"/>
              <w:ind w:firstLine="0" w:firstLineChars="0"/>
              <w:jc w:val="center"/>
              <w:rPr>
                <w:kern w:val="0"/>
                <w:sz w:val="21"/>
                <w:szCs w:val="21"/>
              </w:rPr>
            </w:pPr>
            <w:r>
              <w:rPr>
                <w:rFonts w:hint="eastAsia"/>
                <w:kern w:val="0"/>
                <w:sz w:val="21"/>
                <w:szCs w:val="21"/>
              </w:rPr>
              <w:t>氨</w:t>
            </w:r>
          </w:p>
        </w:tc>
        <w:tc>
          <w:tcPr>
            <w:tcW w:w="474" w:type="pct"/>
            <w:vAlign w:val="center"/>
          </w:tcPr>
          <w:p w14:paraId="645D80AE">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0EEF93F3">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943" w:type="pct"/>
            <w:vMerge w:val="continue"/>
            <w:vAlign w:val="center"/>
          </w:tcPr>
          <w:p w14:paraId="6E08E444">
            <w:pPr>
              <w:widowControl/>
              <w:adjustRightInd w:val="0"/>
              <w:snapToGrid w:val="0"/>
              <w:spacing w:line="240" w:lineRule="auto"/>
              <w:ind w:firstLine="0" w:firstLineChars="0"/>
              <w:jc w:val="center"/>
              <w:rPr>
                <w:kern w:val="0"/>
                <w:sz w:val="21"/>
                <w:szCs w:val="21"/>
              </w:rPr>
            </w:pPr>
          </w:p>
        </w:tc>
        <w:tc>
          <w:tcPr>
            <w:tcW w:w="627" w:type="pct"/>
            <w:vAlign w:val="center"/>
          </w:tcPr>
          <w:p w14:paraId="556D97FD">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c>
          <w:tcPr>
            <w:tcW w:w="620" w:type="pct"/>
            <w:vAlign w:val="center"/>
          </w:tcPr>
          <w:p w14:paraId="794B56E8">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r>
      <w:tr w14:paraId="49761C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651B39DF">
            <w:pPr>
              <w:widowControl/>
              <w:adjustRightInd w:val="0"/>
              <w:snapToGrid w:val="0"/>
              <w:spacing w:line="240" w:lineRule="auto"/>
              <w:ind w:firstLine="0" w:firstLineChars="0"/>
              <w:jc w:val="center"/>
              <w:rPr>
                <w:kern w:val="0"/>
                <w:sz w:val="21"/>
                <w:szCs w:val="21"/>
                <w:lang w:eastAsia="en-US"/>
              </w:rPr>
            </w:pPr>
          </w:p>
        </w:tc>
        <w:tc>
          <w:tcPr>
            <w:tcW w:w="435" w:type="pct"/>
            <w:vMerge w:val="continue"/>
            <w:vAlign w:val="center"/>
          </w:tcPr>
          <w:p w14:paraId="53664688">
            <w:pPr>
              <w:adjustRightInd w:val="0"/>
              <w:snapToGrid w:val="0"/>
              <w:spacing w:line="240" w:lineRule="auto"/>
              <w:ind w:firstLine="0" w:firstLineChars="0"/>
              <w:jc w:val="center"/>
              <w:rPr>
                <w:sz w:val="21"/>
                <w:szCs w:val="20"/>
              </w:rPr>
            </w:pPr>
          </w:p>
        </w:tc>
        <w:tc>
          <w:tcPr>
            <w:tcW w:w="1058" w:type="pct"/>
            <w:vAlign w:val="center"/>
          </w:tcPr>
          <w:p w14:paraId="07627F44">
            <w:pPr>
              <w:widowControl/>
              <w:adjustRightInd w:val="0"/>
              <w:snapToGrid w:val="0"/>
              <w:spacing w:line="240" w:lineRule="auto"/>
              <w:ind w:firstLine="0" w:firstLineChars="0"/>
              <w:jc w:val="center"/>
              <w:rPr>
                <w:kern w:val="0"/>
                <w:sz w:val="21"/>
                <w:szCs w:val="21"/>
              </w:rPr>
            </w:pPr>
            <w:r>
              <w:rPr>
                <w:rFonts w:hint="eastAsia"/>
                <w:kern w:val="0"/>
                <w:sz w:val="21"/>
                <w:szCs w:val="21"/>
              </w:rPr>
              <w:t>硫化氢</w:t>
            </w:r>
          </w:p>
        </w:tc>
        <w:tc>
          <w:tcPr>
            <w:tcW w:w="474" w:type="pct"/>
            <w:vAlign w:val="center"/>
          </w:tcPr>
          <w:p w14:paraId="354D7BED">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2FB2828B">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943" w:type="pct"/>
            <w:vMerge w:val="continue"/>
            <w:vAlign w:val="center"/>
          </w:tcPr>
          <w:p w14:paraId="1305C86E">
            <w:pPr>
              <w:widowControl/>
              <w:adjustRightInd w:val="0"/>
              <w:snapToGrid w:val="0"/>
              <w:spacing w:line="240" w:lineRule="auto"/>
              <w:ind w:firstLine="0" w:firstLineChars="0"/>
              <w:jc w:val="center"/>
              <w:rPr>
                <w:kern w:val="0"/>
                <w:sz w:val="21"/>
                <w:szCs w:val="21"/>
              </w:rPr>
            </w:pPr>
          </w:p>
        </w:tc>
        <w:tc>
          <w:tcPr>
            <w:tcW w:w="627" w:type="pct"/>
            <w:vAlign w:val="center"/>
          </w:tcPr>
          <w:p w14:paraId="796BFB7F">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c>
          <w:tcPr>
            <w:tcW w:w="620" w:type="pct"/>
            <w:vAlign w:val="center"/>
          </w:tcPr>
          <w:p w14:paraId="7B16EF20">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r>
      <w:tr w14:paraId="7B6A95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restart"/>
            <w:vAlign w:val="center"/>
          </w:tcPr>
          <w:p w14:paraId="090054A4">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废水</w:t>
            </w:r>
          </w:p>
        </w:tc>
        <w:tc>
          <w:tcPr>
            <w:tcW w:w="435" w:type="pct"/>
            <w:vMerge w:val="restart"/>
            <w:vAlign w:val="center"/>
          </w:tcPr>
          <w:p w14:paraId="7DC490EC">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生产废水</w:t>
            </w:r>
          </w:p>
        </w:tc>
        <w:tc>
          <w:tcPr>
            <w:tcW w:w="1058" w:type="pct"/>
            <w:vAlign w:val="center"/>
          </w:tcPr>
          <w:p w14:paraId="03AE939D">
            <w:pPr>
              <w:adjustRightInd w:val="0"/>
              <w:snapToGrid w:val="0"/>
              <w:spacing w:line="240" w:lineRule="auto"/>
              <w:ind w:firstLine="0" w:firstLineChars="0"/>
              <w:jc w:val="center"/>
              <w:rPr>
                <w:sz w:val="21"/>
                <w:szCs w:val="20"/>
              </w:rPr>
            </w:pPr>
            <w:r>
              <w:rPr>
                <w:rFonts w:hint="eastAsia"/>
                <w:sz w:val="21"/>
                <w:szCs w:val="20"/>
              </w:rPr>
              <w:t>废水水量</w:t>
            </w:r>
          </w:p>
        </w:tc>
        <w:tc>
          <w:tcPr>
            <w:tcW w:w="474" w:type="pct"/>
            <w:vAlign w:val="center"/>
          </w:tcPr>
          <w:p w14:paraId="0BF973D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m</w:t>
            </w:r>
            <w:r>
              <w:rPr>
                <w:kern w:val="0"/>
                <w:sz w:val="21"/>
                <w:szCs w:val="21"/>
                <w:vertAlign w:val="superscript"/>
                <w:lang w:eastAsia="en-US"/>
              </w:rPr>
              <w:t>3</w:t>
            </w:r>
            <w:r>
              <w:rPr>
                <w:kern w:val="0"/>
                <w:sz w:val="21"/>
                <w:szCs w:val="21"/>
                <w:lang w:eastAsia="en-US"/>
              </w:rPr>
              <w:t>/a</w:t>
            </w:r>
          </w:p>
        </w:tc>
        <w:tc>
          <w:tcPr>
            <w:tcW w:w="628" w:type="pct"/>
            <w:vAlign w:val="center"/>
          </w:tcPr>
          <w:p w14:paraId="450E0767">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5822.74</w:t>
            </w:r>
          </w:p>
        </w:tc>
        <w:tc>
          <w:tcPr>
            <w:tcW w:w="943" w:type="pct"/>
            <w:vMerge w:val="restart"/>
            <w:vAlign w:val="center"/>
          </w:tcPr>
          <w:p w14:paraId="40CB2B9B">
            <w:pPr>
              <w:widowControl/>
              <w:adjustRightInd w:val="0"/>
              <w:snapToGrid w:val="0"/>
              <w:spacing w:line="240" w:lineRule="auto"/>
              <w:ind w:firstLine="0" w:firstLineChars="0"/>
              <w:jc w:val="center"/>
              <w:rPr>
                <w:kern w:val="0"/>
                <w:sz w:val="21"/>
                <w:szCs w:val="21"/>
              </w:rPr>
            </w:pPr>
            <w:r>
              <w:rPr>
                <w:rFonts w:hint="eastAsia"/>
                <w:kern w:val="0"/>
                <w:sz w:val="21"/>
                <w:szCs w:val="21"/>
              </w:rPr>
              <w:t>“隔油池+A</w:t>
            </w:r>
            <w:r>
              <w:rPr>
                <w:kern w:val="0"/>
                <w:sz w:val="21"/>
                <w:szCs w:val="21"/>
              </w:rPr>
              <w:t>/</w:t>
            </w:r>
            <w:r>
              <w:rPr>
                <w:rFonts w:hint="eastAsia"/>
                <w:kern w:val="0"/>
                <w:sz w:val="21"/>
                <w:szCs w:val="21"/>
              </w:rPr>
              <w:t>O生化池”处理工艺</w:t>
            </w:r>
          </w:p>
        </w:tc>
        <w:tc>
          <w:tcPr>
            <w:tcW w:w="627" w:type="pct"/>
            <w:vAlign w:val="center"/>
          </w:tcPr>
          <w:p w14:paraId="150E0AC3">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c>
          <w:tcPr>
            <w:tcW w:w="620" w:type="pct"/>
            <w:vAlign w:val="center"/>
          </w:tcPr>
          <w:p w14:paraId="56C60206">
            <w:pPr>
              <w:widowControl/>
              <w:adjustRightInd w:val="0"/>
              <w:snapToGrid w:val="0"/>
              <w:spacing w:line="240" w:lineRule="auto"/>
              <w:ind w:firstLine="0" w:firstLineChars="0"/>
              <w:jc w:val="center"/>
              <w:rPr>
                <w:kern w:val="0"/>
                <w:sz w:val="21"/>
                <w:szCs w:val="21"/>
              </w:rPr>
            </w:pPr>
            <w:r>
              <w:rPr>
                <w:kern w:val="0"/>
                <w:sz w:val="21"/>
                <w:szCs w:val="21"/>
              </w:rPr>
              <w:t>5</w:t>
            </w:r>
            <w:r>
              <w:rPr>
                <w:rFonts w:hint="eastAsia"/>
                <w:kern w:val="0"/>
                <w:sz w:val="21"/>
                <w:szCs w:val="21"/>
                <w:lang w:val="en-US" w:eastAsia="zh-CN"/>
              </w:rPr>
              <w:t>822</w:t>
            </w:r>
            <w:r>
              <w:rPr>
                <w:kern w:val="0"/>
                <w:sz w:val="21"/>
                <w:szCs w:val="21"/>
              </w:rPr>
              <w:t>.74</w:t>
            </w:r>
          </w:p>
        </w:tc>
      </w:tr>
      <w:tr w14:paraId="36681B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0D022F72">
            <w:pPr>
              <w:widowControl/>
              <w:adjustRightInd w:val="0"/>
              <w:snapToGrid w:val="0"/>
              <w:spacing w:line="240" w:lineRule="auto"/>
              <w:ind w:firstLine="0" w:firstLineChars="0"/>
              <w:jc w:val="center"/>
              <w:rPr>
                <w:kern w:val="0"/>
                <w:sz w:val="21"/>
                <w:szCs w:val="21"/>
                <w:lang w:eastAsia="en-US"/>
              </w:rPr>
            </w:pPr>
          </w:p>
        </w:tc>
        <w:tc>
          <w:tcPr>
            <w:tcW w:w="435" w:type="pct"/>
            <w:vMerge w:val="continue"/>
            <w:vAlign w:val="center"/>
          </w:tcPr>
          <w:p w14:paraId="45BCCFB6">
            <w:pPr>
              <w:widowControl/>
              <w:adjustRightInd w:val="0"/>
              <w:snapToGrid w:val="0"/>
              <w:spacing w:line="240" w:lineRule="auto"/>
              <w:ind w:firstLine="0" w:firstLineChars="0"/>
              <w:jc w:val="center"/>
              <w:rPr>
                <w:kern w:val="0"/>
                <w:sz w:val="21"/>
                <w:szCs w:val="21"/>
              </w:rPr>
            </w:pPr>
          </w:p>
        </w:tc>
        <w:tc>
          <w:tcPr>
            <w:tcW w:w="1058" w:type="pct"/>
            <w:vAlign w:val="center"/>
          </w:tcPr>
          <w:p w14:paraId="196D9FF1">
            <w:pPr>
              <w:pStyle w:val="90"/>
            </w:pPr>
            <w:r>
              <w:rPr>
                <w:rFonts w:hint="eastAsia"/>
              </w:rPr>
              <w:t>化学需氧量</w:t>
            </w:r>
          </w:p>
        </w:tc>
        <w:tc>
          <w:tcPr>
            <w:tcW w:w="474" w:type="pct"/>
          </w:tcPr>
          <w:p w14:paraId="183B5E1E">
            <w:pPr>
              <w:adjustRightInd w:val="0"/>
              <w:snapToGrid w:val="0"/>
              <w:spacing w:line="240" w:lineRule="auto"/>
              <w:ind w:firstLine="0" w:firstLineChars="0"/>
              <w:jc w:val="center"/>
              <w:rPr>
                <w:sz w:val="21"/>
                <w:szCs w:val="20"/>
              </w:rPr>
            </w:pPr>
            <w:r>
              <w:rPr>
                <w:sz w:val="21"/>
                <w:szCs w:val="20"/>
              </w:rPr>
              <w:t>t/a</w:t>
            </w:r>
          </w:p>
        </w:tc>
        <w:tc>
          <w:tcPr>
            <w:tcW w:w="628" w:type="pct"/>
            <w:vAlign w:val="center"/>
          </w:tcPr>
          <w:p w14:paraId="7D266EC6">
            <w:pPr>
              <w:adjustRightInd w:val="0"/>
              <w:snapToGrid w:val="0"/>
              <w:spacing w:line="240" w:lineRule="auto"/>
              <w:ind w:firstLine="0" w:firstLineChars="0"/>
              <w:jc w:val="center"/>
              <w:rPr>
                <w:rFonts w:hint="default" w:eastAsia="宋体"/>
                <w:kern w:val="0"/>
                <w:sz w:val="21"/>
                <w:szCs w:val="20"/>
                <w:lang w:val="en-US" w:eastAsia="zh-CN"/>
              </w:rPr>
            </w:pPr>
            <w:r>
              <w:rPr>
                <w:rFonts w:hint="eastAsia"/>
                <w:kern w:val="0"/>
                <w:sz w:val="21"/>
                <w:szCs w:val="20"/>
                <w:lang w:val="en-US" w:eastAsia="zh-CN"/>
              </w:rPr>
              <w:t>1.977</w:t>
            </w:r>
          </w:p>
        </w:tc>
        <w:tc>
          <w:tcPr>
            <w:tcW w:w="943" w:type="pct"/>
            <w:vMerge w:val="continue"/>
            <w:vAlign w:val="center"/>
          </w:tcPr>
          <w:p w14:paraId="6A33D5DA">
            <w:pPr>
              <w:widowControl/>
              <w:adjustRightInd w:val="0"/>
              <w:snapToGrid w:val="0"/>
              <w:spacing w:line="240" w:lineRule="auto"/>
              <w:ind w:firstLine="0" w:firstLineChars="0"/>
              <w:jc w:val="center"/>
              <w:rPr>
                <w:kern w:val="0"/>
                <w:sz w:val="21"/>
                <w:szCs w:val="21"/>
              </w:rPr>
            </w:pPr>
          </w:p>
        </w:tc>
        <w:tc>
          <w:tcPr>
            <w:tcW w:w="627" w:type="pct"/>
            <w:vAlign w:val="center"/>
          </w:tcPr>
          <w:p w14:paraId="24D3248B">
            <w:pPr>
              <w:adjustRightInd w:val="0"/>
              <w:snapToGrid w:val="0"/>
              <w:spacing w:line="240" w:lineRule="auto"/>
              <w:ind w:firstLine="0" w:firstLineChars="0"/>
              <w:jc w:val="center"/>
              <w:rPr>
                <w:kern w:val="0"/>
                <w:sz w:val="21"/>
                <w:szCs w:val="20"/>
              </w:rPr>
            </w:pPr>
            <w:r>
              <w:rPr>
                <w:rFonts w:hint="eastAsia"/>
                <w:kern w:val="0"/>
                <w:sz w:val="21"/>
                <w:szCs w:val="20"/>
              </w:rPr>
              <w:t>0</w:t>
            </w:r>
            <w:r>
              <w:rPr>
                <w:kern w:val="0"/>
                <w:sz w:val="21"/>
                <w:szCs w:val="20"/>
              </w:rPr>
              <w:t>.235</w:t>
            </w:r>
          </w:p>
        </w:tc>
        <w:tc>
          <w:tcPr>
            <w:tcW w:w="1084" w:type="dxa"/>
            <w:vAlign w:val="center"/>
          </w:tcPr>
          <w:p w14:paraId="283B28F0">
            <w:pPr>
              <w:adjustRightInd w:val="0"/>
              <w:snapToGrid w:val="0"/>
              <w:spacing w:line="240" w:lineRule="auto"/>
              <w:ind w:firstLine="0" w:firstLineChars="0"/>
              <w:jc w:val="center"/>
              <w:rPr>
                <w:kern w:val="0"/>
                <w:sz w:val="21"/>
                <w:szCs w:val="20"/>
              </w:rPr>
            </w:pPr>
            <w:r>
              <w:rPr>
                <w:rFonts w:hint="eastAsia"/>
                <w:kern w:val="0"/>
                <w:sz w:val="21"/>
                <w:szCs w:val="20"/>
                <w:lang w:val="en-US" w:eastAsia="zh-CN"/>
              </w:rPr>
              <w:t>1.742</w:t>
            </w:r>
          </w:p>
        </w:tc>
      </w:tr>
      <w:tr w14:paraId="72B335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240F1129">
            <w:pPr>
              <w:widowControl/>
              <w:adjustRightInd w:val="0"/>
              <w:snapToGrid w:val="0"/>
              <w:spacing w:line="240" w:lineRule="auto"/>
              <w:ind w:firstLine="0" w:firstLineChars="0"/>
              <w:jc w:val="center"/>
              <w:rPr>
                <w:kern w:val="0"/>
                <w:sz w:val="21"/>
                <w:szCs w:val="21"/>
                <w:lang w:eastAsia="en-US"/>
              </w:rPr>
            </w:pPr>
          </w:p>
        </w:tc>
        <w:tc>
          <w:tcPr>
            <w:tcW w:w="435" w:type="pct"/>
            <w:vMerge w:val="continue"/>
            <w:vAlign w:val="center"/>
          </w:tcPr>
          <w:p w14:paraId="6E5481AF">
            <w:pPr>
              <w:widowControl/>
              <w:adjustRightInd w:val="0"/>
              <w:snapToGrid w:val="0"/>
              <w:spacing w:line="240" w:lineRule="auto"/>
              <w:ind w:firstLine="0" w:firstLineChars="0"/>
              <w:jc w:val="center"/>
              <w:rPr>
                <w:kern w:val="0"/>
                <w:sz w:val="21"/>
                <w:szCs w:val="21"/>
              </w:rPr>
            </w:pPr>
          </w:p>
        </w:tc>
        <w:tc>
          <w:tcPr>
            <w:tcW w:w="1058" w:type="pct"/>
            <w:vAlign w:val="center"/>
          </w:tcPr>
          <w:p w14:paraId="5FC80E28">
            <w:pPr>
              <w:pStyle w:val="90"/>
            </w:pPr>
            <w:r>
              <w:rPr>
                <w:rFonts w:hint="eastAsia"/>
              </w:rPr>
              <w:t>氨氮</w:t>
            </w:r>
          </w:p>
        </w:tc>
        <w:tc>
          <w:tcPr>
            <w:tcW w:w="474" w:type="pct"/>
          </w:tcPr>
          <w:p w14:paraId="3DB17209">
            <w:pPr>
              <w:adjustRightInd w:val="0"/>
              <w:snapToGrid w:val="0"/>
              <w:spacing w:line="240" w:lineRule="auto"/>
              <w:ind w:firstLine="0" w:firstLineChars="0"/>
              <w:jc w:val="center"/>
              <w:rPr>
                <w:sz w:val="21"/>
                <w:szCs w:val="20"/>
              </w:rPr>
            </w:pPr>
            <w:r>
              <w:rPr>
                <w:sz w:val="21"/>
                <w:szCs w:val="20"/>
              </w:rPr>
              <w:t>t/a</w:t>
            </w:r>
          </w:p>
        </w:tc>
        <w:tc>
          <w:tcPr>
            <w:tcW w:w="628" w:type="pct"/>
            <w:vAlign w:val="center"/>
          </w:tcPr>
          <w:p w14:paraId="7A6E3B21">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0.087</w:t>
            </w:r>
          </w:p>
        </w:tc>
        <w:tc>
          <w:tcPr>
            <w:tcW w:w="943" w:type="pct"/>
            <w:vMerge w:val="continue"/>
            <w:vAlign w:val="center"/>
          </w:tcPr>
          <w:p w14:paraId="28220E7B">
            <w:pPr>
              <w:widowControl/>
              <w:adjustRightInd w:val="0"/>
              <w:snapToGrid w:val="0"/>
              <w:spacing w:line="240" w:lineRule="auto"/>
              <w:ind w:firstLine="0" w:firstLineChars="0"/>
              <w:jc w:val="center"/>
              <w:rPr>
                <w:kern w:val="0"/>
                <w:sz w:val="21"/>
                <w:szCs w:val="21"/>
              </w:rPr>
            </w:pPr>
          </w:p>
        </w:tc>
        <w:tc>
          <w:tcPr>
            <w:tcW w:w="627" w:type="pct"/>
            <w:vAlign w:val="center"/>
          </w:tcPr>
          <w:p w14:paraId="592E81E6">
            <w:pPr>
              <w:adjustRightInd w:val="0"/>
              <w:snapToGrid w:val="0"/>
              <w:spacing w:line="240" w:lineRule="auto"/>
              <w:ind w:firstLine="0" w:firstLineChars="0"/>
              <w:jc w:val="center"/>
              <w:rPr>
                <w:sz w:val="21"/>
                <w:szCs w:val="20"/>
              </w:rPr>
            </w:pPr>
            <w:r>
              <w:rPr>
                <w:rFonts w:hint="eastAsia"/>
                <w:sz w:val="21"/>
                <w:szCs w:val="20"/>
              </w:rPr>
              <w:t>0</w:t>
            </w:r>
            <w:r>
              <w:rPr>
                <w:sz w:val="21"/>
                <w:szCs w:val="20"/>
              </w:rPr>
              <w:t>.008</w:t>
            </w:r>
          </w:p>
        </w:tc>
        <w:tc>
          <w:tcPr>
            <w:tcW w:w="1084" w:type="dxa"/>
            <w:vAlign w:val="center"/>
          </w:tcPr>
          <w:p w14:paraId="4FBD0888">
            <w:pPr>
              <w:adjustRightInd w:val="0"/>
              <w:snapToGrid w:val="0"/>
              <w:spacing w:line="240" w:lineRule="auto"/>
              <w:ind w:firstLine="0" w:firstLineChars="0"/>
              <w:jc w:val="center"/>
              <w:rPr>
                <w:sz w:val="21"/>
                <w:szCs w:val="20"/>
              </w:rPr>
            </w:pPr>
            <w:r>
              <w:rPr>
                <w:rFonts w:hint="eastAsia"/>
                <w:sz w:val="21"/>
                <w:szCs w:val="20"/>
                <w:lang w:val="en-US" w:eastAsia="zh-CN"/>
              </w:rPr>
              <w:t>0.079</w:t>
            </w:r>
          </w:p>
        </w:tc>
      </w:tr>
      <w:tr w14:paraId="0AFDDB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7F0B8FF0">
            <w:pPr>
              <w:widowControl/>
              <w:adjustRightInd w:val="0"/>
              <w:snapToGrid w:val="0"/>
              <w:spacing w:line="240" w:lineRule="auto"/>
              <w:ind w:firstLine="0" w:firstLineChars="0"/>
              <w:jc w:val="center"/>
              <w:rPr>
                <w:kern w:val="0"/>
                <w:sz w:val="21"/>
                <w:szCs w:val="21"/>
                <w:lang w:eastAsia="en-US"/>
              </w:rPr>
            </w:pPr>
          </w:p>
        </w:tc>
        <w:tc>
          <w:tcPr>
            <w:tcW w:w="435" w:type="pct"/>
            <w:vMerge w:val="continue"/>
            <w:vAlign w:val="center"/>
          </w:tcPr>
          <w:p w14:paraId="47666F6A">
            <w:pPr>
              <w:widowControl/>
              <w:adjustRightInd w:val="0"/>
              <w:snapToGrid w:val="0"/>
              <w:spacing w:line="240" w:lineRule="auto"/>
              <w:ind w:firstLine="0" w:firstLineChars="0"/>
              <w:jc w:val="center"/>
              <w:rPr>
                <w:kern w:val="0"/>
                <w:sz w:val="21"/>
                <w:szCs w:val="21"/>
              </w:rPr>
            </w:pPr>
          </w:p>
        </w:tc>
        <w:tc>
          <w:tcPr>
            <w:tcW w:w="1058" w:type="pct"/>
            <w:vAlign w:val="center"/>
          </w:tcPr>
          <w:p w14:paraId="78EF7780">
            <w:pPr>
              <w:pStyle w:val="90"/>
            </w:pPr>
            <w:r>
              <w:rPr>
                <w:rFonts w:hint="eastAsia"/>
              </w:rPr>
              <w:t>SS</w:t>
            </w:r>
          </w:p>
        </w:tc>
        <w:tc>
          <w:tcPr>
            <w:tcW w:w="474" w:type="pct"/>
          </w:tcPr>
          <w:p w14:paraId="31CFE77D">
            <w:pPr>
              <w:adjustRightInd w:val="0"/>
              <w:snapToGrid w:val="0"/>
              <w:spacing w:line="240" w:lineRule="auto"/>
              <w:ind w:firstLine="0" w:firstLineChars="0"/>
              <w:jc w:val="center"/>
              <w:rPr>
                <w:sz w:val="21"/>
                <w:szCs w:val="20"/>
              </w:rPr>
            </w:pPr>
            <w:r>
              <w:rPr>
                <w:sz w:val="21"/>
                <w:szCs w:val="20"/>
              </w:rPr>
              <w:t>t/a</w:t>
            </w:r>
          </w:p>
        </w:tc>
        <w:tc>
          <w:tcPr>
            <w:tcW w:w="628" w:type="pct"/>
            <w:vAlign w:val="center"/>
          </w:tcPr>
          <w:p w14:paraId="48542082">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0.634</w:t>
            </w:r>
          </w:p>
        </w:tc>
        <w:tc>
          <w:tcPr>
            <w:tcW w:w="943" w:type="pct"/>
            <w:vMerge w:val="continue"/>
            <w:vAlign w:val="center"/>
          </w:tcPr>
          <w:p w14:paraId="7D70013D">
            <w:pPr>
              <w:widowControl/>
              <w:adjustRightInd w:val="0"/>
              <w:snapToGrid w:val="0"/>
              <w:spacing w:line="240" w:lineRule="auto"/>
              <w:ind w:firstLine="0" w:firstLineChars="0"/>
              <w:jc w:val="center"/>
              <w:rPr>
                <w:kern w:val="0"/>
                <w:sz w:val="21"/>
                <w:szCs w:val="21"/>
              </w:rPr>
            </w:pPr>
          </w:p>
        </w:tc>
        <w:tc>
          <w:tcPr>
            <w:tcW w:w="627" w:type="pct"/>
            <w:vAlign w:val="center"/>
          </w:tcPr>
          <w:p w14:paraId="482536C4">
            <w:pPr>
              <w:adjustRightInd w:val="0"/>
              <w:snapToGrid w:val="0"/>
              <w:spacing w:line="240" w:lineRule="auto"/>
              <w:ind w:firstLine="0" w:firstLineChars="0"/>
              <w:jc w:val="center"/>
              <w:rPr>
                <w:sz w:val="21"/>
                <w:szCs w:val="20"/>
              </w:rPr>
            </w:pPr>
            <w:r>
              <w:rPr>
                <w:rFonts w:hint="eastAsia"/>
                <w:sz w:val="21"/>
                <w:szCs w:val="20"/>
              </w:rPr>
              <w:t>0</w:t>
            </w:r>
            <w:r>
              <w:rPr>
                <w:sz w:val="21"/>
                <w:szCs w:val="20"/>
              </w:rPr>
              <w:t>.130</w:t>
            </w:r>
          </w:p>
        </w:tc>
        <w:tc>
          <w:tcPr>
            <w:tcW w:w="1084" w:type="dxa"/>
            <w:vAlign w:val="center"/>
          </w:tcPr>
          <w:p w14:paraId="48F24AA9">
            <w:pPr>
              <w:adjustRightInd w:val="0"/>
              <w:snapToGrid w:val="0"/>
              <w:spacing w:line="240" w:lineRule="auto"/>
              <w:ind w:firstLine="0" w:firstLineChars="0"/>
              <w:jc w:val="center"/>
              <w:rPr>
                <w:sz w:val="21"/>
                <w:szCs w:val="20"/>
              </w:rPr>
            </w:pPr>
            <w:r>
              <w:rPr>
                <w:rFonts w:hint="eastAsia"/>
                <w:sz w:val="21"/>
                <w:szCs w:val="20"/>
                <w:lang w:val="en-US" w:eastAsia="zh-CN"/>
              </w:rPr>
              <w:t>0.514</w:t>
            </w:r>
          </w:p>
        </w:tc>
      </w:tr>
      <w:tr w14:paraId="7A2BC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12D7D8B2">
            <w:pPr>
              <w:widowControl/>
              <w:adjustRightInd w:val="0"/>
              <w:snapToGrid w:val="0"/>
              <w:spacing w:line="240" w:lineRule="auto"/>
              <w:ind w:firstLine="0" w:firstLineChars="0"/>
              <w:jc w:val="center"/>
              <w:rPr>
                <w:kern w:val="0"/>
                <w:sz w:val="21"/>
                <w:szCs w:val="21"/>
                <w:lang w:eastAsia="en-US"/>
              </w:rPr>
            </w:pPr>
          </w:p>
        </w:tc>
        <w:tc>
          <w:tcPr>
            <w:tcW w:w="435" w:type="pct"/>
            <w:vMerge w:val="continue"/>
            <w:vAlign w:val="center"/>
          </w:tcPr>
          <w:p w14:paraId="028A19FD">
            <w:pPr>
              <w:widowControl/>
              <w:adjustRightInd w:val="0"/>
              <w:snapToGrid w:val="0"/>
              <w:spacing w:line="240" w:lineRule="auto"/>
              <w:ind w:firstLine="0" w:firstLineChars="0"/>
              <w:jc w:val="center"/>
              <w:rPr>
                <w:kern w:val="0"/>
                <w:sz w:val="21"/>
                <w:szCs w:val="21"/>
              </w:rPr>
            </w:pPr>
          </w:p>
        </w:tc>
        <w:tc>
          <w:tcPr>
            <w:tcW w:w="1058" w:type="pct"/>
            <w:vAlign w:val="center"/>
          </w:tcPr>
          <w:p w14:paraId="0E77FE22">
            <w:pPr>
              <w:pStyle w:val="90"/>
            </w:pPr>
            <w:r>
              <w:rPr>
                <w:rFonts w:hint="eastAsia"/>
              </w:rPr>
              <w:t>石油类</w:t>
            </w:r>
          </w:p>
        </w:tc>
        <w:tc>
          <w:tcPr>
            <w:tcW w:w="474" w:type="pct"/>
          </w:tcPr>
          <w:p w14:paraId="1F2BFCB1">
            <w:pPr>
              <w:adjustRightInd w:val="0"/>
              <w:snapToGrid w:val="0"/>
              <w:spacing w:line="240" w:lineRule="auto"/>
              <w:ind w:firstLine="0" w:firstLineChars="0"/>
              <w:jc w:val="center"/>
              <w:rPr>
                <w:sz w:val="21"/>
                <w:szCs w:val="20"/>
              </w:rPr>
            </w:pPr>
            <w:r>
              <w:rPr>
                <w:sz w:val="21"/>
                <w:szCs w:val="20"/>
              </w:rPr>
              <w:t>t/a</w:t>
            </w:r>
          </w:p>
        </w:tc>
        <w:tc>
          <w:tcPr>
            <w:tcW w:w="628" w:type="pct"/>
            <w:vAlign w:val="center"/>
          </w:tcPr>
          <w:p w14:paraId="073DF4E1">
            <w:pPr>
              <w:adjustRightInd w:val="0"/>
              <w:snapToGrid w:val="0"/>
              <w:spacing w:line="240" w:lineRule="auto"/>
              <w:ind w:firstLine="0" w:firstLineChars="0"/>
              <w:jc w:val="center"/>
              <w:rPr>
                <w:sz w:val="21"/>
                <w:szCs w:val="20"/>
              </w:rPr>
            </w:pPr>
            <w:r>
              <w:rPr>
                <w:rFonts w:hint="eastAsia"/>
                <w:sz w:val="21"/>
                <w:szCs w:val="20"/>
              </w:rPr>
              <w:t>0</w:t>
            </w:r>
            <w:r>
              <w:rPr>
                <w:sz w:val="21"/>
                <w:szCs w:val="20"/>
              </w:rPr>
              <w:t>.141</w:t>
            </w:r>
          </w:p>
        </w:tc>
        <w:tc>
          <w:tcPr>
            <w:tcW w:w="943" w:type="pct"/>
            <w:vMerge w:val="continue"/>
            <w:vAlign w:val="center"/>
          </w:tcPr>
          <w:p w14:paraId="09EF131D">
            <w:pPr>
              <w:widowControl/>
              <w:adjustRightInd w:val="0"/>
              <w:snapToGrid w:val="0"/>
              <w:spacing w:line="240" w:lineRule="auto"/>
              <w:ind w:firstLine="0" w:firstLineChars="0"/>
              <w:jc w:val="center"/>
              <w:rPr>
                <w:kern w:val="0"/>
                <w:sz w:val="21"/>
                <w:szCs w:val="21"/>
              </w:rPr>
            </w:pPr>
          </w:p>
        </w:tc>
        <w:tc>
          <w:tcPr>
            <w:tcW w:w="627" w:type="pct"/>
            <w:vAlign w:val="center"/>
          </w:tcPr>
          <w:p w14:paraId="2005DF26">
            <w:pPr>
              <w:adjustRightInd w:val="0"/>
              <w:snapToGrid w:val="0"/>
              <w:spacing w:line="240" w:lineRule="auto"/>
              <w:ind w:firstLine="0" w:firstLineChars="0"/>
              <w:jc w:val="center"/>
              <w:rPr>
                <w:sz w:val="21"/>
                <w:szCs w:val="20"/>
              </w:rPr>
            </w:pPr>
            <w:r>
              <w:rPr>
                <w:rFonts w:hint="eastAsia"/>
                <w:sz w:val="21"/>
                <w:szCs w:val="20"/>
              </w:rPr>
              <w:t>0</w:t>
            </w:r>
            <w:r>
              <w:rPr>
                <w:sz w:val="21"/>
                <w:szCs w:val="20"/>
              </w:rPr>
              <w:t>.136</w:t>
            </w:r>
          </w:p>
        </w:tc>
        <w:tc>
          <w:tcPr>
            <w:tcW w:w="1084" w:type="dxa"/>
            <w:vAlign w:val="center"/>
          </w:tcPr>
          <w:p w14:paraId="654E0A16">
            <w:pPr>
              <w:adjustRightInd w:val="0"/>
              <w:snapToGrid w:val="0"/>
              <w:spacing w:line="240" w:lineRule="auto"/>
              <w:ind w:firstLine="0" w:firstLineChars="0"/>
              <w:jc w:val="center"/>
              <w:rPr>
                <w:sz w:val="21"/>
                <w:szCs w:val="20"/>
              </w:rPr>
            </w:pPr>
            <w:r>
              <w:rPr>
                <w:rFonts w:hint="eastAsia"/>
                <w:sz w:val="21"/>
                <w:szCs w:val="20"/>
              </w:rPr>
              <w:t>0</w:t>
            </w:r>
            <w:r>
              <w:rPr>
                <w:sz w:val="21"/>
                <w:szCs w:val="20"/>
              </w:rPr>
              <w:t>.005</w:t>
            </w:r>
          </w:p>
        </w:tc>
      </w:tr>
      <w:tr w14:paraId="069D5F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6" w:hRule="atLeast"/>
          <w:tblHeader/>
        </w:trPr>
        <w:tc>
          <w:tcPr>
            <w:tcW w:w="211" w:type="pct"/>
            <w:vMerge w:val="restart"/>
            <w:vAlign w:val="center"/>
          </w:tcPr>
          <w:p w14:paraId="2393E208">
            <w:pPr>
              <w:widowControl/>
              <w:adjustRightInd w:val="0"/>
              <w:snapToGrid w:val="0"/>
              <w:spacing w:line="240" w:lineRule="auto"/>
              <w:ind w:firstLine="0" w:firstLineChars="0"/>
              <w:jc w:val="center"/>
              <w:rPr>
                <w:kern w:val="0"/>
                <w:sz w:val="21"/>
                <w:szCs w:val="21"/>
              </w:rPr>
            </w:pPr>
            <w:r>
              <w:rPr>
                <w:rFonts w:hint="eastAsia"/>
                <w:kern w:val="0"/>
                <w:sz w:val="21"/>
                <w:szCs w:val="21"/>
              </w:rPr>
              <w:t>固体废物</w:t>
            </w:r>
          </w:p>
        </w:tc>
        <w:tc>
          <w:tcPr>
            <w:tcW w:w="1494" w:type="pct"/>
            <w:gridSpan w:val="2"/>
            <w:vAlign w:val="center"/>
          </w:tcPr>
          <w:p w14:paraId="00EF3162">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生活垃圾</w:t>
            </w:r>
          </w:p>
        </w:tc>
        <w:tc>
          <w:tcPr>
            <w:tcW w:w="474" w:type="pct"/>
            <w:vAlign w:val="center"/>
          </w:tcPr>
          <w:p w14:paraId="7F02409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t/a</w:t>
            </w:r>
          </w:p>
        </w:tc>
        <w:tc>
          <w:tcPr>
            <w:tcW w:w="628" w:type="pct"/>
            <w:vAlign w:val="center"/>
          </w:tcPr>
          <w:p w14:paraId="1BC7BFB0">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35.25</w:t>
            </w:r>
          </w:p>
        </w:tc>
        <w:tc>
          <w:tcPr>
            <w:tcW w:w="943" w:type="pct"/>
            <w:vAlign w:val="center"/>
          </w:tcPr>
          <w:p w14:paraId="58F33CF9">
            <w:pPr>
              <w:widowControl/>
              <w:adjustRightInd w:val="0"/>
              <w:snapToGrid w:val="0"/>
              <w:spacing w:line="240" w:lineRule="auto"/>
              <w:ind w:firstLine="0" w:firstLineChars="0"/>
              <w:jc w:val="center"/>
              <w:rPr>
                <w:kern w:val="0"/>
                <w:sz w:val="21"/>
                <w:szCs w:val="21"/>
              </w:rPr>
            </w:pPr>
            <w:r>
              <w:rPr>
                <w:rFonts w:hint="eastAsia"/>
                <w:kern w:val="0"/>
                <w:sz w:val="21"/>
                <w:szCs w:val="21"/>
              </w:rPr>
              <w:t>垃圾桶收集</w:t>
            </w:r>
          </w:p>
        </w:tc>
        <w:tc>
          <w:tcPr>
            <w:tcW w:w="627" w:type="pct"/>
            <w:vAlign w:val="center"/>
          </w:tcPr>
          <w:p w14:paraId="08CAEF95">
            <w:pPr>
              <w:widowControl/>
              <w:adjustRightInd w:val="0"/>
              <w:snapToGrid w:val="0"/>
              <w:spacing w:line="240" w:lineRule="auto"/>
              <w:ind w:firstLine="0" w:firstLineChars="0"/>
              <w:jc w:val="center"/>
              <w:rPr>
                <w:kern w:val="0"/>
                <w:sz w:val="21"/>
                <w:szCs w:val="21"/>
              </w:rPr>
            </w:pPr>
            <w:r>
              <w:rPr>
                <w:kern w:val="0"/>
                <w:sz w:val="21"/>
                <w:szCs w:val="21"/>
              </w:rPr>
              <w:t>35.25</w:t>
            </w:r>
          </w:p>
        </w:tc>
        <w:tc>
          <w:tcPr>
            <w:tcW w:w="620" w:type="pct"/>
            <w:vAlign w:val="center"/>
          </w:tcPr>
          <w:p w14:paraId="5445BBBA">
            <w:pPr>
              <w:widowControl/>
              <w:adjustRightInd w:val="0"/>
              <w:snapToGrid w:val="0"/>
              <w:spacing w:line="240" w:lineRule="auto"/>
              <w:ind w:firstLine="0" w:firstLineChars="0"/>
              <w:jc w:val="center"/>
              <w:rPr>
                <w:kern w:val="0"/>
                <w:sz w:val="21"/>
                <w:szCs w:val="21"/>
              </w:rPr>
            </w:pPr>
            <w:r>
              <w:rPr>
                <w:kern w:val="0"/>
                <w:sz w:val="21"/>
                <w:szCs w:val="21"/>
              </w:rPr>
              <w:t>0</w:t>
            </w:r>
          </w:p>
        </w:tc>
      </w:tr>
      <w:tr w14:paraId="35EC13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3B1609ED">
            <w:pPr>
              <w:widowControl/>
              <w:adjustRightInd w:val="0"/>
              <w:snapToGrid w:val="0"/>
              <w:spacing w:line="240" w:lineRule="auto"/>
              <w:ind w:firstLine="0" w:firstLineChars="0"/>
              <w:jc w:val="center"/>
              <w:rPr>
                <w:kern w:val="0"/>
                <w:sz w:val="21"/>
                <w:szCs w:val="21"/>
              </w:rPr>
            </w:pPr>
          </w:p>
        </w:tc>
        <w:tc>
          <w:tcPr>
            <w:tcW w:w="435" w:type="pct"/>
            <w:vAlign w:val="center"/>
          </w:tcPr>
          <w:p w14:paraId="533EE154">
            <w:pPr>
              <w:widowControl/>
              <w:adjustRightInd w:val="0"/>
              <w:snapToGrid w:val="0"/>
              <w:spacing w:line="240" w:lineRule="auto"/>
              <w:ind w:firstLine="0" w:firstLineChars="0"/>
              <w:jc w:val="center"/>
              <w:rPr>
                <w:kern w:val="0"/>
                <w:sz w:val="21"/>
                <w:szCs w:val="21"/>
              </w:rPr>
            </w:pPr>
            <w:r>
              <w:rPr>
                <w:rFonts w:hint="eastAsia"/>
                <w:kern w:val="0"/>
                <w:sz w:val="21"/>
                <w:szCs w:val="21"/>
              </w:rPr>
              <w:t>一般固体废物</w:t>
            </w:r>
          </w:p>
        </w:tc>
        <w:tc>
          <w:tcPr>
            <w:tcW w:w="1058" w:type="pct"/>
            <w:vAlign w:val="center"/>
          </w:tcPr>
          <w:p w14:paraId="40E61667">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包装废料</w:t>
            </w:r>
          </w:p>
        </w:tc>
        <w:tc>
          <w:tcPr>
            <w:tcW w:w="474" w:type="pct"/>
            <w:vAlign w:val="center"/>
          </w:tcPr>
          <w:p w14:paraId="3463D5C5">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t</w:t>
            </w:r>
            <w:r>
              <w:rPr>
                <w:kern w:val="0"/>
                <w:sz w:val="21"/>
                <w:szCs w:val="21"/>
                <w:lang w:eastAsia="en-US"/>
              </w:rPr>
              <w:t>/a</w:t>
            </w:r>
          </w:p>
        </w:tc>
        <w:tc>
          <w:tcPr>
            <w:tcW w:w="628" w:type="pct"/>
            <w:vAlign w:val="center"/>
          </w:tcPr>
          <w:p w14:paraId="201C2D70">
            <w:pPr>
              <w:adjustRightInd w:val="0"/>
              <w:snapToGrid w:val="0"/>
              <w:spacing w:line="240" w:lineRule="auto"/>
              <w:ind w:firstLine="0" w:firstLineChars="0"/>
              <w:jc w:val="center"/>
              <w:rPr>
                <w:sz w:val="21"/>
                <w:szCs w:val="20"/>
              </w:rPr>
            </w:pPr>
            <w:r>
              <w:rPr>
                <w:rFonts w:hint="eastAsia"/>
                <w:sz w:val="21"/>
                <w:szCs w:val="20"/>
              </w:rPr>
              <w:t>7</w:t>
            </w:r>
            <w:r>
              <w:rPr>
                <w:sz w:val="21"/>
                <w:szCs w:val="20"/>
              </w:rPr>
              <w:t>.875</w:t>
            </w:r>
          </w:p>
        </w:tc>
        <w:tc>
          <w:tcPr>
            <w:tcW w:w="943" w:type="pct"/>
            <w:vAlign w:val="center"/>
          </w:tcPr>
          <w:p w14:paraId="54AA8EAF">
            <w:pPr>
              <w:widowControl/>
              <w:adjustRightInd w:val="0"/>
              <w:snapToGrid w:val="0"/>
              <w:spacing w:line="240" w:lineRule="auto"/>
              <w:ind w:firstLine="0" w:firstLineChars="0"/>
              <w:jc w:val="center"/>
              <w:rPr>
                <w:kern w:val="0"/>
                <w:sz w:val="21"/>
                <w:szCs w:val="21"/>
              </w:rPr>
            </w:pPr>
            <w:r>
              <w:rPr>
                <w:rFonts w:hint="eastAsia"/>
                <w:kern w:val="0"/>
                <w:sz w:val="21"/>
                <w:szCs w:val="21"/>
              </w:rPr>
              <w:t>外售</w:t>
            </w:r>
          </w:p>
        </w:tc>
        <w:tc>
          <w:tcPr>
            <w:tcW w:w="627" w:type="pct"/>
            <w:vAlign w:val="center"/>
          </w:tcPr>
          <w:p w14:paraId="5DBE594B">
            <w:pPr>
              <w:adjustRightInd w:val="0"/>
              <w:snapToGrid w:val="0"/>
              <w:spacing w:line="240" w:lineRule="auto"/>
              <w:ind w:firstLine="0" w:firstLineChars="0"/>
              <w:jc w:val="center"/>
              <w:rPr>
                <w:sz w:val="21"/>
                <w:szCs w:val="20"/>
              </w:rPr>
            </w:pPr>
            <w:r>
              <w:rPr>
                <w:sz w:val="21"/>
                <w:szCs w:val="20"/>
              </w:rPr>
              <w:t>7.875</w:t>
            </w:r>
          </w:p>
        </w:tc>
        <w:tc>
          <w:tcPr>
            <w:tcW w:w="620" w:type="pct"/>
            <w:vAlign w:val="center"/>
          </w:tcPr>
          <w:p w14:paraId="475E71E5">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5F8C6D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7361629A">
            <w:pPr>
              <w:widowControl/>
              <w:adjustRightInd w:val="0"/>
              <w:snapToGrid w:val="0"/>
              <w:spacing w:line="240" w:lineRule="auto"/>
              <w:ind w:firstLine="0" w:firstLineChars="0"/>
              <w:jc w:val="center"/>
              <w:rPr>
                <w:kern w:val="0"/>
                <w:sz w:val="21"/>
                <w:szCs w:val="21"/>
              </w:rPr>
            </w:pPr>
          </w:p>
        </w:tc>
        <w:tc>
          <w:tcPr>
            <w:tcW w:w="435" w:type="pct"/>
            <w:vMerge w:val="restart"/>
            <w:vAlign w:val="center"/>
          </w:tcPr>
          <w:p w14:paraId="19B0E7E3">
            <w:pPr>
              <w:widowControl/>
              <w:adjustRightInd w:val="0"/>
              <w:snapToGrid w:val="0"/>
              <w:spacing w:line="240" w:lineRule="auto"/>
              <w:ind w:firstLine="0" w:firstLineChars="0"/>
              <w:jc w:val="center"/>
              <w:rPr>
                <w:kern w:val="0"/>
                <w:sz w:val="21"/>
                <w:szCs w:val="21"/>
              </w:rPr>
            </w:pPr>
            <w:r>
              <w:rPr>
                <w:rFonts w:hint="eastAsia"/>
                <w:kern w:val="0"/>
                <w:sz w:val="21"/>
                <w:szCs w:val="21"/>
              </w:rPr>
              <w:t>危险废物</w:t>
            </w:r>
          </w:p>
        </w:tc>
        <w:tc>
          <w:tcPr>
            <w:tcW w:w="1058" w:type="pct"/>
            <w:vAlign w:val="center"/>
          </w:tcPr>
          <w:p w14:paraId="0D428511">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白土废渣</w:t>
            </w:r>
          </w:p>
        </w:tc>
        <w:tc>
          <w:tcPr>
            <w:tcW w:w="474" w:type="pct"/>
            <w:vAlign w:val="center"/>
          </w:tcPr>
          <w:p w14:paraId="13A12CDC">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t</w:t>
            </w:r>
            <w:r>
              <w:rPr>
                <w:kern w:val="0"/>
                <w:sz w:val="21"/>
                <w:szCs w:val="21"/>
                <w:lang w:eastAsia="en-US"/>
              </w:rPr>
              <w:t>/a</w:t>
            </w:r>
          </w:p>
        </w:tc>
        <w:tc>
          <w:tcPr>
            <w:tcW w:w="628" w:type="pct"/>
            <w:vAlign w:val="center"/>
          </w:tcPr>
          <w:p w14:paraId="072644AF">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12</w:t>
            </w:r>
          </w:p>
        </w:tc>
        <w:tc>
          <w:tcPr>
            <w:tcW w:w="943" w:type="pct"/>
            <w:vMerge w:val="restart"/>
            <w:vAlign w:val="center"/>
          </w:tcPr>
          <w:p w14:paraId="718A7A40">
            <w:pPr>
              <w:widowControl/>
              <w:adjustRightInd w:val="0"/>
              <w:snapToGrid w:val="0"/>
              <w:spacing w:line="240" w:lineRule="auto"/>
              <w:ind w:firstLine="0" w:firstLineChars="0"/>
              <w:jc w:val="center"/>
              <w:rPr>
                <w:kern w:val="0"/>
                <w:sz w:val="21"/>
                <w:szCs w:val="21"/>
              </w:rPr>
            </w:pPr>
            <w:r>
              <w:rPr>
                <w:rFonts w:hint="eastAsia"/>
                <w:kern w:val="0"/>
                <w:sz w:val="21"/>
                <w:szCs w:val="21"/>
              </w:rPr>
              <w:t>危废库暂存，委托有资质单位处置</w:t>
            </w:r>
          </w:p>
        </w:tc>
        <w:tc>
          <w:tcPr>
            <w:tcW w:w="627" w:type="pct"/>
            <w:vAlign w:val="center"/>
          </w:tcPr>
          <w:p w14:paraId="591930E1">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12</w:t>
            </w:r>
          </w:p>
        </w:tc>
        <w:tc>
          <w:tcPr>
            <w:tcW w:w="620" w:type="pct"/>
            <w:vAlign w:val="center"/>
          </w:tcPr>
          <w:p w14:paraId="6C24832F">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567B9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79E75A19">
            <w:pPr>
              <w:widowControl/>
              <w:adjustRightInd w:val="0"/>
              <w:snapToGrid w:val="0"/>
              <w:spacing w:line="240" w:lineRule="auto"/>
              <w:ind w:firstLine="0" w:firstLineChars="0"/>
              <w:jc w:val="center"/>
              <w:rPr>
                <w:kern w:val="0"/>
                <w:sz w:val="21"/>
                <w:szCs w:val="21"/>
              </w:rPr>
            </w:pPr>
          </w:p>
        </w:tc>
        <w:tc>
          <w:tcPr>
            <w:tcW w:w="435" w:type="pct"/>
            <w:vMerge w:val="continue"/>
            <w:vAlign w:val="center"/>
          </w:tcPr>
          <w:p w14:paraId="35790103">
            <w:pPr>
              <w:widowControl/>
              <w:adjustRightInd w:val="0"/>
              <w:snapToGrid w:val="0"/>
              <w:spacing w:line="240" w:lineRule="auto"/>
              <w:ind w:firstLine="0" w:firstLineChars="0"/>
              <w:jc w:val="center"/>
              <w:rPr>
                <w:kern w:val="0"/>
                <w:sz w:val="21"/>
                <w:szCs w:val="21"/>
              </w:rPr>
            </w:pPr>
          </w:p>
        </w:tc>
        <w:tc>
          <w:tcPr>
            <w:tcW w:w="1058" w:type="pct"/>
            <w:vAlign w:val="center"/>
          </w:tcPr>
          <w:p w14:paraId="0B004F44">
            <w:pPr>
              <w:widowControl/>
              <w:adjustRightInd w:val="0"/>
              <w:snapToGrid w:val="0"/>
              <w:spacing w:line="240" w:lineRule="auto"/>
              <w:ind w:firstLine="0" w:firstLineChars="0"/>
              <w:jc w:val="center"/>
              <w:rPr>
                <w:kern w:val="0"/>
                <w:sz w:val="21"/>
                <w:szCs w:val="21"/>
                <w:lang w:eastAsia="en-US"/>
              </w:rPr>
            </w:pPr>
            <w:r>
              <w:rPr>
                <w:rFonts w:hint="eastAsia"/>
                <w:kern w:val="0"/>
                <w:sz w:val="21"/>
                <w:szCs w:val="21"/>
                <w:lang w:eastAsia="en-US"/>
              </w:rPr>
              <w:t>废活性炭</w:t>
            </w:r>
          </w:p>
        </w:tc>
        <w:tc>
          <w:tcPr>
            <w:tcW w:w="474" w:type="pct"/>
            <w:vAlign w:val="center"/>
          </w:tcPr>
          <w:p w14:paraId="6A9370D3">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lang w:eastAsia="en-US"/>
              </w:rPr>
              <w:t>/a</w:t>
            </w:r>
          </w:p>
        </w:tc>
        <w:tc>
          <w:tcPr>
            <w:tcW w:w="628" w:type="pct"/>
            <w:vAlign w:val="center"/>
          </w:tcPr>
          <w:p w14:paraId="34E698FC">
            <w:pPr>
              <w:widowControl/>
              <w:adjustRightInd w:val="0"/>
              <w:snapToGrid w:val="0"/>
              <w:spacing w:line="240" w:lineRule="auto"/>
              <w:ind w:firstLine="0" w:firstLineChars="0"/>
              <w:jc w:val="center"/>
              <w:rPr>
                <w:kern w:val="0"/>
                <w:sz w:val="21"/>
                <w:szCs w:val="21"/>
              </w:rPr>
            </w:pPr>
            <w:r>
              <w:rPr>
                <w:rFonts w:hint="eastAsia"/>
                <w:kern w:val="0"/>
                <w:sz w:val="21"/>
                <w:szCs w:val="21"/>
              </w:rPr>
              <w:t>5</w:t>
            </w:r>
            <w:r>
              <w:rPr>
                <w:kern w:val="0"/>
                <w:sz w:val="21"/>
                <w:szCs w:val="21"/>
              </w:rPr>
              <w:t>.53</w:t>
            </w:r>
          </w:p>
        </w:tc>
        <w:tc>
          <w:tcPr>
            <w:tcW w:w="943" w:type="pct"/>
            <w:vMerge w:val="continue"/>
            <w:vAlign w:val="center"/>
          </w:tcPr>
          <w:p w14:paraId="439B56A7">
            <w:pPr>
              <w:widowControl/>
              <w:adjustRightInd w:val="0"/>
              <w:snapToGrid w:val="0"/>
              <w:spacing w:line="240" w:lineRule="auto"/>
              <w:ind w:firstLine="0" w:firstLineChars="0"/>
              <w:jc w:val="center"/>
              <w:rPr>
                <w:kern w:val="0"/>
                <w:sz w:val="21"/>
                <w:szCs w:val="21"/>
              </w:rPr>
            </w:pPr>
          </w:p>
        </w:tc>
        <w:tc>
          <w:tcPr>
            <w:tcW w:w="627" w:type="pct"/>
            <w:vAlign w:val="center"/>
          </w:tcPr>
          <w:p w14:paraId="7349248C">
            <w:pPr>
              <w:widowControl/>
              <w:adjustRightInd w:val="0"/>
              <w:snapToGrid w:val="0"/>
              <w:spacing w:line="240" w:lineRule="auto"/>
              <w:ind w:firstLine="0" w:firstLineChars="0"/>
              <w:jc w:val="center"/>
              <w:rPr>
                <w:kern w:val="0"/>
                <w:sz w:val="21"/>
                <w:szCs w:val="21"/>
              </w:rPr>
            </w:pPr>
            <w:r>
              <w:rPr>
                <w:rFonts w:hint="eastAsia"/>
                <w:kern w:val="0"/>
                <w:sz w:val="21"/>
                <w:szCs w:val="21"/>
              </w:rPr>
              <w:t>5</w:t>
            </w:r>
            <w:r>
              <w:rPr>
                <w:kern w:val="0"/>
                <w:sz w:val="21"/>
                <w:szCs w:val="21"/>
              </w:rPr>
              <w:t>.53</w:t>
            </w:r>
          </w:p>
        </w:tc>
        <w:tc>
          <w:tcPr>
            <w:tcW w:w="620" w:type="pct"/>
            <w:vAlign w:val="center"/>
          </w:tcPr>
          <w:p w14:paraId="4B4596C5">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3AF6F5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08500026">
            <w:pPr>
              <w:widowControl/>
              <w:adjustRightInd w:val="0"/>
              <w:snapToGrid w:val="0"/>
              <w:spacing w:line="240" w:lineRule="auto"/>
              <w:ind w:firstLine="0" w:firstLineChars="0"/>
              <w:jc w:val="center"/>
              <w:rPr>
                <w:kern w:val="0"/>
                <w:sz w:val="21"/>
                <w:szCs w:val="21"/>
              </w:rPr>
            </w:pPr>
          </w:p>
        </w:tc>
        <w:tc>
          <w:tcPr>
            <w:tcW w:w="435" w:type="pct"/>
            <w:vMerge w:val="continue"/>
            <w:vAlign w:val="center"/>
          </w:tcPr>
          <w:p w14:paraId="4E6F8674">
            <w:pPr>
              <w:widowControl/>
              <w:adjustRightInd w:val="0"/>
              <w:snapToGrid w:val="0"/>
              <w:spacing w:line="240" w:lineRule="auto"/>
              <w:ind w:firstLine="0" w:firstLineChars="0"/>
              <w:jc w:val="center"/>
              <w:rPr>
                <w:kern w:val="0"/>
                <w:sz w:val="21"/>
                <w:szCs w:val="21"/>
              </w:rPr>
            </w:pPr>
          </w:p>
        </w:tc>
        <w:tc>
          <w:tcPr>
            <w:tcW w:w="1058" w:type="pct"/>
            <w:vAlign w:val="center"/>
          </w:tcPr>
          <w:p w14:paraId="60D36796">
            <w:pPr>
              <w:widowControl/>
              <w:adjustRightInd w:val="0"/>
              <w:snapToGrid w:val="0"/>
              <w:spacing w:line="240" w:lineRule="auto"/>
              <w:ind w:firstLine="0" w:firstLineChars="0"/>
              <w:jc w:val="center"/>
              <w:rPr>
                <w:kern w:val="0"/>
                <w:sz w:val="21"/>
                <w:szCs w:val="21"/>
                <w:lang w:eastAsia="en-US"/>
              </w:rPr>
            </w:pPr>
            <w:r>
              <w:rPr>
                <w:rFonts w:hint="eastAsia"/>
                <w:kern w:val="0"/>
                <w:sz w:val="21"/>
                <w:szCs w:val="21"/>
                <w:lang w:eastAsia="en-US"/>
              </w:rPr>
              <w:t>废导热油</w:t>
            </w:r>
          </w:p>
        </w:tc>
        <w:tc>
          <w:tcPr>
            <w:tcW w:w="474" w:type="pct"/>
            <w:vAlign w:val="center"/>
          </w:tcPr>
          <w:p w14:paraId="2ED349BA">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lang w:eastAsia="en-US"/>
              </w:rPr>
              <w:t>/a</w:t>
            </w:r>
          </w:p>
        </w:tc>
        <w:tc>
          <w:tcPr>
            <w:tcW w:w="628" w:type="pct"/>
            <w:vAlign w:val="center"/>
          </w:tcPr>
          <w:p w14:paraId="18181975">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943" w:type="pct"/>
            <w:vMerge w:val="continue"/>
            <w:vAlign w:val="center"/>
          </w:tcPr>
          <w:p w14:paraId="5B54C196">
            <w:pPr>
              <w:widowControl/>
              <w:adjustRightInd w:val="0"/>
              <w:snapToGrid w:val="0"/>
              <w:spacing w:line="240" w:lineRule="auto"/>
              <w:ind w:firstLine="0" w:firstLineChars="0"/>
              <w:jc w:val="center"/>
              <w:rPr>
                <w:kern w:val="0"/>
                <w:sz w:val="21"/>
                <w:szCs w:val="21"/>
              </w:rPr>
            </w:pPr>
          </w:p>
        </w:tc>
        <w:tc>
          <w:tcPr>
            <w:tcW w:w="627" w:type="pct"/>
            <w:vAlign w:val="center"/>
          </w:tcPr>
          <w:p w14:paraId="4FBCAB2E">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620" w:type="pct"/>
            <w:vAlign w:val="center"/>
          </w:tcPr>
          <w:p w14:paraId="5BC15799">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270097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11" w:type="pct"/>
            <w:vMerge w:val="continue"/>
            <w:vAlign w:val="center"/>
          </w:tcPr>
          <w:p w14:paraId="36421286">
            <w:pPr>
              <w:widowControl/>
              <w:adjustRightInd w:val="0"/>
              <w:snapToGrid w:val="0"/>
              <w:spacing w:line="240" w:lineRule="auto"/>
              <w:ind w:firstLine="0" w:firstLineChars="0"/>
              <w:jc w:val="center"/>
              <w:rPr>
                <w:kern w:val="0"/>
                <w:sz w:val="21"/>
                <w:szCs w:val="21"/>
              </w:rPr>
            </w:pPr>
          </w:p>
        </w:tc>
        <w:tc>
          <w:tcPr>
            <w:tcW w:w="435" w:type="pct"/>
            <w:vMerge w:val="continue"/>
            <w:vAlign w:val="center"/>
          </w:tcPr>
          <w:p w14:paraId="4A9A1543">
            <w:pPr>
              <w:widowControl/>
              <w:adjustRightInd w:val="0"/>
              <w:snapToGrid w:val="0"/>
              <w:spacing w:line="240" w:lineRule="auto"/>
              <w:ind w:firstLine="0" w:firstLineChars="0"/>
              <w:jc w:val="center"/>
              <w:rPr>
                <w:kern w:val="0"/>
                <w:sz w:val="21"/>
                <w:szCs w:val="21"/>
              </w:rPr>
            </w:pPr>
          </w:p>
        </w:tc>
        <w:tc>
          <w:tcPr>
            <w:tcW w:w="1058" w:type="pct"/>
            <w:vAlign w:val="center"/>
          </w:tcPr>
          <w:p w14:paraId="43F30FD8">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污泥</w:t>
            </w:r>
          </w:p>
        </w:tc>
        <w:tc>
          <w:tcPr>
            <w:tcW w:w="474" w:type="pct"/>
            <w:vAlign w:val="center"/>
          </w:tcPr>
          <w:p w14:paraId="44378DDD">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628" w:type="pct"/>
            <w:vAlign w:val="center"/>
          </w:tcPr>
          <w:p w14:paraId="52183D6B">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.95</w:t>
            </w:r>
          </w:p>
        </w:tc>
        <w:tc>
          <w:tcPr>
            <w:tcW w:w="943" w:type="pct"/>
            <w:vMerge w:val="continue"/>
            <w:vAlign w:val="center"/>
          </w:tcPr>
          <w:p w14:paraId="0FFE6575">
            <w:pPr>
              <w:widowControl/>
              <w:adjustRightInd w:val="0"/>
              <w:snapToGrid w:val="0"/>
              <w:spacing w:line="240" w:lineRule="auto"/>
              <w:ind w:firstLine="0" w:firstLineChars="0"/>
              <w:jc w:val="center"/>
              <w:rPr>
                <w:kern w:val="0"/>
                <w:sz w:val="21"/>
                <w:szCs w:val="21"/>
              </w:rPr>
            </w:pPr>
          </w:p>
        </w:tc>
        <w:tc>
          <w:tcPr>
            <w:tcW w:w="627" w:type="pct"/>
            <w:vAlign w:val="center"/>
          </w:tcPr>
          <w:p w14:paraId="08EB0CE0">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.95</w:t>
            </w:r>
          </w:p>
        </w:tc>
        <w:tc>
          <w:tcPr>
            <w:tcW w:w="620" w:type="pct"/>
            <w:vAlign w:val="center"/>
          </w:tcPr>
          <w:p w14:paraId="4A4E08FF">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bl>
    <w:p w14:paraId="348C3776">
      <w:pPr>
        <w:bidi w:val="0"/>
        <w:rPr>
          <w:rFonts w:hint="default" w:eastAsia="宋体"/>
          <w:lang w:val="en-US" w:eastAsia="zh-CN"/>
        </w:rPr>
      </w:pPr>
      <w:r>
        <w:rPr>
          <w:rFonts w:hint="eastAsia"/>
          <w:lang w:val="en-US" w:eastAsia="zh-CN"/>
        </w:rPr>
        <w:t>本项目变更前后的污染物产生变化，主要包括废气、废水中污染物排放量增加，噪声级固体废物产排情况无变化，具体变化情况见表3.5-3。</w:t>
      </w:r>
    </w:p>
    <w:p w14:paraId="2F9D9086">
      <w:pPr>
        <w:pStyle w:val="47"/>
        <w:spacing w:before="65"/>
        <w:rPr>
          <w:rFonts w:hint="default"/>
          <w:lang w:val="en-US" w:eastAsia="zh-CN"/>
        </w:rPr>
      </w:pPr>
      <w:r>
        <w:rPr>
          <w:rFonts w:hint="eastAsia"/>
          <w:lang w:val="en-US" w:eastAsia="zh-CN"/>
        </w:rPr>
        <w:t>表3.5-3   本项目变更前后污染物变化</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07"/>
        <w:gridCol w:w="421"/>
        <w:gridCol w:w="791"/>
        <w:gridCol w:w="2235"/>
        <w:gridCol w:w="751"/>
        <w:gridCol w:w="1529"/>
        <w:gridCol w:w="1079"/>
        <w:gridCol w:w="1514"/>
      </w:tblGrid>
      <w:tr w14:paraId="01FDD7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927" w:type="pct"/>
            <w:gridSpan w:val="3"/>
            <w:vAlign w:val="center"/>
          </w:tcPr>
          <w:p w14:paraId="74F6EDB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类别</w:t>
            </w:r>
          </w:p>
        </w:tc>
        <w:tc>
          <w:tcPr>
            <w:tcW w:w="1280" w:type="pct"/>
            <w:vAlign w:val="center"/>
          </w:tcPr>
          <w:p w14:paraId="39480474">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污染物</w:t>
            </w:r>
            <w:r>
              <w:rPr>
                <w:rFonts w:hint="eastAsia"/>
                <w:kern w:val="0"/>
                <w:sz w:val="21"/>
                <w:szCs w:val="21"/>
                <w:lang w:eastAsia="en-US"/>
              </w:rPr>
              <w:t>名称</w:t>
            </w:r>
          </w:p>
        </w:tc>
        <w:tc>
          <w:tcPr>
            <w:tcW w:w="430" w:type="pct"/>
            <w:vAlign w:val="center"/>
          </w:tcPr>
          <w:p w14:paraId="168D4E01">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单位</w:t>
            </w:r>
          </w:p>
        </w:tc>
        <w:tc>
          <w:tcPr>
            <w:tcW w:w="876" w:type="pct"/>
            <w:vAlign w:val="center"/>
          </w:tcPr>
          <w:p w14:paraId="4BCCA68F">
            <w:pPr>
              <w:widowControl/>
              <w:adjustRightInd w:val="0"/>
              <w:snapToGrid w:val="0"/>
              <w:spacing w:line="240" w:lineRule="auto"/>
              <w:ind w:firstLine="0" w:firstLineChars="0"/>
              <w:jc w:val="center"/>
              <w:rPr>
                <w:kern w:val="0"/>
                <w:sz w:val="21"/>
                <w:szCs w:val="21"/>
                <w:lang w:eastAsia="en-US"/>
              </w:rPr>
            </w:pPr>
            <w:r>
              <w:rPr>
                <w:rFonts w:hint="eastAsia"/>
                <w:kern w:val="0"/>
                <w:sz w:val="21"/>
                <w:szCs w:val="21"/>
                <w:lang w:val="en-US" w:eastAsia="zh-CN"/>
              </w:rPr>
              <w:t>原环评排放</w:t>
            </w:r>
            <w:r>
              <w:rPr>
                <w:kern w:val="0"/>
                <w:sz w:val="21"/>
                <w:szCs w:val="21"/>
                <w:lang w:eastAsia="en-US"/>
              </w:rPr>
              <w:t>量</w:t>
            </w:r>
          </w:p>
        </w:tc>
        <w:tc>
          <w:tcPr>
            <w:tcW w:w="618" w:type="pct"/>
            <w:vAlign w:val="center"/>
          </w:tcPr>
          <w:p w14:paraId="570C46A4">
            <w:pPr>
              <w:widowControl/>
              <w:adjustRightInd w:val="0"/>
              <w:snapToGrid w:val="0"/>
              <w:spacing w:line="240" w:lineRule="auto"/>
              <w:ind w:firstLine="0" w:firstLineChars="0"/>
              <w:jc w:val="center"/>
              <w:rPr>
                <w:kern w:val="0"/>
                <w:sz w:val="21"/>
                <w:szCs w:val="21"/>
                <w:lang w:eastAsia="en-US"/>
              </w:rPr>
            </w:pPr>
            <w:r>
              <w:rPr>
                <w:rFonts w:hint="eastAsia"/>
                <w:kern w:val="0"/>
                <w:sz w:val="21"/>
                <w:szCs w:val="21"/>
                <w:lang w:val="en-US" w:eastAsia="zh-CN"/>
              </w:rPr>
              <w:t>本次排放</w:t>
            </w:r>
            <w:r>
              <w:rPr>
                <w:kern w:val="0"/>
                <w:sz w:val="21"/>
                <w:szCs w:val="21"/>
                <w:lang w:eastAsia="en-US"/>
              </w:rPr>
              <w:t>量</w:t>
            </w:r>
          </w:p>
        </w:tc>
        <w:tc>
          <w:tcPr>
            <w:tcW w:w="867" w:type="pct"/>
            <w:vAlign w:val="center"/>
          </w:tcPr>
          <w:p w14:paraId="051EBE35">
            <w:pPr>
              <w:widowControl/>
              <w:adjustRightInd w:val="0"/>
              <w:snapToGrid w:val="0"/>
              <w:spacing w:line="240" w:lineRule="auto"/>
              <w:ind w:firstLine="0" w:firstLineChars="0"/>
              <w:jc w:val="center"/>
              <w:rPr>
                <w:rFonts w:hint="default" w:eastAsia="宋体"/>
                <w:kern w:val="0"/>
                <w:sz w:val="21"/>
                <w:szCs w:val="21"/>
                <w:lang w:val="en-US" w:eastAsia="zh-CN"/>
              </w:rPr>
            </w:pPr>
            <w:r>
              <w:rPr>
                <w:kern w:val="0"/>
                <w:sz w:val="21"/>
                <w:szCs w:val="21"/>
                <w:lang w:eastAsia="en-US"/>
              </w:rPr>
              <w:t>排放量</w:t>
            </w:r>
            <w:r>
              <w:rPr>
                <w:rFonts w:hint="eastAsia"/>
                <w:kern w:val="0"/>
                <w:sz w:val="21"/>
                <w:szCs w:val="21"/>
                <w:lang w:val="en-US" w:eastAsia="zh-CN"/>
              </w:rPr>
              <w:t>增减情况</w:t>
            </w:r>
          </w:p>
        </w:tc>
      </w:tr>
      <w:tr w14:paraId="3FE634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restart"/>
            <w:vAlign w:val="center"/>
          </w:tcPr>
          <w:p w14:paraId="61DC0BE6">
            <w:pPr>
              <w:adjustRightInd w:val="0"/>
              <w:snapToGrid w:val="0"/>
              <w:spacing w:line="240" w:lineRule="auto"/>
              <w:ind w:firstLine="0" w:firstLineChars="0"/>
              <w:jc w:val="center"/>
              <w:rPr>
                <w:sz w:val="21"/>
                <w:szCs w:val="20"/>
              </w:rPr>
            </w:pPr>
            <w:r>
              <w:rPr>
                <w:rFonts w:hint="eastAsia"/>
                <w:sz w:val="21"/>
                <w:szCs w:val="20"/>
              </w:rPr>
              <w:t>废气</w:t>
            </w:r>
          </w:p>
        </w:tc>
        <w:tc>
          <w:tcPr>
            <w:tcW w:w="241" w:type="pct"/>
            <w:vMerge w:val="restart"/>
            <w:vAlign w:val="center"/>
          </w:tcPr>
          <w:p w14:paraId="3D05CAFB">
            <w:pPr>
              <w:adjustRightInd w:val="0"/>
              <w:snapToGrid w:val="0"/>
              <w:spacing w:line="240" w:lineRule="auto"/>
              <w:ind w:firstLine="0" w:firstLineChars="0"/>
              <w:jc w:val="center"/>
              <w:rPr>
                <w:sz w:val="21"/>
                <w:szCs w:val="20"/>
              </w:rPr>
            </w:pPr>
            <w:r>
              <w:rPr>
                <w:rFonts w:hint="eastAsia"/>
                <w:sz w:val="21"/>
                <w:szCs w:val="20"/>
              </w:rPr>
              <w:t>有组织</w:t>
            </w:r>
          </w:p>
        </w:tc>
        <w:tc>
          <w:tcPr>
            <w:tcW w:w="453" w:type="pct"/>
            <w:vMerge w:val="restart"/>
            <w:vAlign w:val="center"/>
          </w:tcPr>
          <w:p w14:paraId="64164945">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DA001</w:t>
            </w:r>
          </w:p>
        </w:tc>
        <w:tc>
          <w:tcPr>
            <w:tcW w:w="1280" w:type="pct"/>
            <w:vAlign w:val="center"/>
          </w:tcPr>
          <w:p w14:paraId="26F18BB2">
            <w:pPr>
              <w:pStyle w:val="90"/>
            </w:pPr>
            <w:r>
              <w:t>SO</w:t>
            </w:r>
            <w:r>
              <w:rPr>
                <w:vertAlign w:val="subscript"/>
              </w:rPr>
              <w:t>2</w:t>
            </w:r>
          </w:p>
        </w:tc>
        <w:tc>
          <w:tcPr>
            <w:tcW w:w="430" w:type="pct"/>
            <w:vAlign w:val="center"/>
          </w:tcPr>
          <w:p w14:paraId="60107704">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28836001">
            <w:pPr>
              <w:pStyle w:val="90"/>
            </w:pPr>
            <w:r>
              <w:rPr>
                <w:rFonts w:hint="eastAsia"/>
              </w:rPr>
              <w:t>0</w:t>
            </w:r>
            <w:r>
              <w:t>.018</w:t>
            </w:r>
          </w:p>
        </w:tc>
        <w:tc>
          <w:tcPr>
            <w:tcW w:w="618" w:type="pct"/>
            <w:vAlign w:val="center"/>
          </w:tcPr>
          <w:p w14:paraId="60EF94FA">
            <w:pPr>
              <w:pStyle w:val="90"/>
              <w:ind w:firstLine="0" w:firstLineChars="0"/>
              <w:rPr>
                <w:kern w:val="0"/>
                <w:sz w:val="21"/>
                <w:szCs w:val="20"/>
              </w:rPr>
            </w:pPr>
            <w:r>
              <w:rPr>
                <w:rFonts w:hint="eastAsia"/>
              </w:rPr>
              <w:t>0</w:t>
            </w:r>
            <w:r>
              <w:t>.018</w:t>
            </w:r>
          </w:p>
        </w:tc>
        <w:tc>
          <w:tcPr>
            <w:tcW w:w="867" w:type="pct"/>
            <w:vAlign w:val="center"/>
          </w:tcPr>
          <w:p w14:paraId="6F6B020A">
            <w:pPr>
              <w:pStyle w:val="90"/>
              <w:rPr>
                <w:rFonts w:hint="eastAsia" w:eastAsia="宋体"/>
                <w:lang w:eastAsia="zh-CN"/>
              </w:rPr>
            </w:pPr>
            <w:r>
              <w:rPr>
                <w:rFonts w:hint="eastAsia"/>
                <w:lang w:val="en-US" w:eastAsia="zh-CN"/>
              </w:rPr>
              <w:t>0</w:t>
            </w:r>
          </w:p>
        </w:tc>
      </w:tr>
      <w:tr w14:paraId="073EDD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51599329">
            <w:pPr>
              <w:adjustRightInd w:val="0"/>
              <w:snapToGrid w:val="0"/>
              <w:spacing w:line="240" w:lineRule="auto"/>
              <w:ind w:firstLine="0" w:firstLineChars="0"/>
              <w:jc w:val="center"/>
              <w:rPr>
                <w:sz w:val="21"/>
                <w:szCs w:val="20"/>
              </w:rPr>
            </w:pPr>
          </w:p>
        </w:tc>
        <w:tc>
          <w:tcPr>
            <w:tcW w:w="241" w:type="pct"/>
            <w:vMerge w:val="continue"/>
            <w:vAlign w:val="center"/>
          </w:tcPr>
          <w:p w14:paraId="47758811">
            <w:pPr>
              <w:adjustRightInd w:val="0"/>
              <w:snapToGrid w:val="0"/>
              <w:spacing w:line="240" w:lineRule="auto"/>
              <w:ind w:firstLine="0" w:firstLineChars="0"/>
              <w:jc w:val="center"/>
              <w:rPr>
                <w:sz w:val="21"/>
                <w:szCs w:val="20"/>
              </w:rPr>
            </w:pPr>
          </w:p>
        </w:tc>
        <w:tc>
          <w:tcPr>
            <w:tcW w:w="453" w:type="pct"/>
            <w:vMerge w:val="continue"/>
            <w:vAlign w:val="center"/>
          </w:tcPr>
          <w:p w14:paraId="6EDD917F">
            <w:pPr>
              <w:adjustRightInd w:val="0"/>
              <w:snapToGrid w:val="0"/>
              <w:spacing w:line="240" w:lineRule="auto"/>
              <w:ind w:firstLine="0" w:firstLineChars="0"/>
              <w:jc w:val="center"/>
              <w:rPr>
                <w:sz w:val="21"/>
                <w:szCs w:val="20"/>
              </w:rPr>
            </w:pPr>
          </w:p>
        </w:tc>
        <w:tc>
          <w:tcPr>
            <w:tcW w:w="1280" w:type="pct"/>
            <w:vAlign w:val="center"/>
          </w:tcPr>
          <w:p w14:paraId="5729C3FD">
            <w:pPr>
              <w:pStyle w:val="90"/>
            </w:pPr>
            <w:r>
              <w:t>NO</w:t>
            </w:r>
            <w:r>
              <w:rPr>
                <w:vertAlign w:val="subscript"/>
              </w:rPr>
              <w:t>x</w:t>
            </w:r>
          </w:p>
        </w:tc>
        <w:tc>
          <w:tcPr>
            <w:tcW w:w="430" w:type="pct"/>
            <w:vAlign w:val="center"/>
          </w:tcPr>
          <w:p w14:paraId="26BF9851">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453E83B3">
            <w:pPr>
              <w:pStyle w:val="90"/>
            </w:pPr>
            <w:r>
              <w:rPr>
                <w:rFonts w:hint="eastAsia"/>
              </w:rPr>
              <w:t>0</w:t>
            </w:r>
            <w:r>
              <w:t>.136</w:t>
            </w:r>
          </w:p>
        </w:tc>
        <w:tc>
          <w:tcPr>
            <w:tcW w:w="618" w:type="pct"/>
            <w:vAlign w:val="center"/>
          </w:tcPr>
          <w:p w14:paraId="7273F04A">
            <w:pPr>
              <w:pStyle w:val="90"/>
              <w:ind w:firstLine="0" w:firstLineChars="0"/>
              <w:rPr>
                <w:sz w:val="21"/>
                <w:szCs w:val="20"/>
              </w:rPr>
            </w:pPr>
            <w:r>
              <w:rPr>
                <w:rFonts w:hint="eastAsia"/>
              </w:rPr>
              <w:t>0</w:t>
            </w:r>
            <w:r>
              <w:t>.136</w:t>
            </w:r>
          </w:p>
        </w:tc>
        <w:tc>
          <w:tcPr>
            <w:tcW w:w="867" w:type="pct"/>
            <w:vAlign w:val="center"/>
          </w:tcPr>
          <w:p w14:paraId="6E4A66EA">
            <w:pPr>
              <w:pStyle w:val="90"/>
              <w:rPr>
                <w:rFonts w:hint="eastAsia" w:eastAsia="宋体"/>
                <w:lang w:val="en-US" w:eastAsia="zh-CN"/>
              </w:rPr>
            </w:pPr>
            <w:r>
              <w:rPr>
                <w:rFonts w:hint="eastAsia"/>
                <w:lang w:val="en-US" w:eastAsia="zh-CN"/>
              </w:rPr>
              <w:t>0</w:t>
            </w:r>
          </w:p>
        </w:tc>
      </w:tr>
      <w:tr w14:paraId="38C21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2A114D5D">
            <w:pPr>
              <w:adjustRightInd w:val="0"/>
              <w:snapToGrid w:val="0"/>
              <w:spacing w:line="240" w:lineRule="auto"/>
              <w:ind w:firstLine="0" w:firstLineChars="0"/>
              <w:jc w:val="center"/>
              <w:rPr>
                <w:sz w:val="21"/>
                <w:szCs w:val="20"/>
              </w:rPr>
            </w:pPr>
          </w:p>
        </w:tc>
        <w:tc>
          <w:tcPr>
            <w:tcW w:w="241" w:type="pct"/>
            <w:vMerge w:val="continue"/>
            <w:vAlign w:val="center"/>
          </w:tcPr>
          <w:p w14:paraId="0076844C">
            <w:pPr>
              <w:adjustRightInd w:val="0"/>
              <w:snapToGrid w:val="0"/>
              <w:spacing w:line="240" w:lineRule="auto"/>
              <w:ind w:firstLine="0" w:firstLineChars="0"/>
              <w:jc w:val="center"/>
              <w:rPr>
                <w:sz w:val="21"/>
                <w:szCs w:val="20"/>
              </w:rPr>
            </w:pPr>
          </w:p>
        </w:tc>
        <w:tc>
          <w:tcPr>
            <w:tcW w:w="453" w:type="pct"/>
            <w:vMerge w:val="continue"/>
            <w:vAlign w:val="center"/>
          </w:tcPr>
          <w:p w14:paraId="6CF0CF50">
            <w:pPr>
              <w:adjustRightInd w:val="0"/>
              <w:snapToGrid w:val="0"/>
              <w:spacing w:line="240" w:lineRule="auto"/>
              <w:ind w:firstLine="0" w:firstLineChars="0"/>
              <w:jc w:val="center"/>
              <w:rPr>
                <w:sz w:val="21"/>
                <w:szCs w:val="20"/>
              </w:rPr>
            </w:pPr>
          </w:p>
        </w:tc>
        <w:tc>
          <w:tcPr>
            <w:tcW w:w="1280" w:type="pct"/>
            <w:vAlign w:val="center"/>
          </w:tcPr>
          <w:p w14:paraId="39696240">
            <w:pPr>
              <w:pStyle w:val="90"/>
            </w:pPr>
            <w:r>
              <w:rPr>
                <w:rFonts w:hint="eastAsia"/>
              </w:rPr>
              <w:t>颗粒物</w:t>
            </w:r>
          </w:p>
        </w:tc>
        <w:tc>
          <w:tcPr>
            <w:tcW w:w="430" w:type="pct"/>
            <w:vAlign w:val="center"/>
          </w:tcPr>
          <w:p w14:paraId="63E6E681">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46AFC25F">
            <w:pPr>
              <w:pStyle w:val="90"/>
            </w:pPr>
            <w:r>
              <w:t>0.1</w:t>
            </w:r>
          </w:p>
        </w:tc>
        <w:tc>
          <w:tcPr>
            <w:tcW w:w="618" w:type="pct"/>
            <w:vAlign w:val="center"/>
          </w:tcPr>
          <w:p w14:paraId="1034F88D">
            <w:pPr>
              <w:pStyle w:val="90"/>
              <w:ind w:firstLine="0" w:firstLineChars="0"/>
              <w:rPr>
                <w:sz w:val="21"/>
                <w:szCs w:val="20"/>
              </w:rPr>
            </w:pPr>
            <w:r>
              <w:t>0.1</w:t>
            </w:r>
          </w:p>
        </w:tc>
        <w:tc>
          <w:tcPr>
            <w:tcW w:w="867" w:type="pct"/>
            <w:vAlign w:val="center"/>
          </w:tcPr>
          <w:p w14:paraId="7B91A0ED">
            <w:pPr>
              <w:pStyle w:val="90"/>
              <w:rPr>
                <w:rFonts w:hint="eastAsia" w:eastAsia="宋体"/>
                <w:lang w:val="en-US" w:eastAsia="zh-CN"/>
              </w:rPr>
            </w:pPr>
            <w:r>
              <w:rPr>
                <w:rFonts w:hint="eastAsia"/>
                <w:lang w:val="en-US" w:eastAsia="zh-CN"/>
              </w:rPr>
              <w:t>0</w:t>
            </w:r>
          </w:p>
        </w:tc>
      </w:tr>
      <w:tr w14:paraId="6CBBC1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30F34703">
            <w:pPr>
              <w:adjustRightInd w:val="0"/>
              <w:snapToGrid w:val="0"/>
              <w:spacing w:line="240" w:lineRule="auto"/>
              <w:ind w:firstLine="0" w:firstLineChars="0"/>
              <w:jc w:val="center"/>
              <w:rPr>
                <w:sz w:val="21"/>
                <w:szCs w:val="20"/>
              </w:rPr>
            </w:pPr>
          </w:p>
        </w:tc>
        <w:tc>
          <w:tcPr>
            <w:tcW w:w="241" w:type="pct"/>
            <w:vMerge w:val="continue"/>
            <w:vAlign w:val="center"/>
          </w:tcPr>
          <w:p w14:paraId="04A24565">
            <w:pPr>
              <w:adjustRightInd w:val="0"/>
              <w:snapToGrid w:val="0"/>
              <w:spacing w:line="240" w:lineRule="auto"/>
              <w:ind w:firstLine="0" w:firstLineChars="0"/>
              <w:jc w:val="center"/>
              <w:rPr>
                <w:sz w:val="21"/>
                <w:szCs w:val="20"/>
              </w:rPr>
            </w:pPr>
          </w:p>
        </w:tc>
        <w:tc>
          <w:tcPr>
            <w:tcW w:w="453" w:type="pct"/>
            <w:vAlign w:val="center"/>
          </w:tcPr>
          <w:p w14:paraId="25D0B31F">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DA002</w:t>
            </w:r>
          </w:p>
        </w:tc>
        <w:tc>
          <w:tcPr>
            <w:tcW w:w="1280" w:type="pct"/>
            <w:vAlign w:val="center"/>
          </w:tcPr>
          <w:p w14:paraId="318D8347">
            <w:pPr>
              <w:adjustRightInd w:val="0"/>
              <w:snapToGrid w:val="0"/>
              <w:spacing w:line="240" w:lineRule="auto"/>
              <w:ind w:firstLine="0" w:firstLineChars="0"/>
              <w:jc w:val="center"/>
              <w:rPr>
                <w:rFonts w:hint="eastAsia" w:eastAsia="宋体"/>
                <w:sz w:val="21"/>
                <w:szCs w:val="20"/>
                <w:lang w:eastAsia="zh-CN"/>
              </w:rPr>
            </w:pPr>
            <w:r>
              <w:rPr>
                <w:rFonts w:hint="eastAsia"/>
                <w:sz w:val="21"/>
                <w:szCs w:val="20"/>
              </w:rPr>
              <w:t>非甲烷总烃</w:t>
            </w:r>
          </w:p>
        </w:tc>
        <w:tc>
          <w:tcPr>
            <w:tcW w:w="430" w:type="pct"/>
            <w:vAlign w:val="center"/>
          </w:tcPr>
          <w:p w14:paraId="702D87CC">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686A5D92">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1.22</w:t>
            </w:r>
          </w:p>
        </w:tc>
        <w:tc>
          <w:tcPr>
            <w:tcW w:w="618" w:type="pct"/>
            <w:vAlign w:val="center"/>
          </w:tcPr>
          <w:p w14:paraId="6942F5EE">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1.22</w:t>
            </w:r>
          </w:p>
        </w:tc>
        <w:tc>
          <w:tcPr>
            <w:tcW w:w="867" w:type="pct"/>
            <w:vAlign w:val="center"/>
          </w:tcPr>
          <w:p w14:paraId="7A38967A">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w:t>
            </w:r>
          </w:p>
        </w:tc>
      </w:tr>
      <w:tr w14:paraId="522945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70E55F41">
            <w:pPr>
              <w:adjustRightInd w:val="0"/>
              <w:snapToGrid w:val="0"/>
              <w:spacing w:line="240" w:lineRule="auto"/>
              <w:ind w:firstLine="0" w:firstLineChars="0"/>
              <w:jc w:val="center"/>
              <w:rPr>
                <w:sz w:val="21"/>
                <w:szCs w:val="20"/>
              </w:rPr>
            </w:pPr>
          </w:p>
        </w:tc>
        <w:tc>
          <w:tcPr>
            <w:tcW w:w="241" w:type="pct"/>
            <w:vMerge w:val="continue"/>
            <w:vAlign w:val="center"/>
          </w:tcPr>
          <w:p w14:paraId="1262A471">
            <w:pPr>
              <w:adjustRightInd w:val="0"/>
              <w:snapToGrid w:val="0"/>
              <w:spacing w:line="240" w:lineRule="auto"/>
              <w:ind w:firstLine="0" w:firstLineChars="0"/>
              <w:jc w:val="center"/>
              <w:rPr>
                <w:sz w:val="21"/>
                <w:szCs w:val="20"/>
              </w:rPr>
            </w:pPr>
          </w:p>
        </w:tc>
        <w:tc>
          <w:tcPr>
            <w:tcW w:w="453" w:type="pct"/>
            <w:vMerge w:val="restart"/>
            <w:vAlign w:val="center"/>
          </w:tcPr>
          <w:p w14:paraId="0001B89A">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DA003（新增）</w:t>
            </w:r>
          </w:p>
        </w:tc>
        <w:tc>
          <w:tcPr>
            <w:tcW w:w="1280" w:type="pct"/>
            <w:vAlign w:val="center"/>
          </w:tcPr>
          <w:p w14:paraId="5E77A125">
            <w:pPr>
              <w:adjustRightInd w:val="0"/>
              <w:snapToGrid w:val="0"/>
              <w:spacing w:line="240" w:lineRule="auto"/>
              <w:ind w:firstLine="0" w:firstLineChars="0"/>
              <w:jc w:val="center"/>
              <w:rPr>
                <w:rFonts w:hint="eastAsia"/>
                <w:sz w:val="21"/>
                <w:szCs w:val="20"/>
              </w:rPr>
            </w:pPr>
            <w:r>
              <w:rPr>
                <w:rFonts w:hint="eastAsia"/>
                <w:sz w:val="21"/>
                <w:szCs w:val="20"/>
              </w:rPr>
              <w:t>非甲烷总烃</w:t>
            </w:r>
            <w:r>
              <w:rPr>
                <w:rFonts w:hint="eastAsia"/>
                <w:sz w:val="21"/>
                <w:szCs w:val="20"/>
                <w:lang w:val="en-US" w:eastAsia="zh-CN"/>
              </w:rPr>
              <w:t>（新增）</w:t>
            </w:r>
          </w:p>
        </w:tc>
        <w:tc>
          <w:tcPr>
            <w:tcW w:w="430" w:type="pct"/>
            <w:vAlign w:val="center"/>
          </w:tcPr>
          <w:p w14:paraId="4D86C345">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t/a</w:t>
            </w:r>
          </w:p>
        </w:tc>
        <w:tc>
          <w:tcPr>
            <w:tcW w:w="876" w:type="pct"/>
            <w:vAlign w:val="center"/>
          </w:tcPr>
          <w:p w14:paraId="2B4FD80D">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0</w:t>
            </w:r>
          </w:p>
        </w:tc>
        <w:tc>
          <w:tcPr>
            <w:tcW w:w="618" w:type="pct"/>
            <w:vAlign w:val="center"/>
          </w:tcPr>
          <w:p w14:paraId="08C78126">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5.141</w:t>
            </w:r>
          </w:p>
        </w:tc>
        <w:tc>
          <w:tcPr>
            <w:tcW w:w="867" w:type="pct"/>
            <w:vAlign w:val="center"/>
          </w:tcPr>
          <w:p w14:paraId="63F4B1F0">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+5.141</w:t>
            </w:r>
          </w:p>
        </w:tc>
      </w:tr>
      <w:tr w14:paraId="1B078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7B648DF4">
            <w:pPr>
              <w:adjustRightInd w:val="0"/>
              <w:snapToGrid w:val="0"/>
              <w:spacing w:line="240" w:lineRule="auto"/>
              <w:ind w:firstLine="0" w:firstLineChars="0"/>
              <w:jc w:val="center"/>
              <w:rPr>
                <w:sz w:val="21"/>
                <w:szCs w:val="20"/>
              </w:rPr>
            </w:pPr>
          </w:p>
        </w:tc>
        <w:tc>
          <w:tcPr>
            <w:tcW w:w="241" w:type="pct"/>
            <w:vMerge w:val="continue"/>
            <w:vAlign w:val="center"/>
          </w:tcPr>
          <w:p w14:paraId="20EADC5B">
            <w:pPr>
              <w:adjustRightInd w:val="0"/>
              <w:snapToGrid w:val="0"/>
              <w:spacing w:line="240" w:lineRule="auto"/>
              <w:ind w:firstLine="0" w:firstLineChars="0"/>
              <w:jc w:val="center"/>
              <w:rPr>
                <w:sz w:val="21"/>
                <w:szCs w:val="20"/>
              </w:rPr>
            </w:pPr>
          </w:p>
        </w:tc>
        <w:tc>
          <w:tcPr>
            <w:tcW w:w="453" w:type="pct"/>
            <w:vMerge w:val="continue"/>
            <w:vAlign w:val="center"/>
          </w:tcPr>
          <w:p w14:paraId="720EF160">
            <w:pPr>
              <w:adjustRightInd w:val="0"/>
              <w:snapToGrid w:val="0"/>
              <w:spacing w:line="240" w:lineRule="auto"/>
              <w:ind w:firstLine="0" w:firstLineChars="0"/>
              <w:jc w:val="center"/>
              <w:rPr>
                <w:rFonts w:hint="eastAsia"/>
                <w:sz w:val="21"/>
                <w:szCs w:val="20"/>
                <w:lang w:val="en-US" w:eastAsia="zh-CN"/>
              </w:rPr>
            </w:pPr>
          </w:p>
        </w:tc>
        <w:tc>
          <w:tcPr>
            <w:tcW w:w="1280" w:type="pct"/>
            <w:vAlign w:val="center"/>
          </w:tcPr>
          <w:p w14:paraId="71EA1FAD">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硫酸雾（新增）</w:t>
            </w:r>
          </w:p>
        </w:tc>
        <w:tc>
          <w:tcPr>
            <w:tcW w:w="430" w:type="pct"/>
            <w:vAlign w:val="center"/>
          </w:tcPr>
          <w:p w14:paraId="2DEF8715">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t/a</w:t>
            </w:r>
          </w:p>
        </w:tc>
        <w:tc>
          <w:tcPr>
            <w:tcW w:w="876" w:type="pct"/>
            <w:vAlign w:val="center"/>
          </w:tcPr>
          <w:p w14:paraId="74DE24AD">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0</w:t>
            </w:r>
          </w:p>
        </w:tc>
        <w:tc>
          <w:tcPr>
            <w:tcW w:w="618" w:type="pct"/>
            <w:vAlign w:val="center"/>
          </w:tcPr>
          <w:p w14:paraId="09BFF962">
            <w:pPr>
              <w:adjustRightInd w:val="0"/>
              <w:snapToGrid w:val="0"/>
              <w:spacing w:line="240" w:lineRule="auto"/>
              <w:ind w:firstLine="0" w:firstLineChars="0"/>
              <w:jc w:val="center"/>
              <w:rPr>
                <w:sz w:val="21"/>
                <w:szCs w:val="20"/>
              </w:rPr>
            </w:pPr>
            <w:r>
              <w:rPr>
                <w:rFonts w:hint="eastAsia"/>
                <w:sz w:val="21"/>
                <w:szCs w:val="20"/>
                <w:lang w:val="en-US" w:eastAsia="zh-CN"/>
              </w:rPr>
              <w:t>0.093</w:t>
            </w:r>
          </w:p>
        </w:tc>
        <w:tc>
          <w:tcPr>
            <w:tcW w:w="867" w:type="pct"/>
            <w:vAlign w:val="center"/>
          </w:tcPr>
          <w:p w14:paraId="42AFCCC8">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+0.093</w:t>
            </w:r>
          </w:p>
        </w:tc>
      </w:tr>
      <w:tr w14:paraId="0A7C71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36953CCD">
            <w:pPr>
              <w:widowControl/>
              <w:adjustRightInd w:val="0"/>
              <w:snapToGrid w:val="0"/>
              <w:spacing w:line="240" w:lineRule="auto"/>
              <w:ind w:firstLine="0" w:firstLineChars="0"/>
              <w:jc w:val="center"/>
              <w:rPr>
                <w:kern w:val="0"/>
                <w:sz w:val="21"/>
                <w:szCs w:val="21"/>
                <w:lang w:eastAsia="en-US"/>
              </w:rPr>
            </w:pPr>
          </w:p>
        </w:tc>
        <w:tc>
          <w:tcPr>
            <w:tcW w:w="694" w:type="pct"/>
            <w:gridSpan w:val="2"/>
            <w:vMerge w:val="restart"/>
            <w:vAlign w:val="center"/>
          </w:tcPr>
          <w:p w14:paraId="72A36761">
            <w:pPr>
              <w:adjustRightInd w:val="0"/>
              <w:snapToGrid w:val="0"/>
              <w:spacing w:line="240" w:lineRule="auto"/>
              <w:ind w:firstLine="0" w:firstLineChars="0"/>
              <w:jc w:val="center"/>
              <w:rPr>
                <w:sz w:val="21"/>
                <w:szCs w:val="20"/>
              </w:rPr>
            </w:pPr>
            <w:r>
              <w:rPr>
                <w:rFonts w:hint="eastAsia"/>
                <w:sz w:val="21"/>
                <w:szCs w:val="20"/>
              </w:rPr>
              <w:t>无组织</w:t>
            </w:r>
          </w:p>
        </w:tc>
        <w:tc>
          <w:tcPr>
            <w:tcW w:w="1280" w:type="pct"/>
            <w:vAlign w:val="center"/>
          </w:tcPr>
          <w:p w14:paraId="0091BADB">
            <w:pPr>
              <w:widowControl/>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rPr>
              <w:t>非甲烷总烃</w:t>
            </w:r>
            <w:r>
              <w:rPr>
                <w:rFonts w:hint="eastAsia"/>
                <w:kern w:val="0"/>
                <w:sz w:val="21"/>
                <w:szCs w:val="21"/>
                <w:lang w:eastAsia="zh-CN"/>
              </w:rPr>
              <w:t>（</w:t>
            </w:r>
            <w:r>
              <w:rPr>
                <w:rFonts w:hint="eastAsia"/>
                <w:kern w:val="0"/>
                <w:sz w:val="21"/>
                <w:szCs w:val="21"/>
                <w:lang w:val="en-US" w:eastAsia="zh-CN"/>
              </w:rPr>
              <w:t>增加</w:t>
            </w:r>
            <w:r>
              <w:rPr>
                <w:rFonts w:hint="eastAsia"/>
                <w:kern w:val="0"/>
                <w:sz w:val="21"/>
                <w:szCs w:val="21"/>
                <w:lang w:eastAsia="zh-CN"/>
              </w:rPr>
              <w:t>）</w:t>
            </w:r>
          </w:p>
        </w:tc>
        <w:tc>
          <w:tcPr>
            <w:tcW w:w="430" w:type="pct"/>
            <w:vAlign w:val="center"/>
          </w:tcPr>
          <w:p w14:paraId="003C4694">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54B11D5B">
            <w:pPr>
              <w:widowControl/>
              <w:adjustRightInd w:val="0"/>
              <w:snapToGrid w:val="0"/>
              <w:spacing w:line="240" w:lineRule="auto"/>
              <w:ind w:firstLine="0" w:firstLineChars="0"/>
              <w:jc w:val="center"/>
              <w:rPr>
                <w:kern w:val="0"/>
                <w:sz w:val="21"/>
                <w:szCs w:val="21"/>
              </w:rPr>
            </w:pPr>
            <w:r>
              <w:rPr>
                <w:kern w:val="0"/>
                <w:sz w:val="21"/>
                <w:szCs w:val="21"/>
              </w:rPr>
              <w:t>0.4435</w:t>
            </w:r>
          </w:p>
        </w:tc>
        <w:tc>
          <w:tcPr>
            <w:tcW w:w="618" w:type="pct"/>
            <w:vAlign w:val="center"/>
          </w:tcPr>
          <w:p w14:paraId="3E509E41">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1.4437</w:t>
            </w:r>
          </w:p>
        </w:tc>
        <w:tc>
          <w:tcPr>
            <w:tcW w:w="867" w:type="pct"/>
            <w:vAlign w:val="center"/>
          </w:tcPr>
          <w:p w14:paraId="4FDE9FC5">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+1.0002</w:t>
            </w:r>
          </w:p>
        </w:tc>
      </w:tr>
      <w:tr w14:paraId="3CDCD5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47250206">
            <w:pPr>
              <w:widowControl/>
              <w:adjustRightInd w:val="0"/>
              <w:snapToGrid w:val="0"/>
              <w:spacing w:line="240" w:lineRule="auto"/>
              <w:ind w:firstLine="0" w:firstLineChars="0"/>
              <w:jc w:val="center"/>
              <w:rPr>
                <w:kern w:val="0"/>
                <w:sz w:val="21"/>
                <w:szCs w:val="21"/>
                <w:lang w:eastAsia="en-US"/>
              </w:rPr>
            </w:pPr>
          </w:p>
        </w:tc>
        <w:tc>
          <w:tcPr>
            <w:tcW w:w="694" w:type="pct"/>
            <w:gridSpan w:val="2"/>
            <w:vMerge w:val="continue"/>
            <w:vAlign w:val="center"/>
          </w:tcPr>
          <w:p w14:paraId="1558F65C">
            <w:pPr>
              <w:adjustRightInd w:val="0"/>
              <w:snapToGrid w:val="0"/>
              <w:spacing w:line="240" w:lineRule="auto"/>
              <w:ind w:firstLine="0" w:firstLineChars="0"/>
              <w:jc w:val="center"/>
              <w:rPr>
                <w:sz w:val="21"/>
                <w:szCs w:val="20"/>
              </w:rPr>
            </w:pPr>
          </w:p>
        </w:tc>
        <w:tc>
          <w:tcPr>
            <w:tcW w:w="1280" w:type="pct"/>
            <w:vAlign w:val="center"/>
          </w:tcPr>
          <w:p w14:paraId="634C29A3">
            <w:pPr>
              <w:widowControl/>
              <w:adjustRightInd w:val="0"/>
              <w:snapToGrid w:val="0"/>
              <w:spacing w:line="240" w:lineRule="auto"/>
              <w:ind w:firstLine="0" w:firstLineChars="0"/>
              <w:jc w:val="center"/>
              <w:rPr>
                <w:kern w:val="0"/>
                <w:sz w:val="21"/>
                <w:szCs w:val="21"/>
              </w:rPr>
            </w:pPr>
            <w:r>
              <w:rPr>
                <w:rFonts w:hint="eastAsia"/>
                <w:kern w:val="0"/>
                <w:sz w:val="21"/>
                <w:szCs w:val="21"/>
              </w:rPr>
              <w:t>氨</w:t>
            </w:r>
          </w:p>
        </w:tc>
        <w:tc>
          <w:tcPr>
            <w:tcW w:w="430" w:type="pct"/>
            <w:vAlign w:val="center"/>
          </w:tcPr>
          <w:p w14:paraId="391CBC6C">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34B147F7">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1079" w:type="dxa"/>
            <w:vAlign w:val="center"/>
          </w:tcPr>
          <w:p w14:paraId="39D6D22E">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867" w:type="pct"/>
            <w:vAlign w:val="center"/>
          </w:tcPr>
          <w:p w14:paraId="3E1B7ED1">
            <w:pPr>
              <w:widowControl/>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r>
      <w:tr w14:paraId="1E5B86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3110B265">
            <w:pPr>
              <w:widowControl/>
              <w:adjustRightInd w:val="0"/>
              <w:snapToGrid w:val="0"/>
              <w:spacing w:line="240" w:lineRule="auto"/>
              <w:ind w:firstLine="0" w:firstLineChars="0"/>
              <w:jc w:val="center"/>
              <w:rPr>
                <w:kern w:val="0"/>
                <w:sz w:val="21"/>
                <w:szCs w:val="21"/>
                <w:lang w:eastAsia="en-US"/>
              </w:rPr>
            </w:pPr>
          </w:p>
        </w:tc>
        <w:tc>
          <w:tcPr>
            <w:tcW w:w="694" w:type="pct"/>
            <w:gridSpan w:val="2"/>
            <w:vMerge w:val="continue"/>
            <w:vAlign w:val="center"/>
          </w:tcPr>
          <w:p w14:paraId="6ED06A6B">
            <w:pPr>
              <w:adjustRightInd w:val="0"/>
              <w:snapToGrid w:val="0"/>
              <w:spacing w:line="240" w:lineRule="auto"/>
              <w:ind w:firstLine="0" w:firstLineChars="0"/>
              <w:jc w:val="center"/>
              <w:rPr>
                <w:sz w:val="21"/>
                <w:szCs w:val="20"/>
              </w:rPr>
            </w:pPr>
          </w:p>
        </w:tc>
        <w:tc>
          <w:tcPr>
            <w:tcW w:w="1280" w:type="pct"/>
            <w:vAlign w:val="center"/>
          </w:tcPr>
          <w:p w14:paraId="44425EBC">
            <w:pPr>
              <w:widowControl/>
              <w:adjustRightInd w:val="0"/>
              <w:snapToGrid w:val="0"/>
              <w:spacing w:line="240" w:lineRule="auto"/>
              <w:ind w:firstLine="0" w:firstLineChars="0"/>
              <w:jc w:val="center"/>
              <w:rPr>
                <w:kern w:val="0"/>
                <w:sz w:val="21"/>
                <w:szCs w:val="21"/>
              </w:rPr>
            </w:pPr>
            <w:r>
              <w:rPr>
                <w:rFonts w:hint="eastAsia"/>
                <w:kern w:val="0"/>
                <w:sz w:val="21"/>
                <w:szCs w:val="21"/>
              </w:rPr>
              <w:t>硫化氢</w:t>
            </w:r>
          </w:p>
        </w:tc>
        <w:tc>
          <w:tcPr>
            <w:tcW w:w="430" w:type="pct"/>
            <w:vAlign w:val="center"/>
          </w:tcPr>
          <w:p w14:paraId="7F24D675">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5AEF5D2E">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1079" w:type="dxa"/>
            <w:vAlign w:val="center"/>
          </w:tcPr>
          <w:p w14:paraId="4C5CB551">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867" w:type="pct"/>
            <w:vAlign w:val="center"/>
          </w:tcPr>
          <w:p w14:paraId="1F737C73">
            <w:pPr>
              <w:widowControl/>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r>
      <w:tr w14:paraId="0E2513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restart"/>
            <w:vAlign w:val="center"/>
          </w:tcPr>
          <w:p w14:paraId="08FC7431">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废水</w:t>
            </w:r>
          </w:p>
        </w:tc>
        <w:tc>
          <w:tcPr>
            <w:tcW w:w="694" w:type="pct"/>
            <w:gridSpan w:val="2"/>
            <w:vMerge w:val="restart"/>
            <w:vAlign w:val="center"/>
          </w:tcPr>
          <w:p w14:paraId="49C096EA">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生产废水</w:t>
            </w:r>
          </w:p>
        </w:tc>
        <w:tc>
          <w:tcPr>
            <w:tcW w:w="1280" w:type="pct"/>
            <w:vAlign w:val="center"/>
          </w:tcPr>
          <w:p w14:paraId="1CCC3639">
            <w:pPr>
              <w:adjustRightInd w:val="0"/>
              <w:snapToGrid w:val="0"/>
              <w:spacing w:line="240" w:lineRule="auto"/>
              <w:ind w:firstLine="0" w:firstLineChars="0"/>
              <w:jc w:val="center"/>
              <w:rPr>
                <w:sz w:val="21"/>
                <w:szCs w:val="20"/>
              </w:rPr>
            </w:pPr>
            <w:r>
              <w:rPr>
                <w:rFonts w:hint="eastAsia"/>
                <w:sz w:val="21"/>
                <w:szCs w:val="20"/>
              </w:rPr>
              <w:t>废水水量</w:t>
            </w:r>
          </w:p>
        </w:tc>
        <w:tc>
          <w:tcPr>
            <w:tcW w:w="430" w:type="pct"/>
            <w:vAlign w:val="center"/>
          </w:tcPr>
          <w:p w14:paraId="6BC0BA79">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m</w:t>
            </w:r>
            <w:r>
              <w:rPr>
                <w:kern w:val="0"/>
                <w:sz w:val="21"/>
                <w:szCs w:val="21"/>
                <w:vertAlign w:val="superscript"/>
                <w:lang w:eastAsia="en-US"/>
              </w:rPr>
              <w:t>3</w:t>
            </w:r>
            <w:r>
              <w:rPr>
                <w:kern w:val="0"/>
                <w:sz w:val="21"/>
                <w:szCs w:val="21"/>
                <w:lang w:eastAsia="en-US"/>
              </w:rPr>
              <w:t>/a</w:t>
            </w:r>
          </w:p>
        </w:tc>
        <w:tc>
          <w:tcPr>
            <w:tcW w:w="876" w:type="pct"/>
            <w:vAlign w:val="center"/>
          </w:tcPr>
          <w:p w14:paraId="73CA4888">
            <w:pPr>
              <w:widowControl/>
              <w:adjustRightInd w:val="0"/>
              <w:snapToGrid w:val="0"/>
              <w:spacing w:line="240" w:lineRule="auto"/>
              <w:ind w:firstLine="0" w:firstLineChars="0"/>
              <w:jc w:val="center"/>
              <w:rPr>
                <w:kern w:val="0"/>
                <w:sz w:val="21"/>
                <w:szCs w:val="21"/>
              </w:rPr>
            </w:pPr>
            <w:r>
              <w:rPr>
                <w:kern w:val="0"/>
                <w:sz w:val="21"/>
                <w:szCs w:val="21"/>
              </w:rPr>
              <w:t>5464.74</w:t>
            </w:r>
          </w:p>
        </w:tc>
        <w:tc>
          <w:tcPr>
            <w:tcW w:w="618" w:type="pct"/>
            <w:vAlign w:val="center"/>
          </w:tcPr>
          <w:p w14:paraId="49C32DA2">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5822.74</w:t>
            </w:r>
          </w:p>
        </w:tc>
        <w:tc>
          <w:tcPr>
            <w:tcW w:w="867" w:type="pct"/>
            <w:vAlign w:val="center"/>
          </w:tcPr>
          <w:p w14:paraId="01196E23">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+358</w:t>
            </w:r>
          </w:p>
        </w:tc>
      </w:tr>
      <w:tr w14:paraId="03198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31BEF610">
            <w:pPr>
              <w:widowControl/>
              <w:adjustRightInd w:val="0"/>
              <w:snapToGrid w:val="0"/>
              <w:spacing w:line="240" w:lineRule="auto"/>
              <w:ind w:firstLine="0" w:firstLineChars="0"/>
              <w:jc w:val="center"/>
              <w:rPr>
                <w:kern w:val="0"/>
                <w:sz w:val="21"/>
                <w:szCs w:val="21"/>
                <w:lang w:eastAsia="en-US"/>
              </w:rPr>
            </w:pPr>
          </w:p>
        </w:tc>
        <w:tc>
          <w:tcPr>
            <w:tcW w:w="694" w:type="pct"/>
            <w:gridSpan w:val="2"/>
            <w:vMerge w:val="continue"/>
            <w:vAlign w:val="center"/>
          </w:tcPr>
          <w:p w14:paraId="1071AD88">
            <w:pPr>
              <w:widowControl/>
              <w:adjustRightInd w:val="0"/>
              <w:snapToGrid w:val="0"/>
              <w:spacing w:line="240" w:lineRule="auto"/>
              <w:ind w:firstLine="0" w:firstLineChars="0"/>
              <w:jc w:val="center"/>
              <w:rPr>
                <w:kern w:val="0"/>
                <w:sz w:val="21"/>
                <w:szCs w:val="21"/>
              </w:rPr>
            </w:pPr>
          </w:p>
        </w:tc>
        <w:tc>
          <w:tcPr>
            <w:tcW w:w="1280" w:type="pct"/>
            <w:vAlign w:val="center"/>
          </w:tcPr>
          <w:p w14:paraId="7EED08DC">
            <w:pPr>
              <w:pStyle w:val="90"/>
            </w:pPr>
            <w:r>
              <w:rPr>
                <w:rFonts w:hint="eastAsia"/>
              </w:rPr>
              <w:t>化学需氧量</w:t>
            </w:r>
          </w:p>
        </w:tc>
        <w:tc>
          <w:tcPr>
            <w:tcW w:w="430" w:type="pct"/>
          </w:tcPr>
          <w:p w14:paraId="7B6F4C13">
            <w:pPr>
              <w:adjustRightInd w:val="0"/>
              <w:snapToGrid w:val="0"/>
              <w:spacing w:line="240" w:lineRule="auto"/>
              <w:ind w:firstLine="0" w:firstLineChars="0"/>
              <w:jc w:val="center"/>
              <w:rPr>
                <w:sz w:val="21"/>
                <w:szCs w:val="20"/>
              </w:rPr>
            </w:pPr>
            <w:r>
              <w:rPr>
                <w:sz w:val="21"/>
                <w:szCs w:val="20"/>
              </w:rPr>
              <w:t>t/a</w:t>
            </w:r>
          </w:p>
        </w:tc>
        <w:tc>
          <w:tcPr>
            <w:tcW w:w="1529" w:type="dxa"/>
            <w:vAlign w:val="bottom"/>
          </w:tcPr>
          <w:p w14:paraId="267662A0">
            <w:pPr>
              <w:adjustRightInd w:val="0"/>
              <w:snapToGrid w:val="0"/>
              <w:spacing w:line="240" w:lineRule="auto"/>
              <w:ind w:firstLine="0" w:firstLineChars="0"/>
              <w:jc w:val="center"/>
              <w:rPr>
                <w:kern w:val="0"/>
                <w:sz w:val="21"/>
                <w:szCs w:val="20"/>
              </w:rPr>
            </w:pPr>
            <w:r>
              <w:rPr>
                <w:rFonts w:hint="eastAsia"/>
                <w:kern w:val="0"/>
                <w:sz w:val="21"/>
                <w:szCs w:val="20"/>
              </w:rPr>
              <w:t>1</w:t>
            </w:r>
            <w:r>
              <w:rPr>
                <w:kern w:val="0"/>
                <w:sz w:val="21"/>
                <w:szCs w:val="20"/>
              </w:rPr>
              <w:t>.684</w:t>
            </w:r>
          </w:p>
        </w:tc>
        <w:tc>
          <w:tcPr>
            <w:tcW w:w="618" w:type="pct"/>
            <w:vAlign w:val="center"/>
          </w:tcPr>
          <w:p w14:paraId="698960B6">
            <w:pPr>
              <w:adjustRightInd w:val="0"/>
              <w:snapToGrid w:val="0"/>
              <w:spacing w:line="240" w:lineRule="auto"/>
              <w:ind w:firstLine="0" w:firstLineChars="0"/>
              <w:jc w:val="center"/>
              <w:rPr>
                <w:rFonts w:hint="default" w:eastAsia="宋体"/>
                <w:kern w:val="0"/>
                <w:sz w:val="21"/>
                <w:szCs w:val="20"/>
                <w:lang w:val="en-US" w:eastAsia="zh-CN"/>
              </w:rPr>
            </w:pPr>
            <w:r>
              <w:rPr>
                <w:rFonts w:hint="eastAsia"/>
                <w:kern w:val="0"/>
                <w:sz w:val="21"/>
                <w:szCs w:val="20"/>
                <w:lang w:val="en-US" w:eastAsia="zh-CN"/>
              </w:rPr>
              <w:t>1.742</w:t>
            </w:r>
          </w:p>
        </w:tc>
        <w:tc>
          <w:tcPr>
            <w:tcW w:w="867" w:type="pct"/>
            <w:vAlign w:val="bottom"/>
          </w:tcPr>
          <w:p w14:paraId="30597B5A">
            <w:pPr>
              <w:adjustRightInd w:val="0"/>
              <w:snapToGrid w:val="0"/>
              <w:spacing w:line="240" w:lineRule="auto"/>
              <w:ind w:firstLine="0" w:firstLineChars="0"/>
              <w:jc w:val="center"/>
              <w:rPr>
                <w:rFonts w:hint="default" w:eastAsia="宋体"/>
                <w:kern w:val="0"/>
                <w:sz w:val="21"/>
                <w:szCs w:val="20"/>
                <w:lang w:val="en-US" w:eastAsia="zh-CN"/>
              </w:rPr>
            </w:pPr>
            <w:r>
              <w:rPr>
                <w:rFonts w:hint="eastAsia"/>
                <w:kern w:val="0"/>
                <w:sz w:val="21"/>
                <w:szCs w:val="20"/>
                <w:lang w:val="en-US" w:eastAsia="zh-CN"/>
              </w:rPr>
              <w:t>+0.058</w:t>
            </w:r>
          </w:p>
        </w:tc>
      </w:tr>
      <w:tr w14:paraId="63FA33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2A5E9996">
            <w:pPr>
              <w:widowControl/>
              <w:adjustRightInd w:val="0"/>
              <w:snapToGrid w:val="0"/>
              <w:spacing w:line="240" w:lineRule="auto"/>
              <w:ind w:firstLine="0" w:firstLineChars="0"/>
              <w:jc w:val="center"/>
              <w:rPr>
                <w:kern w:val="0"/>
                <w:sz w:val="21"/>
                <w:szCs w:val="21"/>
                <w:lang w:eastAsia="en-US"/>
              </w:rPr>
            </w:pPr>
          </w:p>
        </w:tc>
        <w:tc>
          <w:tcPr>
            <w:tcW w:w="694" w:type="pct"/>
            <w:gridSpan w:val="2"/>
            <w:vMerge w:val="continue"/>
            <w:vAlign w:val="center"/>
          </w:tcPr>
          <w:p w14:paraId="6608ED72">
            <w:pPr>
              <w:widowControl/>
              <w:adjustRightInd w:val="0"/>
              <w:snapToGrid w:val="0"/>
              <w:spacing w:line="240" w:lineRule="auto"/>
              <w:ind w:firstLine="0" w:firstLineChars="0"/>
              <w:jc w:val="center"/>
              <w:rPr>
                <w:kern w:val="0"/>
                <w:sz w:val="21"/>
                <w:szCs w:val="21"/>
              </w:rPr>
            </w:pPr>
          </w:p>
        </w:tc>
        <w:tc>
          <w:tcPr>
            <w:tcW w:w="1280" w:type="pct"/>
            <w:vAlign w:val="center"/>
          </w:tcPr>
          <w:p w14:paraId="3E97AC24">
            <w:pPr>
              <w:pStyle w:val="90"/>
            </w:pPr>
            <w:r>
              <w:rPr>
                <w:rFonts w:hint="eastAsia"/>
              </w:rPr>
              <w:t>氨氮</w:t>
            </w:r>
          </w:p>
        </w:tc>
        <w:tc>
          <w:tcPr>
            <w:tcW w:w="430" w:type="pct"/>
          </w:tcPr>
          <w:p w14:paraId="5E336D31">
            <w:pPr>
              <w:adjustRightInd w:val="0"/>
              <w:snapToGrid w:val="0"/>
              <w:spacing w:line="240" w:lineRule="auto"/>
              <w:ind w:firstLine="0" w:firstLineChars="0"/>
              <w:jc w:val="center"/>
              <w:rPr>
                <w:sz w:val="21"/>
                <w:szCs w:val="20"/>
              </w:rPr>
            </w:pPr>
            <w:r>
              <w:rPr>
                <w:sz w:val="21"/>
                <w:szCs w:val="20"/>
              </w:rPr>
              <w:t>t/a</w:t>
            </w:r>
          </w:p>
        </w:tc>
        <w:tc>
          <w:tcPr>
            <w:tcW w:w="1529" w:type="dxa"/>
            <w:vAlign w:val="bottom"/>
          </w:tcPr>
          <w:p w14:paraId="7AF2A5EE">
            <w:pPr>
              <w:adjustRightInd w:val="0"/>
              <w:snapToGrid w:val="0"/>
              <w:spacing w:line="240" w:lineRule="auto"/>
              <w:ind w:firstLine="0" w:firstLineChars="0"/>
              <w:jc w:val="center"/>
              <w:rPr>
                <w:sz w:val="21"/>
                <w:szCs w:val="20"/>
              </w:rPr>
            </w:pPr>
            <w:r>
              <w:rPr>
                <w:rFonts w:hint="eastAsia"/>
                <w:sz w:val="21"/>
                <w:szCs w:val="20"/>
              </w:rPr>
              <w:t>0</w:t>
            </w:r>
            <w:r>
              <w:rPr>
                <w:sz w:val="21"/>
                <w:szCs w:val="20"/>
              </w:rPr>
              <w:t>.076</w:t>
            </w:r>
          </w:p>
        </w:tc>
        <w:tc>
          <w:tcPr>
            <w:tcW w:w="618" w:type="pct"/>
            <w:vAlign w:val="center"/>
          </w:tcPr>
          <w:p w14:paraId="4D625675">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0.079</w:t>
            </w:r>
          </w:p>
        </w:tc>
        <w:tc>
          <w:tcPr>
            <w:tcW w:w="867" w:type="pct"/>
            <w:vAlign w:val="bottom"/>
          </w:tcPr>
          <w:p w14:paraId="68CDE0BE">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+0.003</w:t>
            </w:r>
          </w:p>
        </w:tc>
      </w:tr>
      <w:tr w14:paraId="42451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081AFD9A">
            <w:pPr>
              <w:widowControl/>
              <w:adjustRightInd w:val="0"/>
              <w:snapToGrid w:val="0"/>
              <w:spacing w:line="240" w:lineRule="auto"/>
              <w:ind w:firstLine="0" w:firstLineChars="0"/>
              <w:jc w:val="center"/>
              <w:rPr>
                <w:kern w:val="0"/>
                <w:sz w:val="21"/>
                <w:szCs w:val="21"/>
                <w:lang w:eastAsia="en-US"/>
              </w:rPr>
            </w:pPr>
          </w:p>
        </w:tc>
        <w:tc>
          <w:tcPr>
            <w:tcW w:w="694" w:type="pct"/>
            <w:gridSpan w:val="2"/>
            <w:vMerge w:val="continue"/>
            <w:vAlign w:val="center"/>
          </w:tcPr>
          <w:p w14:paraId="59BCB3A6">
            <w:pPr>
              <w:widowControl/>
              <w:adjustRightInd w:val="0"/>
              <w:snapToGrid w:val="0"/>
              <w:spacing w:line="240" w:lineRule="auto"/>
              <w:ind w:firstLine="0" w:firstLineChars="0"/>
              <w:jc w:val="center"/>
              <w:rPr>
                <w:kern w:val="0"/>
                <w:sz w:val="21"/>
                <w:szCs w:val="21"/>
              </w:rPr>
            </w:pPr>
          </w:p>
        </w:tc>
        <w:tc>
          <w:tcPr>
            <w:tcW w:w="1280" w:type="pct"/>
            <w:vAlign w:val="center"/>
          </w:tcPr>
          <w:p w14:paraId="6838792F">
            <w:pPr>
              <w:pStyle w:val="90"/>
            </w:pPr>
            <w:r>
              <w:rPr>
                <w:rFonts w:hint="eastAsia"/>
              </w:rPr>
              <w:t>SS</w:t>
            </w:r>
          </w:p>
        </w:tc>
        <w:tc>
          <w:tcPr>
            <w:tcW w:w="430" w:type="pct"/>
          </w:tcPr>
          <w:p w14:paraId="5EBF232A">
            <w:pPr>
              <w:adjustRightInd w:val="0"/>
              <w:snapToGrid w:val="0"/>
              <w:spacing w:line="240" w:lineRule="auto"/>
              <w:ind w:firstLine="0" w:firstLineChars="0"/>
              <w:jc w:val="center"/>
              <w:rPr>
                <w:sz w:val="21"/>
                <w:szCs w:val="20"/>
              </w:rPr>
            </w:pPr>
            <w:r>
              <w:rPr>
                <w:sz w:val="21"/>
                <w:szCs w:val="20"/>
              </w:rPr>
              <w:t>t/a</w:t>
            </w:r>
          </w:p>
        </w:tc>
        <w:tc>
          <w:tcPr>
            <w:tcW w:w="1529" w:type="dxa"/>
            <w:vAlign w:val="bottom"/>
          </w:tcPr>
          <w:p w14:paraId="093F7099">
            <w:pPr>
              <w:adjustRightInd w:val="0"/>
              <w:snapToGrid w:val="0"/>
              <w:spacing w:line="240" w:lineRule="auto"/>
              <w:ind w:firstLine="0" w:firstLineChars="0"/>
              <w:jc w:val="center"/>
              <w:rPr>
                <w:sz w:val="21"/>
                <w:szCs w:val="20"/>
              </w:rPr>
            </w:pPr>
            <w:r>
              <w:rPr>
                <w:rFonts w:hint="eastAsia"/>
                <w:sz w:val="21"/>
                <w:szCs w:val="20"/>
              </w:rPr>
              <w:t>0</w:t>
            </w:r>
            <w:r>
              <w:rPr>
                <w:sz w:val="21"/>
                <w:szCs w:val="20"/>
              </w:rPr>
              <w:t>.485</w:t>
            </w:r>
          </w:p>
        </w:tc>
        <w:tc>
          <w:tcPr>
            <w:tcW w:w="618" w:type="pct"/>
            <w:vAlign w:val="center"/>
          </w:tcPr>
          <w:p w14:paraId="0F8EF0B5">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0.514</w:t>
            </w:r>
          </w:p>
        </w:tc>
        <w:tc>
          <w:tcPr>
            <w:tcW w:w="867" w:type="pct"/>
            <w:vAlign w:val="bottom"/>
          </w:tcPr>
          <w:p w14:paraId="4C8CB969">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+0.029</w:t>
            </w:r>
          </w:p>
        </w:tc>
      </w:tr>
      <w:tr w14:paraId="5E61A6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228141A6">
            <w:pPr>
              <w:widowControl/>
              <w:adjustRightInd w:val="0"/>
              <w:snapToGrid w:val="0"/>
              <w:spacing w:line="240" w:lineRule="auto"/>
              <w:ind w:firstLine="0" w:firstLineChars="0"/>
              <w:jc w:val="center"/>
              <w:rPr>
                <w:kern w:val="0"/>
                <w:sz w:val="21"/>
                <w:szCs w:val="21"/>
                <w:lang w:eastAsia="en-US"/>
              </w:rPr>
            </w:pPr>
          </w:p>
        </w:tc>
        <w:tc>
          <w:tcPr>
            <w:tcW w:w="694" w:type="pct"/>
            <w:gridSpan w:val="2"/>
            <w:vMerge w:val="continue"/>
            <w:vAlign w:val="center"/>
          </w:tcPr>
          <w:p w14:paraId="516BAEF0">
            <w:pPr>
              <w:widowControl/>
              <w:adjustRightInd w:val="0"/>
              <w:snapToGrid w:val="0"/>
              <w:spacing w:line="240" w:lineRule="auto"/>
              <w:ind w:firstLine="0" w:firstLineChars="0"/>
              <w:jc w:val="center"/>
              <w:rPr>
                <w:kern w:val="0"/>
                <w:sz w:val="21"/>
                <w:szCs w:val="21"/>
              </w:rPr>
            </w:pPr>
          </w:p>
        </w:tc>
        <w:tc>
          <w:tcPr>
            <w:tcW w:w="1280" w:type="pct"/>
            <w:vAlign w:val="center"/>
          </w:tcPr>
          <w:p w14:paraId="5E1D527B">
            <w:pPr>
              <w:pStyle w:val="90"/>
            </w:pPr>
            <w:r>
              <w:rPr>
                <w:rFonts w:hint="eastAsia"/>
              </w:rPr>
              <w:t>石油类</w:t>
            </w:r>
          </w:p>
        </w:tc>
        <w:tc>
          <w:tcPr>
            <w:tcW w:w="430" w:type="pct"/>
          </w:tcPr>
          <w:p w14:paraId="3FAF1614">
            <w:pPr>
              <w:adjustRightInd w:val="0"/>
              <w:snapToGrid w:val="0"/>
              <w:spacing w:line="240" w:lineRule="auto"/>
              <w:ind w:firstLine="0" w:firstLineChars="0"/>
              <w:jc w:val="center"/>
              <w:rPr>
                <w:sz w:val="21"/>
                <w:szCs w:val="20"/>
              </w:rPr>
            </w:pPr>
            <w:r>
              <w:rPr>
                <w:sz w:val="21"/>
                <w:szCs w:val="20"/>
              </w:rPr>
              <w:t>t/a</w:t>
            </w:r>
          </w:p>
        </w:tc>
        <w:tc>
          <w:tcPr>
            <w:tcW w:w="1529" w:type="dxa"/>
            <w:vAlign w:val="bottom"/>
          </w:tcPr>
          <w:p w14:paraId="6ABFD325">
            <w:pPr>
              <w:adjustRightInd w:val="0"/>
              <w:snapToGrid w:val="0"/>
              <w:spacing w:line="240" w:lineRule="auto"/>
              <w:ind w:firstLine="0" w:firstLineChars="0"/>
              <w:jc w:val="center"/>
              <w:rPr>
                <w:sz w:val="21"/>
                <w:szCs w:val="20"/>
              </w:rPr>
            </w:pPr>
            <w:r>
              <w:rPr>
                <w:rFonts w:hint="eastAsia"/>
                <w:sz w:val="21"/>
                <w:szCs w:val="20"/>
              </w:rPr>
              <w:t>0</w:t>
            </w:r>
            <w:r>
              <w:rPr>
                <w:sz w:val="21"/>
                <w:szCs w:val="20"/>
              </w:rPr>
              <w:t>.005</w:t>
            </w:r>
          </w:p>
        </w:tc>
        <w:tc>
          <w:tcPr>
            <w:tcW w:w="618" w:type="pct"/>
            <w:vAlign w:val="center"/>
          </w:tcPr>
          <w:p w14:paraId="1EE927C3">
            <w:pPr>
              <w:adjustRightInd w:val="0"/>
              <w:snapToGrid w:val="0"/>
              <w:spacing w:line="240" w:lineRule="auto"/>
              <w:ind w:firstLine="0" w:firstLineChars="0"/>
              <w:jc w:val="center"/>
              <w:rPr>
                <w:sz w:val="21"/>
                <w:szCs w:val="20"/>
              </w:rPr>
            </w:pPr>
            <w:r>
              <w:rPr>
                <w:rFonts w:hint="eastAsia"/>
                <w:sz w:val="21"/>
                <w:szCs w:val="20"/>
              </w:rPr>
              <w:t>0</w:t>
            </w:r>
            <w:r>
              <w:rPr>
                <w:sz w:val="21"/>
                <w:szCs w:val="20"/>
              </w:rPr>
              <w:t>.005</w:t>
            </w:r>
          </w:p>
        </w:tc>
        <w:tc>
          <w:tcPr>
            <w:tcW w:w="867" w:type="pct"/>
            <w:vAlign w:val="bottom"/>
          </w:tcPr>
          <w:p w14:paraId="72443301">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0</w:t>
            </w:r>
          </w:p>
        </w:tc>
      </w:tr>
      <w:tr w14:paraId="269AF5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6" w:hRule="atLeast"/>
          <w:tblHeader/>
        </w:trPr>
        <w:tc>
          <w:tcPr>
            <w:tcW w:w="233" w:type="pct"/>
            <w:vMerge w:val="restart"/>
            <w:vAlign w:val="center"/>
          </w:tcPr>
          <w:p w14:paraId="55192E01">
            <w:pPr>
              <w:widowControl/>
              <w:adjustRightInd w:val="0"/>
              <w:snapToGrid w:val="0"/>
              <w:spacing w:line="240" w:lineRule="auto"/>
              <w:ind w:firstLine="0" w:firstLineChars="0"/>
              <w:jc w:val="center"/>
              <w:rPr>
                <w:kern w:val="0"/>
                <w:sz w:val="21"/>
                <w:szCs w:val="21"/>
              </w:rPr>
            </w:pPr>
            <w:r>
              <w:rPr>
                <w:rFonts w:hint="eastAsia"/>
                <w:kern w:val="0"/>
                <w:sz w:val="21"/>
                <w:szCs w:val="21"/>
              </w:rPr>
              <w:t>固体废物</w:t>
            </w:r>
          </w:p>
        </w:tc>
        <w:tc>
          <w:tcPr>
            <w:tcW w:w="1974" w:type="pct"/>
            <w:gridSpan w:val="3"/>
            <w:vAlign w:val="center"/>
          </w:tcPr>
          <w:p w14:paraId="0F41081A">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生活垃圾</w:t>
            </w:r>
          </w:p>
        </w:tc>
        <w:tc>
          <w:tcPr>
            <w:tcW w:w="430" w:type="pct"/>
            <w:vAlign w:val="center"/>
          </w:tcPr>
          <w:p w14:paraId="2817B64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t/a</w:t>
            </w:r>
          </w:p>
        </w:tc>
        <w:tc>
          <w:tcPr>
            <w:tcW w:w="876" w:type="pct"/>
            <w:vAlign w:val="center"/>
          </w:tcPr>
          <w:p w14:paraId="00AD9D66">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35.25</w:t>
            </w:r>
          </w:p>
        </w:tc>
        <w:tc>
          <w:tcPr>
            <w:tcW w:w="618" w:type="pct"/>
            <w:vAlign w:val="center"/>
          </w:tcPr>
          <w:p w14:paraId="15E92B73">
            <w:pPr>
              <w:widowControl/>
              <w:adjustRightInd w:val="0"/>
              <w:snapToGrid w:val="0"/>
              <w:spacing w:line="240" w:lineRule="auto"/>
              <w:ind w:firstLine="0" w:firstLineChars="0"/>
              <w:jc w:val="center"/>
              <w:rPr>
                <w:kern w:val="0"/>
                <w:sz w:val="21"/>
                <w:szCs w:val="21"/>
              </w:rPr>
            </w:pPr>
            <w:r>
              <w:rPr>
                <w:kern w:val="0"/>
                <w:sz w:val="21"/>
                <w:szCs w:val="21"/>
              </w:rPr>
              <w:t>35.25</w:t>
            </w:r>
          </w:p>
        </w:tc>
        <w:tc>
          <w:tcPr>
            <w:tcW w:w="867" w:type="pct"/>
            <w:vAlign w:val="center"/>
          </w:tcPr>
          <w:p w14:paraId="61AFA445">
            <w:pPr>
              <w:widowControl/>
              <w:adjustRightInd w:val="0"/>
              <w:snapToGrid w:val="0"/>
              <w:spacing w:line="240" w:lineRule="auto"/>
              <w:ind w:firstLine="0" w:firstLineChars="0"/>
              <w:jc w:val="center"/>
              <w:rPr>
                <w:kern w:val="0"/>
                <w:sz w:val="21"/>
                <w:szCs w:val="21"/>
              </w:rPr>
            </w:pPr>
            <w:r>
              <w:rPr>
                <w:kern w:val="0"/>
                <w:sz w:val="21"/>
                <w:szCs w:val="21"/>
              </w:rPr>
              <w:t>0</w:t>
            </w:r>
          </w:p>
        </w:tc>
      </w:tr>
      <w:tr w14:paraId="2481B5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61AB67BE">
            <w:pPr>
              <w:widowControl/>
              <w:adjustRightInd w:val="0"/>
              <w:snapToGrid w:val="0"/>
              <w:spacing w:line="240" w:lineRule="auto"/>
              <w:ind w:firstLine="0" w:firstLineChars="0"/>
              <w:jc w:val="center"/>
              <w:rPr>
                <w:kern w:val="0"/>
                <w:sz w:val="21"/>
                <w:szCs w:val="21"/>
              </w:rPr>
            </w:pPr>
          </w:p>
        </w:tc>
        <w:tc>
          <w:tcPr>
            <w:tcW w:w="694" w:type="pct"/>
            <w:gridSpan w:val="2"/>
            <w:vAlign w:val="center"/>
          </w:tcPr>
          <w:p w14:paraId="062BD92E">
            <w:pPr>
              <w:widowControl/>
              <w:adjustRightInd w:val="0"/>
              <w:snapToGrid w:val="0"/>
              <w:spacing w:line="240" w:lineRule="auto"/>
              <w:ind w:firstLine="0" w:firstLineChars="0"/>
              <w:jc w:val="center"/>
              <w:rPr>
                <w:kern w:val="0"/>
                <w:sz w:val="21"/>
                <w:szCs w:val="21"/>
              </w:rPr>
            </w:pPr>
            <w:r>
              <w:rPr>
                <w:rFonts w:hint="eastAsia"/>
                <w:kern w:val="0"/>
                <w:sz w:val="21"/>
                <w:szCs w:val="21"/>
              </w:rPr>
              <w:t>一般固体废物</w:t>
            </w:r>
          </w:p>
        </w:tc>
        <w:tc>
          <w:tcPr>
            <w:tcW w:w="1280" w:type="pct"/>
            <w:vAlign w:val="center"/>
          </w:tcPr>
          <w:p w14:paraId="33E54481">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包装废料</w:t>
            </w:r>
          </w:p>
        </w:tc>
        <w:tc>
          <w:tcPr>
            <w:tcW w:w="430" w:type="pct"/>
            <w:vAlign w:val="center"/>
          </w:tcPr>
          <w:p w14:paraId="3F0666B8">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t</w:t>
            </w:r>
            <w:r>
              <w:rPr>
                <w:kern w:val="0"/>
                <w:sz w:val="21"/>
                <w:szCs w:val="21"/>
                <w:lang w:eastAsia="en-US"/>
              </w:rPr>
              <w:t>/a</w:t>
            </w:r>
          </w:p>
        </w:tc>
        <w:tc>
          <w:tcPr>
            <w:tcW w:w="876" w:type="pct"/>
            <w:vAlign w:val="center"/>
          </w:tcPr>
          <w:p w14:paraId="7A4D4B11">
            <w:pPr>
              <w:adjustRightInd w:val="0"/>
              <w:snapToGrid w:val="0"/>
              <w:spacing w:line="240" w:lineRule="auto"/>
              <w:ind w:firstLine="0" w:firstLineChars="0"/>
              <w:jc w:val="center"/>
              <w:rPr>
                <w:sz w:val="21"/>
                <w:szCs w:val="20"/>
              </w:rPr>
            </w:pPr>
            <w:r>
              <w:rPr>
                <w:rFonts w:hint="eastAsia"/>
                <w:sz w:val="21"/>
                <w:szCs w:val="20"/>
              </w:rPr>
              <w:t>7</w:t>
            </w:r>
            <w:r>
              <w:rPr>
                <w:sz w:val="21"/>
                <w:szCs w:val="20"/>
              </w:rPr>
              <w:t>.875</w:t>
            </w:r>
          </w:p>
        </w:tc>
        <w:tc>
          <w:tcPr>
            <w:tcW w:w="618" w:type="pct"/>
            <w:vAlign w:val="center"/>
          </w:tcPr>
          <w:p w14:paraId="010637D8">
            <w:pPr>
              <w:adjustRightInd w:val="0"/>
              <w:snapToGrid w:val="0"/>
              <w:spacing w:line="240" w:lineRule="auto"/>
              <w:ind w:firstLine="0" w:firstLineChars="0"/>
              <w:jc w:val="center"/>
              <w:rPr>
                <w:sz w:val="21"/>
                <w:szCs w:val="20"/>
              </w:rPr>
            </w:pPr>
            <w:r>
              <w:rPr>
                <w:sz w:val="21"/>
                <w:szCs w:val="20"/>
              </w:rPr>
              <w:t>7.875</w:t>
            </w:r>
          </w:p>
        </w:tc>
        <w:tc>
          <w:tcPr>
            <w:tcW w:w="867" w:type="pct"/>
            <w:vAlign w:val="center"/>
          </w:tcPr>
          <w:p w14:paraId="717E16EB">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77CE4C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1F966152">
            <w:pPr>
              <w:widowControl/>
              <w:adjustRightInd w:val="0"/>
              <w:snapToGrid w:val="0"/>
              <w:spacing w:line="240" w:lineRule="auto"/>
              <w:ind w:firstLine="0" w:firstLineChars="0"/>
              <w:jc w:val="center"/>
              <w:rPr>
                <w:kern w:val="0"/>
                <w:sz w:val="21"/>
                <w:szCs w:val="21"/>
              </w:rPr>
            </w:pPr>
          </w:p>
        </w:tc>
        <w:tc>
          <w:tcPr>
            <w:tcW w:w="694" w:type="pct"/>
            <w:gridSpan w:val="2"/>
            <w:vMerge w:val="restart"/>
            <w:vAlign w:val="center"/>
          </w:tcPr>
          <w:p w14:paraId="654927F9">
            <w:pPr>
              <w:widowControl/>
              <w:adjustRightInd w:val="0"/>
              <w:snapToGrid w:val="0"/>
              <w:spacing w:line="240" w:lineRule="auto"/>
              <w:ind w:firstLine="0" w:firstLineChars="0"/>
              <w:jc w:val="center"/>
              <w:rPr>
                <w:kern w:val="0"/>
                <w:sz w:val="21"/>
                <w:szCs w:val="21"/>
              </w:rPr>
            </w:pPr>
            <w:r>
              <w:rPr>
                <w:rFonts w:hint="eastAsia"/>
                <w:kern w:val="0"/>
                <w:sz w:val="21"/>
                <w:szCs w:val="21"/>
              </w:rPr>
              <w:t>危险废物</w:t>
            </w:r>
          </w:p>
        </w:tc>
        <w:tc>
          <w:tcPr>
            <w:tcW w:w="1280" w:type="pct"/>
            <w:vAlign w:val="center"/>
          </w:tcPr>
          <w:p w14:paraId="4363DFCC">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白土废渣</w:t>
            </w:r>
          </w:p>
        </w:tc>
        <w:tc>
          <w:tcPr>
            <w:tcW w:w="430" w:type="pct"/>
            <w:vAlign w:val="center"/>
          </w:tcPr>
          <w:p w14:paraId="7F803C64">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t</w:t>
            </w:r>
            <w:r>
              <w:rPr>
                <w:kern w:val="0"/>
                <w:sz w:val="21"/>
                <w:szCs w:val="21"/>
                <w:lang w:eastAsia="en-US"/>
              </w:rPr>
              <w:t>/a</w:t>
            </w:r>
          </w:p>
        </w:tc>
        <w:tc>
          <w:tcPr>
            <w:tcW w:w="876" w:type="pct"/>
            <w:vAlign w:val="center"/>
          </w:tcPr>
          <w:p w14:paraId="09A21458">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12</w:t>
            </w:r>
          </w:p>
        </w:tc>
        <w:tc>
          <w:tcPr>
            <w:tcW w:w="618" w:type="pct"/>
            <w:vAlign w:val="center"/>
          </w:tcPr>
          <w:p w14:paraId="28968B68">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12</w:t>
            </w:r>
          </w:p>
        </w:tc>
        <w:tc>
          <w:tcPr>
            <w:tcW w:w="867" w:type="pct"/>
            <w:vAlign w:val="center"/>
          </w:tcPr>
          <w:p w14:paraId="29258CEC">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65BFF5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47FC81CA">
            <w:pPr>
              <w:widowControl/>
              <w:adjustRightInd w:val="0"/>
              <w:snapToGrid w:val="0"/>
              <w:spacing w:line="240" w:lineRule="auto"/>
              <w:ind w:firstLine="0" w:firstLineChars="0"/>
              <w:jc w:val="center"/>
              <w:rPr>
                <w:kern w:val="0"/>
                <w:sz w:val="21"/>
                <w:szCs w:val="21"/>
              </w:rPr>
            </w:pPr>
          </w:p>
        </w:tc>
        <w:tc>
          <w:tcPr>
            <w:tcW w:w="694" w:type="pct"/>
            <w:gridSpan w:val="2"/>
            <w:vMerge w:val="continue"/>
            <w:vAlign w:val="center"/>
          </w:tcPr>
          <w:p w14:paraId="3DF2BDEA">
            <w:pPr>
              <w:widowControl/>
              <w:adjustRightInd w:val="0"/>
              <w:snapToGrid w:val="0"/>
              <w:spacing w:line="240" w:lineRule="auto"/>
              <w:ind w:firstLine="0" w:firstLineChars="0"/>
              <w:jc w:val="center"/>
              <w:rPr>
                <w:kern w:val="0"/>
                <w:sz w:val="21"/>
                <w:szCs w:val="21"/>
              </w:rPr>
            </w:pPr>
          </w:p>
        </w:tc>
        <w:tc>
          <w:tcPr>
            <w:tcW w:w="1280" w:type="pct"/>
            <w:vAlign w:val="center"/>
          </w:tcPr>
          <w:p w14:paraId="45C8088C">
            <w:pPr>
              <w:widowControl/>
              <w:adjustRightInd w:val="0"/>
              <w:snapToGrid w:val="0"/>
              <w:spacing w:line="240" w:lineRule="auto"/>
              <w:ind w:firstLine="0" w:firstLineChars="0"/>
              <w:jc w:val="center"/>
              <w:rPr>
                <w:kern w:val="0"/>
                <w:sz w:val="21"/>
                <w:szCs w:val="21"/>
                <w:lang w:eastAsia="en-US"/>
              </w:rPr>
            </w:pPr>
            <w:r>
              <w:rPr>
                <w:rFonts w:hint="eastAsia"/>
                <w:kern w:val="0"/>
                <w:sz w:val="21"/>
                <w:szCs w:val="21"/>
                <w:lang w:eastAsia="en-US"/>
              </w:rPr>
              <w:t>废活性炭</w:t>
            </w:r>
          </w:p>
        </w:tc>
        <w:tc>
          <w:tcPr>
            <w:tcW w:w="430" w:type="pct"/>
            <w:vAlign w:val="center"/>
          </w:tcPr>
          <w:p w14:paraId="0C0815A9">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lang w:eastAsia="en-US"/>
              </w:rPr>
              <w:t>/a</w:t>
            </w:r>
          </w:p>
        </w:tc>
        <w:tc>
          <w:tcPr>
            <w:tcW w:w="876" w:type="pct"/>
            <w:vAlign w:val="center"/>
          </w:tcPr>
          <w:p w14:paraId="1996A1CE">
            <w:pPr>
              <w:widowControl/>
              <w:adjustRightInd w:val="0"/>
              <w:snapToGrid w:val="0"/>
              <w:spacing w:line="240" w:lineRule="auto"/>
              <w:ind w:firstLine="0" w:firstLineChars="0"/>
              <w:jc w:val="center"/>
              <w:rPr>
                <w:kern w:val="0"/>
                <w:sz w:val="21"/>
                <w:szCs w:val="21"/>
              </w:rPr>
            </w:pPr>
            <w:r>
              <w:rPr>
                <w:rFonts w:hint="eastAsia"/>
                <w:kern w:val="0"/>
                <w:sz w:val="21"/>
                <w:szCs w:val="21"/>
              </w:rPr>
              <w:t>5</w:t>
            </w:r>
            <w:r>
              <w:rPr>
                <w:kern w:val="0"/>
                <w:sz w:val="21"/>
                <w:szCs w:val="21"/>
              </w:rPr>
              <w:t>.53</w:t>
            </w:r>
          </w:p>
        </w:tc>
        <w:tc>
          <w:tcPr>
            <w:tcW w:w="618" w:type="pct"/>
            <w:vAlign w:val="center"/>
          </w:tcPr>
          <w:p w14:paraId="0C2DE552">
            <w:pPr>
              <w:widowControl/>
              <w:adjustRightInd w:val="0"/>
              <w:snapToGrid w:val="0"/>
              <w:spacing w:line="240" w:lineRule="auto"/>
              <w:ind w:firstLine="0" w:firstLineChars="0"/>
              <w:jc w:val="center"/>
              <w:rPr>
                <w:kern w:val="0"/>
                <w:sz w:val="21"/>
                <w:szCs w:val="21"/>
              </w:rPr>
            </w:pPr>
            <w:r>
              <w:rPr>
                <w:rFonts w:hint="eastAsia"/>
                <w:kern w:val="0"/>
                <w:sz w:val="21"/>
                <w:szCs w:val="21"/>
              </w:rPr>
              <w:t>5</w:t>
            </w:r>
            <w:r>
              <w:rPr>
                <w:kern w:val="0"/>
                <w:sz w:val="21"/>
                <w:szCs w:val="21"/>
              </w:rPr>
              <w:t>.53</w:t>
            </w:r>
          </w:p>
        </w:tc>
        <w:tc>
          <w:tcPr>
            <w:tcW w:w="867" w:type="pct"/>
            <w:vAlign w:val="center"/>
          </w:tcPr>
          <w:p w14:paraId="059A556A">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2521DC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11B0B359">
            <w:pPr>
              <w:widowControl/>
              <w:adjustRightInd w:val="0"/>
              <w:snapToGrid w:val="0"/>
              <w:spacing w:line="240" w:lineRule="auto"/>
              <w:ind w:firstLine="0" w:firstLineChars="0"/>
              <w:jc w:val="center"/>
              <w:rPr>
                <w:kern w:val="0"/>
                <w:sz w:val="21"/>
                <w:szCs w:val="21"/>
              </w:rPr>
            </w:pPr>
          </w:p>
        </w:tc>
        <w:tc>
          <w:tcPr>
            <w:tcW w:w="694" w:type="pct"/>
            <w:gridSpan w:val="2"/>
            <w:vMerge w:val="continue"/>
            <w:vAlign w:val="center"/>
          </w:tcPr>
          <w:p w14:paraId="57D3A3AA">
            <w:pPr>
              <w:widowControl/>
              <w:adjustRightInd w:val="0"/>
              <w:snapToGrid w:val="0"/>
              <w:spacing w:line="240" w:lineRule="auto"/>
              <w:ind w:firstLine="0" w:firstLineChars="0"/>
              <w:jc w:val="center"/>
              <w:rPr>
                <w:kern w:val="0"/>
                <w:sz w:val="21"/>
                <w:szCs w:val="21"/>
              </w:rPr>
            </w:pPr>
          </w:p>
        </w:tc>
        <w:tc>
          <w:tcPr>
            <w:tcW w:w="1280" w:type="pct"/>
            <w:vAlign w:val="center"/>
          </w:tcPr>
          <w:p w14:paraId="2505F857">
            <w:pPr>
              <w:widowControl/>
              <w:adjustRightInd w:val="0"/>
              <w:snapToGrid w:val="0"/>
              <w:spacing w:line="240" w:lineRule="auto"/>
              <w:ind w:firstLine="0" w:firstLineChars="0"/>
              <w:jc w:val="center"/>
              <w:rPr>
                <w:kern w:val="0"/>
                <w:sz w:val="21"/>
                <w:szCs w:val="21"/>
                <w:lang w:eastAsia="en-US"/>
              </w:rPr>
            </w:pPr>
            <w:r>
              <w:rPr>
                <w:rFonts w:hint="eastAsia"/>
                <w:kern w:val="0"/>
                <w:sz w:val="21"/>
                <w:szCs w:val="21"/>
                <w:lang w:eastAsia="en-US"/>
              </w:rPr>
              <w:t>废导热油</w:t>
            </w:r>
          </w:p>
        </w:tc>
        <w:tc>
          <w:tcPr>
            <w:tcW w:w="430" w:type="pct"/>
            <w:vAlign w:val="center"/>
          </w:tcPr>
          <w:p w14:paraId="76E9B671">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lang w:eastAsia="en-US"/>
              </w:rPr>
              <w:t>/a</w:t>
            </w:r>
          </w:p>
        </w:tc>
        <w:tc>
          <w:tcPr>
            <w:tcW w:w="876" w:type="pct"/>
            <w:vAlign w:val="center"/>
          </w:tcPr>
          <w:p w14:paraId="0E123C11">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618" w:type="pct"/>
            <w:vAlign w:val="center"/>
          </w:tcPr>
          <w:p w14:paraId="3F47224C">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.6</w:t>
            </w:r>
          </w:p>
        </w:tc>
        <w:tc>
          <w:tcPr>
            <w:tcW w:w="867" w:type="pct"/>
            <w:vAlign w:val="center"/>
          </w:tcPr>
          <w:p w14:paraId="37ABA039">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r w14:paraId="1DD05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233" w:type="pct"/>
            <w:vMerge w:val="continue"/>
            <w:vAlign w:val="center"/>
          </w:tcPr>
          <w:p w14:paraId="5BBF77BA">
            <w:pPr>
              <w:widowControl/>
              <w:adjustRightInd w:val="0"/>
              <w:snapToGrid w:val="0"/>
              <w:spacing w:line="240" w:lineRule="auto"/>
              <w:ind w:firstLine="0" w:firstLineChars="0"/>
              <w:jc w:val="center"/>
              <w:rPr>
                <w:kern w:val="0"/>
                <w:sz w:val="21"/>
                <w:szCs w:val="21"/>
              </w:rPr>
            </w:pPr>
          </w:p>
        </w:tc>
        <w:tc>
          <w:tcPr>
            <w:tcW w:w="694" w:type="pct"/>
            <w:gridSpan w:val="2"/>
            <w:vMerge w:val="continue"/>
            <w:vAlign w:val="center"/>
          </w:tcPr>
          <w:p w14:paraId="055CD7FC">
            <w:pPr>
              <w:widowControl/>
              <w:adjustRightInd w:val="0"/>
              <w:snapToGrid w:val="0"/>
              <w:spacing w:line="240" w:lineRule="auto"/>
              <w:ind w:firstLine="0" w:firstLineChars="0"/>
              <w:jc w:val="center"/>
              <w:rPr>
                <w:kern w:val="0"/>
                <w:sz w:val="21"/>
                <w:szCs w:val="21"/>
              </w:rPr>
            </w:pPr>
          </w:p>
        </w:tc>
        <w:tc>
          <w:tcPr>
            <w:tcW w:w="1280" w:type="pct"/>
            <w:vAlign w:val="center"/>
          </w:tcPr>
          <w:p w14:paraId="526869F4">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污泥</w:t>
            </w:r>
          </w:p>
        </w:tc>
        <w:tc>
          <w:tcPr>
            <w:tcW w:w="430" w:type="pct"/>
            <w:vAlign w:val="center"/>
          </w:tcPr>
          <w:p w14:paraId="70F5D84C">
            <w:pPr>
              <w:widowControl/>
              <w:adjustRightInd w:val="0"/>
              <w:snapToGrid w:val="0"/>
              <w:spacing w:line="240" w:lineRule="auto"/>
              <w:ind w:firstLine="0" w:firstLineChars="0"/>
              <w:jc w:val="center"/>
              <w:rPr>
                <w:kern w:val="0"/>
                <w:sz w:val="21"/>
                <w:szCs w:val="21"/>
              </w:rPr>
            </w:pPr>
            <w:r>
              <w:rPr>
                <w:rFonts w:hint="eastAsia"/>
                <w:kern w:val="0"/>
                <w:sz w:val="21"/>
                <w:szCs w:val="21"/>
              </w:rPr>
              <w:t>t</w:t>
            </w:r>
            <w:r>
              <w:rPr>
                <w:kern w:val="0"/>
                <w:sz w:val="21"/>
                <w:szCs w:val="21"/>
              </w:rPr>
              <w:t>/a</w:t>
            </w:r>
          </w:p>
        </w:tc>
        <w:tc>
          <w:tcPr>
            <w:tcW w:w="876" w:type="pct"/>
            <w:vAlign w:val="center"/>
          </w:tcPr>
          <w:p w14:paraId="300B6930">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.95</w:t>
            </w:r>
          </w:p>
        </w:tc>
        <w:tc>
          <w:tcPr>
            <w:tcW w:w="618" w:type="pct"/>
            <w:vAlign w:val="center"/>
          </w:tcPr>
          <w:p w14:paraId="5D741F88">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.95</w:t>
            </w:r>
          </w:p>
        </w:tc>
        <w:tc>
          <w:tcPr>
            <w:tcW w:w="867" w:type="pct"/>
            <w:vAlign w:val="center"/>
          </w:tcPr>
          <w:p w14:paraId="0C4EB41E">
            <w:pPr>
              <w:widowControl/>
              <w:adjustRightInd w:val="0"/>
              <w:snapToGrid w:val="0"/>
              <w:spacing w:line="240" w:lineRule="auto"/>
              <w:ind w:firstLine="0" w:firstLineChars="0"/>
              <w:jc w:val="center"/>
              <w:rPr>
                <w:kern w:val="0"/>
                <w:sz w:val="21"/>
                <w:szCs w:val="21"/>
              </w:rPr>
            </w:pPr>
            <w:r>
              <w:rPr>
                <w:rFonts w:hint="eastAsia"/>
                <w:kern w:val="0"/>
                <w:sz w:val="21"/>
                <w:szCs w:val="21"/>
              </w:rPr>
              <w:t>0</w:t>
            </w:r>
          </w:p>
        </w:tc>
      </w:tr>
    </w:tbl>
    <w:p w14:paraId="44037455">
      <w:pPr>
        <w:pStyle w:val="41"/>
      </w:pPr>
      <w:r>
        <w:rPr>
          <w:rFonts w:hint="eastAsia"/>
        </w:rPr>
        <w:t>清洁生产分析</w:t>
      </w:r>
      <w:bookmarkEnd w:id="204"/>
    </w:p>
    <w:p w14:paraId="553AC485">
      <w:pPr>
        <w:pStyle w:val="43"/>
      </w:pPr>
      <w:bookmarkStart w:id="205" w:name="_Toc79515455"/>
      <w:bookmarkStart w:id="206" w:name="_Toc77007784"/>
      <w:bookmarkStart w:id="207" w:name="_Toc152864176"/>
      <w:bookmarkStart w:id="208" w:name="_Toc80193084"/>
      <w:bookmarkStart w:id="209" w:name="_Toc80973510"/>
      <w:bookmarkStart w:id="210" w:name="_Toc81214078"/>
      <w:bookmarkStart w:id="211" w:name="_Toc82518763"/>
      <w:r>
        <w:rPr>
          <w:rFonts w:hint="eastAsia"/>
        </w:rPr>
        <w:t>生产工艺与装备先进性</w:t>
      </w:r>
      <w:bookmarkEnd w:id="205"/>
      <w:bookmarkEnd w:id="206"/>
      <w:bookmarkEnd w:id="207"/>
      <w:bookmarkEnd w:id="208"/>
      <w:bookmarkEnd w:id="209"/>
      <w:bookmarkEnd w:id="210"/>
      <w:bookmarkEnd w:id="211"/>
    </w:p>
    <w:p w14:paraId="59F6DBE5">
      <w:pPr>
        <w:ind w:firstLine="480"/>
      </w:pPr>
      <w:r>
        <w:rPr>
          <w:rFonts w:hint="eastAsia"/>
        </w:rPr>
        <w:t>（1）生产工艺</w:t>
      </w:r>
    </w:p>
    <w:p w14:paraId="5648EE58">
      <w:pPr>
        <w:ind w:firstLine="480"/>
        <w:rPr>
          <w:bCs/>
          <w:lang w:bidi="en-US"/>
        </w:rPr>
      </w:pPr>
      <w:r>
        <w:rPr>
          <w:rFonts w:hint="eastAsia"/>
        </w:rPr>
        <w:t>本项目主要以原料存储、洗油沉淀、皂化等单元操作为主，项目采用的是国内较为成熟的润滑油、润滑脂制备方法，技术成熟可靠，生产过程均为连续化、自动化、密闭化生产工艺，减少了物料与外界环境的接触。工艺技术反应步骤短，成本低，“三废”较少，有机废气采用油气回收装置处理，可做到达标排放。</w:t>
      </w:r>
      <w:r>
        <w:rPr>
          <w:rFonts w:hint="eastAsia"/>
          <w:bCs/>
          <w:lang w:bidi="en-US"/>
        </w:rPr>
        <w:t>项目生产过程中通过合理控制反应温度、时间、压力等参数，有效地提高了主反应的转化率，增加产品的收率。并且本项目采用集散型控制系统（DCS），对生产工艺过程进行集中监控，对重要的工艺参数设置信号报警及操作联锁系统，同时，配备必要的有毒有害气体报警系统，可有效防止危险的发生。</w:t>
      </w:r>
    </w:p>
    <w:p w14:paraId="77F1C6C1">
      <w:pPr>
        <w:ind w:firstLine="480"/>
        <w:rPr>
          <w:bCs/>
          <w:lang w:bidi="en-US"/>
        </w:rPr>
      </w:pPr>
      <w:r>
        <w:rPr>
          <w:rFonts w:hint="eastAsia"/>
          <w:bCs/>
          <w:lang w:bidi="en-US"/>
        </w:rPr>
        <w:t>因此，本项目工艺清洁生产水平达标，符合企业工艺要求。</w:t>
      </w:r>
    </w:p>
    <w:p w14:paraId="56C19E0B">
      <w:pPr>
        <w:ind w:firstLine="480"/>
        <w:rPr>
          <w:bCs/>
          <w:lang w:bidi="en-US"/>
        </w:rPr>
      </w:pPr>
      <w:r>
        <w:rPr>
          <w:rFonts w:hint="eastAsia"/>
          <w:bCs/>
          <w:lang w:bidi="en-US"/>
        </w:rPr>
        <w:t>（2）设备先进性</w:t>
      </w:r>
    </w:p>
    <w:p w14:paraId="21A74928">
      <w:pPr>
        <w:ind w:firstLine="480"/>
        <w:rPr>
          <w:bCs/>
          <w:lang w:bidi="en-US"/>
        </w:rPr>
      </w:pPr>
      <w:r>
        <w:rPr>
          <w:rFonts w:hint="eastAsia" w:ascii="宋体" w:hAnsi="宋体" w:cs="宋体"/>
          <w:bCs/>
          <w:lang w:bidi="en-US"/>
        </w:rPr>
        <w:t>①</w:t>
      </w:r>
      <w:r>
        <w:rPr>
          <w:rFonts w:hint="eastAsia"/>
          <w:bCs/>
          <w:lang w:bidi="en-US"/>
        </w:rPr>
        <w:t>本项目关键设备包括：原料储罐、</w:t>
      </w:r>
      <w:r>
        <w:rPr>
          <w:bCs/>
          <w:lang w:bidi="en-US"/>
        </w:rPr>
        <w:t>洗油沉淀罐</w:t>
      </w:r>
      <w:r>
        <w:rPr>
          <w:rFonts w:hint="eastAsia"/>
          <w:bCs/>
          <w:lang w:bidi="en-US"/>
        </w:rPr>
        <w:t>、</w:t>
      </w:r>
      <w:r>
        <w:rPr>
          <w:bCs/>
          <w:lang w:bidi="en-US"/>
        </w:rPr>
        <w:t>过滤机</w:t>
      </w:r>
      <w:r>
        <w:rPr>
          <w:rFonts w:hint="eastAsia"/>
          <w:bCs/>
          <w:lang w:bidi="en-US"/>
        </w:rPr>
        <w:t>、皂化釜等，均采用最新型号的设备，效率高，可保证废酸、废水等的回收效率以及润滑油、润滑脂产品的质量，设备自动化程度较高，大部分设备为电器自动化控制，不仅提高劳动生产率，而且有效降低了建设单位产品原材料消耗和因人为失误造成的污染物非正常排放概率。</w:t>
      </w:r>
    </w:p>
    <w:p w14:paraId="3038A29F">
      <w:pPr>
        <w:ind w:firstLine="480"/>
        <w:rPr>
          <w:bCs/>
          <w:lang w:bidi="en-US"/>
        </w:rPr>
      </w:pPr>
      <w:r>
        <w:rPr>
          <w:rFonts w:hint="eastAsia" w:ascii="宋体" w:hAnsi="宋体" w:cs="宋体"/>
        </w:rPr>
        <w:t>②</w:t>
      </w:r>
      <w:r>
        <w:rPr>
          <w:rFonts w:hint="eastAsia"/>
          <w:bCs/>
          <w:lang w:bidi="en-US"/>
        </w:rPr>
        <w:t>设备的选用、安装、检验和管道连接均严格执行我国现行技术标准规范。对于生产能力适当留有余地，以便于企业今后的发展。并在相关管道、阀门设立旁路、歧管和缓冲设施，以减少物料泄漏可能。本项目生产过程采用全密闭管道输送。凡接触物料的设备、容器和管件均采用密封性好、耐腐的材质。</w:t>
      </w:r>
    </w:p>
    <w:p w14:paraId="7D4F0044">
      <w:pPr>
        <w:ind w:firstLine="480"/>
        <w:rPr>
          <w:bCs/>
          <w:lang w:bidi="en-US"/>
        </w:rPr>
      </w:pPr>
      <w:r>
        <w:rPr>
          <w:rFonts w:hint="eastAsia" w:ascii="宋体" w:hAnsi="宋体" w:cs="宋体"/>
          <w:bCs/>
          <w:lang w:bidi="en-US"/>
        </w:rPr>
        <w:t>③</w:t>
      </w:r>
      <w:r>
        <w:rPr>
          <w:rFonts w:hint="eastAsia"/>
          <w:bCs/>
          <w:lang w:bidi="en-US"/>
        </w:rPr>
        <w:t>尽可能采用液泵和管道加料，避免粗放操作，以有效减少物料的跑、冒、滴、漏。管线设计均使用无缝管，外层涂上防腐材料然后再用聚合材料封包，所有管线尽可能减少连接的法兰个数。</w:t>
      </w:r>
    </w:p>
    <w:p w14:paraId="57DCFEB8">
      <w:pPr>
        <w:ind w:firstLine="480"/>
        <w:rPr>
          <w:bCs/>
          <w:lang w:bidi="en-US"/>
        </w:rPr>
      </w:pPr>
      <w:r>
        <w:rPr>
          <w:rFonts w:hint="eastAsia" w:ascii="宋体" w:hAnsi="宋体" w:cs="宋体"/>
          <w:bCs/>
          <w:lang w:bidi="en-US"/>
        </w:rPr>
        <w:t>④</w:t>
      </w:r>
      <w:r>
        <w:rPr>
          <w:rFonts w:hint="eastAsia"/>
          <w:bCs/>
          <w:lang w:bidi="en-US"/>
        </w:rPr>
        <w:t>用电依据用电量及时调整变压器报备容量。主控电柜采用先进的自动无功补偿，减少无功功率损失。公司空调、水泵、空压机等均采用节能型产品，选用变频控制达到节能效果。</w:t>
      </w:r>
    </w:p>
    <w:p w14:paraId="4C668C05">
      <w:pPr>
        <w:ind w:firstLine="480"/>
      </w:pPr>
      <w:r>
        <w:rPr>
          <w:rFonts w:hint="eastAsia"/>
          <w:bCs/>
          <w:lang w:bidi="en-US"/>
        </w:rPr>
        <w:t>综上所述，从设备清洁生产角度考虑，本项目设备清洁生产水平达到国内先进水平。</w:t>
      </w:r>
    </w:p>
    <w:p w14:paraId="37A87AD6">
      <w:pPr>
        <w:pStyle w:val="43"/>
      </w:pPr>
      <w:bookmarkStart w:id="212" w:name="_Toc81214079"/>
      <w:bookmarkStart w:id="213" w:name="_Toc79515456"/>
      <w:bookmarkStart w:id="214" w:name="_Toc80193085"/>
      <w:bookmarkStart w:id="215" w:name="_Toc77007785"/>
      <w:bookmarkStart w:id="216" w:name="_Toc80973511"/>
      <w:bookmarkStart w:id="217" w:name="_Toc152864177"/>
      <w:bookmarkStart w:id="218" w:name="_Toc82518764"/>
      <w:r>
        <w:rPr>
          <w:rFonts w:hint="eastAsia"/>
        </w:rPr>
        <w:t>原料和产品清洁指标</w:t>
      </w:r>
      <w:bookmarkEnd w:id="212"/>
      <w:bookmarkEnd w:id="213"/>
      <w:bookmarkEnd w:id="214"/>
      <w:bookmarkEnd w:id="215"/>
      <w:bookmarkEnd w:id="216"/>
      <w:bookmarkEnd w:id="217"/>
      <w:bookmarkEnd w:id="218"/>
    </w:p>
    <w:p w14:paraId="14C5783E">
      <w:pPr>
        <w:ind w:firstLine="480"/>
      </w:pPr>
      <w:r>
        <w:rPr>
          <w:rFonts w:hint="eastAsia"/>
        </w:rPr>
        <w:t>（1）原料</w:t>
      </w:r>
    </w:p>
    <w:p w14:paraId="7A0BCDDE">
      <w:pPr>
        <w:ind w:firstLine="480"/>
      </w:pPr>
      <w:r>
        <w:rPr>
          <w:rFonts w:hint="eastAsia"/>
        </w:rPr>
        <w:t>本项目生产润滑油、润滑脂的原料为石化企业生产的减线油（减二线、减三线油），主要供应企业为佳宇恒公司或疆内其他石化企业，辅料包括1</w:t>
      </w:r>
      <w:r>
        <w:t>2-</w:t>
      </w:r>
      <w:r>
        <w:rPr>
          <w:rFonts w:hint="eastAsia"/>
        </w:rPr>
        <w:t>羟基硬脂酸、硬脂酸、氢氧化钙等。</w:t>
      </w:r>
    </w:p>
    <w:p w14:paraId="711E82F2">
      <w:pPr>
        <w:ind w:firstLine="480"/>
      </w:pPr>
      <w:r>
        <w:rPr>
          <w:rFonts w:hint="eastAsia"/>
        </w:rPr>
        <w:t>上述减线油（减二线、减三线油），</w:t>
      </w:r>
      <w:r>
        <w:rPr>
          <w:rFonts w:hint="eastAsia"/>
          <w:bCs/>
        </w:rPr>
        <w:t>通过采用合格的储罐、管道以及成熟可靠的工艺技术，降低环境风险事故发生概率，增加原辅材料利用率，最大限度的减少废物的产生。</w:t>
      </w:r>
    </w:p>
    <w:p w14:paraId="3A5AD92E">
      <w:pPr>
        <w:ind w:firstLine="480"/>
        <w:rPr>
          <w:bCs/>
          <w:lang w:bidi="en-US"/>
        </w:rPr>
      </w:pPr>
      <w:r>
        <w:rPr>
          <w:rFonts w:hint="eastAsia"/>
          <w:bCs/>
          <w:lang w:bidi="en-US"/>
        </w:rPr>
        <w:t>因此，本项目的原辅材料可达到清洁生产对使用物料的要求。</w:t>
      </w:r>
    </w:p>
    <w:p w14:paraId="06B88E8C">
      <w:pPr>
        <w:ind w:firstLine="480"/>
        <w:rPr>
          <w:bCs/>
          <w:lang w:bidi="en-US"/>
        </w:rPr>
      </w:pPr>
      <w:r>
        <w:rPr>
          <w:rFonts w:hint="eastAsia"/>
          <w:bCs/>
          <w:lang w:bidi="en-US"/>
        </w:rPr>
        <w:t>（2）产品</w:t>
      </w:r>
    </w:p>
    <w:p w14:paraId="273DAB95">
      <w:pPr>
        <w:ind w:firstLine="480"/>
        <w:rPr>
          <w:bCs/>
          <w:lang w:bidi="en-US"/>
        </w:rPr>
      </w:pPr>
      <w:r>
        <w:rPr>
          <w:rFonts w:hint="eastAsia"/>
          <w:bCs/>
          <w:lang w:bidi="en-US"/>
        </w:rPr>
        <w:t>减线油是指原油减压蒸馏塔产出的油。依据沸点的不同主要分为一线到四线，沸点越来越高。与一般的基础油相比，减线油属于非标油，他们通过溶剂脱沥青、溶剂脱蜡、溶剂精制、加氢精制或酸碱精制、白土精制等工艺，除去或降低形成游离碳的物质、低粘度指数的物质、氧化安定性差的物质、石蜡以及影响成品油颜色的化学物质等组分，得到合格的润滑油基础油。</w:t>
      </w:r>
    </w:p>
    <w:p w14:paraId="76AA18D1">
      <w:pPr>
        <w:ind w:firstLine="480"/>
      </w:pPr>
      <w:r>
        <w:rPr>
          <w:rFonts w:hint="eastAsia"/>
          <w:bCs/>
          <w:lang w:bidi="en-US"/>
        </w:rPr>
        <w:t>综上所述，从产品角度分析，本项目符合清洁生产要求。</w:t>
      </w:r>
    </w:p>
    <w:p w14:paraId="3E0A5343">
      <w:pPr>
        <w:pStyle w:val="43"/>
      </w:pPr>
      <w:bookmarkStart w:id="219" w:name="_Toc80193086"/>
      <w:bookmarkStart w:id="220" w:name="_Toc82518765"/>
      <w:bookmarkStart w:id="221" w:name="_Toc79515457"/>
      <w:bookmarkStart w:id="222" w:name="_Toc81214080"/>
      <w:bookmarkStart w:id="223" w:name="_Toc152864178"/>
      <w:bookmarkStart w:id="224" w:name="_Toc80973512"/>
      <w:bookmarkStart w:id="225" w:name="_Toc77007786"/>
      <w:r>
        <w:rPr>
          <w:rFonts w:hint="eastAsia"/>
        </w:rPr>
        <w:t>能源利用指标</w:t>
      </w:r>
      <w:bookmarkEnd w:id="219"/>
      <w:bookmarkEnd w:id="220"/>
      <w:bookmarkEnd w:id="221"/>
      <w:bookmarkEnd w:id="222"/>
      <w:bookmarkEnd w:id="223"/>
      <w:bookmarkEnd w:id="224"/>
      <w:bookmarkEnd w:id="225"/>
    </w:p>
    <w:p w14:paraId="1E094F58">
      <w:pPr>
        <w:ind w:firstLine="480"/>
      </w:pPr>
      <w:r>
        <w:rPr>
          <w:rFonts w:hint="eastAsia"/>
        </w:rPr>
        <w:t>（1）能源</w:t>
      </w:r>
    </w:p>
    <w:p w14:paraId="2A6BDB2A">
      <w:pPr>
        <w:ind w:firstLine="480"/>
        <w:rPr>
          <w:bCs/>
          <w:lang w:bidi="en-US"/>
        </w:rPr>
      </w:pPr>
      <w:r>
        <w:rPr>
          <w:rFonts w:hint="eastAsia"/>
          <w:bCs/>
          <w:lang w:bidi="en-US"/>
        </w:rPr>
        <w:t>本项目的能源消耗主要有水、电、蒸汽。水、电、蒸汽均属清洁能源，使用中不会产生二次污染。</w:t>
      </w:r>
    </w:p>
    <w:p w14:paraId="5BAEB230">
      <w:pPr>
        <w:ind w:firstLine="480"/>
        <w:rPr>
          <w:bCs/>
          <w:lang w:bidi="en-US"/>
        </w:rPr>
      </w:pPr>
      <w:r>
        <w:rPr>
          <w:rFonts w:hint="eastAsia"/>
          <w:bCs/>
          <w:lang w:bidi="en-US"/>
        </w:rPr>
        <w:t>（2）能耗指标</w:t>
      </w:r>
    </w:p>
    <w:p w14:paraId="4915659B">
      <w:pPr>
        <w:ind w:firstLine="480"/>
        <w:rPr>
          <w:bCs/>
          <w:lang w:bidi="en-US"/>
        </w:rPr>
      </w:pPr>
      <w:r>
        <w:rPr>
          <w:rFonts w:hint="eastAsia"/>
          <w:bCs/>
          <w:lang w:bidi="en-US"/>
        </w:rPr>
        <w:t>本项目综合能耗指标表，见下表。</w:t>
      </w:r>
    </w:p>
    <w:p w14:paraId="2AF349FA">
      <w:pPr>
        <w:pStyle w:val="47"/>
        <w:spacing w:before="65"/>
      </w:pPr>
      <w:r>
        <w:rPr>
          <w:rFonts w:hint="eastAsia"/>
        </w:rPr>
        <w:t>表3</w:t>
      </w:r>
      <w:r>
        <w:t>.9-1</w:t>
      </w:r>
      <w:r>
        <w:rPr>
          <w:rFonts w:hint="eastAsia"/>
        </w:rPr>
        <w:t xml:space="preserve">   本</w:t>
      </w:r>
      <w:r>
        <w:t>项目综合能耗指标表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3"/>
        <w:gridCol w:w="974"/>
        <w:gridCol w:w="1568"/>
        <w:gridCol w:w="2052"/>
        <w:gridCol w:w="1983"/>
        <w:gridCol w:w="1420"/>
      </w:tblGrid>
      <w:tr w14:paraId="7D6940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tcMar>
              <w:left w:w="0" w:type="dxa"/>
              <w:right w:w="0" w:type="dxa"/>
            </w:tcMar>
            <w:vAlign w:val="center"/>
          </w:tcPr>
          <w:p w14:paraId="12E7C83C">
            <w:pPr>
              <w:adjustRightInd w:val="0"/>
              <w:snapToGrid w:val="0"/>
              <w:spacing w:line="240" w:lineRule="auto"/>
              <w:ind w:firstLine="0" w:firstLineChars="0"/>
              <w:jc w:val="center"/>
              <w:rPr>
                <w:sz w:val="21"/>
                <w:szCs w:val="21"/>
              </w:rPr>
            </w:pPr>
            <w:r>
              <w:rPr>
                <w:sz w:val="21"/>
                <w:szCs w:val="21"/>
              </w:rPr>
              <w:t>序号</w:t>
            </w:r>
          </w:p>
        </w:tc>
        <w:tc>
          <w:tcPr>
            <w:tcW w:w="558" w:type="pct"/>
            <w:tcMar>
              <w:left w:w="0" w:type="dxa"/>
              <w:right w:w="0" w:type="dxa"/>
            </w:tcMar>
            <w:vAlign w:val="center"/>
          </w:tcPr>
          <w:p w14:paraId="0FA63511">
            <w:pPr>
              <w:adjustRightInd w:val="0"/>
              <w:snapToGrid w:val="0"/>
              <w:spacing w:line="240" w:lineRule="auto"/>
              <w:ind w:firstLine="0" w:firstLineChars="0"/>
              <w:jc w:val="center"/>
              <w:rPr>
                <w:sz w:val="21"/>
                <w:szCs w:val="21"/>
              </w:rPr>
            </w:pPr>
            <w:r>
              <w:rPr>
                <w:sz w:val="21"/>
                <w:szCs w:val="21"/>
              </w:rPr>
              <w:t>名称</w:t>
            </w:r>
          </w:p>
        </w:tc>
        <w:tc>
          <w:tcPr>
            <w:tcW w:w="898" w:type="pct"/>
            <w:tcMar>
              <w:left w:w="0" w:type="dxa"/>
              <w:right w:w="0" w:type="dxa"/>
            </w:tcMar>
            <w:vAlign w:val="center"/>
          </w:tcPr>
          <w:p w14:paraId="7B3C5085">
            <w:pPr>
              <w:adjustRightInd w:val="0"/>
              <w:snapToGrid w:val="0"/>
              <w:spacing w:line="240" w:lineRule="auto"/>
              <w:ind w:firstLine="0" w:firstLineChars="0"/>
              <w:jc w:val="center"/>
              <w:rPr>
                <w:sz w:val="21"/>
                <w:szCs w:val="21"/>
              </w:rPr>
            </w:pPr>
            <w:r>
              <w:rPr>
                <w:rFonts w:hint="eastAsia"/>
                <w:sz w:val="21"/>
                <w:szCs w:val="21"/>
              </w:rPr>
              <w:t>年消耗</w:t>
            </w:r>
            <w:r>
              <w:rPr>
                <w:sz w:val="21"/>
                <w:szCs w:val="21"/>
              </w:rPr>
              <w:t>量</w:t>
            </w:r>
          </w:p>
        </w:tc>
        <w:tc>
          <w:tcPr>
            <w:tcW w:w="1175" w:type="pct"/>
            <w:tcMar>
              <w:left w:w="0" w:type="dxa"/>
              <w:right w:w="0" w:type="dxa"/>
            </w:tcMar>
            <w:vAlign w:val="center"/>
          </w:tcPr>
          <w:p w14:paraId="5113BF3F">
            <w:pPr>
              <w:adjustRightInd w:val="0"/>
              <w:snapToGrid w:val="0"/>
              <w:spacing w:line="240" w:lineRule="auto"/>
              <w:ind w:firstLine="0" w:firstLineChars="0"/>
              <w:jc w:val="center"/>
              <w:rPr>
                <w:sz w:val="21"/>
                <w:szCs w:val="21"/>
              </w:rPr>
            </w:pPr>
            <w:r>
              <w:rPr>
                <w:sz w:val="21"/>
                <w:szCs w:val="21"/>
              </w:rPr>
              <w:t>折标系数</w:t>
            </w:r>
          </w:p>
        </w:tc>
        <w:tc>
          <w:tcPr>
            <w:tcW w:w="1136" w:type="pct"/>
            <w:tcMar>
              <w:left w:w="0" w:type="dxa"/>
              <w:right w:w="0" w:type="dxa"/>
            </w:tcMar>
            <w:vAlign w:val="center"/>
          </w:tcPr>
          <w:p w14:paraId="2920E569">
            <w:pPr>
              <w:adjustRightInd w:val="0"/>
              <w:snapToGrid w:val="0"/>
              <w:spacing w:line="240" w:lineRule="auto"/>
              <w:ind w:firstLine="0" w:firstLineChars="0"/>
              <w:jc w:val="center"/>
              <w:rPr>
                <w:sz w:val="21"/>
                <w:szCs w:val="21"/>
              </w:rPr>
            </w:pPr>
            <w:r>
              <w:rPr>
                <w:sz w:val="21"/>
                <w:szCs w:val="21"/>
              </w:rPr>
              <w:t>折标准煤（tce）</w:t>
            </w:r>
          </w:p>
        </w:tc>
        <w:tc>
          <w:tcPr>
            <w:tcW w:w="813" w:type="pct"/>
            <w:tcMar>
              <w:left w:w="0" w:type="dxa"/>
              <w:right w:w="0" w:type="dxa"/>
            </w:tcMar>
            <w:vAlign w:val="center"/>
          </w:tcPr>
          <w:p w14:paraId="18544668">
            <w:pPr>
              <w:adjustRightInd w:val="0"/>
              <w:snapToGrid w:val="0"/>
              <w:spacing w:line="240" w:lineRule="auto"/>
              <w:ind w:firstLine="0" w:firstLineChars="0"/>
              <w:jc w:val="center"/>
              <w:rPr>
                <w:sz w:val="21"/>
                <w:szCs w:val="21"/>
              </w:rPr>
            </w:pPr>
            <w:r>
              <w:rPr>
                <w:sz w:val="21"/>
                <w:szCs w:val="21"/>
              </w:rPr>
              <w:t>比例</w:t>
            </w:r>
            <w:r>
              <w:rPr>
                <w:rFonts w:hint="eastAsia"/>
                <w:sz w:val="21"/>
                <w:szCs w:val="21"/>
              </w:rPr>
              <w:t>（%）</w:t>
            </w:r>
          </w:p>
        </w:tc>
      </w:tr>
      <w:tr w14:paraId="391A61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tcMar>
              <w:left w:w="0" w:type="dxa"/>
              <w:right w:w="0" w:type="dxa"/>
            </w:tcMar>
            <w:vAlign w:val="center"/>
          </w:tcPr>
          <w:p w14:paraId="0984C972">
            <w:pPr>
              <w:adjustRightInd w:val="0"/>
              <w:snapToGrid w:val="0"/>
              <w:spacing w:line="240" w:lineRule="auto"/>
              <w:ind w:firstLine="0" w:firstLineChars="0"/>
              <w:jc w:val="center"/>
              <w:rPr>
                <w:sz w:val="21"/>
                <w:szCs w:val="21"/>
              </w:rPr>
            </w:pPr>
            <w:r>
              <w:rPr>
                <w:sz w:val="21"/>
                <w:szCs w:val="21"/>
              </w:rPr>
              <w:t>1</w:t>
            </w:r>
          </w:p>
        </w:tc>
        <w:tc>
          <w:tcPr>
            <w:tcW w:w="558" w:type="pct"/>
            <w:tcMar>
              <w:left w:w="0" w:type="dxa"/>
              <w:right w:w="0" w:type="dxa"/>
            </w:tcMar>
            <w:vAlign w:val="center"/>
          </w:tcPr>
          <w:p w14:paraId="3820C535">
            <w:pPr>
              <w:adjustRightInd w:val="0"/>
              <w:snapToGrid w:val="0"/>
              <w:spacing w:line="240" w:lineRule="auto"/>
              <w:ind w:firstLine="0" w:firstLineChars="0"/>
              <w:jc w:val="center"/>
              <w:rPr>
                <w:sz w:val="21"/>
                <w:szCs w:val="21"/>
              </w:rPr>
            </w:pPr>
            <w:r>
              <w:rPr>
                <w:sz w:val="21"/>
                <w:szCs w:val="21"/>
              </w:rPr>
              <w:t>电</w:t>
            </w:r>
          </w:p>
        </w:tc>
        <w:tc>
          <w:tcPr>
            <w:tcW w:w="898" w:type="pct"/>
            <w:tcMar>
              <w:left w:w="0" w:type="dxa"/>
              <w:right w:w="0" w:type="dxa"/>
            </w:tcMar>
            <w:vAlign w:val="center"/>
          </w:tcPr>
          <w:p w14:paraId="37CDE2C8">
            <w:pPr>
              <w:adjustRightInd w:val="0"/>
              <w:snapToGrid w:val="0"/>
              <w:spacing w:line="240" w:lineRule="auto"/>
              <w:ind w:firstLine="0" w:firstLineChars="0"/>
              <w:jc w:val="center"/>
              <w:rPr>
                <w:sz w:val="21"/>
                <w:szCs w:val="21"/>
              </w:rPr>
            </w:pPr>
            <w:r>
              <w:rPr>
                <w:sz w:val="21"/>
                <w:szCs w:val="21"/>
              </w:rPr>
              <w:t>5</w:t>
            </w:r>
            <w:r>
              <w:rPr>
                <w:rFonts w:hint="eastAsia"/>
                <w:sz w:val="21"/>
                <w:szCs w:val="21"/>
              </w:rPr>
              <w:t>万</w:t>
            </w:r>
            <w:r>
              <w:rPr>
                <w:sz w:val="21"/>
                <w:szCs w:val="21"/>
              </w:rPr>
              <w:t>kWh</w:t>
            </w:r>
          </w:p>
        </w:tc>
        <w:tc>
          <w:tcPr>
            <w:tcW w:w="1175" w:type="pct"/>
            <w:tcMar>
              <w:left w:w="0" w:type="dxa"/>
              <w:right w:w="0" w:type="dxa"/>
            </w:tcMar>
            <w:vAlign w:val="center"/>
          </w:tcPr>
          <w:p w14:paraId="6C8C39BD">
            <w:pPr>
              <w:adjustRightInd w:val="0"/>
              <w:snapToGrid w:val="0"/>
              <w:spacing w:line="240" w:lineRule="auto"/>
              <w:ind w:firstLine="0" w:firstLineChars="0"/>
              <w:jc w:val="center"/>
              <w:rPr>
                <w:sz w:val="21"/>
                <w:szCs w:val="21"/>
              </w:rPr>
            </w:pPr>
            <w:r>
              <w:rPr>
                <w:sz w:val="21"/>
                <w:szCs w:val="21"/>
              </w:rPr>
              <w:t>1.229</w:t>
            </w:r>
          </w:p>
        </w:tc>
        <w:tc>
          <w:tcPr>
            <w:tcW w:w="1136" w:type="pct"/>
            <w:tcMar>
              <w:left w:w="0" w:type="dxa"/>
              <w:right w:w="0" w:type="dxa"/>
            </w:tcMar>
            <w:vAlign w:val="center"/>
          </w:tcPr>
          <w:p w14:paraId="605715C9">
            <w:pPr>
              <w:adjustRightInd w:val="0"/>
              <w:snapToGrid w:val="0"/>
              <w:spacing w:line="240" w:lineRule="auto"/>
              <w:ind w:firstLine="0" w:firstLineChars="0"/>
              <w:jc w:val="center"/>
              <w:rPr>
                <w:sz w:val="21"/>
                <w:szCs w:val="21"/>
              </w:rPr>
            </w:pPr>
            <w:r>
              <w:rPr>
                <w:rFonts w:hint="eastAsia"/>
                <w:sz w:val="21"/>
                <w:szCs w:val="21"/>
              </w:rPr>
              <w:t>6.15</w:t>
            </w:r>
          </w:p>
        </w:tc>
        <w:tc>
          <w:tcPr>
            <w:tcW w:w="813" w:type="pct"/>
            <w:tcMar>
              <w:left w:w="0" w:type="dxa"/>
              <w:right w:w="0" w:type="dxa"/>
            </w:tcMar>
            <w:vAlign w:val="center"/>
          </w:tcPr>
          <w:p w14:paraId="44C375F1">
            <w:pPr>
              <w:adjustRightInd w:val="0"/>
              <w:snapToGrid w:val="0"/>
              <w:spacing w:line="240" w:lineRule="auto"/>
              <w:ind w:firstLine="0" w:firstLineChars="0"/>
              <w:jc w:val="center"/>
              <w:rPr>
                <w:sz w:val="21"/>
                <w:szCs w:val="21"/>
              </w:rPr>
            </w:pPr>
            <w:r>
              <w:rPr>
                <w:rFonts w:hint="eastAsia"/>
                <w:sz w:val="21"/>
                <w:szCs w:val="21"/>
              </w:rPr>
              <w:t>1.68</w:t>
            </w:r>
          </w:p>
        </w:tc>
      </w:tr>
      <w:tr w14:paraId="7C620B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tcMar>
              <w:left w:w="0" w:type="dxa"/>
              <w:right w:w="0" w:type="dxa"/>
            </w:tcMar>
            <w:vAlign w:val="center"/>
          </w:tcPr>
          <w:p w14:paraId="49AFD2AD">
            <w:pPr>
              <w:adjustRightInd w:val="0"/>
              <w:snapToGrid w:val="0"/>
              <w:spacing w:line="240" w:lineRule="auto"/>
              <w:ind w:firstLine="0" w:firstLineChars="0"/>
              <w:jc w:val="center"/>
              <w:rPr>
                <w:sz w:val="21"/>
                <w:szCs w:val="21"/>
              </w:rPr>
            </w:pPr>
            <w:r>
              <w:rPr>
                <w:sz w:val="21"/>
                <w:szCs w:val="21"/>
              </w:rPr>
              <w:t>2</w:t>
            </w:r>
          </w:p>
        </w:tc>
        <w:tc>
          <w:tcPr>
            <w:tcW w:w="558" w:type="pct"/>
            <w:tcMar>
              <w:left w:w="0" w:type="dxa"/>
              <w:right w:w="0" w:type="dxa"/>
            </w:tcMar>
            <w:vAlign w:val="center"/>
          </w:tcPr>
          <w:p w14:paraId="4FBE48B5">
            <w:pPr>
              <w:adjustRightInd w:val="0"/>
              <w:snapToGrid w:val="0"/>
              <w:spacing w:line="240" w:lineRule="auto"/>
              <w:ind w:firstLine="0" w:firstLineChars="0"/>
              <w:jc w:val="center"/>
              <w:rPr>
                <w:sz w:val="21"/>
                <w:szCs w:val="21"/>
              </w:rPr>
            </w:pPr>
            <w:r>
              <w:rPr>
                <w:rFonts w:hint="eastAsia"/>
                <w:sz w:val="21"/>
                <w:szCs w:val="21"/>
              </w:rPr>
              <w:t>水</w:t>
            </w:r>
          </w:p>
        </w:tc>
        <w:tc>
          <w:tcPr>
            <w:tcW w:w="898" w:type="pct"/>
            <w:tcMar>
              <w:left w:w="0" w:type="dxa"/>
              <w:right w:w="0" w:type="dxa"/>
            </w:tcMar>
            <w:vAlign w:val="center"/>
          </w:tcPr>
          <w:p w14:paraId="2E9602F9">
            <w:pPr>
              <w:adjustRightInd w:val="0"/>
              <w:snapToGrid w:val="0"/>
              <w:spacing w:line="240" w:lineRule="auto"/>
              <w:ind w:firstLine="0" w:firstLineChars="0"/>
              <w:jc w:val="center"/>
              <w:rPr>
                <w:sz w:val="21"/>
                <w:szCs w:val="21"/>
              </w:rPr>
            </w:pPr>
            <w:r>
              <w:rPr>
                <w:sz w:val="21"/>
                <w:szCs w:val="21"/>
              </w:rPr>
              <w:t>40000</w:t>
            </w:r>
            <w:r>
              <w:rPr>
                <w:rFonts w:hint="eastAsia"/>
                <w:sz w:val="21"/>
                <w:szCs w:val="21"/>
              </w:rPr>
              <w:t>t</w:t>
            </w:r>
            <w:r>
              <w:rPr>
                <w:sz w:val="21"/>
                <w:szCs w:val="21"/>
              </w:rPr>
              <w:t>/a</w:t>
            </w:r>
          </w:p>
        </w:tc>
        <w:tc>
          <w:tcPr>
            <w:tcW w:w="1175" w:type="pct"/>
            <w:tcMar>
              <w:left w:w="0" w:type="dxa"/>
              <w:right w:w="0" w:type="dxa"/>
            </w:tcMar>
            <w:vAlign w:val="center"/>
          </w:tcPr>
          <w:p w14:paraId="6B08E54E">
            <w:pPr>
              <w:adjustRightInd w:val="0"/>
              <w:snapToGrid w:val="0"/>
              <w:spacing w:line="240" w:lineRule="auto"/>
              <w:ind w:firstLine="0" w:firstLineChars="0"/>
              <w:jc w:val="center"/>
              <w:rPr>
                <w:sz w:val="21"/>
                <w:szCs w:val="21"/>
              </w:rPr>
            </w:pPr>
            <w:r>
              <w:rPr>
                <w:sz w:val="21"/>
                <w:szCs w:val="21"/>
              </w:rPr>
              <w:t>0.09</w:t>
            </w:r>
          </w:p>
        </w:tc>
        <w:tc>
          <w:tcPr>
            <w:tcW w:w="1136" w:type="pct"/>
            <w:tcMar>
              <w:left w:w="0" w:type="dxa"/>
              <w:right w:w="0" w:type="dxa"/>
            </w:tcMar>
            <w:vAlign w:val="center"/>
          </w:tcPr>
          <w:p w14:paraId="47E2F288">
            <w:pPr>
              <w:adjustRightInd w:val="0"/>
              <w:snapToGrid w:val="0"/>
              <w:spacing w:line="240" w:lineRule="auto"/>
              <w:ind w:firstLine="0" w:firstLineChars="0"/>
              <w:jc w:val="center"/>
              <w:rPr>
                <w:sz w:val="21"/>
                <w:szCs w:val="21"/>
              </w:rPr>
            </w:pPr>
            <w:r>
              <w:rPr>
                <w:rFonts w:hint="eastAsia"/>
                <w:sz w:val="21"/>
                <w:szCs w:val="21"/>
              </w:rPr>
              <w:t>360</w:t>
            </w:r>
          </w:p>
        </w:tc>
        <w:tc>
          <w:tcPr>
            <w:tcW w:w="813" w:type="pct"/>
            <w:tcMar>
              <w:left w:w="0" w:type="dxa"/>
              <w:right w:w="0" w:type="dxa"/>
            </w:tcMar>
            <w:vAlign w:val="center"/>
          </w:tcPr>
          <w:p w14:paraId="1EFE5981">
            <w:pPr>
              <w:adjustRightInd w:val="0"/>
              <w:snapToGrid w:val="0"/>
              <w:spacing w:line="240" w:lineRule="auto"/>
              <w:ind w:firstLine="0" w:firstLineChars="0"/>
              <w:jc w:val="center"/>
              <w:rPr>
                <w:sz w:val="21"/>
                <w:szCs w:val="21"/>
              </w:rPr>
            </w:pPr>
            <w:r>
              <w:rPr>
                <w:rFonts w:hint="eastAsia"/>
                <w:sz w:val="21"/>
                <w:szCs w:val="21"/>
              </w:rPr>
              <w:t>98.32</w:t>
            </w:r>
          </w:p>
        </w:tc>
      </w:tr>
      <w:tr w14:paraId="32AA39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tcMar>
              <w:left w:w="0" w:type="dxa"/>
              <w:right w:w="0" w:type="dxa"/>
            </w:tcMar>
            <w:vAlign w:val="center"/>
          </w:tcPr>
          <w:p w14:paraId="5637E658">
            <w:pPr>
              <w:adjustRightInd w:val="0"/>
              <w:snapToGrid w:val="0"/>
              <w:spacing w:line="240" w:lineRule="auto"/>
              <w:ind w:firstLine="0" w:firstLineChars="0"/>
              <w:jc w:val="center"/>
              <w:rPr>
                <w:sz w:val="21"/>
                <w:szCs w:val="21"/>
              </w:rPr>
            </w:pPr>
            <w:r>
              <w:rPr>
                <w:rFonts w:hint="eastAsia"/>
                <w:sz w:val="21"/>
                <w:szCs w:val="21"/>
              </w:rPr>
              <w:t>3</w:t>
            </w:r>
          </w:p>
        </w:tc>
        <w:tc>
          <w:tcPr>
            <w:tcW w:w="558" w:type="pct"/>
            <w:tcMar>
              <w:left w:w="0" w:type="dxa"/>
              <w:right w:w="0" w:type="dxa"/>
            </w:tcMar>
            <w:vAlign w:val="center"/>
          </w:tcPr>
          <w:p w14:paraId="001F7931">
            <w:pPr>
              <w:adjustRightInd w:val="0"/>
              <w:snapToGrid w:val="0"/>
              <w:spacing w:line="240" w:lineRule="auto"/>
              <w:ind w:firstLine="0" w:firstLineChars="0"/>
              <w:jc w:val="center"/>
              <w:rPr>
                <w:sz w:val="21"/>
                <w:szCs w:val="21"/>
              </w:rPr>
            </w:pPr>
            <w:r>
              <w:rPr>
                <w:sz w:val="21"/>
                <w:szCs w:val="21"/>
              </w:rPr>
              <w:t>合计</w:t>
            </w:r>
          </w:p>
        </w:tc>
        <w:tc>
          <w:tcPr>
            <w:tcW w:w="898" w:type="pct"/>
            <w:tcMar>
              <w:left w:w="0" w:type="dxa"/>
              <w:right w:w="0" w:type="dxa"/>
            </w:tcMar>
            <w:vAlign w:val="center"/>
          </w:tcPr>
          <w:p w14:paraId="5FDD27C3">
            <w:pPr>
              <w:adjustRightInd w:val="0"/>
              <w:snapToGrid w:val="0"/>
              <w:spacing w:line="240" w:lineRule="auto"/>
              <w:ind w:firstLine="0" w:firstLineChars="0"/>
              <w:jc w:val="center"/>
              <w:rPr>
                <w:sz w:val="21"/>
                <w:szCs w:val="21"/>
              </w:rPr>
            </w:pPr>
            <w:r>
              <w:rPr>
                <w:rFonts w:hint="eastAsia"/>
                <w:sz w:val="21"/>
                <w:szCs w:val="21"/>
              </w:rPr>
              <w:t>/</w:t>
            </w:r>
          </w:p>
        </w:tc>
        <w:tc>
          <w:tcPr>
            <w:tcW w:w="1175" w:type="pct"/>
            <w:tcMar>
              <w:left w:w="0" w:type="dxa"/>
              <w:right w:w="0" w:type="dxa"/>
            </w:tcMar>
            <w:vAlign w:val="center"/>
          </w:tcPr>
          <w:p w14:paraId="5EFE1A6A">
            <w:pPr>
              <w:adjustRightInd w:val="0"/>
              <w:snapToGrid w:val="0"/>
              <w:spacing w:line="240" w:lineRule="auto"/>
              <w:ind w:firstLine="0" w:firstLineChars="0"/>
              <w:jc w:val="center"/>
              <w:rPr>
                <w:sz w:val="21"/>
                <w:szCs w:val="21"/>
              </w:rPr>
            </w:pPr>
            <w:r>
              <w:rPr>
                <w:rFonts w:hint="eastAsia"/>
                <w:sz w:val="21"/>
                <w:szCs w:val="21"/>
              </w:rPr>
              <w:t>/</w:t>
            </w:r>
          </w:p>
        </w:tc>
        <w:tc>
          <w:tcPr>
            <w:tcW w:w="1136" w:type="pct"/>
            <w:tcMar>
              <w:left w:w="0" w:type="dxa"/>
              <w:right w:w="0" w:type="dxa"/>
            </w:tcMar>
            <w:vAlign w:val="center"/>
          </w:tcPr>
          <w:p w14:paraId="57EE8B28">
            <w:pPr>
              <w:adjustRightInd w:val="0"/>
              <w:snapToGrid w:val="0"/>
              <w:spacing w:line="240" w:lineRule="auto"/>
              <w:ind w:firstLine="0" w:firstLineChars="0"/>
              <w:jc w:val="center"/>
              <w:rPr>
                <w:sz w:val="21"/>
                <w:szCs w:val="21"/>
              </w:rPr>
            </w:pPr>
            <w:r>
              <w:rPr>
                <w:rFonts w:hint="eastAsia"/>
                <w:sz w:val="21"/>
                <w:szCs w:val="21"/>
              </w:rPr>
              <w:t>366.15</w:t>
            </w:r>
          </w:p>
        </w:tc>
        <w:tc>
          <w:tcPr>
            <w:tcW w:w="813" w:type="pct"/>
            <w:tcMar>
              <w:left w:w="0" w:type="dxa"/>
              <w:right w:w="0" w:type="dxa"/>
            </w:tcMar>
            <w:vAlign w:val="center"/>
          </w:tcPr>
          <w:p w14:paraId="31F2CF32">
            <w:pPr>
              <w:adjustRightInd w:val="0"/>
              <w:snapToGrid w:val="0"/>
              <w:spacing w:line="240" w:lineRule="auto"/>
              <w:ind w:firstLine="0" w:firstLineChars="0"/>
              <w:jc w:val="center"/>
              <w:rPr>
                <w:sz w:val="21"/>
                <w:szCs w:val="21"/>
              </w:rPr>
            </w:pPr>
            <w:r>
              <w:rPr>
                <w:rFonts w:hint="eastAsia"/>
                <w:sz w:val="21"/>
                <w:szCs w:val="21"/>
              </w:rPr>
              <w:t>100</w:t>
            </w:r>
          </w:p>
        </w:tc>
      </w:tr>
    </w:tbl>
    <w:p w14:paraId="7D3863AD">
      <w:pPr>
        <w:ind w:firstLine="480"/>
        <w:rPr>
          <w:bCs/>
          <w:lang w:bidi="en-US"/>
        </w:rPr>
      </w:pPr>
      <w:r>
        <w:rPr>
          <w:rFonts w:hint="eastAsia"/>
          <w:lang w:bidi="en-US"/>
        </w:rPr>
        <w:t>能耗指标核算根据《兵团发展改革委关于印发固定资产投资项目节能审查实施办法的通知》（兵发改环资发〔2016〕631号），“年综合能源消费量不满1000吨标准煤，且年电力消费量不满500万千瓦时的固定资产投资项目，以及用能工艺简单、节能潜力小的行业的固定资产投资项目应按照相关节能标准，规范建设，不再单独进行节能审查”。本项目综合能耗为9</w:t>
      </w:r>
      <w:r>
        <w:rPr>
          <w:lang w:bidi="en-US"/>
        </w:rPr>
        <w:t>73.74</w:t>
      </w:r>
      <w:r>
        <w:rPr>
          <w:rFonts w:hint="eastAsia"/>
          <w:lang w:bidi="en-US"/>
        </w:rPr>
        <w:t>tce，因此，不再单独进行节能审查。</w:t>
      </w:r>
    </w:p>
    <w:p w14:paraId="722B30DC">
      <w:pPr>
        <w:pStyle w:val="43"/>
      </w:pPr>
      <w:bookmarkStart w:id="226" w:name="_Toc80193088"/>
      <w:bookmarkStart w:id="227" w:name="_Toc77007788"/>
      <w:bookmarkStart w:id="228" w:name="_Toc152864179"/>
      <w:bookmarkStart w:id="229" w:name="_Toc80973514"/>
      <w:bookmarkStart w:id="230" w:name="_Toc81214082"/>
      <w:bookmarkStart w:id="231" w:name="_Toc79515459"/>
      <w:bookmarkStart w:id="232" w:name="_Toc82518767"/>
      <w:r>
        <w:rPr>
          <w:rFonts w:hint="eastAsia"/>
        </w:rPr>
        <w:t>节能措施</w:t>
      </w:r>
      <w:bookmarkEnd w:id="226"/>
      <w:bookmarkEnd w:id="227"/>
      <w:bookmarkEnd w:id="228"/>
      <w:bookmarkEnd w:id="229"/>
      <w:bookmarkEnd w:id="230"/>
      <w:bookmarkEnd w:id="231"/>
      <w:bookmarkEnd w:id="232"/>
    </w:p>
    <w:p w14:paraId="2F73C9F6">
      <w:pPr>
        <w:ind w:firstLine="480"/>
      </w:pPr>
      <w:r>
        <w:rPr>
          <w:rFonts w:hint="eastAsia"/>
        </w:rPr>
        <w:t>（1）工艺节能措施</w:t>
      </w:r>
    </w:p>
    <w:p w14:paraId="191ED22E">
      <w:pPr>
        <w:ind w:firstLine="480"/>
        <w:rPr>
          <w:bCs/>
          <w:lang w:bidi="en-US"/>
        </w:rPr>
      </w:pPr>
      <w:r>
        <w:rPr>
          <w:rFonts w:hint="eastAsia" w:ascii="宋体" w:hAnsi="宋体" w:cs="宋体"/>
        </w:rPr>
        <w:t>①</w:t>
      </w:r>
      <w:r>
        <w:rPr>
          <w:rFonts w:hint="eastAsia"/>
          <w:bCs/>
          <w:lang w:bidi="en-US"/>
        </w:rPr>
        <w:t>采用成熟的连续工艺流程和装备，连续化生产装置，能耗较低。</w:t>
      </w:r>
    </w:p>
    <w:p w14:paraId="2DBB941E">
      <w:pPr>
        <w:ind w:firstLine="480"/>
        <w:rPr>
          <w:bCs/>
          <w:lang w:bidi="en-US"/>
        </w:rPr>
      </w:pPr>
      <w:r>
        <w:rPr>
          <w:rFonts w:hint="eastAsia" w:ascii="宋体" w:hAnsi="宋体" w:cs="宋体"/>
          <w:bCs/>
          <w:lang w:bidi="en-US"/>
        </w:rPr>
        <w:t>②</w:t>
      </w:r>
      <w:r>
        <w:rPr>
          <w:rFonts w:hint="eastAsia"/>
          <w:bCs/>
          <w:lang w:bidi="en-US"/>
        </w:rPr>
        <w:t>本项目新建润滑油、润滑脂生产线，生产产品均具有一定的规模，充分显现出规模效益，对能源的利用更加经济、合理。</w:t>
      </w:r>
    </w:p>
    <w:p w14:paraId="67F018B5">
      <w:pPr>
        <w:ind w:firstLine="480"/>
        <w:rPr>
          <w:bCs/>
          <w:lang w:bidi="en-US"/>
        </w:rPr>
      </w:pPr>
      <w:r>
        <w:rPr>
          <w:rFonts w:hint="eastAsia" w:ascii="宋体" w:hAnsi="宋体" w:cs="宋体"/>
          <w:bCs/>
          <w:lang w:bidi="en-US"/>
        </w:rPr>
        <w:t>③</w:t>
      </w:r>
      <w:r>
        <w:rPr>
          <w:rFonts w:hint="eastAsia"/>
          <w:bCs/>
          <w:lang w:bidi="en-US"/>
        </w:rPr>
        <w:t>充分借鉴了其他企业回收技术的经验，做到工艺流程简洁、设备选型合理、物料消耗少、副产物充分回收的先进生产技术。</w:t>
      </w:r>
    </w:p>
    <w:p w14:paraId="39F27CAE">
      <w:pPr>
        <w:ind w:firstLine="480"/>
        <w:rPr>
          <w:bCs/>
          <w:lang w:bidi="en-US"/>
        </w:rPr>
      </w:pPr>
      <w:r>
        <w:rPr>
          <w:rFonts w:hint="eastAsia" w:ascii="宋体" w:hAnsi="宋体" w:cs="宋体"/>
          <w:bCs/>
          <w:lang w:bidi="en-US"/>
        </w:rPr>
        <w:t>④</w:t>
      </w:r>
      <w:r>
        <w:rPr>
          <w:rFonts w:hint="eastAsia"/>
          <w:bCs/>
          <w:lang w:bidi="en-US"/>
        </w:rPr>
        <w:t>热力管道、加热设备及管道进行保温，减少热量损失；低温设备及管道采取保冷措施，减少冷量损失。</w:t>
      </w:r>
    </w:p>
    <w:p w14:paraId="24215C6A">
      <w:pPr>
        <w:ind w:firstLine="480"/>
      </w:pPr>
      <w:r>
        <w:rPr>
          <w:rFonts w:hint="eastAsia"/>
        </w:rPr>
        <w:t>（2）供电节能措施</w:t>
      </w:r>
    </w:p>
    <w:p w14:paraId="54D3AF9A">
      <w:pPr>
        <w:ind w:firstLine="480"/>
        <w:rPr>
          <w:lang w:bidi="en-US"/>
        </w:rPr>
      </w:pPr>
      <w:r>
        <w:rPr>
          <w:rFonts w:hint="eastAsia" w:ascii="宋体" w:hAnsi="宋体" w:cs="宋体"/>
          <w:lang w:bidi="en-US"/>
        </w:rPr>
        <w:t>①</w:t>
      </w:r>
      <w:r>
        <w:rPr>
          <w:rFonts w:hint="eastAsia"/>
          <w:lang w:bidi="en-US"/>
        </w:rPr>
        <w:t>根据负荷情况合理选择变压器容量、台数，选用低能耗的电力变压器。10/0.4kV变电所低压侧采用无功补偿电容将功率因数自动补偿到0.95。</w:t>
      </w:r>
    </w:p>
    <w:p w14:paraId="0C0E2435">
      <w:pPr>
        <w:ind w:firstLine="480"/>
        <w:rPr>
          <w:lang w:bidi="en-US"/>
        </w:rPr>
      </w:pPr>
      <w:r>
        <w:rPr>
          <w:rFonts w:hint="eastAsia" w:ascii="宋体" w:hAnsi="宋体" w:cs="宋体"/>
          <w:lang w:bidi="en-US"/>
        </w:rPr>
        <w:t>②</w:t>
      </w:r>
      <w:r>
        <w:rPr>
          <w:rFonts w:hint="eastAsia"/>
          <w:lang w:bidi="en-US"/>
        </w:rPr>
        <w:t>照明灯具选用高效节能绿色灯具。对于气体放电灯采用高性能节能镇流器。室内场所分区域合理设置照明控制开关，室外场所的照明尽量采用光控或时控。</w:t>
      </w:r>
    </w:p>
    <w:p w14:paraId="7BEF8FEF">
      <w:pPr>
        <w:ind w:firstLine="480"/>
        <w:rPr>
          <w:lang w:bidi="en-US"/>
        </w:rPr>
      </w:pPr>
      <w:r>
        <w:rPr>
          <w:rFonts w:hint="eastAsia" w:ascii="宋体" w:hAnsi="宋体" w:cs="宋体"/>
          <w:lang w:bidi="en-US"/>
        </w:rPr>
        <w:t>③</w:t>
      </w:r>
      <w:r>
        <w:rPr>
          <w:rFonts w:hint="eastAsia"/>
          <w:lang w:bidi="en-US"/>
        </w:rPr>
        <w:t>根据负荷特性合理选择电动机，并选用高效率电动机。</w:t>
      </w:r>
    </w:p>
    <w:p w14:paraId="53A39FD8">
      <w:pPr>
        <w:ind w:firstLine="480"/>
        <w:rPr>
          <w:lang w:bidi="en-US"/>
        </w:rPr>
      </w:pPr>
      <w:r>
        <w:rPr>
          <w:rFonts w:hint="eastAsia" w:ascii="宋体" w:hAnsi="宋体" w:cs="宋体"/>
          <w:lang w:bidi="en-US"/>
        </w:rPr>
        <w:t>④</w:t>
      </w:r>
      <w:r>
        <w:rPr>
          <w:rFonts w:hint="eastAsia"/>
          <w:lang w:bidi="en-US"/>
        </w:rPr>
        <w:t>合理进行无功补偿，减少无功损耗。</w:t>
      </w:r>
    </w:p>
    <w:p w14:paraId="238262E5">
      <w:pPr>
        <w:ind w:firstLine="480"/>
        <w:rPr>
          <w:lang w:bidi="en-US"/>
        </w:rPr>
      </w:pPr>
      <w:r>
        <w:rPr>
          <w:rFonts w:hint="eastAsia" w:ascii="宋体" w:hAnsi="宋体" w:cs="宋体"/>
          <w:lang w:bidi="en-US"/>
        </w:rPr>
        <w:t>⑤</w:t>
      </w:r>
      <w:r>
        <w:rPr>
          <w:rFonts w:hint="eastAsia"/>
          <w:lang w:bidi="en-US"/>
        </w:rPr>
        <w:t>选择线缆时尽量按电缆经济截面选型，减少线缆损耗。</w:t>
      </w:r>
    </w:p>
    <w:p w14:paraId="14B700BA">
      <w:pPr>
        <w:pStyle w:val="43"/>
      </w:pPr>
      <w:bookmarkStart w:id="233" w:name="_Toc77007789"/>
      <w:bookmarkStart w:id="234" w:name="_Toc82518768"/>
      <w:bookmarkStart w:id="235" w:name="_Toc80973515"/>
      <w:bookmarkStart w:id="236" w:name="_Toc152864180"/>
      <w:bookmarkStart w:id="237" w:name="_Toc80193089"/>
      <w:bookmarkStart w:id="238" w:name="_Toc79515460"/>
      <w:bookmarkStart w:id="239" w:name="_Toc81214083"/>
      <w:r>
        <w:rPr>
          <w:rFonts w:hint="eastAsia"/>
        </w:rPr>
        <w:t>清洁生产管理</w:t>
      </w:r>
      <w:bookmarkEnd w:id="233"/>
      <w:bookmarkEnd w:id="234"/>
      <w:bookmarkEnd w:id="235"/>
      <w:bookmarkEnd w:id="236"/>
      <w:bookmarkEnd w:id="237"/>
      <w:bookmarkEnd w:id="238"/>
      <w:bookmarkEnd w:id="239"/>
    </w:p>
    <w:p w14:paraId="71B82E7D">
      <w:pPr>
        <w:ind w:firstLine="480"/>
      </w:pPr>
      <w:r>
        <w:rPr>
          <w:rFonts w:hint="eastAsia"/>
        </w:rPr>
        <w:t>清洁生产贯穿于生产全过程，因此具有不间断性。本项目投入运营后，应建立完善的清洁生产组织，开展清洁生产审计工作，为持续清洁生产奠定良好的工作基础。通过开展清洁生产审计和制定清洁生产方案。</w:t>
      </w:r>
    </w:p>
    <w:p w14:paraId="361445C2">
      <w:pPr>
        <w:ind w:firstLine="480"/>
      </w:pPr>
      <w:r>
        <w:rPr>
          <w:rFonts w:hint="eastAsia"/>
        </w:rPr>
        <w:t>清洁生产组织应确定专人负责，明确任务，监督生产全过程，发现问题及时汇报、解决，对污染物的源头进行控制，从而有效地节约资源、保护环境。</w:t>
      </w:r>
    </w:p>
    <w:p w14:paraId="68252850">
      <w:pPr>
        <w:ind w:firstLine="480"/>
      </w:pPr>
      <w:r>
        <w:rPr>
          <w:rFonts w:hint="eastAsia"/>
        </w:rPr>
        <w:t>清洁生产组织可并入环境管理，具体职责如下：</w:t>
      </w:r>
    </w:p>
    <w:p w14:paraId="5DFE8A8B">
      <w:pPr>
        <w:ind w:firstLine="480"/>
      </w:pPr>
      <w:r>
        <w:rPr>
          <w:rFonts w:hint="eastAsia"/>
        </w:rPr>
        <w:t>（1）制定完善的清洁生产管理制度；</w:t>
      </w:r>
    </w:p>
    <w:p w14:paraId="413DE6FE">
      <w:pPr>
        <w:ind w:firstLine="480"/>
      </w:pPr>
      <w:r>
        <w:rPr>
          <w:rFonts w:hint="eastAsia"/>
        </w:rPr>
        <w:t>（2）研究生产工艺，提出过程控制的改进措施、岗位操作改进措施；</w:t>
      </w:r>
    </w:p>
    <w:p w14:paraId="013A58A5">
      <w:pPr>
        <w:ind w:firstLine="480"/>
      </w:pPr>
      <w:r>
        <w:rPr>
          <w:rFonts w:hint="eastAsia"/>
        </w:rPr>
        <w:t>（3）制定能耗、物耗、水耗的消耗指标及实施方案，组织、协调并监督其实施并进行定期考核；</w:t>
      </w:r>
    </w:p>
    <w:p w14:paraId="5D856343">
      <w:pPr>
        <w:ind w:firstLine="480"/>
      </w:pPr>
      <w:r>
        <w:rPr>
          <w:rFonts w:hint="eastAsia"/>
        </w:rPr>
        <w:t>（4）定期编写清洁生产报告，建立清洁生产档案；</w:t>
      </w:r>
    </w:p>
    <w:p w14:paraId="314F494B">
      <w:pPr>
        <w:ind w:firstLine="480"/>
      </w:pPr>
      <w:r>
        <w:rPr>
          <w:rFonts w:hint="eastAsia"/>
        </w:rPr>
        <w:t>（5）组织对企业职工的清洁生产教育和培训；</w:t>
      </w:r>
    </w:p>
    <w:p w14:paraId="28698985">
      <w:pPr>
        <w:ind w:firstLine="480"/>
      </w:pPr>
      <w:r>
        <w:rPr>
          <w:rFonts w:hint="eastAsia"/>
        </w:rPr>
        <w:t>（6）制定持续清洁生产计划。</w:t>
      </w:r>
    </w:p>
    <w:p w14:paraId="6260C259">
      <w:pPr>
        <w:pStyle w:val="43"/>
      </w:pPr>
      <w:bookmarkStart w:id="240" w:name="_Toc81214084"/>
      <w:bookmarkStart w:id="241" w:name="_Toc80193090"/>
      <w:bookmarkStart w:id="242" w:name="_Toc152864181"/>
      <w:bookmarkStart w:id="243" w:name="_Toc82518769"/>
      <w:bookmarkStart w:id="244" w:name="_Toc79515461"/>
      <w:bookmarkStart w:id="245" w:name="_Toc77007790"/>
      <w:bookmarkStart w:id="246" w:name="_Toc80973516"/>
      <w:r>
        <w:rPr>
          <w:rFonts w:hint="eastAsia"/>
        </w:rPr>
        <w:t>清洁生产分析结论</w:t>
      </w:r>
      <w:bookmarkEnd w:id="240"/>
      <w:bookmarkEnd w:id="241"/>
      <w:bookmarkEnd w:id="242"/>
      <w:bookmarkEnd w:id="243"/>
      <w:bookmarkEnd w:id="244"/>
      <w:bookmarkEnd w:id="245"/>
      <w:bookmarkEnd w:id="246"/>
    </w:p>
    <w:p w14:paraId="252442EE">
      <w:pPr>
        <w:ind w:firstLine="480"/>
      </w:pPr>
      <w:r>
        <w:rPr>
          <w:rFonts w:hint="eastAsia"/>
        </w:rPr>
        <w:t>本项目采用国际、国内先进、成熟可靠的生产工艺和装备，可使原辅材料消耗较低；生产过程中采用了节能降耗措施，并通过回收和再利用减少污染物排放，提高资源利用率，加强清洁生产管理，清洁生产贯穿生产全过程。因此，本项目建设符合清洁生产要求，清洁生产水平处于国内先进水平。</w:t>
      </w:r>
    </w:p>
    <w:p w14:paraId="531E2E1B">
      <w:pPr>
        <w:pStyle w:val="41"/>
      </w:pPr>
      <w:bookmarkStart w:id="247" w:name="_Toc152864182"/>
      <w:r>
        <w:rPr>
          <w:rFonts w:hint="eastAsia"/>
        </w:rPr>
        <w:t>循环经济分析</w:t>
      </w:r>
      <w:bookmarkEnd w:id="247"/>
    </w:p>
    <w:p w14:paraId="50B062DD">
      <w:pPr>
        <w:ind w:firstLine="480"/>
        <w:rPr>
          <w:lang w:val="zh-CN"/>
        </w:rPr>
      </w:pPr>
      <w:r>
        <w:rPr>
          <w:rFonts w:hint="eastAsia"/>
          <w:lang w:val="zh-CN"/>
        </w:rPr>
        <w:t>对本项目润滑油、润滑脂生产过程，包括工艺装置、储运设施等统筹考虑节约用水及提高废水回用率的途径，使项目的取水及排水指标达到</w:t>
      </w:r>
      <w:r>
        <w:rPr>
          <w:rFonts w:hint="eastAsia"/>
        </w:rPr>
        <w:t>相应国家标准</w:t>
      </w:r>
      <w:r>
        <w:rPr>
          <w:rFonts w:hint="eastAsia"/>
          <w:lang w:val="zh-CN"/>
        </w:rPr>
        <w:t>。根据循环经济原则，进行循环经济产业链分析，为提高本项目循环经济水平提供科学依据。本项目工艺技术清洁化，资源综合利用，外排污染物满足相关排放标准，同时依托园区污水处理厂再次进行处理，“三废”尽可能的回收利用，贯彻了废物减量化、资源化的循环经济理念。</w:t>
      </w:r>
    </w:p>
    <w:p w14:paraId="4AFDEA2A">
      <w:pPr>
        <w:pStyle w:val="41"/>
      </w:pPr>
      <w:bookmarkStart w:id="248" w:name="_Toc152864183"/>
      <w:r>
        <w:rPr>
          <w:rFonts w:hint="eastAsia"/>
        </w:rPr>
        <w:t>碳排放分析</w:t>
      </w:r>
      <w:bookmarkEnd w:id="248"/>
    </w:p>
    <w:p w14:paraId="0417E034">
      <w:pPr>
        <w:pStyle w:val="43"/>
      </w:pPr>
      <w:bookmarkStart w:id="249" w:name="_Toc152864184"/>
      <w:r>
        <w:rPr>
          <w:rFonts w:hint="eastAsia"/>
        </w:rPr>
        <w:t>碳排放环节分析</w:t>
      </w:r>
      <w:bookmarkEnd w:id="249"/>
    </w:p>
    <w:p w14:paraId="0A26BD13">
      <w:pPr>
        <w:ind w:firstLine="480"/>
        <w:rPr>
          <w:lang w:val="zh-CN"/>
        </w:rPr>
      </w:pPr>
      <w:r>
        <w:rPr>
          <w:rFonts w:hint="eastAsia"/>
          <w:lang w:val="zh-CN"/>
        </w:rPr>
        <w:t>依据发改办气候〔2015〕1722号《工业其他行业企业温室气体排放核算方法与报告指南（试行）》，碳排放主要包括化石燃料燃烧二氧化碳（CO</w:t>
      </w:r>
      <w:r>
        <w:rPr>
          <w:rFonts w:hint="eastAsia"/>
          <w:vertAlign w:val="subscript"/>
          <w:lang w:val="zh-CN"/>
        </w:rPr>
        <w:t>2</w:t>
      </w:r>
      <w:r>
        <w:rPr>
          <w:rFonts w:hint="eastAsia"/>
          <w:lang w:val="zh-CN"/>
        </w:rPr>
        <w:t>）排放，工业生产过程CO</w:t>
      </w:r>
      <w:r>
        <w:rPr>
          <w:rFonts w:hint="eastAsia"/>
          <w:vertAlign w:val="subscript"/>
          <w:lang w:val="zh-CN"/>
        </w:rPr>
        <w:t>2</w:t>
      </w:r>
      <w:r>
        <w:rPr>
          <w:rFonts w:hint="eastAsia"/>
          <w:lang w:val="zh-CN"/>
        </w:rPr>
        <w:t>排放，净购入热力、电力隐含的CO</w:t>
      </w:r>
      <w:r>
        <w:rPr>
          <w:rFonts w:hint="eastAsia"/>
          <w:vertAlign w:val="subscript"/>
          <w:lang w:val="zh-CN"/>
        </w:rPr>
        <w:t>2</w:t>
      </w:r>
      <w:r>
        <w:rPr>
          <w:rFonts w:hint="eastAsia"/>
          <w:lang w:val="zh-CN"/>
        </w:rPr>
        <w:t>排放。</w:t>
      </w:r>
    </w:p>
    <w:p w14:paraId="11A6DD77">
      <w:pPr>
        <w:ind w:firstLine="480"/>
        <w:rPr>
          <w:lang w:val="zh-CN"/>
        </w:rPr>
      </w:pPr>
      <w:r>
        <w:rPr>
          <w:rFonts w:hint="eastAsia"/>
          <w:lang w:val="zh-CN"/>
        </w:rPr>
        <w:t>本项目涉及天然气燃料燃烧产生二氧化碳（CO</w:t>
      </w:r>
      <w:r>
        <w:rPr>
          <w:rFonts w:hint="eastAsia"/>
          <w:vertAlign w:val="subscript"/>
          <w:lang w:val="zh-CN"/>
        </w:rPr>
        <w:t>2</w:t>
      </w:r>
      <w:r>
        <w:rPr>
          <w:rFonts w:hint="eastAsia"/>
          <w:lang w:val="zh-CN"/>
        </w:rPr>
        <w:t>）排放，同时净购入电力、热力为生产提供能源隐含产生的CO</w:t>
      </w:r>
      <w:r>
        <w:rPr>
          <w:rFonts w:hint="eastAsia"/>
          <w:vertAlign w:val="subscript"/>
          <w:lang w:val="zh-CN"/>
        </w:rPr>
        <w:t>2</w:t>
      </w:r>
      <w:r>
        <w:rPr>
          <w:rFonts w:hint="eastAsia"/>
          <w:lang w:val="zh-CN"/>
        </w:rPr>
        <w:t>排放。</w:t>
      </w:r>
    </w:p>
    <w:p w14:paraId="75D96BD9">
      <w:pPr>
        <w:pStyle w:val="43"/>
      </w:pPr>
      <w:r>
        <w:rPr>
          <w:rFonts w:hint="eastAsia"/>
        </w:rPr>
        <w:t>天然气燃烧碳排放核算</w:t>
      </w:r>
    </w:p>
    <w:p w14:paraId="4C69A50C">
      <w:pPr>
        <w:ind w:firstLine="480"/>
        <w:rPr>
          <w:lang w:val="zh-CN"/>
        </w:rPr>
      </w:pPr>
      <w:r>
        <w:rPr>
          <w:rFonts w:hint="eastAsia"/>
          <w:lang w:val="zh-CN"/>
        </w:rPr>
        <w:t>本项目设置天然气导热油炉1座，为生产提供热源，天然气年用量为4</w:t>
      </w:r>
      <w:r>
        <w:rPr>
          <w:lang w:val="zh-CN"/>
        </w:rPr>
        <w:t>50000</w:t>
      </w:r>
      <w:r>
        <w:rPr>
          <w:rFonts w:hint="eastAsia"/>
          <w:lang w:val="zh-CN"/>
        </w:rPr>
        <w:t>m</w:t>
      </w:r>
      <w:r>
        <w:rPr>
          <w:vertAlign w:val="superscript"/>
          <w:lang w:val="zh-CN"/>
        </w:rPr>
        <w:t>3</w:t>
      </w:r>
      <w:r>
        <w:rPr>
          <w:rFonts w:hint="eastAsia"/>
          <w:lang w:val="zh-CN"/>
        </w:rPr>
        <w:t>，根据《工业其他行业企业温室气体排放核算方法与报告指南（试行）》核算公示如下：</w:t>
      </w:r>
    </w:p>
    <w:p w14:paraId="1EB459D0">
      <w:pPr>
        <w:spacing w:line="240" w:lineRule="auto"/>
        <w:ind w:firstLine="0" w:firstLineChars="0"/>
        <w:jc w:val="center"/>
        <w:rPr>
          <w:lang w:val="zh-CN"/>
        </w:rPr>
      </w:pPr>
      <w:r>
        <w:drawing>
          <wp:inline distT="0" distB="0" distL="114300" distR="114300">
            <wp:extent cx="5400675" cy="1390650"/>
            <wp:effectExtent l="0" t="0" r="9525" b="0"/>
            <wp:docPr id="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3"/>
                    <pic:cNvPicPr>
                      <a:picLocks noChangeAspect="1"/>
                    </pic:cNvPicPr>
                  </pic:nvPicPr>
                  <pic:blipFill>
                    <a:blip r:embed="rId68"/>
                    <a:stretch>
                      <a:fillRect/>
                    </a:stretch>
                  </pic:blipFill>
                  <pic:spPr>
                    <a:xfrm>
                      <a:off x="0" y="0"/>
                      <a:ext cx="5400675" cy="1390650"/>
                    </a:xfrm>
                    <a:prstGeom prst="rect">
                      <a:avLst/>
                    </a:prstGeom>
                    <a:noFill/>
                    <a:ln>
                      <a:noFill/>
                    </a:ln>
                  </pic:spPr>
                </pic:pic>
              </a:graphicData>
            </a:graphic>
          </wp:inline>
        </w:drawing>
      </w:r>
    </w:p>
    <w:p w14:paraId="47AC8C8C">
      <w:pPr>
        <w:ind w:firstLine="480"/>
        <w:rPr>
          <w:lang w:val="zh-CN"/>
        </w:rPr>
      </w:pPr>
      <w:r>
        <w:rPr>
          <w:rFonts w:hint="eastAsia"/>
          <w:lang w:val="zh-CN"/>
        </w:rPr>
        <w:t>本项目仅涉及天然气燃烧，因此公式中参数取值分别为：AD</w:t>
      </w:r>
      <w:r>
        <w:rPr>
          <w:vertAlign w:val="subscript"/>
          <w:lang w:val="zh-CN"/>
        </w:rPr>
        <w:t>1</w:t>
      </w:r>
      <w:r>
        <w:rPr>
          <w:lang w:val="zh-CN"/>
        </w:rPr>
        <w:t>=45</w:t>
      </w:r>
      <w:r>
        <w:rPr>
          <w:rFonts w:hint="eastAsia"/>
          <w:lang w:val="zh-CN"/>
        </w:rPr>
        <w:t>×</w:t>
      </w:r>
      <w:r>
        <w:rPr>
          <w:lang w:val="zh-CN"/>
        </w:rPr>
        <w:t>389.31=17518.95</w:t>
      </w:r>
      <w:r>
        <w:rPr>
          <w:rFonts w:hint="eastAsia"/>
          <w:lang w:val="zh-CN"/>
        </w:rPr>
        <w:t>（吉焦）；EF</w:t>
      </w:r>
      <w:r>
        <w:rPr>
          <w:vertAlign w:val="subscript"/>
          <w:lang w:val="zh-CN"/>
        </w:rPr>
        <w:t>1</w:t>
      </w:r>
      <w:r>
        <w:rPr>
          <w:lang w:val="zh-CN"/>
        </w:rPr>
        <w:t>=0.01532</w:t>
      </w:r>
      <w:r>
        <w:rPr>
          <w:rFonts w:hint="eastAsia"/>
          <w:lang w:val="zh-CN"/>
        </w:rPr>
        <w:t>×9</w:t>
      </w:r>
      <w:r>
        <w:rPr>
          <w:lang w:val="zh-CN"/>
        </w:rPr>
        <w:t>9%</w:t>
      </w:r>
      <w:r>
        <w:rPr>
          <w:rFonts w:hint="eastAsia"/>
          <w:lang w:val="zh-CN"/>
        </w:rPr>
        <w:t>×4</w:t>
      </w:r>
      <w:r>
        <w:rPr>
          <w:lang w:val="zh-CN"/>
        </w:rPr>
        <w:t>4/12=0.056</w:t>
      </w:r>
      <w:r>
        <w:rPr>
          <w:rFonts w:hint="eastAsia"/>
          <w:lang w:val="zh-CN"/>
        </w:rPr>
        <w:t>（tCO</w:t>
      </w:r>
      <w:r>
        <w:rPr>
          <w:vertAlign w:val="subscript"/>
          <w:lang w:val="zh-CN"/>
        </w:rPr>
        <w:t>2</w:t>
      </w:r>
      <w:r>
        <w:rPr>
          <w:lang w:val="zh-CN"/>
        </w:rPr>
        <w:t>/</w:t>
      </w:r>
      <w:r>
        <w:rPr>
          <w:rFonts w:hint="eastAsia"/>
          <w:lang w:val="zh-CN"/>
        </w:rPr>
        <w:t>吉焦），则本项目天然气燃烧产生的二氧化碳为9</w:t>
      </w:r>
      <w:r>
        <w:rPr>
          <w:lang w:val="zh-CN"/>
        </w:rPr>
        <w:t>74.26</w:t>
      </w:r>
      <w:r>
        <w:rPr>
          <w:rFonts w:hint="eastAsia"/>
          <w:lang w:val="zh-CN"/>
        </w:rPr>
        <w:t>t</w:t>
      </w:r>
      <w:r>
        <w:rPr>
          <w:lang w:val="zh-CN"/>
        </w:rPr>
        <w:t>/a</w:t>
      </w:r>
      <w:r>
        <w:rPr>
          <w:rFonts w:hint="eastAsia"/>
          <w:lang w:val="zh-CN"/>
        </w:rPr>
        <w:t>。</w:t>
      </w:r>
    </w:p>
    <w:p w14:paraId="5B97C10E">
      <w:pPr>
        <w:pStyle w:val="43"/>
      </w:pPr>
      <w:bookmarkStart w:id="250" w:name="_Toc152864185"/>
      <w:r>
        <w:rPr>
          <w:rFonts w:hint="eastAsia"/>
        </w:rPr>
        <w:t>净购电力能源碳排放核算</w:t>
      </w:r>
      <w:bookmarkEnd w:id="250"/>
    </w:p>
    <w:p w14:paraId="2EF6BC77">
      <w:pPr>
        <w:adjustRightInd w:val="0"/>
        <w:snapToGrid w:val="0"/>
        <w:ind w:firstLine="480"/>
        <w:rPr>
          <w:szCs w:val="24"/>
        </w:rPr>
      </w:pPr>
      <w:r>
        <w:rPr>
          <w:rFonts w:hAnsi="宋体"/>
          <w:szCs w:val="24"/>
        </w:rPr>
        <w:t>本项目电力</w:t>
      </w:r>
      <w:r>
        <w:rPr>
          <w:rFonts w:hint="eastAsia" w:hAnsi="宋体"/>
          <w:szCs w:val="24"/>
        </w:rPr>
        <w:t>由</w:t>
      </w:r>
      <w:r>
        <w:rPr>
          <w:rFonts w:hAnsi="宋体"/>
          <w:szCs w:val="24"/>
        </w:rPr>
        <w:t>七师电网提供，购入电力的二氧化碳排放量按照以下公式计算</w:t>
      </w:r>
    </w:p>
    <w:p w14:paraId="627A2B3B">
      <w:pPr>
        <w:adjustRightInd w:val="0"/>
        <w:snapToGrid w:val="0"/>
        <w:ind w:firstLine="2880" w:firstLineChars="1200"/>
        <w:rPr>
          <w:szCs w:val="24"/>
        </w:rPr>
      </w:pPr>
      <w:r>
        <w:rPr>
          <w:szCs w:val="24"/>
        </w:rPr>
        <w:t>E</w:t>
      </w:r>
      <w:r>
        <w:rPr>
          <w:rFonts w:hAnsi="宋体"/>
          <w:szCs w:val="24"/>
          <w:vertAlign w:val="subscript"/>
        </w:rPr>
        <w:t>购入电力，</w:t>
      </w:r>
      <w:r>
        <w:rPr>
          <w:szCs w:val="24"/>
          <w:vertAlign w:val="subscript"/>
        </w:rPr>
        <w:t>i</w:t>
      </w:r>
      <w:r>
        <w:rPr>
          <w:szCs w:val="24"/>
        </w:rPr>
        <w:t>=AD</w:t>
      </w:r>
      <w:r>
        <w:rPr>
          <w:rFonts w:hAnsi="宋体"/>
          <w:szCs w:val="24"/>
          <w:vertAlign w:val="subscript"/>
        </w:rPr>
        <w:t>购入电，</w:t>
      </w:r>
      <w:r>
        <w:rPr>
          <w:szCs w:val="24"/>
          <w:vertAlign w:val="subscript"/>
        </w:rPr>
        <w:t>i</w:t>
      </w:r>
      <w:r>
        <w:rPr>
          <w:szCs w:val="24"/>
        </w:rPr>
        <w:t>×EF</w:t>
      </w:r>
      <w:r>
        <w:rPr>
          <w:rFonts w:hAnsi="宋体"/>
          <w:szCs w:val="24"/>
          <w:vertAlign w:val="subscript"/>
        </w:rPr>
        <w:t>电</w:t>
      </w:r>
    </w:p>
    <w:p w14:paraId="12E1D395">
      <w:pPr>
        <w:ind w:firstLine="480"/>
      </w:pPr>
      <w:r>
        <w:t>式中：E</w:t>
      </w:r>
      <w:r>
        <w:rPr>
          <w:vertAlign w:val="subscript"/>
        </w:rPr>
        <w:t>购入电，i</w:t>
      </w:r>
      <w:r>
        <w:t>——核算单元i购入电力所产生的二氧化碳排放量，</w:t>
      </w:r>
      <w:r>
        <w:rPr>
          <w:rFonts w:hint="eastAsia"/>
        </w:rPr>
        <w:t>t</w:t>
      </w:r>
      <w:r>
        <w:t>/a-</w:t>
      </w:r>
      <w:r>
        <w:rPr>
          <w:rFonts w:hint="eastAsia"/>
        </w:rPr>
        <w:t>CO</w:t>
      </w:r>
      <w:r>
        <w:rPr>
          <w:vertAlign w:val="subscript"/>
        </w:rPr>
        <w:t>2</w:t>
      </w:r>
      <w:r>
        <w:t>；</w:t>
      </w:r>
    </w:p>
    <w:p w14:paraId="57A72619">
      <w:pPr>
        <w:ind w:firstLine="480"/>
      </w:pPr>
      <w:r>
        <w:t>AD</w:t>
      </w:r>
      <w:r>
        <w:rPr>
          <w:vertAlign w:val="subscript"/>
        </w:rPr>
        <w:t>购入电，i</w:t>
      </w:r>
      <w:r>
        <w:t>——核算期内核算单元i购入电力，单位为兆瓦时，本项目</w:t>
      </w:r>
      <w:r>
        <w:rPr>
          <w:rFonts w:hint="eastAsia"/>
        </w:rPr>
        <w:t>年</w:t>
      </w:r>
      <w:r>
        <w:t>净购入用电量为50</w:t>
      </w:r>
      <w:r>
        <w:rPr>
          <w:rFonts w:hint="eastAsia"/>
        </w:rPr>
        <w:t>M</w:t>
      </w:r>
      <w:r>
        <w:t>Wh；</w:t>
      </w:r>
    </w:p>
    <w:p w14:paraId="61C14AF9">
      <w:pPr>
        <w:ind w:firstLine="480"/>
      </w:pPr>
      <w:r>
        <w:t>EF</w:t>
      </w:r>
      <w:r>
        <w:rPr>
          <w:vertAlign w:val="subscript"/>
        </w:rPr>
        <w:t>电</w:t>
      </w:r>
      <w:r>
        <w:t>——区域电网年平均供电排放因子，单位为吨二氧化碳每兆瓦时，根据</w:t>
      </w:r>
      <w:r>
        <w:rPr>
          <w:rFonts w:hint="eastAsia"/>
        </w:rPr>
        <w:t>《关于做好</w:t>
      </w:r>
      <w:r>
        <w:t>2023</w:t>
      </w:r>
      <w:r>
        <w:rPr>
          <w:rFonts w:hint="eastAsia"/>
        </w:rPr>
        <w:t>—</w:t>
      </w:r>
      <w:r>
        <w:t>2025</w:t>
      </w:r>
      <w:r>
        <w:rPr>
          <w:rFonts w:hint="eastAsia"/>
        </w:rPr>
        <w:t>年发电行业企业温室气体排放报告管理有关工作的通知》中提到的“</w:t>
      </w:r>
      <w:r>
        <w:t>2022</w:t>
      </w:r>
      <w:r>
        <w:rPr>
          <w:rFonts w:hint="eastAsia"/>
        </w:rPr>
        <w:t>年度全国电网平均排放因子为</w:t>
      </w:r>
      <w:r>
        <w:t>0.5703t CO</w:t>
      </w:r>
      <w:r>
        <w:rPr>
          <w:vertAlign w:val="subscript"/>
        </w:rPr>
        <w:t>2</w:t>
      </w:r>
      <w:r>
        <w:t>/MWh</w:t>
      </w:r>
      <w:r>
        <w:rPr>
          <w:rFonts w:hint="eastAsia"/>
        </w:rPr>
        <w:t>”内容进行核算，则</w:t>
      </w:r>
      <w:r>
        <w:t>本项目二氧化碳</w:t>
      </w:r>
      <w:r>
        <w:rPr>
          <w:rFonts w:hint="eastAsia"/>
        </w:rPr>
        <w:t>排放量</w:t>
      </w:r>
      <w:r>
        <w:t>为28.515t/</w:t>
      </w:r>
      <w:r>
        <w:rPr>
          <w:rFonts w:hint="eastAsia"/>
        </w:rPr>
        <w:t>a</w:t>
      </w:r>
      <w:r>
        <w:t>-CO</w:t>
      </w:r>
      <w:r>
        <w:rPr>
          <w:vertAlign w:val="subscript"/>
        </w:rPr>
        <w:t>2</w:t>
      </w:r>
      <w:r>
        <w:rPr>
          <w:rFonts w:hint="eastAsia"/>
        </w:rPr>
        <w:t>。</w:t>
      </w:r>
    </w:p>
    <w:p w14:paraId="7654CF2C">
      <w:pPr>
        <w:pStyle w:val="43"/>
      </w:pPr>
      <w:bookmarkStart w:id="251" w:name="_Toc142908046"/>
      <w:r>
        <w:rPr>
          <w:rFonts w:hint="eastAsia"/>
        </w:rPr>
        <w:t>减污降碳措施</w:t>
      </w:r>
      <w:bookmarkEnd w:id="251"/>
    </w:p>
    <w:p w14:paraId="73A37DF0">
      <w:pPr>
        <w:ind w:firstLine="480"/>
      </w:pPr>
      <w:r>
        <w:rPr>
          <w:rFonts w:hint="eastAsia"/>
        </w:rPr>
        <w:t>从厂内外运输、工艺技术、节能设备和能源及碳排放管理等方面采取一系列减污降碳措施，可有效降低碳排放，具体如下：</w:t>
      </w:r>
    </w:p>
    <w:p w14:paraId="464836A0">
      <w:pPr>
        <w:ind w:firstLine="480"/>
      </w:pPr>
      <w:r>
        <w:rPr>
          <w:rFonts w:hint="eastAsia"/>
        </w:rPr>
        <w:t>（1）总图布置</w:t>
      </w:r>
    </w:p>
    <w:p w14:paraId="66352195">
      <w:pPr>
        <w:ind w:firstLine="480"/>
      </w:pPr>
      <w:r>
        <w:rPr>
          <w:rFonts w:hint="eastAsia"/>
        </w:rPr>
        <w:t>在总图布置时，根据工艺生产的需要，按照工艺流向布置，物料顺行，合理分配运输量，减少物流，减少折返、迂回以及货物的重复装卸和搬运，减少厂内运输货物的周转量，缩短运输距离，从而减少厂区内运输车辆、非道路移动机械等移动设备燃烧产生的CO</w:t>
      </w:r>
      <w:r>
        <w:rPr>
          <w:rFonts w:hint="eastAsia"/>
          <w:vertAlign w:val="subscript"/>
        </w:rPr>
        <w:t>2</w:t>
      </w:r>
      <w:r>
        <w:rPr>
          <w:rFonts w:hint="eastAsia"/>
        </w:rPr>
        <w:t>排放量。</w:t>
      </w:r>
    </w:p>
    <w:p w14:paraId="59774943">
      <w:pPr>
        <w:ind w:firstLine="480"/>
      </w:pPr>
      <w:r>
        <w:rPr>
          <w:rFonts w:hint="eastAsia"/>
        </w:rPr>
        <w:t>（2）节能设备</w:t>
      </w:r>
    </w:p>
    <w:p w14:paraId="4481F4C5">
      <w:pPr>
        <w:ind w:firstLine="480"/>
      </w:pPr>
      <w:r>
        <w:rPr>
          <w:rFonts w:hint="eastAsia"/>
        </w:rPr>
        <w:t>根据项目用电性质、用电容量等选择合理的供电电压和供电方式，有效减少电能损耗。各种电力设备拟选用能效等级较高的节能产品，实际功率和负荷相适应，达到降低能耗，提高工作效率的作用。</w:t>
      </w:r>
    </w:p>
    <w:p w14:paraId="5D6652C3">
      <w:pPr>
        <w:ind w:firstLine="480"/>
      </w:pPr>
      <w:r>
        <w:rPr>
          <w:rFonts w:hint="eastAsia"/>
        </w:rPr>
        <w:t>（3）碳排放管理</w:t>
      </w:r>
    </w:p>
    <w:p w14:paraId="277EFE67">
      <w:pPr>
        <w:ind w:firstLine="480"/>
      </w:pPr>
      <w:r>
        <w:rPr>
          <w:rFonts w:hint="eastAsia"/>
        </w:rPr>
        <w:t>公司需建立能源、碳排放管理制度，对全厂能源及碳排放进行管理，建立能源管理领导小组，全面领导公司的节能工作，实施全厂能源及碳排放管理的基本任务，统筹、综合、协调、管理公司的各项节能工作；并设立专职人员负责能源管理工作和碳排放管理工作，负责推进国家和地方发布的关于节能减排的相关政策文件信息。</w:t>
      </w:r>
    </w:p>
    <w:p w14:paraId="70E7259B">
      <w:pPr>
        <w:ind w:firstLine="480"/>
        <w:sectPr>
          <w:footerReference r:id="rId20"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2A0FF71A">
      <w:pPr>
        <w:pStyle w:val="40"/>
      </w:pPr>
      <w:bookmarkStart w:id="252" w:name="_Toc152864186"/>
      <w:r>
        <w:rPr>
          <w:rFonts w:hint="eastAsia"/>
        </w:rPr>
        <w:t>环境现状调查与评价</w:t>
      </w:r>
      <w:bookmarkEnd w:id="252"/>
    </w:p>
    <w:p w14:paraId="33BBB88A">
      <w:pPr>
        <w:pStyle w:val="41"/>
      </w:pPr>
      <w:bookmarkStart w:id="253" w:name="_Toc152864187"/>
      <w:r>
        <w:rPr>
          <w:rFonts w:hint="eastAsia"/>
        </w:rPr>
        <w:t>自然环境概况</w:t>
      </w:r>
      <w:bookmarkEnd w:id="253"/>
    </w:p>
    <w:p w14:paraId="08507C38">
      <w:pPr>
        <w:pStyle w:val="43"/>
      </w:pPr>
      <w:bookmarkStart w:id="254" w:name="_Toc80973519"/>
      <w:bookmarkStart w:id="255" w:name="_Toc81214087"/>
      <w:bookmarkStart w:id="256" w:name="_Toc80193093"/>
      <w:bookmarkStart w:id="257" w:name="_Toc82518775"/>
      <w:bookmarkStart w:id="258" w:name="_Toc152864188"/>
      <w:bookmarkStart w:id="259" w:name="_Toc79515464"/>
      <w:bookmarkStart w:id="260" w:name="_Toc77007793"/>
      <w:r>
        <w:rPr>
          <w:rFonts w:hint="eastAsia"/>
        </w:rPr>
        <w:t>地理位置</w:t>
      </w:r>
      <w:bookmarkEnd w:id="254"/>
      <w:bookmarkEnd w:id="255"/>
      <w:bookmarkEnd w:id="256"/>
      <w:bookmarkEnd w:id="257"/>
      <w:bookmarkEnd w:id="258"/>
      <w:bookmarkEnd w:id="259"/>
      <w:bookmarkEnd w:id="260"/>
    </w:p>
    <w:p w14:paraId="3C76D725">
      <w:pPr>
        <w:ind w:firstLine="480"/>
      </w:pPr>
      <w:r>
        <w:rPr>
          <w:rFonts w:hint="eastAsia"/>
        </w:rPr>
        <w:t>新疆生产建设兵团第七师位于准噶尔盆地西南部的奎屯河流域，南接天山，北接库尔班通古特沙漠。主要分布在胡杨河市、乌苏市、克拉玛依市和和布克赛尔蒙古自治县境内，七师处于天山北坡经济区“金三角”和独-克石油化工带，是自治区支持优先发展的重要经济区，是自治区“一主两翼”城市发展战略的重要一翼；师部所在地胡杨河市既是北疆地区重要的商贸中心，又是“312”、“217”国道和北疆铁路的交汇点，中国西部连接东欧和中亚市场的交通枢纽。</w:t>
      </w:r>
    </w:p>
    <w:p w14:paraId="46063DD6">
      <w:pPr>
        <w:ind w:firstLine="480"/>
      </w:pPr>
      <w:r>
        <w:rPr>
          <w:rFonts w:hint="eastAsia"/>
        </w:rPr>
        <w:t>胡杨河经济技术开发区南园区位于第七师129团五五新镇东南侧与胡杨河市东北侧，奎克高速公路两侧，准噶尔盆地西南部；东临古尔班通古特沙漠；南距奎屯市55km；北距克拉玛依市80km、阿勒泰500km、塔城324km；西距阿拉山口180km；东距乌鲁木齐300km。</w:t>
      </w:r>
    </w:p>
    <w:p w14:paraId="519870B5">
      <w:pPr>
        <w:ind w:firstLine="480"/>
      </w:pPr>
      <w:r>
        <w:rPr>
          <w:rFonts w:hint="eastAsia"/>
        </w:rPr>
        <w:t>本项目厂址位于胡杨河经济技术开发区南园区规划用地范围内，中心地理坐标为：北纬</w:t>
      </w:r>
      <w:r>
        <w:t>44°48'48.63"</w:t>
      </w:r>
      <w:r>
        <w:rPr>
          <w:rFonts w:hint="eastAsia"/>
        </w:rPr>
        <w:t>，东经</w:t>
      </w:r>
      <w:r>
        <w:t>84°51'34.56"</w:t>
      </w:r>
      <w:r>
        <w:rPr>
          <w:rFonts w:hint="eastAsia"/>
        </w:rPr>
        <w:t>。项目厂址西北距129团场团部（五五新镇）约4.8km，东邻古尔班通古特大沙漠，西距奎阿高速公路约0.5km、距奎北铁路约3.1km、距217国道约5.7km，交通便利。</w:t>
      </w:r>
    </w:p>
    <w:p w14:paraId="609B8CCB">
      <w:pPr>
        <w:ind w:firstLine="480"/>
      </w:pPr>
      <w:r>
        <w:rPr>
          <w:rFonts w:hint="eastAsia"/>
        </w:rPr>
        <w:t>本项目地理位置见图4</w:t>
      </w:r>
      <w:r>
        <w:t>.1-1</w:t>
      </w:r>
      <w:r>
        <w:rPr>
          <w:rFonts w:hint="eastAsia"/>
        </w:rPr>
        <w:t>。</w:t>
      </w:r>
    </w:p>
    <w:p w14:paraId="68CE6896">
      <w:pPr>
        <w:pStyle w:val="43"/>
      </w:pPr>
      <w:bookmarkStart w:id="261" w:name="_Toc80193094"/>
      <w:bookmarkStart w:id="262" w:name="_Toc77007794"/>
      <w:bookmarkStart w:id="263" w:name="_Toc79515465"/>
      <w:bookmarkStart w:id="264" w:name="_Toc82518776"/>
      <w:bookmarkStart w:id="265" w:name="_Toc81214088"/>
      <w:bookmarkStart w:id="266" w:name="_Toc80973520"/>
      <w:bookmarkStart w:id="267" w:name="_Toc152864189"/>
      <w:r>
        <w:rPr>
          <w:rFonts w:hint="eastAsia"/>
        </w:rPr>
        <w:t>地形地貌</w:t>
      </w:r>
      <w:bookmarkEnd w:id="261"/>
      <w:bookmarkEnd w:id="262"/>
      <w:bookmarkEnd w:id="263"/>
      <w:bookmarkEnd w:id="264"/>
      <w:bookmarkEnd w:id="265"/>
      <w:bookmarkEnd w:id="266"/>
      <w:bookmarkEnd w:id="267"/>
    </w:p>
    <w:p w14:paraId="656BB94F">
      <w:pPr>
        <w:ind w:firstLine="480"/>
      </w:pPr>
      <w:r>
        <w:rPr>
          <w:rFonts w:hint="eastAsia"/>
        </w:rPr>
        <w:t>胡杨河经济技术开发区南园区整体地形开阔平坦，地势东南高，西北低。评价区域属天山北麓山前冲积平原一部分，地势较平坦，坡降1～2</w:t>
      </w:r>
      <w:r>
        <w:t>‰</w:t>
      </w:r>
      <w:r>
        <w:rPr>
          <w:rFonts w:hint="eastAsia"/>
        </w:rPr>
        <w:t>。海拔高度在290～302m之间。地貌类型包括平原、沙漠和干沟。沙漠分布在129团13连东北部、9连的东北部以东，12连东部、二连的南、东、北部一带。沙漠中有少量平原，大部分地势凹凸不平，沙包为多，有少量土包。区域内干沟为南北走向。南起129团5连，北至11连，独斗渠首，总长15km。</w:t>
      </w:r>
    </w:p>
    <w:p w14:paraId="3966640D">
      <w:pPr>
        <w:ind w:firstLine="480"/>
        <w:sectPr>
          <w:pgSz w:w="11906" w:h="16838"/>
          <w:pgMar w:top="1440" w:right="1588" w:bottom="1440" w:left="1588" w:header="709" w:footer="602" w:gutter="0"/>
          <w:pgBorders>
            <w:top w:val="none" w:sz="0" w:space="0"/>
            <w:left w:val="none" w:sz="0" w:space="0"/>
            <w:bottom w:val="none" w:sz="0" w:space="0"/>
            <w:right w:val="none" w:sz="0" w:space="0"/>
          </w:pgBorders>
          <w:pgNumType w:fmt="numberInDash"/>
          <w:cols w:space="425" w:num="1"/>
          <w:docGrid w:type="linesAndChars" w:linePitch="312" w:charSpace="0"/>
        </w:sectPr>
      </w:pPr>
      <w:r>
        <w:rPr>
          <w:rFonts w:hint="eastAsia"/>
        </w:rPr>
        <w:t>项目所在区域地貌上位于准噶尔盆地西部，奎屯河冲洪积平原下游，地层属第四系全新统冲洪积沉积物，第四系覆盖层厚度大于300m，附近地区没有活动的隐伏构造，属于区域构造稳定区。</w:t>
      </w:r>
    </w:p>
    <w:p w14:paraId="508885D1">
      <w:pPr>
        <w:ind w:left="0" w:leftChars="0" w:firstLine="0" w:firstLineChars="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3C91C374">
      <w:pPr>
        <w:pStyle w:val="43"/>
      </w:pPr>
      <w:bookmarkStart w:id="268" w:name="_Toc82518777"/>
      <w:bookmarkStart w:id="269" w:name="_Toc152864190"/>
      <w:bookmarkStart w:id="270" w:name="_Toc81214089"/>
      <w:bookmarkStart w:id="271" w:name="_Toc77007795"/>
      <w:bookmarkStart w:id="272" w:name="_Toc80973521"/>
      <w:bookmarkStart w:id="273" w:name="_Toc80193095"/>
      <w:bookmarkStart w:id="274" w:name="_Toc79515466"/>
      <w:r>
        <w:rPr>
          <w:rFonts w:hint="eastAsia"/>
        </w:rPr>
        <w:t>工程地质</w:t>
      </w:r>
      <w:bookmarkEnd w:id="268"/>
      <w:bookmarkEnd w:id="269"/>
      <w:bookmarkEnd w:id="270"/>
      <w:bookmarkEnd w:id="271"/>
      <w:bookmarkEnd w:id="272"/>
      <w:bookmarkEnd w:id="273"/>
      <w:bookmarkEnd w:id="274"/>
    </w:p>
    <w:p w14:paraId="56B5B0DA">
      <w:pPr>
        <w:pStyle w:val="45"/>
        <w:spacing w:before="65" w:after="65"/>
      </w:pPr>
      <w:r>
        <w:rPr>
          <w:rFonts w:hint="eastAsia"/>
        </w:rPr>
        <w:t>区域地质结构</w:t>
      </w:r>
    </w:p>
    <w:p w14:paraId="2058D1D0">
      <w:pPr>
        <w:ind w:firstLine="480"/>
      </w:pPr>
      <w:r>
        <w:rPr>
          <w:rFonts w:hint="eastAsia"/>
        </w:rPr>
        <w:t>本项目所在区域在大地构造上位于哈萨克斯坦～准噶尔板块南部边缘，区域新构造运动强烈，区域内发育多条活动断裂。主要有：独山子～安集海断裂（F4）、霍尔果斯断裂（F6）、清水河子断裂（F10），属天山北部推覆构造前部滑脱楔上第二排与第三排新生代断裂-褶皱带，全新世以来有过多次显著活动。独山子-安集海断裂（F4）：该断裂位于独山子-安集海背斜山前地带，走向近似为东西向，长度为55km，由断层面南倾40°～60°的主逆断裂及北倾反冲逆断裂组成，断裂在平面上由西向东分为三段：独山子段、哈拉安德段、安集海段。</w:t>
      </w:r>
    </w:p>
    <w:p w14:paraId="592548DA">
      <w:pPr>
        <w:ind w:firstLine="480"/>
      </w:pPr>
      <w:r>
        <w:rPr>
          <w:rFonts w:hint="eastAsia"/>
        </w:rPr>
        <w:t>霍尔果斯断裂（F6）：断裂分布于霍尔果斯背斜核部和北翼，总体走向近EW向，长度为70km，为断面南倾的逆断裂，断裂与中段的玛纳斯断裂呈左阶排列。该断裂由三条近平行断裂组成。距离测区最近的为F2断裂。F2断裂位于霍尔果斯背斜北翼，全长19km，断裂主体倾向南，局部为逆走滑，在大部分地段引起北侧地层倒转，倾向165°～195°，倾角60°左右，破碎带宽10～30m。在金沟河口一带，断裂错断了</w:t>
      </w:r>
      <w:r>
        <w:t>Ⅰ～Ⅲ</w:t>
      </w:r>
      <w:r>
        <w:rPr>
          <w:rFonts w:hint="eastAsia"/>
        </w:rPr>
        <w:t>级阶地，形成断层陡坎，阶地越高陡坎越高，说明断裂有过多次活动，全新世以来仍有活动。</w:t>
      </w:r>
    </w:p>
    <w:p w14:paraId="49F17CBC">
      <w:pPr>
        <w:ind w:firstLine="480"/>
      </w:pPr>
      <w:r>
        <w:rPr>
          <w:rFonts w:hint="eastAsia"/>
        </w:rPr>
        <w:t>清水河子断裂（F10）：该断裂西起四棵树沙里克台南，经清水河、塔西河至头屯河中上游，总长280km，是乌鲁木齐山前坳陷与天山古生代造山带的分界断裂，控制断裂两侧地质构造和沉积构造。该断裂总体走向280°，断面南倾，倾角45°～75°，破碎带宽度20～100m，多为古生界逆冲于中生界之上，具有长期多次活动的特点。</w:t>
      </w:r>
    </w:p>
    <w:p w14:paraId="6514A40C">
      <w:pPr>
        <w:ind w:firstLine="480"/>
      </w:pPr>
      <w:r>
        <w:rPr>
          <w:rFonts w:hint="eastAsia"/>
        </w:rPr>
        <w:t>根据《中国地震动参数区划图》（GB18306-20</w:t>
      </w:r>
      <w:r>
        <w:t>15</w:t>
      </w:r>
      <w:r>
        <w:rPr>
          <w:rFonts w:hint="eastAsia"/>
        </w:rPr>
        <w:t>）确定本区地震动峰值加速度为0.10g，对应地震基本烈度为</w:t>
      </w:r>
      <w:r>
        <w:t>Ⅶ</w:t>
      </w:r>
      <w:r>
        <w:rPr>
          <w:rFonts w:hint="eastAsia"/>
        </w:rPr>
        <w:t>度。</w:t>
      </w:r>
    </w:p>
    <w:p w14:paraId="12148B09">
      <w:pPr>
        <w:pStyle w:val="45"/>
        <w:spacing w:before="65" w:after="65"/>
      </w:pPr>
      <w:r>
        <w:rPr>
          <w:rFonts w:hint="eastAsia"/>
        </w:rPr>
        <w:t>区域底层岩性</w:t>
      </w:r>
    </w:p>
    <w:p w14:paraId="4E0E1E53">
      <w:pPr>
        <w:ind w:firstLine="480"/>
      </w:pPr>
      <w:r>
        <w:t>奎屯河流域南、北山地的主体由古生界构成，前山带中生界和新生界发育，平原区广泛被第四系覆盖。评价区内出露的地层全部为第四纪沉积物，从老到新分述如下</w:t>
      </w:r>
      <w:r>
        <w:rPr>
          <w:rFonts w:hint="eastAsia"/>
        </w:rPr>
        <w:t>：</w:t>
      </w:r>
    </w:p>
    <w:p w14:paraId="21653103">
      <w:pPr>
        <w:ind w:firstLine="480"/>
      </w:pPr>
      <w:r>
        <w:t>（1）古生界</w:t>
      </w:r>
    </w:p>
    <w:p w14:paraId="4FB2B2C9">
      <w:pPr>
        <w:ind w:firstLine="480"/>
      </w:pPr>
      <w:r>
        <w:t>石炭系（C</w:t>
      </w:r>
      <w:r>
        <w:rPr>
          <w:vertAlign w:val="subscript"/>
        </w:rPr>
        <w:t>2-3</w:t>
      </w:r>
      <w:r>
        <w:t>）：中上统巴音沟组和沙大王组，广泛分布于奎屯河上游山区，中统C</w:t>
      </w:r>
      <w:r>
        <w:rPr>
          <w:vertAlign w:val="subscript"/>
        </w:rPr>
        <w:t>2</w:t>
      </w:r>
      <w:r>
        <w:t>居多，灰色、灰黑色、灰褐色、灰绿色细砂岩、砾岩和凝灰质岩类，属浅海相沉积层，夹有少量熔岩夹层和透镜体。岩体受断裂破坏严重，碎块状，产状多变，但走向多近东西向。基性、超基性岩脉多分布，产化石，二者不整合，总厚度2948m。与上下地层均不整合。</w:t>
      </w:r>
    </w:p>
    <w:p w14:paraId="6BD1B18E">
      <w:pPr>
        <w:ind w:firstLine="480"/>
      </w:pPr>
      <w:r>
        <w:t>（2）中生界</w:t>
      </w:r>
    </w:p>
    <w:p w14:paraId="12F17501">
      <w:pPr>
        <w:ind w:firstLine="480"/>
      </w:pPr>
      <w:r>
        <w:rPr>
          <w:rFonts w:hint="eastAsia" w:ascii="宋体" w:hAnsi="宋体" w:cs="宋体"/>
        </w:rPr>
        <w:t>①</w:t>
      </w:r>
      <w:r>
        <w:t>三叠系（T）</w:t>
      </w:r>
    </w:p>
    <w:p w14:paraId="62EF12C1">
      <w:pPr>
        <w:ind w:firstLine="480"/>
      </w:pPr>
      <w:r>
        <w:t>中、下统（T</w:t>
      </w:r>
      <w:r>
        <w:rPr>
          <w:vertAlign w:val="subscript"/>
        </w:rPr>
        <w:t>1-2</w:t>
      </w:r>
      <w:r>
        <w:t>）仓房沟群和上统（T</w:t>
      </w:r>
      <w:r>
        <w:rPr>
          <w:vertAlign w:val="subscript"/>
        </w:rPr>
        <w:t>3</w:t>
      </w:r>
      <w:r>
        <w:t>）小泉沟群。在奎屯河以西山前断裂下盘带状出露，与石炭系断层接触。以陆相湖盆堆积为主，红褐、紫褐、灰黄色等，碎块状夹致密而软的泥岩，砂岩互层夹砾岩，夹透镜煤层。层理清晰，颜色杂乱，总厚度 148～510m。产状北倾43°。</w:t>
      </w:r>
    </w:p>
    <w:p w14:paraId="24CB266D">
      <w:pPr>
        <w:ind w:firstLine="480"/>
      </w:pPr>
      <w:r>
        <w:rPr>
          <w:rFonts w:hint="eastAsia" w:ascii="宋体" w:hAnsi="宋体" w:cs="宋体"/>
        </w:rPr>
        <w:t>②</w:t>
      </w:r>
      <w:r>
        <w:t>侏罗系（J）</w:t>
      </w:r>
    </w:p>
    <w:p w14:paraId="56F42550">
      <w:pPr>
        <w:ind w:firstLine="480"/>
      </w:pPr>
      <w:r>
        <w:t>大面积分布于四棵树煤矿和巴音沟煤矿周围，灰、灰绿、暗红色砂岩、砂页岩、砾岩、泥岩、夹多层煤，倾向北20～52°。</w:t>
      </w:r>
    </w:p>
    <w:p w14:paraId="640AE32A">
      <w:pPr>
        <w:ind w:firstLine="480"/>
      </w:pPr>
      <w:r>
        <w:rPr>
          <w:rFonts w:hint="eastAsia" w:ascii="宋体" w:hAnsi="宋体" w:cs="宋体"/>
        </w:rPr>
        <w:t>③</w:t>
      </w:r>
      <w:r>
        <w:t>白垩系（K）</w:t>
      </w:r>
    </w:p>
    <w:p w14:paraId="41F4369F">
      <w:pPr>
        <w:ind w:firstLine="480"/>
      </w:pPr>
      <w:r>
        <w:t>仅有下统吐谷鲁群（K</w:t>
      </w:r>
      <w:r>
        <w:rPr>
          <w:vertAlign w:val="subscript"/>
        </w:rPr>
        <w:t>1</w:t>
      </w:r>
      <w:r>
        <w:t>t）出露于托斯台到四棵树河之间，呈条带状延伸，与下伏侏罗系不整合。灰、棕、紫红、灰绿色页岩、砾石、泥岩、砂岩互层。在托 斯台向斜的两翼和背斜的轴部可见。厚度50～720m。</w:t>
      </w:r>
    </w:p>
    <w:p w14:paraId="39233577">
      <w:pPr>
        <w:ind w:firstLine="480"/>
      </w:pPr>
      <w:r>
        <w:t>（3）新生界</w:t>
      </w:r>
    </w:p>
    <w:p w14:paraId="1A444F06">
      <w:pPr>
        <w:ind w:firstLine="480"/>
      </w:pPr>
      <w:r>
        <w:rPr>
          <w:rFonts w:hint="eastAsia" w:ascii="宋体" w:hAnsi="宋体" w:cs="宋体"/>
        </w:rPr>
        <w:t>①</w:t>
      </w:r>
      <w:r>
        <w:t>古近系</w:t>
      </w:r>
    </w:p>
    <w:p w14:paraId="44F9E0EE">
      <w:pPr>
        <w:ind w:firstLine="480"/>
      </w:pPr>
      <w:r>
        <w:t>古～始新统（E</w:t>
      </w:r>
      <w:r>
        <w:rPr>
          <w:vertAlign w:val="subscript"/>
        </w:rPr>
        <w:t>1+2</w:t>
      </w:r>
      <w:r>
        <w:t>）：带状、环状出露于托斯台至四棵树煤矿，以红色为主的砂岩、砂砾岩、夹石膏透镜体。不整合于下伏白垩系下统之上。厚度16～450m。渐新统玛纳斯组（E</w:t>
      </w:r>
      <w:r>
        <w:rPr>
          <w:vertAlign w:val="subscript"/>
        </w:rPr>
        <w:t>3</w:t>
      </w:r>
      <w:r>
        <w:t>m）：仅分布于四棵树煤矿和巴音沟煤矿。近东西向延伸，主要岩性灰绿色、深灰色、黄绿色页岩、砂岩、泥质石灰岩、介壳灰岩，总厚度180～855m。</w:t>
      </w:r>
    </w:p>
    <w:p w14:paraId="2A991B94">
      <w:pPr>
        <w:ind w:firstLine="480"/>
      </w:pPr>
      <w:r>
        <w:rPr>
          <w:rFonts w:hint="eastAsia" w:ascii="宋体" w:hAnsi="宋体" w:cs="宋体"/>
        </w:rPr>
        <w:t>②</w:t>
      </w:r>
      <w:r>
        <w:t>新近系</w:t>
      </w:r>
    </w:p>
    <w:p w14:paraId="17B31FBD">
      <w:pPr>
        <w:ind w:firstLine="480"/>
      </w:pPr>
      <w:r>
        <w:t>中新统前山组（N</w:t>
      </w:r>
      <w:r>
        <w:rPr>
          <w:vertAlign w:val="subscript"/>
        </w:rPr>
        <w:t>1</w:t>
      </w:r>
      <w:r>
        <w:t>q）：出露于托斯台和独山子背斜核部（北侧），为棕色、红褐色、砂质页岩、砂岩、泥质岩组成，成岩度低，破碎，质软，总厚度475～1315m。上新统独山子组（N</w:t>
      </w:r>
      <w:r>
        <w:rPr>
          <w:vertAlign w:val="subscript"/>
        </w:rPr>
        <w:t>2</w:t>
      </w:r>
      <w:r>
        <w:t>d）：出露于托斯台北部独山子中部和乌兰布拉克的广大地区。下部为棕褐色、红棕色砂质页岩、泥岩、砂岩。上部为灰色砾岩，厚度1985～3660m。</w:t>
      </w:r>
    </w:p>
    <w:p w14:paraId="30B2C8E1">
      <w:pPr>
        <w:ind w:firstLine="480"/>
      </w:pPr>
      <w:r>
        <w:rPr>
          <w:rFonts w:hint="eastAsia" w:ascii="宋体" w:hAnsi="宋体" w:cs="宋体"/>
        </w:rPr>
        <w:t>③</w:t>
      </w:r>
      <w:r>
        <w:t>第四系</w:t>
      </w:r>
    </w:p>
    <w:p w14:paraId="6A79360D">
      <w:pPr>
        <w:ind w:firstLine="480"/>
      </w:pPr>
      <w:r>
        <w:t>a下更新统西域组（Q</w:t>
      </w:r>
      <w:r>
        <w:rPr>
          <w:vertAlign w:val="subscript"/>
        </w:rPr>
        <w:t>1</w:t>
      </w:r>
      <w:r>
        <w:t>X）及中更新统乌苏群（Q</w:t>
      </w:r>
      <w:r>
        <w:rPr>
          <w:vertAlign w:val="subscript"/>
        </w:rPr>
        <w:t>2</w:t>
      </w:r>
      <w:r>
        <w:t>W）</w:t>
      </w:r>
    </w:p>
    <w:p w14:paraId="1F864F85">
      <w:pPr>
        <w:ind w:firstLine="480"/>
      </w:pPr>
      <w:r>
        <w:t>下更新统西域组（Q</w:t>
      </w:r>
      <w:r>
        <w:rPr>
          <w:vertAlign w:val="subscript"/>
        </w:rPr>
        <w:t>1</w:t>
      </w:r>
      <w:r>
        <w:t>X）主要分布于中低山区与哈拉安德—安集海背斜山间盆地和山前冲洪积倾斜平原的底部，走向近东西，倾角小于30°，与下伏独山子组为连续沉积，总厚度近900m。中更新统乌苏群（Q</w:t>
      </w:r>
      <w:r>
        <w:rPr>
          <w:vertAlign w:val="subscript"/>
        </w:rPr>
        <w:t>2</w:t>
      </w:r>
      <w:r>
        <w:t>W）为一套冰水沉积物，分布于山间盆地核部，主要为灰色砂砾石，含漂砾，粒径3～8cm，最大达60cm，向</w:t>
      </w:r>
      <w:r>
        <w:rPr>
          <w:rFonts w:hint="eastAsia"/>
        </w:rPr>
        <w:t>北部方向颗粒变细，与下伏西域组、独山子组呈侵蚀不整合接触。据区域地质及 物探资料，窝瓦特山间盆地中部乌苏群厚度近 500m；山前平原之顶端乌苏群厚度可达700m左右，向北厚度变薄。</w:t>
      </w:r>
    </w:p>
    <w:p w14:paraId="1413CEE3">
      <w:pPr>
        <w:ind w:firstLine="480"/>
      </w:pPr>
      <w:r>
        <w:rPr>
          <w:rFonts w:hint="eastAsia"/>
        </w:rPr>
        <w:t>b上更新统冲洪积层（Q</w:t>
      </w:r>
      <w:r>
        <w:rPr>
          <w:rFonts w:hint="eastAsia"/>
          <w:vertAlign w:val="subscript"/>
        </w:rPr>
        <w:t>3</w:t>
      </w:r>
      <w:r>
        <w:rPr>
          <w:rFonts w:hint="eastAsia"/>
          <w:vertAlign w:val="superscript"/>
        </w:rPr>
        <w:t>al</w:t>
      </w:r>
      <w:r>
        <w:rPr>
          <w:vertAlign w:val="superscript"/>
        </w:rPr>
        <w:t>+</w:t>
      </w:r>
      <w:r>
        <w:rPr>
          <w:rFonts w:hint="eastAsia"/>
          <w:vertAlign w:val="superscript"/>
        </w:rPr>
        <w:t>pl</w:t>
      </w:r>
      <w:r>
        <w:rPr>
          <w:rFonts w:hint="eastAsia"/>
        </w:rPr>
        <w:t>）及下部冲湖积层（Q</w:t>
      </w:r>
      <w:r>
        <w:rPr>
          <w:rFonts w:hint="eastAsia"/>
          <w:vertAlign w:val="subscript"/>
        </w:rPr>
        <w:t>3</w:t>
      </w:r>
      <w:r>
        <w:rPr>
          <w:rFonts w:hint="eastAsia"/>
          <w:vertAlign w:val="superscript"/>
        </w:rPr>
        <w:t>al</w:t>
      </w:r>
      <w:r>
        <w:rPr>
          <w:vertAlign w:val="superscript"/>
        </w:rPr>
        <w:t>+</w:t>
      </w:r>
      <w:r>
        <w:rPr>
          <w:rFonts w:hint="eastAsia"/>
          <w:vertAlign w:val="superscript"/>
        </w:rPr>
        <w:t>l</w:t>
      </w:r>
      <w:r>
        <w:rPr>
          <w:rFonts w:hint="eastAsia"/>
        </w:rPr>
        <w:t>）</w:t>
      </w:r>
    </w:p>
    <w:p w14:paraId="6E886CBA">
      <w:pPr>
        <w:ind w:firstLine="480"/>
      </w:pPr>
      <w:r>
        <w:rPr>
          <w:rFonts w:hint="eastAsia"/>
        </w:rPr>
        <w:t>Q</w:t>
      </w:r>
      <w:r>
        <w:rPr>
          <w:rFonts w:hint="eastAsia"/>
          <w:vertAlign w:val="subscript"/>
        </w:rPr>
        <w:t>3</w:t>
      </w:r>
      <w:r>
        <w:rPr>
          <w:rFonts w:hint="eastAsia"/>
          <w:vertAlign w:val="superscript"/>
        </w:rPr>
        <w:t>al</w:t>
      </w:r>
      <w:r>
        <w:rPr>
          <w:vertAlign w:val="superscript"/>
        </w:rPr>
        <w:t>+</w:t>
      </w:r>
      <w:r>
        <w:rPr>
          <w:rFonts w:hint="eastAsia"/>
          <w:vertAlign w:val="superscript"/>
        </w:rPr>
        <w:t>pl</w:t>
      </w:r>
      <w:r>
        <w:rPr>
          <w:rFonts w:hint="eastAsia"/>
        </w:rPr>
        <w:t>分布于奎屯市东西苇湖—开干旗以北的大片地区，在东西苇湖及开干旗一带分布于Q</w:t>
      </w:r>
      <w:r>
        <w:rPr>
          <w:vertAlign w:val="subscript"/>
        </w:rPr>
        <w:t>4</w:t>
      </w:r>
      <w:r>
        <w:rPr>
          <w:rFonts w:hint="eastAsia"/>
          <w:vertAlign w:val="superscript"/>
        </w:rPr>
        <w:t>al+h</w:t>
      </w:r>
      <w:r>
        <w:rPr>
          <w:rFonts w:hint="eastAsia"/>
        </w:rPr>
        <w:t>以下。本层厚度一般30～50m，表层3～5m处岩性均为淡黄、灰黄色粉土、粉细砂及薄层粉质粘土，结构松散，颗粒均匀，下部为粉土夹薄层砂砾石组成。砾石成分以灰岩、变质岩为主，粒径一般3～5cm，最大10cm。砂砾石磨圆度较好，厚度一般在3～5m。根据钻孔资料，50m以上有四层砂砾石，总厚度25～30m。</w:t>
      </w:r>
    </w:p>
    <w:p w14:paraId="1B4B3B42">
      <w:pPr>
        <w:ind w:firstLine="480"/>
      </w:pPr>
      <w:r>
        <w:rPr>
          <w:rFonts w:hint="eastAsia"/>
        </w:rPr>
        <w:t>在其下部为Q</w:t>
      </w:r>
      <w:r>
        <w:rPr>
          <w:vertAlign w:val="subscript"/>
        </w:rPr>
        <w:t>3</w:t>
      </w:r>
      <w:r>
        <w:rPr>
          <w:rFonts w:hint="eastAsia"/>
          <w:vertAlign w:val="superscript"/>
        </w:rPr>
        <w:t>al+l</w:t>
      </w:r>
      <w:r>
        <w:rPr>
          <w:rFonts w:hint="eastAsia"/>
        </w:rPr>
        <w:t>的冲湖积地层，为中更新世末冰川后退后，洪积物汇流成湖泊及三角洲的产物。在东苇湖北跃进村可见100m厚的粉质粘土层，为青灰、灰黑及灰褐色，由于湖积的过渡沉积，又含有10余层砂砾石层，砂砾石厚度一般0.3～0.5m（其北部可达3～5m），以砂层居多。本层揭露总厚度可达100～130m。</w:t>
      </w:r>
    </w:p>
    <w:p w14:paraId="44533AEB">
      <w:pPr>
        <w:ind w:firstLine="480"/>
      </w:pPr>
      <w:r>
        <w:rPr>
          <w:rFonts w:hint="eastAsia"/>
        </w:rPr>
        <w:t>c上更新统和全新统冲洪积堆积（Q</w:t>
      </w:r>
      <w:r>
        <w:rPr>
          <w:rFonts w:hint="eastAsia"/>
          <w:vertAlign w:val="subscript"/>
        </w:rPr>
        <w:t>3+4</w:t>
      </w:r>
      <w:r>
        <w:rPr>
          <w:rFonts w:hint="eastAsia"/>
          <w:vertAlign w:val="superscript"/>
        </w:rPr>
        <w:t>al+pl</w:t>
      </w:r>
      <w:r>
        <w:rPr>
          <w:rFonts w:hint="eastAsia"/>
        </w:rPr>
        <w:t>）</w:t>
      </w:r>
    </w:p>
    <w:p w14:paraId="395FC5DF">
      <w:pPr>
        <w:ind w:firstLine="480"/>
      </w:pPr>
      <w:r>
        <w:rPr>
          <w:rFonts w:hint="eastAsia"/>
        </w:rPr>
        <w:t>上更新统和全新统砂砾石层，分布广泛，几乎覆盖了整个山前倾斜平原，并延伸于北部冲积沼泽平原下部。西部为奎屯河冲洪积扇，东部为巴音沟河冲洪积扇，因分布地段不同，岩性及厚度变化也不一致。在312国道及以南地带，地表全部为磨圆度较好的粗大卵砾石，表层无细粒的砂土、亚砂土覆盖。312国道附近一般砾石直径1－2cm的约占25%、2－5cm的约占50%，最大可见40－50cm。卵砾石主要由青灰色至灰褐色的硬砂岩、板岩、灰岩、片岩、花岗片麻岩及一些 杂色火成岩组成，其间夹少量的碎石及砂土，粒径由南至北逐渐变小，而含砾量逐渐增加。向北至火车站一带，据钻孔揭露，除表层有1m厚的土层外，100余米未揭穿砂砾石层，而且砾石粒径一般较大，10－20cm占约50%左右。向北至奎屯市内，表层有8－10m的厚粉土覆盖，其下部为砂砾石层，厚度为70m。粒径显著变小，一般2－4cm为多，约占40%以上，4－6cm约占30～40%，最大粒径不超过10cm，在30m以内含有大量的中粗砂夹层，磨圆度不好，大部呈棱角状和半</w:t>
      </w:r>
      <w:r>
        <w:t>浑圆状，在130m以下发现有淤泥，灰色并有臭味。</w:t>
      </w:r>
    </w:p>
    <w:p w14:paraId="1588C053">
      <w:pPr>
        <w:ind w:firstLine="480"/>
      </w:pPr>
      <w:r>
        <w:t>奎屯东苇湖东2km为二扇交接地带，水流在扇形边缘减弱，堆积物质颗粒较细，形成厚达40余米的粘性土层及砂层透镜体；往东接近巴音沟河冲洪积扇表层粘性土层由厚变薄至10余米，表层组成物质一般为淡黄色、褐红色粉质粘土及粘土层，夹有厚度几厘米到几十厘米砂层或砂层透镜体，岩性结构致密，颗粒细而均匀，潮湿可塑，干后坚硬，内含石膏颗粒及盐的斑点。其下部卵砾石层厚 度显著变薄，一般在35－40m左右，其间夹有数层薄层粘性土，砾石直</w:t>
      </w:r>
      <w:r>
        <w:rPr>
          <w:rFonts w:hint="eastAsia"/>
        </w:rPr>
        <w:t>径</w:t>
      </w:r>
      <w:r>
        <w:t>一般6－10cm，约占总数的50%，2－4cm约占30～35%，大于10cm的约占10%左右，卵砾石最大粒</w:t>
      </w:r>
      <w:r>
        <w:rPr>
          <w:rFonts w:hint="eastAsia"/>
        </w:rPr>
        <w:t>径</w:t>
      </w:r>
      <w:r>
        <w:t>约15cm。</w:t>
      </w:r>
    </w:p>
    <w:p w14:paraId="6DF726C4">
      <w:pPr>
        <w:ind w:firstLine="480"/>
      </w:pPr>
      <w:r>
        <w:t>d全新统冲积沼泽沉积（Q</w:t>
      </w:r>
      <w:r>
        <w:rPr>
          <w:vertAlign w:val="subscript"/>
        </w:rPr>
        <w:t>4</w:t>
      </w:r>
      <w:r>
        <w:rPr>
          <w:vertAlign w:val="superscript"/>
        </w:rPr>
        <w:t>al+h</w:t>
      </w:r>
      <w:r>
        <w:t>）</w:t>
      </w:r>
    </w:p>
    <w:p w14:paraId="04C26948">
      <w:pPr>
        <w:ind w:firstLine="480"/>
      </w:pPr>
      <w:r>
        <w:t>分布于奎屯以北东西苇湖周围、东部开干旗牧场及北部三角庄子等地。奎屯至开干旗一带呈东西条带分布，一般沉积厚度30－50cm，最厚不超过2m。在东苇湖以北的61号浅孔中，发现0.9m 以下有厚达5cm泥炭层，主要沉积物为灰色、灰黑色粉质粘土、粉土，含大量腐</w:t>
      </w:r>
      <w:r>
        <w:rPr>
          <w:rFonts w:hint="eastAsia"/>
        </w:rPr>
        <w:t>殖</w:t>
      </w:r>
      <w:r>
        <w:t>质和腐泥。在开干旗钻孔中，50cm附近也发现有尚未腐烂的植物根系，50cm以下，变为灰绿色至紫红色粘土层，局部有氧化铁锈斑，结构致密，颗粒细而均匀，有滑腻感。三角庄子137号浅孔中，在30cm以上为黑色腐</w:t>
      </w:r>
      <w:r>
        <w:rPr>
          <w:rFonts w:hint="eastAsia"/>
        </w:rPr>
        <w:t>殖</w:t>
      </w:r>
      <w:r>
        <w:t>质层，30－70cm为青灰色质地均匀的淤泥层，并夹白色盐的结晶，与其下部地层有明显界线。所有沼泽表面，土壤都受到不同程度的盐渍 化作用，从而形成盐土和不同程度的盐渍土。土层中含所含的盐分，主要为芒硝（硫酸钠）、石盐（氯化钠）及石膏等。土层中1m以上平均易溶盐含量大都超过3%，1米以下一般为1－2%，局部土层已碱化。</w:t>
      </w:r>
    </w:p>
    <w:p w14:paraId="065A5944">
      <w:pPr>
        <w:ind w:firstLine="480"/>
      </w:pPr>
      <w:r>
        <w:t>e 全新统冲洪积层（Q</w:t>
      </w:r>
      <w:r>
        <w:rPr>
          <w:vertAlign w:val="subscript"/>
        </w:rPr>
        <w:t>4</w:t>
      </w:r>
      <w:r>
        <w:rPr>
          <w:vertAlign w:val="superscript"/>
        </w:rPr>
        <w:t>al+pl</w:t>
      </w:r>
      <w:r>
        <w:t>）</w:t>
      </w:r>
    </w:p>
    <w:p w14:paraId="466F379A">
      <w:pPr>
        <w:ind w:firstLine="480"/>
      </w:pPr>
      <w:r>
        <w:t>广泛分布在冲洪积细土平原区。</w:t>
      </w:r>
      <w:r>
        <w:rPr>
          <w:rFonts w:hint="eastAsia"/>
        </w:rPr>
        <w:t>胡杨河市</w:t>
      </w:r>
      <w:r>
        <w:t>、一二九团主要以此地层为主。主要地层为粘土、粉质粘土、粉土、砂土互层分布。地层分布特点决定了平原区潜水、承压水分布特征。最大沉积厚度超过500m。</w:t>
      </w:r>
    </w:p>
    <w:p w14:paraId="05C00855">
      <w:pPr>
        <w:ind w:firstLine="480"/>
      </w:pPr>
      <w:r>
        <w:t>f全新统风积层（Q</w:t>
      </w:r>
      <w:r>
        <w:rPr>
          <w:vertAlign w:val="subscript"/>
        </w:rPr>
        <w:t>4</w:t>
      </w:r>
      <w:r>
        <w:rPr>
          <w:vertAlign w:val="superscript"/>
        </w:rPr>
        <w:t>eol</w:t>
      </w:r>
      <w:r>
        <w:t>）</w:t>
      </w:r>
    </w:p>
    <w:p w14:paraId="24CD79A1">
      <w:pPr>
        <w:ind w:firstLine="480"/>
      </w:pPr>
      <w:r>
        <w:t>主要分布在一二九团东部，隶属古尔班通古特沙漠，地貌上表现为低矮沙丘。</w:t>
      </w:r>
      <w:r>
        <w:rPr>
          <w:rFonts w:hint="eastAsia"/>
        </w:rPr>
        <w:t>岩性为风积粉细砂。</w:t>
      </w:r>
    </w:p>
    <w:p w14:paraId="1EB3FCCA">
      <w:pPr>
        <w:ind w:firstLine="480"/>
      </w:pPr>
      <w:r>
        <w:rPr>
          <w:rFonts w:hint="eastAsia"/>
        </w:rPr>
        <w:t>评价区地层为全新统冲洪积层（Q</w:t>
      </w:r>
      <w:r>
        <w:rPr>
          <w:rFonts w:hint="eastAsia"/>
          <w:vertAlign w:val="subscript"/>
        </w:rPr>
        <w:t>4</w:t>
      </w:r>
      <w:r>
        <w:rPr>
          <w:vertAlign w:val="superscript"/>
        </w:rPr>
        <w:t>al+pl</w:t>
      </w:r>
      <w:r>
        <w:rPr>
          <w:rFonts w:hint="eastAsia"/>
        </w:rPr>
        <w:t>），部分地表分布有全新统风积物（Q</w:t>
      </w:r>
      <w:r>
        <w:rPr>
          <w:rFonts w:hint="eastAsia"/>
          <w:vertAlign w:val="subscript"/>
        </w:rPr>
        <w:t>4</w:t>
      </w:r>
      <w:r>
        <w:rPr>
          <w:vertAlign w:val="superscript"/>
        </w:rPr>
        <w:t>eol</w:t>
      </w:r>
      <w:r>
        <w:rPr>
          <w:rFonts w:hint="eastAsia"/>
        </w:rPr>
        <w:t>）。根据已经钻探ZK1、ZK2、ZK3、ZK4、ZK6、ZK12等水文地质孔显示，该区地层由上而下分别为：</w:t>
      </w:r>
    </w:p>
    <w:p w14:paraId="0B8029C5">
      <w:pPr>
        <w:ind w:firstLine="480"/>
      </w:pPr>
      <w:r>
        <w:t>Ⅰ</w:t>
      </w:r>
      <w:r>
        <w:rPr>
          <w:rFonts w:hint="eastAsia"/>
        </w:rPr>
        <w:t>粉土，层厚25.8-28.0m，平均厚度26.9m；</w:t>
      </w:r>
    </w:p>
    <w:p w14:paraId="22E1848A">
      <w:pPr>
        <w:ind w:firstLine="480"/>
      </w:pPr>
      <w:r>
        <w:t>Ⅱ</w:t>
      </w:r>
      <w:r>
        <w:rPr>
          <w:rFonts w:hint="eastAsia"/>
        </w:rPr>
        <w:t>粉砂，层厚2.6-3.7m，平均厚度3.2m；</w:t>
      </w:r>
    </w:p>
    <w:p w14:paraId="25C1B004">
      <w:pPr>
        <w:ind w:firstLine="480"/>
      </w:pPr>
      <w:r>
        <w:t>Ⅲ</w:t>
      </w:r>
      <w:r>
        <w:rPr>
          <w:rFonts w:hint="eastAsia"/>
        </w:rPr>
        <w:t>粉土，层厚6.5-9.1m，平均厚度7.8m；</w:t>
      </w:r>
    </w:p>
    <w:p w14:paraId="274531B2">
      <w:pPr>
        <w:ind w:firstLine="480"/>
      </w:pPr>
      <w:r>
        <w:t>Ⅳ</w:t>
      </w:r>
      <w:r>
        <w:rPr>
          <w:rFonts w:hint="eastAsia"/>
        </w:rPr>
        <w:t>粉细砂，层厚9.3-9.8m，平均厚度9.6m；</w:t>
      </w:r>
    </w:p>
    <w:p w14:paraId="640279E6">
      <w:pPr>
        <w:ind w:firstLine="480"/>
      </w:pPr>
      <w:r>
        <w:t>Ⅴ</w:t>
      </w:r>
      <w:r>
        <w:rPr>
          <w:rFonts w:hint="eastAsia"/>
        </w:rPr>
        <w:t>粉质粘土，层厚8.5-10.9m，平均厚度9.7m；</w:t>
      </w:r>
    </w:p>
    <w:p w14:paraId="5793F5DF">
      <w:pPr>
        <w:ind w:firstLine="480"/>
      </w:pPr>
      <w:r>
        <w:t>Ⅵ</w:t>
      </w:r>
      <w:r>
        <w:rPr>
          <w:rFonts w:hint="eastAsia"/>
        </w:rPr>
        <w:t>细砂，厚度27.3m；</w:t>
      </w:r>
    </w:p>
    <w:p w14:paraId="64317638">
      <w:pPr>
        <w:ind w:firstLine="480"/>
      </w:pPr>
      <w:r>
        <w:t>Ⅶ</w:t>
      </w:r>
      <w:r>
        <w:rPr>
          <w:rFonts w:hint="eastAsia"/>
        </w:rPr>
        <w:t>粉质粘土，厚度13.0m；</w:t>
      </w:r>
    </w:p>
    <w:p w14:paraId="7D5E94DB">
      <w:pPr>
        <w:ind w:firstLine="480"/>
      </w:pPr>
      <w:r>
        <w:t>Ⅷ</w:t>
      </w:r>
      <w:r>
        <w:rPr>
          <w:rFonts w:hint="eastAsia"/>
        </w:rPr>
        <w:t>细砂，厚度3.9m。</w:t>
      </w:r>
    </w:p>
    <w:p w14:paraId="028C6FC7">
      <w:pPr>
        <w:ind w:firstLine="480"/>
      </w:pPr>
      <w:r>
        <w:rPr>
          <w:rFonts w:hint="eastAsia"/>
        </w:rPr>
        <w:t>根据《七师设计院地质勘查报告》，厂区地层主要由冲洪积松散细颗粒沉积物组成，在钻孔揭露的8-40m深度范围内，主要以褐黄色粉土层为主，局部夹薄层粉细砂、粉质粘土透镜体。</w:t>
      </w:r>
    </w:p>
    <w:p w14:paraId="0BDBF12C">
      <w:pPr>
        <w:pStyle w:val="43"/>
      </w:pPr>
      <w:bookmarkStart w:id="275" w:name="_Toc80193096"/>
      <w:bookmarkStart w:id="276" w:name="_Toc79515467"/>
      <w:bookmarkStart w:id="277" w:name="_Toc82518778"/>
      <w:bookmarkStart w:id="278" w:name="_Toc80973522"/>
      <w:bookmarkStart w:id="279" w:name="_Toc81214090"/>
      <w:bookmarkStart w:id="280" w:name="_Toc77007796"/>
      <w:bookmarkStart w:id="281" w:name="_Toc152864191"/>
      <w:r>
        <w:rPr>
          <w:rFonts w:hint="eastAsia"/>
        </w:rPr>
        <w:t>水文</w:t>
      </w:r>
      <w:bookmarkEnd w:id="275"/>
      <w:bookmarkEnd w:id="276"/>
      <w:bookmarkEnd w:id="277"/>
      <w:bookmarkEnd w:id="278"/>
      <w:bookmarkEnd w:id="279"/>
      <w:bookmarkEnd w:id="280"/>
      <w:r>
        <w:rPr>
          <w:rFonts w:hint="eastAsia"/>
        </w:rPr>
        <w:t>及水文地质</w:t>
      </w:r>
      <w:bookmarkEnd w:id="281"/>
    </w:p>
    <w:p w14:paraId="678752BB">
      <w:pPr>
        <w:pStyle w:val="45"/>
        <w:spacing w:before="65" w:after="65"/>
      </w:pPr>
      <w:r>
        <w:rPr>
          <w:rFonts w:hint="eastAsia"/>
        </w:rPr>
        <w:t>地表水</w:t>
      </w:r>
    </w:p>
    <w:p w14:paraId="6EBCC0F2">
      <w:pPr>
        <w:ind w:firstLine="480"/>
      </w:pPr>
      <w:r>
        <w:rPr>
          <w:rFonts w:hint="eastAsia"/>
        </w:rPr>
        <w:t>区域地表水资源主要来自奎屯河、四棵树河、古尔图河等三条河流。河流发源于天山，属高山融雪及降水补给类型的内陆河流，其特点是河流水量随气温的高低而涨落，冬季水小，夏季水大。多年三河平均来水量12.56亿m</w:t>
      </w:r>
      <w:r>
        <w:rPr>
          <w:rFonts w:hint="eastAsia"/>
          <w:vertAlign w:val="superscript"/>
        </w:rPr>
        <w:t>3</w:t>
      </w:r>
      <w:r>
        <w:rPr>
          <w:rFonts w:hint="eastAsia"/>
        </w:rPr>
        <w:t>，最高年份来水量15.08亿m</w:t>
      </w:r>
      <w:r>
        <w:rPr>
          <w:rFonts w:hint="eastAsia"/>
          <w:vertAlign w:val="superscript"/>
        </w:rPr>
        <w:t>3</w:t>
      </w:r>
      <w:r>
        <w:rPr>
          <w:rFonts w:hint="eastAsia"/>
        </w:rPr>
        <w:t>，最小年份来水量10.2亿m</w:t>
      </w:r>
      <w:r>
        <w:rPr>
          <w:rFonts w:hint="eastAsia"/>
          <w:vertAlign w:val="superscript"/>
        </w:rPr>
        <w:t>3</w:t>
      </w:r>
      <w:r>
        <w:rPr>
          <w:rFonts w:hint="eastAsia"/>
        </w:rPr>
        <w:t>。春水约占年总水量的20%，夏水占50%，秋水占20%，冬水占10%。流域内水量依据历史协议按比例分配，供七师、乌苏市、奎屯市和独山子区工农业用水。</w:t>
      </w:r>
    </w:p>
    <w:p w14:paraId="1343B554">
      <w:pPr>
        <w:ind w:firstLine="480"/>
      </w:pPr>
      <w:r>
        <w:rPr>
          <w:rFonts w:hint="eastAsia"/>
        </w:rPr>
        <w:t>奎屯河发源于依连哈比尔尕山北坡海拔2800～3600米的山区，以冰川、积雪融水、降水及沿程地下水补给为主。由南向北经131团山区牧场，乌苏巴音沟牧场，36145部队，在独山子矿区出山后流入准噶尔盆地区，在乌伊公路奎屯河大桥处沿131团西缘向北流，经乌苏良种场、九间楼和皇宫乡、头台乡，沿胡杨河市西北流入奎屯水库，再沿125团东缘向北，经乌苏车排子乡向西北，沿123团和127团西南缘及126团南缘向西流经乌苏石桥乡甘家湖林场，甘家湖牧场，在五道泉处进入精河县东北经散德克库木大沙漠流入艾比湖。全长359.6公里，其中流经七师垦区河长84.0公里，（不包括天山区草牧场的河道），是七师辖区内最长的河流。</w:t>
      </w:r>
    </w:p>
    <w:p w14:paraId="09D0F9E5">
      <w:pPr>
        <w:ind w:firstLine="480"/>
      </w:pPr>
      <w:r>
        <w:rPr>
          <w:rFonts w:hint="eastAsia"/>
        </w:rPr>
        <w:t>本项目生产废水和生活污水全部依托园区污水处理厂处理，不外排，且本项目周围无常年地表径流，不会与周围地表水发生水力联系。</w:t>
      </w:r>
    </w:p>
    <w:p w14:paraId="1F78CFC6">
      <w:pPr>
        <w:pStyle w:val="45"/>
        <w:spacing w:before="65" w:after="65"/>
      </w:pPr>
      <w:r>
        <w:rPr>
          <w:rFonts w:hint="eastAsia"/>
        </w:rPr>
        <w:t>地下水</w:t>
      </w:r>
    </w:p>
    <w:p w14:paraId="05B68990">
      <w:pPr>
        <w:ind w:firstLine="480"/>
      </w:pPr>
      <w:r>
        <w:rPr>
          <w:rFonts w:hint="eastAsia"/>
        </w:rPr>
        <w:t>七师沿天山北麓冲积扇地带有众多泉水溢出，泉水年来水量为1.82亿m</w:t>
      </w:r>
      <w:r>
        <w:rPr>
          <w:rFonts w:hint="eastAsia"/>
          <w:vertAlign w:val="superscript"/>
        </w:rPr>
        <w:t>3</w:t>
      </w:r>
      <w:r>
        <w:rPr>
          <w:rFonts w:hint="eastAsia"/>
        </w:rPr>
        <w:t>，七师拥有泉水资源量1.16亿m</w:t>
      </w:r>
      <w:r>
        <w:rPr>
          <w:rFonts w:hint="eastAsia"/>
          <w:vertAlign w:val="superscript"/>
        </w:rPr>
        <w:t>3</w:t>
      </w:r>
      <w:r>
        <w:rPr>
          <w:rFonts w:hint="eastAsia"/>
        </w:rPr>
        <w:t>。</w:t>
      </w:r>
    </w:p>
    <w:p w14:paraId="5AC7DE1D">
      <w:pPr>
        <w:ind w:firstLine="480"/>
      </w:pPr>
      <w:r>
        <w:rPr>
          <w:rFonts w:hint="eastAsia"/>
        </w:rPr>
        <w:t>七师地下水总储量3.4亿m</w:t>
      </w:r>
      <w:r>
        <w:rPr>
          <w:rFonts w:hint="eastAsia"/>
          <w:vertAlign w:val="superscript"/>
        </w:rPr>
        <w:t>3</w:t>
      </w:r>
      <w:r>
        <w:rPr>
          <w:rFonts w:hint="eastAsia"/>
        </w:rPr>
        <w:t>，可采量为2.4亿m</w:t>
      </w:r>
      <w:r>
        <w:rPr>
          <w:rFonts w:hint="eastAsia"/>
          <w:vertAlign w:val="superscript"/>
        </w:rPr>
        <w:t>3</w:t>
      </w:r>
      <w:r>
        <w:rPr>
          <w:rFonts w:hint="eastAsia"/>
        </w:rPr>
        <w:t>。地下水资源量分布由南向北逐渐减少。车排子地区和129团、128团地下水含氟、砷量超过人畜饮用标准，且地下水开采价值不高。适合于集中开采的有三大水源地，即奎屯水源地、达子庙水源地和高泉水源地。</w:t>
      </w:r>
    </w:p>
    <w:p w14:paraId="124B6574">
      <w:pPr>
        <w:ind w:firstLine="480"/>
      </w:pPr>
      <w:r>
        <w:rPr>
          <w:rFonts w:hint="eastAsia"/>
        </w:rPr>
        <w:t>三大水源地下水动储量计1.93亿m</w:t>
      </w:r>
      <w:r>
        <w:rPr>
          <w:rFonts w:hint="eastAsia"/>
          <w:vertAlign w:val="superscript"/>
        </w:rPr>
        <w:t>3</w:t>
      </w:r>
      <w:r>
        <w:rPr>
          <w:rFonts w:hint="eastAsia"/>
        </w:rPr>
        <w:t>，可开采量1.4亿m</w:t>
      </w:r>
      <w:r>
        <w:rPr>
          <w:rFonts w:hint="eastAsia"/>
          <w:vertAlign w:val="superscript"/>
        </w:rPr>
        <w:t>3</w:t>
      </w:r>
      <w:r>
        <w:rPr>
          <w:rFonts w:hint="eastAsia"/>
        </w:rPr>
        <w:t>。另外柳沟、双河、黄沟等地区分布有小片集中可采的地下水1.007亿m</w:t>
      </w:r>
      <w:r>
        <w:rPr>
          <w:rFonts w:hint="eastAsia"/>
          <w:vertAlign w:val="superscript"/>
        </w:rPr>
        <w:t>3</w:t>
      </w:r>
      <w:r>
        <w:rPr>
          <w:rFonts w:hint="eastAsia"/>
        </w:rPr>
        <w:t>。</w:t>
      </w:r>
    </w:p>
    <w:p w14:paraId="4566B291">
      <w:pPr>
        <w:pStyle w:val="43"/>
      </w:pPr>
      <w:bookmarkStart w:id="282" w:name="_Toc79515468"/>
      <w:bookmarkStart w:id="283" w:name="_Toc80193097"/>
      <w:bookmarkStart w:id="284" w:name="_Toc82518779"/>
      <w:bookmarkStart w:id="285" w:name="_Toc81214091"/>
      <w:bookmarkStart w:id="286" w:name="_Toc77007797"/>
      <w:bookmarkStart w:id="287" w:name="_Toc80973523"/>
      <w:bookmarkStart w:id="288" w:name="_Toc152864192"/>
      <w:r>
        <w:rPr>
          <w:rFonts w:hint="eastAsia"/>
        </w:rPr>
        <w:t>气候气象</w:t>
      </w:r>
      <w:bookmarkEnd w:id="282"/>
      <w:bookmarkEnd w:id="283"/>
      <w:bookmarkEnd w:id="284"/>
      <w:bookmarkEnd w:id="285"/>
      <w:bookmarkEnd w:id="286"/>
      <w:bookmarkEnd w:id="287"/>
      <w:bookmarkEnd w:id="288"/>
    </w:p>
    <w:p w14:paraId="5DA32DD9">
      <w:pPr>
        <w:ind w:firstLine="480"/>
      </w:pPr>
      <w:r>
        <w:rPr>
          <w:rFonts w:hint="eastAsia"/>
        </w:rPr>
        <w:t>评价区域地处亚欧大陆中心，远离海洋，属北温带大陆性气候，冬寒夏热，四季分明，降水量小，蒸发量大，气温年较差大，年平均气温8.9℃，气温最高月份为7月（25.8℃），最低月份为1月（-13.6℃），极端最低气温为-</w:t>
      </w:r>
      <w:r>
        <w:t>31.7</w:t>
      </w:r>
      <w:r>
        <w:rPr>
          <w:rFonts w:hint="eastAsia"/>
        </w:rPr>
        <w:t>℃，极端最高气温</w:t>
      </w:r>
      <w:r>
        <w:t>44</w:t>
      </w:r>
      <w:r>
        <w:rPr>
          <w:rFonts w:hint="eastAsia"/>
        </w:rPr>
        <w:t>℃。年平均降水量204.5mm，降水主要集中在春秋两季，最大一日降水量25.5mm，年平均蒸发量为1758.7mm。年平均无霜期为182天，年平均相对湿度63.3%，年平均日照时数为2598.1h，冬季多年平均积雪深18mm，冻土深度1.5m。常年主导风向为西南风。</w:t>
      </w:r>
    </w:p>
    <w:p w14:paraId="4F66525C">
      <w:pPr>
        <w:pStyle w:val="43"/>
      </w:pPr>
      <w:bookmarkStart w:id="289" w:name="_Toc82518780"/>
      <w:bookmarkStart w:id="290" w:name="_Toc77007798"/>
      <w:bookmarkStart w:id="291" w:name="_Toc80193098"/>
      <w:bookmarkStart w:id="292" w:name="_Toc152864193"/>
      <w:bookmarkStart w:id="293" w:name="_Toc81214092"/>
      <w:bookmarkStart w:id="294" w:name="_Toc80973524"/>
      <w:bookmarkStart w:id="295" w:name="_Toc79515469"/>
      <w:r>
        <w:rPr>
          <w:rFonts w:hint="eastAsia"/>
        </w:rPr>
        <w:t>土壤植被</w:t>
      </w:r>
      <w:bookmarkEnd w:id="289"/>
      <w:bookmarkEnd w:id="290"/>
      <w:bookmarkEnd w:id="291"/>
      <w:bookmarkEnd w:id="292"/>
      <w:bookmarkEnd w:id="293"/>
      <w:bookmarkEnd w:id="294"/>
      <w:bookmarkEnd w:id="295"/>
    </w:p>
    <w:p w14:paraId="764057A8">
      <w:pPr>
        <w:ind w:firstLine="480"/>
      </w:pPr>
      <w:r>
        <w:rPr>
          <w:rFonts w:hint="eastAsia"/>
        </w:rPr>
        <w:t>区域土壤类型主要为灰漠土（占总面积的55.59%）、草甸土（22.48%）和盐土（2.55%），土壤的有机质含量0.5-1%，全氮含量0.084-0.145%。土壤质地轻，宜耕性好，透水性适中，土层厚，自然肥力中等偏下，土壤容重一般在1.35g/cm</w:t>
      </w:r>
      <w:r>
        <w:rPr>
          <w:rFonts w:hint="eastAsia"/>
          <w:vertAlign w:val="superscript"/>
        </w:rPr>
        <w:t>3</w:t>
      </w:r>
      <w:r>
        <w:rPr>
          <w:rFonts w:hint="eastAsia"/>
        </w:rPr>
        <w:t>以上，松紧度在紧实以上，土壤结构差，板结严重，轻盐化土占87</w:t>
      </w:r>
      <w:r>
        <w:t>‰</w:t>
      </w:r>
      <w:r>
        <w:rPr>
          <w:rFonts w:hint="eastAsia"/>
        </w:rPr>
        <w:t>。</w:t>
      </w:r>
    </w:p>
    <w:p w14:paraId="06C41DF5">
      <w:pPr>
        <w:ind w:firstLine="480"/>
      </w:pPr>
      <w:r>
        <w:rPr>
          <w:rFonts w:hint="eastAsia"/>
        </w:rPr>
        <w:t>区域植被主要为沙漠植被和平原植被。沙漠植被有柽柳、沙拐枣、白刺、野枸杞、梭梭柴、铃铛刺等灌木外，骆驼刺、芨芨草、蒿属、碱蓬等矮生型植物。平原植被包括旱生性植被和草甸草本植被。旱生性植被多分布在未开垦的荒地和沙土上，主要有琵琶柴、柽柳、沙枣刺、铃铛刺、野枸杞、碱嵩、盐梭梭、骆驼刺、胖姑娘、碱灰藜、灯笼草、鸡眼草、白刺等。草甸草本植被分布在农田、渠道附近，受渠水浸润而生长旺，主要有芦苇、甘草、苦豆子、芨芨草、野蔷薇、灰灰草、苍耳、旋花草、奶子草等。本项目厂区范围内无保护植物。</w:t>
      </w:r>
    </w:p>
    <w:p w14:paraId="68B5BDCB">
      <w:pPr>
        <w:pStyle w:val="43"/>
      </w:pPr>
      <w:bookmarkStart w:id="296" w:name="_Toc79515470"/>
      <w:bookmarkStart w:id="297" w:name="_Toc77007799"/>
      <w:bookmarkStart w:id="298" w:name="_Toc80193099"/>
      <w:bookmarkStart w:id="299" w:name="_Toc82518781"/>
      <w:bookmarkStart w:id="300" w:name="_Toc152864194"/>
      <w:bookmarkStart w:id="301" w:name="_Toc80973525"/>
      <w:bookmarkStart w:id="302" w:name="_Toc81214093"/>
      <w:r>
        <w:rPr>
          <w:rFonts w:hint="eastAsia"/>
        </w:rPr>
        <w:t>野生动物</w:t>
      </w:r>
      <w:bookmarkEnd w:id="296"/>
      <w:bookmarkEnd w:id="297"/>
      <w:bookmarkEnd w:id="298"/>
      <w:bookmarkEnd w:id="299"/>
      <w:bookmarkEnd w:id="300"/>
      <w:bookmarkEnd w:id="301"/>
      <w:bookmarkEnd w:id="302"/>
    </w:p>
    <w:p w14:paraId="6FAD2271">
      <w:pPr>
        <w:ind w:firstLine="480"/>
      </w:pPr>
      <w:r>
        <w:rPr>
          <w:rFonts w:hint="eastAsia"/>
        </w:rPr>
        <w:t>本项目厂址位于已规划的工业园区内，常见野生动物为伴人种的鸟类和啮齿动物等，数量少，种类通常比较单一。主要有乌鸦、麻雀、老鼠等。不存在保护动物。</w:t>
      </w:r>
    </w:p>
    <w:p w14:paraId="5C80AA63">
      <w:pPr>
        <w:pStyle w:val="43"/>
      </w:pPr>
      <w:bookmarkStart w:id="303" w:name="_Toc82518782"/>
      <w:bookmarkStart w:id="304" w:name="_Toc152864195"/>
      <w:bookmarkStart w:id="305" w:name="_Toc80193100"/>
      <w:bookmarkStart w:id="306" w:name="_Toc81214094"/>
      <w:bookmarkStart w:id="307" w:name="_Toc77007800"/>
      <w:bookmarkStart w:id="308" w:name="_Toc80973526"/>
      <w:bookmarkStart w:id="309" w:name="_Toc79515471"/>
      <w:r>
        <w:rPr>
          <w:rFonts w:hint="eastAsia"/>
        </w:rPr>
        <w:t>区域土地沙化基本情况</w:t>
      </w:r>
      <w:bookmarkEnd w:id="303"/>
      <w:bookmarkEnd w:id="304"/>
      <w:bookmarkEnd w:id="305"/>
      <w:bookmarkEnd w:id="306"/>
      <w:bookmarkEnd w:id="307"/>
      <w:bookmarkEnd w:id="308"/>
      <w:bookmarkEnd w:id="309"/>
    </w:p>
    <w:p w14:paraId="6EC2B83D">
      <w:pPr>
        <w:ind w:firstLine="480"/>
      </w:pPr>
      <w:r>
        <w:rPr>
          <w:rFonts w:hint="eastAsia"/>
        </w:rPr>
        <w:t>根据《全国防沙治沙规划》，本项目所在地区属于“干旱沙漠边缘及绿洲类型区”。针对这个区域的主要措施为：拯救天然荒漠植被，保护绿洲，遏制沙化扩展。对目前不具备治理条件和具有特殊生态保护价值且相对集中连片的沙化土地，通过划定封禁保护区，实行严格的封禁保护，逐步形成稳定的天然荒漠生态系统，严格禁止滥开垦、滥放牧、滥樵采、滥用水资源等行为，保护荒漠植被；在沙漠前沿合理配置防风阻沙林草带，阻止流沙吞噬绿洲；在绿洲外围重点地段营造以防风、固沙、减灾为主要目的的综合防护林带，加大对沙化土地的治理力度；在绿洲内部对老化的防护林、农田林网逐步进行改造，同时建立窄带护田林网，增加林草植被，开展林粮间作、林药间作，发展名优特经济林果；在铁路、公路沿线结合地形、气候条件，建设乔、灌混交的护路林带；在河谷地带结合水土流失治理等技术措施，进行生态治理。建立科学的水资源管理制度，推广节水灌溉措施，合理安排河流上下游用水，保证生态用水；充分利用土地资源和光热资源，发展特色经济林果产业，增加群众收入。通过以上措施，遏制沙化土地扩展，抑制流沙侵袭，实现绿洲可持续发展。要充分考虑水资源承载力，因地制宜、适地种树，科学配置乔、灌、草的比例，确保区域或流域生态用水安全。</w:t>
      </w:r>
    </w:p>
    <w:p w14:paraId="6BBA9ED3">
      <w:pPr>
        <w:ind w:firstLine="480"/>
      </w:pPr>
      <w:r>
        <w:rPr>
          <w:rFonts w:hint="eastAsia"/>
        </w:rPr>
        <w:t>根据《新疆防沙治沙规划》，本项目所在地区属于一级区“北疆温带干旱半干旱沙漠化和潜在沙漠化防治区”，二级区“准噶尔盆地亚区”，三级区“准噶尔盆地南缘沙漠化轻度危害-重点防治小区”，面积57864km</w:t>
      </w:r>
      <w:r>
        <w:rPr>
          <w:rFonts w:hint="eastAsia"/>
          <w:vertAlign w:val="superscript"/>
        </w:rPr>
        <w:t>2</w:t>
      </w:r>
      <w:r>
        <w:rPr>
          <w:rFonts w:hint="eastAsia"/>
        </w:rPr>
        <w:t>。本区位于古尔班通古特沙漠南缘，西部有阿拉山口和艾比湖，全区主风向为西南风，主要面临古尔班通古特沙漠南缘局部地区因受过去人类活动过度干扰而出现沙丘活化南侵及阿拉山口大风造成艾比湖大面积干涸湖底风蚀并引发强沙尘天气的威胁。本区沙漠化属轻度危害，艾比湖东南及东侧临近区域、莫索湾垦区等局部区域可近中度。本区沙漠化虽属轻度危害，但因人口众多，经济密集，沙漠化危害引起的影响范围广、程度深，因此划为重点防治小区，以对沙漠化实施更为严格的监控和防治。防治措施上应以保护自然植被和加强绿洲防护林建设为主，局部沙漠化严重区域需要采取人工手段辅助恢复或增加自然植被。防治重点是采取封沙育林育草措施保护好沙漠前沿荒漠植被，在农区外围沙漠前沿营造大型防沙治沙基干林带，在绿洲外围飞播造林种草，阻止沙漠南移。本区水资源供需相对紧张，应因地制宜积极推广节水灌溉造林模式、无灌溉造林模式以及旱作节水技术等先进技术与模式。另外，梭梭接种大芸的特色药用植物种植模式已在本区部分县市展开并获得较好的综合效益，值得进一步推广。</w:t>
      </w:r>
    </w:p>
    <w:p w14:paraId="33211522">
      <w:pPr>
        <w:pStyle w:val="41"/>
      </w:pPr>
      <w:bookmarkStart w:id="310" w:name="_Toc152864196"/>
      <w:r>
        <w:rPr>
          <w:rFonts w:hint="eastAsia"/>
        </w:rPr>
        <w:t>胡杨河经济技术开发区简介</w:t>
      </w:r>
      <w:bookmarkEnd w:id="310"/>
    </w:p>
    <w:p w14:paraId="01B80AB5">
      <w:pPr>
        <w:pStyle w:val="43"/>
      </w:pPr>
      <w:bookmarkStart w:id="311" w:name="_Toc152864197"/>
      <w:bookmarkStart w:id="312" w:name="_Toc81214096"/>
      <w:bookmarkStart w:id="313" w:name="_Toc79515473"/>
      <w:bookmarkStart w:id="314" w:name="_Toc82518784"/>
      <w:bookmarkStart w:id="315" w:name="_Toc80193102"/>
      <w:bookmarkStart w:id="316" w:name="_Toc80973528"/>
      <w:bookmarkStart w:id="317" w:name="_Toc77007802"/>
      <w:r>
        <w:rPr>
          <w:rFonts w:hint="eastAsia"/>
        </w:rPr>
        <w:t>概述</w:t>
      </w:r>
      <w:bookmarkEnd w:id="311"/>
      <w:bookmarkEnd w:id="312"/>
      <w:bookmarkEnd w:id="313"/>
      <w:bookmarkEnd w:id="314"/>
      <w:bookmarkEnd w:id="315"/>
      <w:bookmarkEnd w:id="316"/>
      <w:bookmarkEnd w:id="317"/>
    </w:p>
    <w:p w14:paraId="025781A9">
      <w:pPr>
        <w:ind w:firstLine="480"/>
      </w:pPr>
      <w:r>
        <w:rPr>
          <w:rFonts w:hint="eastAsia"/>
        </w:rPr>
        <w:t>2010年，五五工业园区由兵团批准，确定为兵团级工业园区。2010年10月，五五工业园区管委会委托第七师勘测设计研究院（有限公司）编制《农七师五五工业园区总体规划（2010-2025）》，其规划环评于2011年11月取得审查意见（兵环审〔2011〕250号）。2013年8月，《第七师五五工业园区总体规划（2013-2030）》进行了修编，并于2014年8月，取得该版规划的规划环评审查意见（兵环审〔2014〕243号）。2016年10月，五五工业园区根据企业入驻实际情况及发展规划，再次修编了园区总体规划，同期开展了《新疆生产建设兵团第七师五五工业园区总体规划（修编）（2014-2030）》及规划环评编制工作，2016年12月，取得由原兵团环保局出具的《新疆生产建设兵团第七师五五工业园区总体规划（修编）（2014-2030年）》环境影响报告书的审查意见（兵环审〔2016〕248号）。2018年9月，五五工业园区管委会委托七师设计院编制了《新疆生产建设兵团第七师五五工业园区总体规划（修编）（2018-2035）》，并同期开展规划环评，2018年11月，原兵团环保局出具《关于新疆生产建设兵团第七师五五工业园区总体规划修编（2018-2035年）环境影响报告书的审查意见》（兵环审〔2018〕161号）。2020年新疆生产建设兵团以《兵团关于第七师胡杨河市开发区（园区）清理整顿方案的批复》（新兵函〔2020〕24号）文件将第七师五五工业园区和师市自设的胡杨河纺织工业园区整合，统一名称为“胡杨河经济技术开发区”。2</w:t>
      </w:r>
      <w:r>
        <w:t>022</w:t>
      </w:r>
      <w:r>
        <w:rPr>
          <w:rFonts w:hint="eastAsia"/>
        </w:rPr>
        <w:t>年1月1</w:t>
      </w:r>
      <w:r>
        <w:t>0</w:t>
      </w:r>
      <w:r>
        <w:rPr>
          <w:rFonts w:hint="eastAsia"/>
        </w:rPr>
        <w:t>日，兵团生态环境局出具了《关于胡杨河经济技术开发区总体规划（2</w:t>
      </w:r>
      <w:r>
        <w:t>021-2035</w:t>
      </w:r>
      <w:r>
        <w:rPr>
          <w:rFonts w:hint="eastAsia"/>
        </w:rPr>
        <w:t>年）环境影响报告书的审查意见》（兵环审〔20</w:t>
      </w:r>
      <w:r>
        <w:t>22</w:t>
      </w:r>
      <w:r>
        <w:rPr>
          <w:rFonts w:hint="eastAsia"/>
        </w:rPr>
        <w:t>〕</w:t>
      </w:r>
      <w:r>
        <w:t>2</w:t>
      </w:r>
      <w:r>
        <w:rPr>
          <w:rFonts w:hint="eastAsia"/>
        </w:rPr>
        <w:t>号）。</w:t>
      </w:r>
      <w:r>
        <w:rPr>
          <w:rFonts w:hint="eastAsia"/>
          <w:lang w:val="en-US" w:eastAsia="zh-CN"/>
        </w:rPr>
        <w:t>2024年9月14日，兵团生态环境局出具了《关于第七师胡杨河经济技术开发区化工园区总体规划(2023-2035年)环境影响报告书的审查意见》（</w:t>
      </w:r>
      <w:r>
        <w:rPr>
          <w:rFonts w:hint="eastAsia"/>
        </w:rPr>
        <w:t>兵环审〔20</w:t>
      </w:r>
      <w:r>
        <w:t>2</w:t>
      </w:r>
      <w:r>
        <w:rPr>
          <w:rFonts w:hint="eastAsia"/>
          <w:lang w:val="en-US" w:eastAsia="zh-CN"/>
        </w:rPr>
        <w:t>4</w:t>
      </w:r>
      <w:r>
        <w:rPr>
          <w:rFonts w:hint="eastAsia"/>
        </w:rPr>
        <w:t>〕</w:t>
      </w:r>
      <w:r>
        <w:t>2</w:t>
      </w:r>
      <w:r>
        <w:rPr>
          <w:rFonts w:hint="eastAsia"/>
          <w:lang w:val="en-US" w:eastAsia="zh-CN"/>
        </w:rPr>
        <w:t>8</w:t>
      </w:r>
      <w:r>
        <w:rPr>
          <w:rFonts w:hint="eastAsia"/>
        </w:rPr>
        <w:t>号</w:t>
      </w:r>
      <w:r>
        <w:rPr>
          <w:rFonts w:hint="eastAsia"/>
          <w:lang w:val="en-US" w:eastAsia="zh-CN"/>
        </w:rPr>
        <w:t>）。</w:t>
      </w:r>
      <w:r>
        <w:rPr>
          <w:rFonts w:hint="eastAsia"/>
        </w:rPr>
        <w:t>园区规划及规划环评的发展历程见下表。</w:t>
      </w:r>
    </w:p>
    <w:p w14:paraId="1907DB7D">
      <w:pPr>
        <w:pStyle w:val="47"/>
        <w:spacing w:before="65"/>
        <w:ind w:firstLine="480"/>
      </w:pPr>
      <w:r>
        <w:rPr>
          <w:rFonts w:hint="eastAsia"/>
        </w:rPr>
        <w:t>表4</w:t>
      </w:r>
      <w:r>
        <w:t>.2-1   园区规划及规划环评发展历程</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81"/>
        <w:gridCol w:w="726"/>
        <w:gridCol w:w="4758"/>
        <w:gridCol w:w="2665"/>
      </w:tblGrid>
      <w:tr w14:paraId="49957E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333" w:type="pct"/>
            <w:vAlign w:val="center"/>
          </w:tcPr>
          <w:p w14:paraId="26882282">
            <w:pPr>
              <w:adjustRightInd w:val="0"/>
              <w:snapToGrid w:val="0"/>
              <w:spacing w:line="240" w:lineRule="auto"/>
              <w:ind w:firstLine="0" w:firstLineChars="0"/>
              <w:jc w:val="center"/>
              <w:rPr>
                <w:sz w:val="21"/>
                <w:szCs w:val="20"/>
              </w:rPr>
            </w:pPr>
            <w:r>
              <w:rPr>
                <w:sz w:val="21"/>
                <w:szCs w:val="20"/>
              </w:rPr>
              <w:t>序号</w:t>
            </w:r>
          </w:p>
        </w:tc>
        <w:tc>
          <w:tcPr>
            <w:tcW w:w="416" w:type="pct"/>
            <w:vAlign w:val="center"/>
          </w:tcPr>
          <w:p w14:paraId="3AD1299D">
            <w:pPr>
              <w:adjustRightInd w:val="0"/>
              <w:snapToGrid w:val="0"/>
              <w:spacing w:line="240" w:lineRule="auto"/>
              <w:ind w:firstLine="0" w:firstLineChars="0"/>
              <w:jc w:val="center"/>
              <w:rPr>
                <w:sz w:val="21"/>
                <w:szCs w:val="20"/>
              </w:rPr>
            </w:pPr>
            <w:r>
              <w:rPr>
                <w:sz w:val="21"/>
                <w:szCs w:val="20"/>
              </w:rPr>
              <w:t>年份</w:t>
            </w:r>
          </w:p>
        </w:tc>
        <w:tc>
          <w:tcPr>
            <w:tcW w:w="2725" w:type="pct"/>
            <w:vAlign w:val="center"/>
          </w:tcPr>
          <w:p w14:paraId="19364FCC">
            <w:pPr>
              <w:adjustRightInd w:val="0"/>
              <w:snapToGrid w:val="0"/>
              <w:spacing w:line="240" w:lineRule="auto"/>
              <w:ind w:firstLine="0" w:firstLineChars="0"/>
              <w:jc w:val="center"/>
              <w:rPr>
                <w:sz w:val="21"/>
                <w:szCs w:val="20"/>
              </w:rPr>
            </w:pPr>
            <w:r>
              <w:rPr>
                <w:rFonts w:hint="eastAsia"/>
                <w:sz w:val="21"/>
                <w:szCs w:val="20"/>
              </w:rPr>
              <w:t>规划</w:t>
            </w:r>
            <w:r>
              <w:rPr>
                <w:sz w:val="21"/>
                <w:szCs w:val="20"/>
              </w:rPr>
              <w:t>发展过程</w:t>
            </w:r>
          </w:p>
        </w:tc>
        <w:tc>
          <w:tcPr>
            <w:tcW w:w="1526" w:type="pct"/>
            <w:vAlign w:val="center"/>
          </w:tcPr>
          <w:p w14:paraId="399D480E">
            <w:pPr>
              <w:adjustRightInd w:val="0"/>
              <w:snapToGrid w:val="0"/>
              <w:spacing w:line="240" w:lineRule="auto"/>
              <w:ind w:firstLine="0" w:firstLineChars="0"/>
              <w:jc w:val="center"/>
              <w:rPr>
                <w:sz w:val="21"/>
                <w:szCs w:val="20"/>
              </w:rPr>
            </w:pPr>
            <w:r>
              <w:rPr>
                <w:rFonts w:hint="eastAsia"/>
                <w:sz w:val="21"/>
                <w:szCs w:val="20"/>
              </w:rPr>
              <w:t>环评情况</w:t>
            </w:r>
          </w:p>
        </w:tc>
      </w:tr>
      <w:tr w14:paraId="6D4015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44C9D3D2">
            <w:pPr>
              <w:adjustRightInd w:val="0"/>
              <w:snapToGrid w:val="0"/>
              <w:spacing w:line="240" w:lineRule="auto"/>
              <w:ind w:firstLine="0" w:firstLineChars="0"/>
              <w:jc w:val="center"/>
              <w:rPr>
                <w:sz w:val="21"/>
                <w:szCs w:val="20"/>
              </w:rPr>
            </w:pPr>
            <w:r>
              <w:rPr>
                <w:sz w:val="21"/>
                <w:szCs w:val="20"/>
              </w:rPr>
              <w:t>1</w:t>
            </w:r>
          </w:p>
        </w:tc>
        <w:tc>
          <w:tcPr>
            <w:tcW w:w="416" w:type="pct"/>
            <w:vAlign w:val="center"/>
          </w:tcPr>
          <w:p w14:paraId="5A2DDEF2">
            <w:pPr>
              <w:adjustRightInd w:val="0"/>
              <w:snapToGrid w:val="0"/>
              <w:spacing w:line="240" w:lineRule="auto"/>
              <w:ind w:firstLine="0" w:firstLineChars="0"/>
              <w:jc w:val="center"/>
              <w:rPr>
                <w:sz w:val="21"/>
                <w:szCs w:val="20"/>
              </w:rPr>
            </w:pPr>
            <w:r>
              <w:rPr>
                <w:sz w:val="21"/>
                <w:szCs w:val="20"/>
              </w:rPr>
              <w:t>2011年</w:t>
            </w:r>
          </w:p>
        </w:tc>
        <w:tc>
          <w:tcPr>
            <w:tcW w:w="2725" w:type="pct"/>
            <w:vAlign w:val="center"/>
          </w:tcPr>
          <w:p w14:paraId="2206F2E1">
            <w:pPr>
              <w:adjustRightInd w:val="0"/>
              <w:snapToGrid w:val="0"/>
              <w:spacing w:line="240" w:lineRule="auto"/>
              <w:ind w:firstLine="0" w:firstLineChars="0"/>
              <w:jc w:val="center"/>
              <w:rPr>
                <w:sz w:val="21"/>
                <w:szCs w:val="20"/>
              </w:rPr>
            </w:pPr>
            <w:r>
              <w:rPr>
                <w:sz w:val="21"/>
                <w:szCs w:val="20"/>
              </w:rPr>
              <w:t>农七师五五工业园区总体规划（2010-2025）</w:t>
            </w:r>
          </w:p>
        </w:tc>
        <w:tc>
          <w:tcPr>
            <w:tcW w:w="1526" w:type="pct"/>
            <w:vAlign w:val="center"/>
          </w:tcPr>
          <w:p w14:paraId="5D982A21">
            <w:pPr>
              <w:adjustRightInd w:val="0"/>
              <w:snapToGrid w:val="0"/>
              <w:spacing w:line="240" w:lineRule="auto"/>
              <w:ind w:firstLine="0" w:firstLineChars="0"/>
              <w:jc w:val="center"/>
              <w:rPr>
                <w:sz w:val="21"/>
                <w:szCs w:val="20"/>
              </w:rPr>
            </w:pPr>
            <w:r>
              <w:rPr>
                <w:sz w:val="21"/>
                <w:szCs w:val="20"/>
              </w:rPr>
              <w:t>取得审查意见</w:t>
            </w:r>
          </w:p>
          <w:p w14:paraId="0B43D128">
            <w:pPr>
              <w:adjustRightInd w:val="0"/>
              <w:snapToGrid w:val="0"/>
              <w:spacing w:line="240" w:lineRule="auto"/>
              <w:ind w:firstLine="0" w:firstLineChars="0"/>
              <w:jc w:val="center"/>
              <w:rPr>
                <w:sz w:val="21"/>
                <w:szCs w:val="20"/>
              </w:rPr>
            </w:pPr>
            <w:r>
              <w:rPr>
                <w:sz w:val="21"/>
                <w:szCs w:val="20"/>
              </w:rPr>
              <w:t>（兵环审〔2011〕250号）</w:t>
            </w:r>
          </w:p>
        </w:tc>
      </w:tr>
      <w:tr w14:paraId="0DF7C9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33FA1CC8">
            <w:pPr>
              <w:adjustRightInd w:val="0"/>
              <w:snapToGrid w:val="0"/>
              <w:spacing w:line="240" w:lineRule="auto"/>
              <w:ind w:firstLine="0" w:firstLineChars="0"/>
              <w:jc w:val="center"/>
              <w:rPr>
                <w:sz w:val="21"/>
                <w:szCs w:val="20"/>
              </w:rPr>
            </w:pPr>
            <w:r>
              <w:rPr>
                <w:sz w:val="21"/>
                <w:szCs w:val="20"/>
              </w:rPr>
              <w:t>2</w:t>
            </w:r>
          </w:p>
        </w:tc>
        <w:tc>
          <w:tcPr>
            <w:tcW w:w="416" w:type="pct"/>
            <w:vAlign w:val="center"/>
          </w:tcPr>
          <w:p w14:paraId="36B19FB6">
            <w:pPr>
              <w:adjustRightInd w:val="0"/>
              <w:snapToGrid w:val="0"/>
              <w:spacing w:line="240" w:lineRule="auto"/>
              <w:ind w:firstLine="0" w:firstLineChars="0"/>
              <w:jc w:val="center"/>
              <w:rPr>
                <w:sz w:val="21"/>
                <w:szCs w:val="20"/>
              </w:rPr>
            </w:pPr>
            <w:r>
              <w:rPr>
                <w:sz w:val="21"/>
                <w:szCs w:val="20"/>
              </w:rPr>
              <w:t>2013年</w:t>
            </w:r>
          </w:p>
        </w:tc>
        <w:tc>
          <w:tcPr>
            <w:tcW w:w="2725" w:type="pct"/>
            <w:vAlign w:val="center"/>
          </w:tcPr>
          <w:p w14:paraId="0595E9CB">
            <w:pPr>
              <w:adjustRightInd w:val="0"/>
              <w:snapToGrid w:val="0"/>
              <w:spacing w:line="240" w:lineRule="auto"/>
              <w:ind w:firstLine="0" w:firstLineChars="0"/>
              <w:jc w:val="center"/>
              <w:rPr>
                <w:sz w:val="21"/>
                <w:szCs w:val="20"/>
              </w:rPr>
            </w:pPr>
            <w:r>
              <w:rPr>
                <w:sz w:val="21"/>
                <w:szCs w:val="20"/>
              </w:rPr>
              <w:t>新疆生产建设兵团第七师五五工业园区总体规划（修编）（2013-2030）</w:t>
            </w:r>
          </w:p>
        </w:tc>
        <w:tc>
          <w:tcPr>
            <w:tcW w:w="1526" w:type="pct"/>
            <w:vAlign w:val="center"/>
          </w:tcPr>
          <w:p w14:paraId="291D3F2C">
            <w:pPr>
              <w:adjustRightInd w:val="0"/>
              <w:snapToGrid w:val="0"/>
              <w:spacing w:line="240" w:lineRule="auto"/>
              <w:ind w:firstLine="0" w:firstLineChars="0"/>
              <w:jc w:val="center"/>
              <w:rPr>
                <w:sz w:val="21"/>
                <w:szCs w:val="20"/>
              </w:rPr>
            </w:pPr>
            <w:r>
              <w:rPr>
                <w:sz w:val="21"/>
                <w:szCs w:val="20"/>
              </w:rPr>
              <w:t>取得审查意见</w:t>
            </w:r>
          </w:p>
          <w:p w14:paraId="63EE8FC4">
            <w:pPr>
              <w:adjustRightInd w:val="0"/>
              <w:snapToGrid w:val="0"/>
              <w:spacing w:line="240" w:lineRule="auto"/>
              <w:ind w:firstLine="0" w:firstLineChars="0"/>
              <w:jc w:val="center"/>
              <w:rPr>
                <w:sz w:val="21"/>
                <w:szCs w:val="20"/>
              </w:rPr>
            </w:pPr>
            <w:r>
              <w:rPr>
                <w:sz w:val="21"/>
                <w:szCs w:val="20"/>
              </w:rPr>
              <w:t>（兵环审</w:t>
            </w:r>
            <w:r>
              <w:rPr>
                <w:rFonts w:hint="eastAsia"/>
                <w:sz w:val="21"/>
                <w:szCs w:val="20"/>
              </w:rPr>
              <w:t>〔</w:t>
            </w:r>
            <w:r>
              <w:rPr>
                <w:sz w:val="21"/>
                <w:szCs w:val="20"/>
              </w:rPr>
              <w:t>2014</w:t>
            </w:r>
            <w:r>
              <w:rPr>
                <w:rFonts w:hint="eastAsia"/>
                <w:sz w:val="21"/>
                <w:szCs w:val="20"/>
              </w:rPr>
              <w:t>〕</w:t>
            </w:r>
            <w:r>
              <w:rPr>
                <w:sz w:val="21"/>
                <w:szCs w:val="20"/>
              </w:rPr>
              <w:t>243号）</w:t>
            </w:r>
          </w:p>
        </w:tc>
      </w:tr>
      <w:tr w14:paraId="73F113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5E125A38">
            <w:pPr>
              <w:adjustRightInd w:val="0"/>
              <w:snapToGrid w:val="0"/>
              <w:spacing w:line="240" w:lineRule="auto"/>
              <w:ind w:firstLine="0" w:firstLineChars="0"/>
              <w:jc w:val="center"/>
              <w:rPr>
                <w:sz w:val="21"/>
                <w:szCs w:val="20"/>
              </w:rPr>
            </w:pPr>
            <w:r>
              <w:rPr>
                <w:sz w:val="21"/>
                <w:szCs w:val="20"/>
              </w:rPr>
              <w:t>3</w:t>
            </w:r>
          </w:p>
        </w:tc>
        <w:tc>
          <w:tcPr>
            <w:tcW w:w="416" w:type="pct"/>
            <w:vAlign w:val="center"/>
          </w:tcPr>
          <w:p w14:paraId="284E81A3">
            <w:pPr>
              <w:adjustRightInd w:val="0"/>
              <w:snapToGrid w:val="0"/>
              <w:spacing w:line="240" w:lineRule="auto"/>
              <w:ind w:firstLine="0" w:firstLineChars="0"/>
              <w:jc w:val="center"/>
              <w:rPr>
                <w:sz w:val="21"/>
                <w:szCs w:val="20"/>
              </w:rPr>
            </w:pPr>
            <w:r>
              <w:rPr>
                <w:sz w:val="21"/>
                <w:szCs w:val="20"/>
              </w:rPr>
              <w:t>2016年</w:t>
            </w:r>
          </w:p>
        </w:tc>
        <w:tc>
          <w:tcPr>
            <w:tcW w:w="2725" w:type="pct"/>
            <w:vAlign w:val="center"/>
          </w:tcPr>
          <w:p w14:paraId="4D51BBCF">
            <w:pPr>
              <w:adjustRightInd w:val="0"/>
              <w:snapToGrid w:val="0"/>
              <w:spacing w:line="240" w:lineRule="auto"/>
              <w:ind w:firstLine="0" w:firstLineChars="0"/>
              <w:jc w:val="center"/>
              <w:rPr>
                <w:sz w:val="21"/>
                <w:szCs w:val="20"/>
              </w:rPr>
            </w:pPr>
            <w:r>
              <w:rPr>
                <w:sz w:val="21"/>
                <w:szCs w:val="20"/>
              </w:rPr>
              <w:t>新疆生产建设兵团第七师五五工业园区总体规划（修编）（2014-2030年）</w:t>
            </w:r>
          </w:p>
        </w:tc>
        <w:tc>
          <w:tcPr>
            <w:tcW w:w="1526" w:type="pct"/>
            <w:vAlign w:val="center"/>
          </w:tcPr>
          <w:p w14:paraId="10892E8E">
            <w:pPr>
              <w:adjustRightInd w:val="0"/>
              <w:snapToGrid w:val="0"/>
              <w:spacing w:line="240" w:lineRule="auto"/>
              <w:ind w:firstLine="0" w:firstLineChars="0"/>
              <w:jc w:val="center"/>
              <w:rPr>
                <w:sz w:val="21"/>
                <w:szCs w:val="20"/>
              </w:rPr>
            </w:pPr>
            <w:r>
              <w:rPr>
                <w:sz w:val="21"/>
                <w:szCs w:val="20"/>
              </w:rPr>
              <w:t>取得审查意见</w:t>
            </w:r>
          </w:p>
          <w:p w14:paraId="0B3AD8B6">
            <w:pPr>
              <w:adjustRightInd w:val="0"/>
              <w:snapToGrid w:val="0"/>
              <w:spacing w:line="240" w:lineRule="auto"/>
              <w:ind w:firstLine="0" w:firstLineChars="0"/>
              <w:jc w:val="center"/>
              <w:rPr>
                <w:sz w:val="21"/>
                <w:szCs w:val="20"/>
              </w:rPr>
            </w:pPr>
            <w:r>
              <w:rPr>
                <w:sz w:val="21"/>
                <w:szCs w:val="20"/>
              </w:rPr>
              <w:t>（兵环审〔2016〕248号）</w:t>
            </w:r>
          </w:p>
        </w:tc>
      </w:tr>
      <w:tr w14:paraId="61FF29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4DBE0169">
            <w:pPr>
              <w:adjustRightInd w:val="0"/>
              <w:snapToGrid w:val="0"/>
              <w:spacing w:line="240" w:lineRule="auto"/>
              <w:ind w:firstLine="0" w:firstLineChars="0"/>
              <w:jc w:val="center"/>
              <w:rPr>
                <w:sz w:val="21"/>
                <w:szCs w:val="20"/>
              </w:rPr>
            </w:pPr>
            <w:r>
              <w:rPr>
                <w:sz w:val="21"/>
                <w:szCs w:val="20"/>
              </w:rPr>
              <w:t>4</w:t>
            </w:r>
          </w:p>
        </w:tc>
        <w:tc>
          <w:tcPr>
            <w:tcW w:w="416" w:type="pct"/>
            <w:vAlign w:val="center"/>
          </w:tcPr>
          <w:p w14:paraId="5E47B1FB">
            <w:pPr>
              <w:adjustRightInd w:val="0"/>
              <w:snapToGrid w:val="0"/>
              <w:spacing w:line="240" w:lineRule="auto"/>
              <w:ind w:firstLine="0" w:firstLineChars="0"/>
              <w:jc w:val="center"/>
              <w:rPr>
                <w:sz w:val="21"/>
                <w:szCs w:val="20"/>
              </w:rPr>
            </w:pPr>
            <w:r>
              <w:rPr>
                <w:sz w:val="21"/>
                <w:szCs w:val="20"/>
              </w:rPr>
              <w:t>2018年</w:t>
            </w:r>
          </w:p>
        </w:tc>
        <w:tc>
          <w:tcPr>
            <w:tcW w:w="2725" w:type="pct"/>
            <w:vAlign w:val="center"/>
          </w:tcPr>
          <w:p w14:paraId="6A2E7D48">
            <w:pPr>
              <w:adjustRightInd w:val="0"/>
              <w:snapToGrid w:val="0"/>
              <w:spacing w:line="240" w:lineRule="auto"/>
              <w:ind w:firstLine="0" w:firstLineChars="0"/>
              <w:jc w:val="center"/>
              <w:rPr>
                <w:sz w:val="21"/>
                <w:szCs w:val="20"/>
              </w:rPr>
            </w:pPr>
            <w:r>
              <w:rPr>
                <w:sz w:val="21"/>
                <w:szCs w:val="20"/>
              </w:rPr>
              <w:t>第七师五五工业园区总体规划修编（2018-2035年）</w:t>
            </w:r>
          </w:p>
        </w:tc>
        <w:tc>
          <w:tcPr>
            <w:tcW w:w="1526" w:type="pct"/>
            <w:vAlign w:val="center"/>
          </w:tcPr>
          <w:p w14:paraId="0144E9CA">
            <w:pPr>
              <w:adjustRightInd w:val="0"/>
              <w:snapToGrid w:val="0"/>
              <w:spacing w:line="240" w:lineRule="auto"/>
              <w:ind w:firstLine="0" w:firstLineChars="0"/>
              <w:jc w:val="center"/>
              <w:rPr>
                <w:sz w:val="21"/>
                <w:szCs w:val="20"/>
              </w:rPr>
            </w:pPr>
            <w:r>
              <w:rPr>
                <w:sz w:val="21"/>
                <w:szCs w:val="20"/>
              </w:rPr>
              <w:t>取得审查意见</w:t>
            </w:r>
          </w:p>
          <w:p w14:paraId="57CDF8B0">
            <w:pPr>
              <w:adjustRightInd w:val="0"/>
              <w:snapToGrid w:val="0"/>
              <w:spacing w:line="240" w:lineRule="auto"/>
              <w:ind w:firstLine="0" w:firstLineChars="0"/>
              <w:jc w:val="center"/>
              <w:rPr>
                <w:sz w:val="21"/>
                <w:szCs w:val="20"/>
              </w:rPr>
            </w:pPr>
            <w:r>
              <w:rPr>
                <w:sz w:val="21"/>
                <w:szCs w:val="20"/>
              </w:rPr>
              <w:t>（兵环审〔2018〕161号）</w:t>
            </w:r>
          </w:p>
        </w:tc>
      </w:tr>
      <w:tr w14:paraId="256890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354E3B05">
            <w:pPr>
              <w:adjustRightInd w:val="0"/>
              <w:snapToGrid w:val="0"/>
              <w:spacing w:line="240" w:lineRule="auto"/>
              <w:ind w:firstLine="0" w:firstLineChars="0"/>
              <w:jc w:val="center"/>
              <w:rPr>
                <w:sz w:val="21"/>
                <w:szCs w:val="20"/>
              </w:rPr>
            </w:pPr>
            <w:r>
              <w:rPr>
                <w:rFonts w:hint="eastAsia"/>
                <w:sz w:val="21"/>
                <w:szCs w:val="20"/>
              </w:rPr>
              <w:t>5</w:t>
            </w:r>
          </w:p>
        </w:tc>
        <w:tc>
          <w:tcPr>
            <w:tcW w:w="416" w:type="pct"/>
            <w:vAlign w:val="center"/>
          </w:tcPr>
          <w:p w14:paraId="64B06394">
            <w:pPr>
              <w:adjustRightInd w:val="0"/>
              <w:snapToGrid w:val="0"/>
              <w:spacing w:line="240" w:lineRule="auto"/>
              <w:ind w:firstLine="0" w:firstLineChars="0"/>
              <w:jc w:val="center"/>
              <w:rPr>
                <w:sz w:val="21"/>
                <w:szCs w:val="20"/>
              </w:rPr>
            </w:pPr>
            <w:r>
              <w:rPr>
                <w:rFonts w:hint="eastAsia"/>
                <w:sz w:val="21"/>
                <w:szCs w:val="20"/>
              </w:rPr>
              <w:t>2020年</w:t>
            </w:r>
          </w:p>
        </w:tc>
        <w:tc>
          <w:tcPr>
            <w:tcW w:w="2725" w:type="pct"/>
            <w:vAlign w:val="center"/>
          </w:tcPr>
          <w:p w14:paraId="5EB49F9D">
            <w:pPr>
              <w:adjustRightInd w:val="0"/>
              <w:snapToGrid w:val="0"/>
              <w:spacing w:line="240" w:lineRule="auto"/>
              <w:ind w:firstLine="0" w:firstLineChars="0"/>
              <w:jc w:val="center"/>
              <w:rPr>
                <w:sz w:val="21"/>
                <w:szCs w:val="20"/>
              </w:rPr>
            </w:pPr>
            <w:r>
              <w:rPr>
                <w:rFonts w:hint="eastAsia"/>
                <w:sz w:val="21"/>
                <w:szCs w:val="20"/>
              </w:rPr>
              <w:t>兵团关于第七师胡杨河市开发区（园区）清理整顿方案的批复</w:t>
            </w:r>
          </w:p>
        </w:tc>
        <w:tc>
          <w:tcPr>
            <w:tcW w:w="1526" w:type="pct"/>
            <w:vAlign w:val="center"/>
          </w:tcPr>
          <w:p w14:paraId="0385E04F">
            <w:pPr>
              <w:adjustRightInd w:val="0"/>
              <w:snapToGrid w:val="0"/>
              <w:spacing w:line="240" w:lineRule="auto"/>
              <w:ind w:firstLine="0" w:firstLineChars="0"/>
              <w:jc w:val="center"/>
              <w:rPr>
                <w:sz w:val="21"/>
                <w:szCs w:val="20"/>
              </w:rPr>
            </w:pPr>
            <w:r>
              <w:rPr>
                <w:rFonts w:hint="eastAsia"/>
                <w:sz w:val="21"/>
                <w:szCs w:val="20"/>
              </w:rPr>
              <w:t>新兵函〔2020〕24号</w:t>
            </w:r>
          </w:p>
        </w:tc>
      </w:tr>
      <w:tr w14:paraId="63142D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6B324C8C">
            <w:pPr>
              <w:adjustRightInd w:val="0"/>
              <w:snapToGrid w:val="0"/>
              <w:spacing w:line="240" w:lineRule="auto"/>
              <w:ind w:firstLine="0" w:firstLineChars="0"/>
              <w:jc w:val="center"/>
              <w:rPr>
                <w:sz w:val="21"/>
                <w:szCs w:val="20"/>
              </w:rPr>
            </w:pPr>
            <w:r>
              <w:rPr>
                <w:rFonts w:hint="eastAsia"/>
                <w:sz w:val="21"/>
                <w:szCs w:val="20"/>
              </w:rPr>
              <w:t>6</w:t>
            </w:r>
          </w:p>
        </w:tc>
        <w:tc>
          <w:tcPr>
            <w:tcW w:w="416" w:type="pct"/>
            <w:vAlign w:val="center"/>
          </w:tcPr>
          <w:p w14:paraId="1FAB0F1F">
            <w:pPr>
              <w:adjustRightInd w:val="0"/>
              <w:snapToGrid w:val="0"/>
              <w:spacing w:line="240" w:lineRule="auto"/>
              <w:ind w:firstLine="0" w:firstLineChars="0"/>
              <w:jc w:val="center"/>
              <w:rPr>
                <w:sz w:val="21"/>
                <w:szCs w:val="20"/>
              </w:rPr>
            </w:pPr>
            <w:r>
              <w:rPr>
                <w:rFonts w:hint="eastAsia"/>
                <w:sz w:val="21"/>
                <w:szCs w:val="20"/>
              </w:rPr>
              <w:t>2</w:t>
            </w:r>
            <w:r>
              <w:rPr>
                <w:sz w:val="21"/>
                <w:szCs w:val="20"/>
              </w:rPr>
              <w:t>022</w:t>
            </w:r>
            <w:r>
              <w:rPr>
                <w:rFonts w:hint="eastAsia"/>
                <w:sz w:val="21"/>
                <w:szCs w:val="20"/>
              </w:rPr>
              <w:t>年</w:t>
            </w:r>
          </w:p>
        </w:tc>
        <w:tc>
          <w:tcPr>
            <w:tcW w:w="2725" w:type="pct"/>
            <w:vAlign w:val="center"/>
          </w:tcPr>
          <w:p w14:paraId="047D0EDF">
            <w:pPr>
              <w:adjustRightInd w:val="0"/>
              <w:snapToGrid w:val="0"/>
              <w:spacing w:line="240" w:lineRule="auto"/>
              <w:ind w:firstLine="0" w:firstLineChars="0"/>
              <w:jc w:val="center"/>
              <w:rPr>
                <w:sz w:val="21"/>
                <w:szCs w:val="20"/>
              </w:rPr>
            </w:pPr>
            <w:r>
              <w:rPr>
                <w:rFonts w:hint="eastAsia"/>
                <w:sz w:val="21"/>
                <w:szCs w:val="20"/>
              </w:rPr>
              <w:t>胡杨河经济技术开发区总体规划（2021-2035年）环境影响报告书</w:t>
            </w:r>
          </w:p>
        </w:tc>
        <w:tc>
          <w:tcPr>
            <w:tcW w:w="1526" w:type="pct"/>
            <w:vAlign w:val="center"/>
          </w:tcPr>
          <w:p w14:paraId="2AC300C3">
            <w:pPr>
              <w:adjustRightInd w:val="0"/>
              <w:snapToGrid w:val="0"/>
              <w:spacing w:line="240" w:lineRule="auto"/>
              <w:ind w:firstLine="0" w:firstLineChars="0"/>
              <w:jc w:val="center"/>
              <w:rPr>
                <w:sz w:val="21"/>
                <w:szCs w:val="20"/>
              </w:rPr>
            </w:pPr>
            <w:r>
              <w:rPr>
                <w:rFonts w:hint="eastAsia"/>
                <w:sz w:val="21"/>
                <w:szCs w:val="20"/>
              </w:rPr>
              <w:t>取得审查意见</w:t>
            </w:r>
          </w:p>
          <w:p w14:paraId="773DDD67">
            <w:pPr>
              <w:adjustRightInd w:val="0"/>
              <w:snapToGrid w:val="0"/>
              <w:spacing w:line="240" w:lineRule="auto"/>
              <w:ind w:firstLine="0" w:firstLineChars="0"/>
              <w:jc w:val="center"/>
              <w:rPr>
                <w:sz w:val="21"/>
                <w:szCs w:val="20"/>
              </w:rPr>
            </w:pPr>
            <w:r>
              <w:rPr>
                <w:rFonts w:hint="eastAsia"/>
                <w:sz w:val="21"/>
                <w:szCs w:val="20"/>
              </w:rPr>
              <w:t>（兵环审〔20</w:t>
            </w:r>
            <w:r>
              <w:rPr>
                <w:sz w:val="21"/>
                <w:szCs w:val="20"/>
              </w:rPr>
              <w:t>22</w:t>
            </w:r>
            <w:r>
              <w:rPr>
                <w:rFonts w:hint="eastAsia"/>
                <w:sz w:val="21"/>
                <w:szCs w:val="20"/>
              </w:rPr>
              <w:t>〕</w:t>
            </w:r>
            <w:r>
              <w:rPr>
                <w:sz w:val="21"/>
                <w:szCs w:val="20"/>
              </w:rPr>
              <w:t>2</w:t>
            </w:r>
            <w:r>
              <w:rPr>
                <w:rFonts w:hint="eastAsia"/>
                <w:sz w:val="21"/>
                <w:szCs w:val="20"/>
              </w:rPr>
              <w:t>号）</w:t>
            </w:r>
          </w:p>
        </w:tc>
      </w:tr>
      <w:tr w14:paraId="2259E5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3" w:type="pct"/>
            <w:vAlign w:val="center"/>
          </w:tcPr>
          <w:p w14:paraId="0284DAB6">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7</w:t>
            </w:r>
          </w:p>
        </w:tc>
        <w:tc>
          <w:tcPr>
            <w:tcW w:w="416" w:type="pct"/>
            <w:vAlign w:val="center"/>
          </w:tcPr>
          <w:p w14:paraId="0B59A0B0">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2024年</w:t>
            </w:r>
          </w:p>
        </w:tc>
        <w:tc>
          <w:tcPr>
            <w:tcW w:w="2725" w:type="pct"/>
            <w:vAlign w:val="center"/>
          </w:tcPr>
          <w:p w14:paraId="2C306616">
            <w:pPr>
              <w:adjustRightInd w:val="0"/>
              <w:snapToGrid w:val="0"/>
              <w:spacing w:line="240" w:lineRule="auto"/>
              <w:ind w:firstLine="0" w:firstLineChars="0"/>
              <w:jc w:val="center"/>
              <w:rPr>
                <w:rFonts w:hint="eastAsia"/>
                <w:sz w:val="21"/>
                <w:szCs w:val="20"/>
              </w:rPr>
            </w:pPr>
            <w:r>
              <w:rPr>
                <w:rFonts w:hint="eastAsia"/>
                <w:sz w:val="21"/>
                <w:szCs w:val="20"/>
              </w:rPr>
              <w:t>胡杨河经济技术开发区</w:t>
            </w:r>
            <w:r>
              <w:rPr>
                <w:rFonts w:hint="eastAsia"/>
                <w:sz w:val="21"/>
                <w:szCs w:val="20"/>
                <w:lang w:val="en-US" w:eastAsia="zh-CN"/>
              </w:rPr>
              <w:t>化工园区</w:t>
            </w:r>
            <w:r>
              <w:rPr>
                <w:rFonts w:hint="eastAsia"/>
                <w:sz w:val="21"/>
                <w:szCs w:val="20"/>
              </w:rPr>
              <w:t>总体规划（202</w:t>
            </w:r>
            <w:r>
              <w:rPr>
                <w:rFonts w:hint="eastAsia"/>
                <w:sz w:val="21"/>
                <w:szCs w:val="20"/>
                <w:lang w:val="en-US" w:eastAsia="zh-CN"/>
              </w:rPr>
              <w:t>3</w:t>
            </w:r>
            <w:r>
              <w:rPr>
                <w:rFonts w:hint="eastAsia"/>
                <w:sz w:val="21"/>
                <w:szCs w:val="20"/>
              </w:rPr>
              <w:t>-2035年）环境影响报告书</w:t>
            </w:r>
          </w:p>
        </w:tc>
        <w:tc>
          <w:tcPr>
            <w:tcW w:w="1526" w:type="pct"/>
            <w:vAlign w:val="center"/>
          </w:tcPr>
          <w:p w14:paraId="1C9D9ACE">
            <w:pPr>
              <w:adjustRightInd w:val="0"/>
              <w:snapToGrid w:val="0"/>
              <w:spacing w:line="240" w:lineRule="auto"/>
              <w:ind w:firstLine="0" w:firstLineChars="0"/>
              <w:jc w:val="center"/>
              <w:rPr>
                <w:sz w:val="21"/>
                <w:szCs w:val="20"/>
              </w:rPr>
            </w:pPr>
            <w:r>
              <w:rPr>
                <w:rFonts w:hint="eastAsia"/>
                <w:sz w:val="21"/>
                <w:szCs w:val="20"/>
              </w:rPr>
              <w:t>取得审查意见</w:t>
            </w:r>
          </w:p>
          <w:p w14:paraId="5943CC34">
            <w:pPr>
              <w:adjustRightInd w:val="0"/>
              <w:snapToGrid w:val="0"/>
              <w:spacing w:line="240" w:lineRule="auto"/>
              <w:ind w:firstLine="0" w:firstLineChars="0"/>
              <w:jc w:val="center"/>
              <w:rPr>
                <w:rFonts w:hint="eastAsia"/>
                <w:sz w:val="21"/>
                <w:szCs w:val="20"/>
              </w:rPr>
            </w:pPr>
            <w:r>
              <w:rPr>
                <w:rFonts w:hint="eastAsia"/>
                <w:sz w:val="21"/>
                <w:szCs w:val="20"/>
              </w:rPr>
              <w:t>（兵环审〔20</w:t>
            </w:r>
            <w:r>
              <w:rPr>
                <w:sz w:val="21"/>
                <w:szCs w:val="20"/>
              </w:rPr>
              <w:t>2</w:t>
            </w:r>
            <w:r>
              <w:rPr>
                <w:rFonts w:hint="eastAsia"/>
                <w:sz w:val="21"/>
                <w:szCs w:val="20"/>
                <w:lang w:val="en-US" w:eastAsia="zh-CN"/>
              </w:rPr>
              <w:t>4</w:t>
            </w:r>
            <w:r>
              <w:rPr>
                <w:rFonts w:hint="eastAsia"/>
                <w:sz w:val="21"/>
                <w:szCs w:val="20"/>
              </w:rPr>
              <w:t>〕</w:t>
            </w:r>
            <w:r>
              <w:rPr>
                <w:rFonts w:hint="eastAsia"/>
                <w:sz w:val="21"/>
                <w:szCs w:val="20"/>
                <w:lang w:val="en-US" w:eastAsia="zh-CN"/>
              </w:rPr>
              <w:t>48</w:t>
            </w:r>
            <w:r>
              <w:rPr>
                <w:rFonts w:hint="eastAsia"/>
                <w:sz w:val="21"/>
                <w:szCs w:val="20"/>
              </w:rPr>
              <w:t>号）</w:t>
            </w:r>
          </w:p>
        </w:tc>
      </w:tr>
    </w:tbl>
    <w:p w14:paraId="764505EB">
      <w:pPr>
        <w:ind w:firstLine="480"/>
      </w:pPr>
      <w:r>
        <w:rPr>
          <w:rFonts w:hint="eastAsia"/>
        </w:rPr>
        <w:t>本项目位于胡杨河经济技术开发区南园区，因此，重点介绍胡杨河经济技术开发区南园区相关情况。</w:t>
      </w:r>
    </w:p>
    <w:p w14:paraId="615FE8DF">
      <w:pPr>
        <w:pStyle w:val="43"/>
      </w:pPr>
      <w:bookmarkStart w:id="318" w:name="_Toc80193103"/>
      <w:bookmarkStart w:id="319" w:name="_Toc81214097"/>
      <w:bookmarkStart w:id="320" w:name="_Toc77007803"/>
      <w:bookmarkStart w:id="321" w:name="_Toc79515474"/>
      <w:bookmarkStart w:id="322" w:name="_Toc152864198"/>
      <w:bookmarkStart w:id="323" w:name="_Toc80973529"/>
      <w:bookmarkStart w:id="324" w:name="_Toc82518785"/>
      <w:r>
        <w:rPr>
          <w:rFonts w:hint="eastAsia"/>
        </w:rPr>
        <w:t>地理位置</w:t>
      </w:r>
      <w:bookmarkEnd w:id="318"/>
      <w:bookmarkEnd w:id="319"/>
      <w:bookmarkEnd w:id="320"/>
      <w:bookmarkEnd w:id="321"/>
      <w:bookmarkEnd w:id="322"/>
      <w:bookmarkEnd w:id="323"/>
      <w:bookmarkEnd w:id="324"/>
    </w:p>
    <w:p w14:paraId="1F78B8FA">
      <w:pPr>
        <w:ind w:firstLine="480"/>
      </w:pPr>
      <w:r>
        <w:rPr>
          <w:rFonts w:hint="eastAsia"/>
        </w:rPr>
        <w:t>胡杨河经济技术开发区</w:t>
      </w:r>
      <w:r>
        <w:t>南园区位于第七师129团五五新镇东南侧与胡杨河市东北侧，园区东邻130团公益林，北至奎克高速立交（奎车公路、奎克高速公路交汇处），南至130团20连耕地，西到奎北铁路</w:t>
      </w:r>
      <w:r>
        <w:rPr>
          <w:rFonts w:hint="eastAsia"/>
        </w:rPr>
        <w:t>。</w:t>
      </w:r>
    </w:p>
    <w:p w14:paraId="48667539">
      <w:pPr>
        <w:pStyle w:val="43"/>
      </w:pPr>
      <w:bookmarkStart w:id="325" w:name="_Toc80973530"/>
      <w:bookmarkStart w:id="326" w:name="_Toc80193104"/>
      <w:bookmarkStart w:id="327" w:name="_Toc79515475"/>
      <w:bookmarkStart w:id="328" w:name="_Toc77007804"/>
      <w:bookmarkStart w:id="329" w:name="_Toc81214098"/>
      <w:bookmarkStart w:id="330" w:name="_Toc152864199"/>
      <w:bookmarkStart w:id="331" w:name="_Toc82518786"/>
      <w:r>
        <w:rPr>
          <w:rFonts w:hint="eastAsia"/>
        </w:rPr>
        <w:t>南园区发展定位</w:t>
      </w:r>
      <w:bookmarkEnd w:id="325"/>
      <w:bookmarkEnd w:id="326"/>
      <w:bookmarkEnd w:id="327"/>
      <w:bookmarkEnd w:id="328"/>
      <w:bookmarkEnd w:id="329"/>
      <w:bookmarkEnd w:id="330"/>
      <w:bookmarkEnd w:id="331"/>
    </w:p>
    <w:p w14:paraId="5E7250CB">
      <w:pPr>
        <w:ind w:firstLine="480"/>
      </w:pPr>
      <w:r>
        <w:rPr>
          <w:rFonts w:hint="eastAsia"/>
        </w:rPr>
        <w:t>胡杨河经济技术开发区南园区发展定位是：</w:t>
      </w:r>
      <w:r>
        <w:t>着力发展精细化工、新材料为主导产业；新型建材、仓储物流业为辅助产业；装备制造业、创新科技产业、农产品加工</w:t>
      </w:r>
      <w:r>
        <w:rPr>
          <w:rFonts w:hint="eastAsia"/>
        </w:rPr>
        <w:t>、</w:t>
      </w:r>
      <w:r>
        <w:t>电子元器件产业作为淮安援疆产城融合发展产业。</w:t>
      </w:r>
    </w:p>
    <w:p w14:paraId="4EBAE3E9">
      <w:pPr>
        <w:ind w:firstLine="480"/>
      </w:pPr>
      <w:r>
        <w:rPr>
          <w:rFonts w:hint="eastAsia"/>
        </w:rPr>
        <w:t>2</w:t>
      </w:r>
      <w:r>
        <w:t>020</w:t>
      </w:r>
      <w:r>
        <w:rPr>
          <w:rFonts w:hint="eastAsia"/>
        </w:rPr>
        <w:t>年整合后增加农产品加工，主要是基于：</w:t>
      </w:r>
      <w:r>
        <w:t>开发区位于新疆北疆区域，拥有得天独厚的光热土资源，依托四季分明、土地肥沃、光照充足、温差显著的自然优势，七师胡杨河市农产品资源丰富，具备发展特色高效农业产业化基本条件，特色农产品加工区的规划有助于区域农产品加工产业集聚发展，逐步完善城市功能，与胡杨河市发展融合，成为区域经济发展的重要增长极和产业集聚区</w:t>
      </w:r>
      <w:r>
        <w:rPr>
          <w:rFonts w:hint="eastAsia"/>
        </w:rPr>
        <w:t>。</w:t>
      </w:r>
      <w:r>
        <w:t>依托七师优质的特色农林资源，夯实软硬环境，延长产业生态链条，实施创新驱动。发展壮大农产品加工业，支持、促进一</w:t>
      </w:r>
      <w:r>
        <w:rPr>
          <w:rFonts w:hint="eastAsia"/>
        </w:rPr>
        <w:t>、</w:t>
      </w:r>
      <w:r>
        <w:t>二</w:t>
      </w:r>
      <w:r>
        <w:rPr>
          <w:rFonts w:hint="eastAsia"/>
        </w:rPr>
        <w:t>、</w:t>
      </w:r>
      <w:r>
        <w:t>三产业融合发展，推动建立农业产业现代化产业体系和生产体系，采用新技术、新工艺，发展特色农产品加工业，促进工业企业和生产型服务业向</w:t>
      </w:r>
      <w:r>
        <w:rPr>
          <w:rFonts w:hint="eastAsia"/>
        </w:rPr>
        <w:t>开发</w:t>
      </w:r>
      <w:r>
        <w:t>区集聚，实现原料生产规模化、标准化和加工制造专业化、现代化和农产品多层次、多环节转化增值</w:t>
      </w:r>
      <w:r>
        <w:rPr>
          <w:rFonts w:hint="eastAsia"/>
        </w:rPr>
        <w:t>。</w:t>
      </w:r>
    </w:p>
    <w:p w14:paraId="37E79438">
      <w:pPr>
        <w:pStyle w:val="43"/>
      </w:pPr>
      <w:bookmarkStart w:id="332" w:name="_Toc80973532"/>
      <w:bookmarkStart w:id="333" w:name="_Toc82518788"/>
      <w:bookmarkStart w:id="334" w:name="_Toc77007806"/>
      <w:bookmarkStart w:id="335" w:name="_Toc152864200"/>
      <w:bookmarkStart w:id="336" w:name="_Toc80193106"/>
      <w:bookmarkStart w:id="337" w:name="_Toc79515477"/>
      <w:bookmarkStart w:id="338" w:name="_Toc81214100"/>
      <w:r>
        <w:rPr>
          <w:rFonts w:hint="eastAsia"/>
        </w:rPr>
        <w:t>南园区产业布局</w:t>
      </w:r>
      <w:bookmarkEnd w:id="332"/>
      <w:bookmarkEnd w:id="333"/>
      <w:bookmarkEnd w:id="334"/>
      <w:bookmarkEnd w:id="335"/>
      <w:bookmarkEnd w:id="336"/>
      <w:bookmarkEnd w:id="337"/>
      <w:bookmarkEnd w:id="338"/>
    </w:p>
    <w:p w14:paraId="218A3E42">
      <w:pPr>
        <w:ind w:firstLine="480"/>
      </w:pPr>
      <w:r>
        <w:rPr>
          <w:rFonts w:hint="eastAsia"/>
        </w:rPr>
        <w:t>胡杨河经济技术开发区南园区规划面积43.03平方公里，共规划3个产业功能区：</w:t>
      </w:r>
    </w:p>
    <w:p w14:paraId="07A8A1BA">
      <w:pPr>
        <w:ind w:firstLine="480"/>
      </w:pPr>
      <w:r>
        <w:rPr>
          <w:rFonts w:hint="eastAsia"/>
        </w:rPr>
        <w:t>①</w:t>
      </w:r>
      <w:r>
        <w:t>精细化工、新材料、新型建材产业区：布置在园区中北部，工业用地面积2585公顷。</w:t>
      </w:r>
    </w:p>
    <w:p w14:paraId="6A96F0E5">
      <w:pPr>
        <w:ind w:firstLine="480"/>
      </w:pPr>
      <w:r>
        <w:rPr>
          <w:rFonts w:hint="eastAsia"/>
        </w:rPr>
        <w:t>②</w:t>
      </w:r>
      <w:r>
        <w:t>创新科技、装备制造、农产品加工</w:t>
      </w:r>
      <w:r>
        <w:rPr>
          <w:rFonts w:hint="eastAsia"/>
        </w:rPr>
        <w:t>、电子元器件</w:t>
      </w:r>
      <w:r>
        <w:t>产业区：规划布置3个独立区域，其中1个区域（以下简称</w:t>
      </w:r>
      <w:r>
        <w:rPr>
          <w:rFonts w:ascii="宋体" w:hAnsi="宋体"/>
        </w:rPr>
        <w:t>“</w:t>
      </w:r>
      <w:r>
        <w:t>创新科技、装备制造、农产品加工</w:t>
      </w:r>
      <w:r>
        <w:rPr>
          <w:rFonts w:hint="eastAsia"/>
        </w:rPr>
        <w:t>、电子元器件</w:t>
      </w:r>
      <w:r>
        <w:t>区Ⅰ区</w:t>
      </w:r>
      <w:r>
        <w:rPr>
          <w:rFonts w:ascii="宋体" w:hAnsi="宋体"/>
        </w:rPr>
        <w:t>”</w:t>
      </w:r>
      <w:r>
        <w:t>）位于规划仓储物流区（奎克高速以西）的南侧，另外1个区域（以下简称创新科技、装备制造、农产品加工</w:t>
      </w:r>
      <w:r>
        <w:rPr>
          <w:rFonts w:hint="eastAsia"/>
        </w:rPr>
        <w:t>、电子元器件</w:t>
      </w:r>
      <w:r>
        <w:t>区Ⅱ区）位于规划仓储物流区（奎克高速以东）的南侧，二块区域用地面积合计2430公顷。第3个区域（以下简称“创新科技、装备制造、农产品加工</w:t>
      </w:r>
      <w:r>
        <w:rPr>
          <w:rFonts w:hint="eastAsia"/>
        </w:rPr>
        <w:t>、电子元器件</w:t>
      </w:r>
      <w:r>
        <w:t>区Ⅲ区）位于规划精细化工、新材料、新型建材产业区的南侧，用地面积2190公顷，规划创新科技、装备制造、农产品加工</w:t>
      </w:r>
      <w:r>
        <w:rPr>
          <w:rFonts w:hint="eastAsia"/>
        </w:rPr>
        <w:t>、电子元器件</w:t>
      </w:r>
      <w:r>
        <w:t>区Ⅲ区与规划精细化工、新材料、新型建材产业区之间现状建有300m宽的防护林带。</w:t>
      </w:r>
    </w:p>
    <w:p w14:paraId="2FE6F588">
      <w:pPr>
        <w:ind w:firstLine="480"/>
      </w:pPr>
      <w:r>
        <w:rPr>
          <w:rFonts w:hint="eastAsia"/>
        </w:rPr>
        <w:t>③</w:t>
      </w:r>
      <w:r>
        <w:t>现代仓储物流区：依托奎北铁路五五新镇高速公路五五新镇互通式立交布置。规划布置2个独立区域，其中1个区域（以下简称</w:t>
      </w:r>
      <w:r>
        <w:rPr>
          <w:rFonts w:ascii="宋体" w:hAnsi="宋体"/>
        </w:rPr>
        <w:t>“</w:t>
      </w:r>
      <w:r>
        <w:t>现代仓储物流区Ⅰ区</w:t>
      </w:r>
      <w:r>
        <w:rPr>
          <w:rFonts w:ascii="宋体" w:hAnsi="宋体"/>
        </w:rPr>
        <w:t>”</w:t>
      </w:r>
      <w:r>
        <w:t>）位于奎车公路以南，奎北铁路以东，奎克高速以西，规划创新科技、装备制造、农产品加工区Ⅰ区以北；另外1个区域（以下简称</w:t>
      </w:r>
      <w:r>
        <w:rPr>
          <w:rFonts w:ascii="宋体" w:hAnsi="宋体"/>
        </w:rPr>
        <w:t>“</w:t>
      </w:r>
      <w:r>
        <w:t>现代仓储物流区Ⅱ区</w:t>
      </w:r>
      <w:r>
        <w:rPr>
          <w:rFonts w:ascii="宋体" w:hAnsi="宋体"/>
        </w:rPr>
        <w:t>”</w:t>
      </w:r>
      <w:r>
        <w:t>）位于规划精细化工、新材料、新型建材产业区西北侧。现代仓储物流区占地面积363公顷。</w:t>
      </w:r>
    </w:p>
    <w:p w14:paraId="20975D10">
      <w:pPr>
        <w:ind w:firstLine="480"/>
      </w:pPr>
      <w:r>
        <w:rPr>
          <w:rFonts w:hint="eastAsia"/>
        </w:rPr>
        <w:t>本项目位于项目规划用地范围内，项目位于新材料产业区，符合产业布局。胡杨河经济技术开发区南园区产业布局及土地利用规划见下图。</w:t>
      </w:r>
    </w:p>
    <w:p w14:paraId="08845D3A">
      <w:pPr>
        <w:adjustRightInd w:val="0"/>
        <w:snapToGrid w:val="0"/>
        <w:spacing w:line="240" w:lineRule="auto"/>
        <w:ind w:firstLine="0" w:firstLineChars="0"/>
        <w:jc w:val="both"/>
      </w:pPr>
    </w:p>
    <w:p w14:paraId="755422DA">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33E6AD16">
      <w:pPr>
        <w:pStyle w:val="43"/>
      </w:pPr>
      <w:bookmarkStart w:id="339" w:name="_Toc80193107"/>
      <w:bookmarkStart w:id="340" w:name="_Toc80973533"/>
      <w:bookmarkStart w:id="341" w:name="_Toc81214101"/>
      <w:bookmarkStart w:id="342" w:name="_Toc79515478"/>
      <w:bookmarkStart w:id="343" w:name="_Toc77007807"/>
      <w:bookmarkStart w:id="344" w:name="_Toc152864201"/>
      <w:bookmarkStart w:id="345" w:name="_Toc82518789"/>
      <w:r>
        <w:rPr>
          <w:rFonts w:hint="eastAsia"/>
        </w:rPr>
        <w:t>南园区基础设施现状</w:t>
      </w:r>
      <w:bookmarkEnd w:id="339"/>
      <w:bookmarkEnd w:id="340"/>
      <w:bookmarkEnd w:id="341"/>
      <w:bookmarkEnd w:id="342"/>
      <w:bookmarkEnd w:id="343"/>
      <w:r>
        <w:rPr>
          <w:rFonts w:hint="eastAsia"/>
        </w:rPr>
        <w:t>及依托性</w:t>
      </w:r>
      <w:bookmarkEnd w:id="344"/>
      <w:bookmarkEnd w:id="345"/>
    </w:p>
    <w:p w14:paraId="6DECC5AE">
      <w:pPr>
        <w:pStyle w:val="45"/>
        <w:spacing w:before="65" w:after="65"/>
      </w:pPr>
      <w:r>
        <w:rPr>
          <w:rFonts w:hint="eastAsia"/>
        </w:rPr>
        <w:t>给水系统</w:t>
      </w:r>
    </w:p>
    <w:p w14:paraId="55C04852">
      <w:pPr>
        <w:ind w:firstLine="480"/>
      </w:pPr>
      <w:r>
        <w:rPr>
          <w:rFonts w:hint="eastAsia"/>
        </w:rPr>
        <w:t>预计南园区近期2025年最高日工业用水量为9.04万m</w:t>
      </w:r>
      <w:r>
        <w:rPr>
          <w:vertAlign w:val="superscript"/>
        </w:rPr>
        <w:t>3</w:t>
      </w:r>
      <w:r>
        <w:rPr>
          <w:rFonts w:hint="eastAsia"/>
        </w:rPr>
        <w:t>/d，远期到2035年最高日工业用水量为12.02万m</w:t>
      </w:r>
      <w:r>
        <w:rPr>
          <w:vertAlign w:val="superscript"/>
        </w:rPr>
        <w:t>3</w:t>
      </w:r>
      <w:r>
        <w:rPr>
          <w:rFonts w:hint="eastAsia"/>
        </w:rPr>
        <w:t>/d。近期2025年生活用水量为1270.5 m</w:t>
      </w:r>
      <w:r>
        <w:rPr>
          <w:vertAlign w:val="superscript"/>
        </w:rPr>
        <w:t>3</w:t>
      </w:r>
      <w:r>
        <w:rPr>
          <w:rFonts w:hint="eastAsia"/>
        </w:rPr>
        <w:t>/d，远期到2035年生活用水量为1706.1 m</w:t>
      </w:r>
      <w:r>
        <w:rPr>
          <w:vertAlign w:val="superscript"/>
        </w:rPr>
        <w:t>3</w:t>
      </w:r>
      <w:r>
        <w:rPr>
          <w:rFonts w:hint="eastAsia"/>
        </w:rPr>
        <w:t>/d。</w:t>
      </w:r>
    </w:p>
    <w:p w14:paraId="5A66331D">
      <w:pPr>
        <w:ind w:firstLine="480"/>
      </w:pPr>
      <w:r>
        <w:rPr>
          <w:rFonts w:hint="eastAsia"/>
        </w:rPr>
        <w:t>南园区近期2025年中水回用量为1.03万m</w:t>
      </w:r>
      <w:r>
        <w:rPr>
          <w:vertAlign w:val="superscript"/>
        </w:rPr>
        <w:t>3</w:t>
      </w:r>
      <w:r>
        <w:rPr>
          <w:rFonts w:hint="eastAsia"/>
        </w:rPr>
        <w:t>/d，远期到2035年中水回用量为1.42万m</w:t>
      </w:r>
      <w:r>
        <w:rPr>
          <w:vertAlign w:val="superscript"/>
        </w:rPr>
        <w:t>3</w:t>
      </w:r>
      <w:r>
        <w:rPr>
          <w:rFonts w:hint="eastAsia"/>
        </w:rPr>
        <w:t>/d。</w:t>
      </w:r>
    </w:p>
    <w:p w14:paraId="5D4FD6B2">
      <w:pPr>
        <w:ind w:firstLine="480"/>
      </w:pPr>
      <w:r>
        <w:t>开发区供水水源主要包括泉沟水库（生产用水水源）及达子庙水源地（生活用水水源），近中期泉沟水库水源地每年可向园区调配生产用水4600万</w:t>
      </w:r>
      <w:r>
        <w:rPr>
          <w:rFonts w:hint="eastAsia"/>
        </w:rPr>
        <w:t>m</w:t>
      </w:r>
      <w:r>
        <w:rPr>
          <w:vertAlign w:val="superscript"/>
        </w:rPr>
        <w:t>3</w:t>
      </w:r>
      <w:r>
        <w:t>，远期经泉沟水库水源可调节生产用水5600万</w:t>
      </w:r>
      <w:r>
        <w:rPr>
          <w:rFonts w:hint="eastAsia"/>
        </w:rPr>
        <w:t>m</w:t>
      </w:r>
      <w:r>
        <w:rPr>
          <w:vertAlign w:val="superscript"/>
        </w:rPr>
        <w:t>3</w:t>
      </w:r>
      <w:r>
        <w:t>；达子庙水源地近中、远期每年分别向园区可调配生活用水44万</w:t>
      </w:r>
      <w:r>
        <w:rPr>
          <w:rFonts w:hint="eastAsia"/>
        </w:rPr>
        <w:t>m</w:t>
      </w:r>
      <w:r>
        <w:rPr>
          <w:vertAlign w:val="superscript"/>
        </w:rPr>
        <w:t>3</w:t>
      </w:r>
      <w:r>
        <w:t>、61万</w:t>
      </w:r>
      <w:r>
        <w:rPr>
          <w:rFonts w:hint="eastAsia"/>
        </w:rPr>
        <w:t>m</w:t>
      </w:r>
      <w:r>
        <w:rPr>
          <w:vertAlign w:val="superscript"/>
        </w:rPr>
        <w:t>3</w:t>
      </w:r>
      <w:r>
        <w:t>。生产生活用水量的调配都能满足园区的近远期的需求。</w:t>
      </w:r>
    </w:p>
    <w:p w14:paraId="0621D3A7">
      <w:pPr>
        <w:ind w:firstLine="480"/>
      </w:pPr>
      <w:r>
        <w:t>在南园区已建设两座生产水厂和两座生活水厂。1#生产水厂位于南园区中部，共青西路以南，工业大道以西，用地面积4.36公顷，距泉沟水库42公里，日供水量10.76万</w:t>
      </w:r>
      <w:r>
        <w:rPr>
          <w:rFonts w:hint="eastAsia"/>
        </w:rPr>
        <w:t>m</w:t>
      </w:r>
      <w:r>
        <w:rPr>
          <w:vertAlign w:val="superscript"/>
        </w:rPr>
        <w:t>3</w:t>
      </w:r>
      <w:r>
        <w:t>/d。2#生产水厂位于南园区南部，科技四路以北，工业大道以西，用地面积10.57公顷，距泉沟水库32km，日供水量11.38万</w:t>
      </w:r>
      <w:r>
        <w:rPr>
          <w:rFonts w:hint="eastAsia"/>
        </w:rPr>
        <w:t>m</w:t>
      </w:r>
      <w:r>
        <w:rPr>
          <w:vertAlign w:val="superscript"/>
        </w:rPr>
        <w:t>3</w:t>
      </w:r>
      <w:r>
        <w:t>/d。从泉沟水库通过两条输水管线接至南园区生产水厂。1#生活水厂位于南园区北部，车排子西路以北，高沿路以东，用地面积0.61公顷，距车排子水厂42km，日供水量3000</w:t>
      </w:r>
      <w:r>
        <w:rPr>
          <w:rFonts w:hint="eastAsia"/>
        </w:rPr>
        <w:t xml:space="preserve"> m</w:t>
      </w:r>
      <w:r>
        <w:rPr>
          <w:vertAlign w:val="superscript"/>
        </w:rPr>
        <w:t>3</w:t>
      </w:r>
      <w:r>
        <w:t>/d。2#生活水厂位于南园区南部，乌尔禾路以北，工业大道以东，用地面积0.99公顷，距1#生活水厂12km，日供水量3300</w:t>
      </w:r>
      <w:r>
        <w:rPr>
          <w:rFonts w:hint="eastAsia"/>
        </w:rPr>
        <w:t>m</w:t>
      </w:r>
      <w:r>
        <w:rPr>
          <w:vertAlign w:val="superscript"/>
        </w:rPr>
        <w:t>3</w:t>
      </w:r>
      <w:r>
        <w:t>/d。从车排子水厂通过一条输水管线接至南园区1#生活水厂，再由1#生活水厂转输给2#生活水厂。</w:t>
      </w:r>
    </w:p>
    <w:p w14:paraId="1B63DD65">
      <w:pPr>
        <w:ind w:firstLine="480"/>
      </w:pPr>
      <w:r>
        <w:t>工业供水管网采用枝状供水系统，供水主干管自规划水厂引入，管网敷设在道路人行道及非机动车道内，原则上布置在道路的东侧或北侧，生产给水管管径为DN200—DN900。</w:t>
      </w:r>
    </w:p>
    <w:p w14:paraId="745970C3">
      <w:pPr>
        <w:ind w:firstLine="480"/>
      </w:pPr>
      <w:r>
        <w:t>生活供水管网采用环状供水系统，供水主干管自规划水厂引入，管网敷设在道路人行道及非机动车道内，原则上布置在道路的东侧或北侧，生活给水管管径为DN150—DN300。</w:t>
      </w:r>
    </w:p>
    <w:p w14:paraId="3D86EECC">
      <w:pPr>
        <w:ind w:firstLine="480"/>
      </w:pPr>
      <w:r>
        <w:rPr>
          <w:rFonts w:hint="eastAsia"/>
        </w:rPr>
        <w:t>本项目建成后的用水主要是生活用水，年用量为40000m</w:t>
      </w:r>
      <w:r>
        <w:rPr>
          <w:vertAlign w:val="superscript"/>
        </w:rPr>
        <w:t>3</w:t>
      </w:r>
      <w:r>
        <w:t>/</w:t>
      </w:r>
      <w:r>
        <w:rPr>
          <w:rFonts w:hint="eastAsia"/>
        </w:rPr>
        <w:t>a，即1</w:t>
      </w:r>
      <w:r>
        <w:t>.2</w:t>
      </w:r>
      <w:r>
        <w:rPr>
          <w:rFonts w:hint="eastAsia"/>
        </w:rPr>
        <w:t>m</w:t>
      </w:r>
      <w:r>
        <w:rPr>
          <w:vertAlign w:val="superscript"/>
        </w:rPr>
        <w:t>3</w:t>
      </w:r>
      <w:r>
        <w:t>/</w:t>
      </w:r>
      <w:r>
        <w:rPr>
          <w:rFonts w:hint="eastAsia"/>
        </w:rPr>
        <w:t>d，可依托园区生活水厂，无生产用水。</w:t>
      </w:r>
    </w:p>
    <w:p w14:paraId="03A88875">
      <w:pPr>
        <w:pStyle w:val="45"/>
        <w:spacing w:before="65" w:after="65"/>
      </w:pPr>
      <w:r>
        <w:rPr>
          <w:rFonts w:hint="eastAsia"/>
        </w:rPr>
        <w:t>排水系统</w:t>
      </w:r>
    </w:p>
    <w:p w14:paraId="171EE02A">
      <w:pPr>
        <w:ind w:firstLine="480"/>
      </w:pPr>
      <w:r>
        <w:rPr>
          <w:rFonts w:hint="eastAsia"/>
        </w:rPr>
        <w:t>根据园区的建设进度，园区污水处理厂统一规划、分期建设，远期（2025年）设计规模60000m</w:t>
      </w:r>
      <w:r>
        <w:rPr>
          <w:rFonts w:hint="eastAsia"/>
          <w:vertAlign w:val="superscript"/>
        </w:rPr>
        <w:t>3</w:t>
      </w:r>
      <w:r>
        <w:rPr>
          <w:rFonts w:hint="eastAsia"/>
        </w:rPr>
        <w:t>/d，其中一期工程设计规模30000m</w:t>
      </w:r>
      <w:r>
        <w:rPr>
          <w:rFonts w:hint="eastAsia"/>
          <w:vertAlign w:val="superscript"/>
        </w:rPr>
        <w:t>3</w:t>
      </w:r>
      <w:r>
        <w:rPr>
          <w:rFonts w:hint="eastAsia"/>
        </w:rPr>
        <w:t>/d（2015年）。目前，园区建设一座处理能力为30000m</w:t>
      </w:r>
      <w:r>
        <w:rPr>
          <w:rFonts w:hint="eastAsia"/>
          <w:vertAlign w:val="superscript"/>
        </w:rPr>
        <w:t>3</w:t>
      </w:r>
      <w:r>
        <w:rPr>
          <w:rFonts w:hint="eastAsia"/>
        </w:rPr>
        <w:t>/d北部污水处理厂及配套设施，于2016年11月投入运行。园区目前的排水量约5000m</w:t>
      </w:r>
      <w:r>
        <w:rPr>
          <w:rFonts w:hint="eastAsia"/>
          <w:vertAlign w:val="superscript"/>
        </w:rPr>
        <w:t>3</w:t>
      </w:r>
      <w:r>
        <w:rPr>
          <w:rFonts w:hint="eastAsia"/>
        </w:rPr>
        <w:t>/d。</w:t>
      </w:r>
    </w:p>
    <w:p w14:paraId="0F615AD1">
      <w:pPr>
        <w:ind w:firstLine="480"/>
      </w:pPr>
      <w:r>
        <w:rPr>
          <w:rFonts w:hint="eastAsia"/>
        </w:rPr>
        <w:t>园区污水处理厂的进水主要以工业废水为主，由于园区处于发展阶段，且有不同类型的废水进入，水量水质变化复杂，可生化性较差。污水处理厂采用“预处理—生化处理—深度处理”工艺，其中预处理单元采用“混凝沉淀+气浮”工艺，生化单元采用“水解酸化+A</w:t>
      </w:r>
      <w:r>
        <w:rPr>
          <w:rFonts w:hint="eastAsia"/>
          <w:vertAlign w:val="superscript"/>
        </w:rPr>
        <w:t>2</w:t>
      </w:r>
      <w:r>
        <w:rPr>
          <w:rFonts w:hint="eastAsia"/>
        </w:rPr>
        <w:t>/O”工艺，深度处理单元采用“臭氧-曝气生物滤池”工艺。处理后的出水执行《城镇污水处理厂污染物排放标准》（GB18918-2002）中的一级A标准，部分出水回用于园区企业及绿化，未使用完的出水排入园区东侧的荒漠，作为沙漠荒地生态灌溉用水。</w:t>
      </w:r>
    </w:p>
    <w:p w14:paraId="75BF3A9D">
      <w:pPr>
        <w:ind w:firstLine="480"/>
      </w:pPr>
      <w:r>
        <w:rPr>
          <w:rFonts w:hint="eastAsia"/>
        </w:rPr>
        <w:t>目前，胡杨河经济技术开发区南园区的排水管网已建成，</w:t>
      </w:r>
      <w:r>
        <w:t>排水管线布置充分利用地形自然坡度，采用截流干管布置方式，管网排水坡度控制在不小于0.25%，考虑场地地形限制，故须设置污水提升泵站。由于地势原因，中水回用管由低处往高处供水，故须设置提升泵站。</w:t>
      </w:r>
    </w:p>
    <w:p w14:paraId="3C4CD3D9">
      <w:pPr>
        <w:ind w:firstLine="480"/>
      </w:pPr>
      <w:r>
        <w:rPr>
          <w:rFonts w:hint="eastAsia"/>
        </w:rPr>
        <w:t>本项目建成后生产废水主要为生产废水，排放量共计为</w:t>
      </w:r>
      <w:r>
        <w:t>233688.406</w:t>
      </w:r>
      <w:r>
        <w:rPr>
          <w:rFonts w:hint="eastAsia"/>
        </w:rPr>
        <w:t>m</w:t>
      </w:r>
      <w:r>
        <w:rPr>
          <w:vertAlign w:val="superscript"/>
        </w:rPr>
        <w:t>3</w:t>
      </w:r>
      <w:r>
        <w:t>/a</w:t>
      </w:r>
      <w:r>
        <w:rPr>
          <w:rFonts w:hint="eastAsia"/>
        </w:rPr>
        <w:t>，即</w:t>
      </w:r>
      <w:r>
        <w:t>708.15</w:t>
      </w:r>
      <w:r>
        <w:rPr>
          <w:rFonts w:hint="eastAsia"/>
        </w:rPr>
        <w:t>m</w:t>
      </w:r>
      <w:r>
        <w:rPr>
          <w:vertAlign w:val="superscript"/>
        </w:rPr>
        <w:t>3</w:t>
      </w:r>
      <w:r>
        <w:t>/</w:t>
      </w:r>
      <w:r>
        <w:rPr>
          <w:rFonts w:hint="eastAsia"/>
        </w:rPr>
        <w:t>d，经调查，南园区污水处理厂目前处理余量充足，本项目依托可行。</w:t>
      </w:r>
    </w:p>
    <w:p w14:paraId="031D6BDD">
      <w:pPr>
        <w:pStyle w:val="45"/>
        <w:spacing w:before="65" w:after="65"/>
      </w:pPr>
      <w:r>
        <w:rPr>
          <w:rFonts w:hint="eastAsia"/>
        </w:rPr>
        <w:t>道路交通</w:t>
      </w:r>
    </w:p>
    <w:p w14:paraId="3E399F75">
      <w:pPr>
        <w:ind w:firstLine="480"/>
      </w:pPr>
      <w:r>
        <w:rPr>
          <w:rFonts w:hint="eastAsia"/>
        </w:rPr>
        <w:t>园区目前已建成道路包括：车北路、经一路、经二路、纬一路、纬二路、苏新滩路、共青路、柳沟西路、车排子西路、西环路、纬五路、高泉东路、高泉西路、纬三路、高沿路、纬五路西延、高泉西路西延、纬三东路、经二路、五五工业园区共青路东段、纬四路西段、车北路东段、高新一路东段道路、南园区道路（纬一路、经一路）等，道路工程基本已建设完成。园区内绿化率现状达到12.52%。</w:t>
      </w:r>
    </w:p>
    <w:p w14:paraId="376F3F4C">
      <w:pPr>
        <w:pStyle w:val="45"/>
        <w:spacing w:before="65" w:after="65"/>
      </w:pPr>
      <w:r>
        <w:rPr>
          <w:rFonts w:hint="eastAsia"/>
        </w:rPr>
        <w:t>供电</w:t>
      </w:r>
    </w:p>
    <w:p w14:paraId="6B85E29C">
      <w:pPr>
        <w:ind w:firstLine="480"/>
      </w:pPr>
      <w:r>
        <w:rPr>
          <w:rFonts w:hint="eastAsia"/>
        </w:rPr>
        <w:t>开发区电源由南园区内热电厂（总装机2×450MW）供给，现状电源由锦龙电力集团奎屯电厂设专线引来，规划二家光伏发电企业光伏发电总装机2×100MW=200MW，可以作为厂区备用电源。</w:t>
      </w:r>
    </w:p>
    <w:p w14:paraId="003E4ECB">
      <w:pPr>
        <w:ind w:firstLine="480"/>
      </w:pPr>
      <w:r>
        <w:rPr>
          <w:rFonts w:hint="eastAsia"/>
        </w:rPr>
        <w:t>依据开发区规划期末总用电计算负荷预测值，同时考虑电力输送距离结合供电可靠性“N-1”原则，确定开发区一次送电网的电压等级为220KV，高压送电线路为220KV两路。除热电厂220KV升压站外，根据负荷特性及分布情况，在该开发区需另建一座220/110/35KV变电站及4座110/35KV变电站（南园区三座，北园区一座），两变电站与国网220KV联网运行。</w:t>
      </w:r>
    </w:p>
    <w:p w14:paraId="7D6A68A0">
      <w:pPr>
        <w:pStyle w:val="45"/>
        <w:spacing w:before="65" w:after="65"/>
      </w:pPr>
      <w:r>
        <w:rPr>
          <w:rFonts w:hint="eastAsia"/>
        </w:rPr>
        <w:t>供热</w:t>
      </w:r>
    </w:p>
    <w:p w14:paraId="575F6FD4">
      <w:pPr>
        <w:ind w:firstLine="480"/>
        <w:rPr>
          <w:rFonts w:hint="eastAsia"/>
        </w:rPr>
      </w:pPr>
      <w:r>
        <w:rPr>
          <w:rFonts w:hint="eastAsia"/>
        </w:rPr>
        <w:t>南园区规划2座热电厂，2020年已建成1#热电厂，1#热电厂设计总负荷2×350MW，位于高新一路以南，东环路以西，占地面积约24.47公顷；2#热电厂为停建状态，设计总负荷2×100MW，位于高泉东路以南，天北大道以西，占地面积约22.98公顷。1#热电厂富裕的热量供于胡杨河市、129团（五五新镇）。</w:t>
      </w:r>
    </w:p>
    <w:p w14:paraId="40273DFD">
      <w:pPr>
        <w:pStyle w:val="43"/>
        <w:bidi w:val="0"/>
        <w:rPr>
          <w:rFonts w:hint="default"/>
          <w:lang w:val="en-US" w:eastAsia="zh-CN"/>
        </w:rPr>
      </w:pPr>
      <w:r>
        <w:rPr>
          <w:rFonts w:hint="eastAsia"/>
          <w:lang w:val="en-US" w:eastAsia="zh-CN"/>
        </w:rPr>
        <w:t>化工园区概况</w:t>
      </w:r>
    </w:p>
    <w:p w14:paraId="72692F5C">
      <w:pPr>
        <w:ind w:firstLine="480"/>
        <w:rPr>
          <w:rFonts w:hint="eastAsia"/>
          <w:lang w:val="en-US" w:eastAsia="zh-CN"/>
        </w:rPr>
      </w:pPr>
      <w:r>
        <w:rPr>
          <w:rFonts w:hint="eastAsia"/>
        </w:rPr>
        <w:t>胡杨河经济技术开发区化工园区位于胡杨河经济技术开发区内，属于“区中园”，在空间布局上，形成“一区两片”，分为南园区、北园区，规划用地面积41.01平方公里。规划期限为2023-2035年，其中近期 2023-2030年，远期2031-2035年</w:t>
      </w:r>
      <w:r>
        <w:rPr>
          <w:rFonts w:hint="eastAsia"/>
          <w:lang w:eastAsia="zh-CN"/>
        </w:rPr>
        <w:t>。</w:t>
      </w:r>
      <w:r>
        <w:rPr>
          <w:rFonts w:hint="eastAsia"/>
          <w:lang w:val="en-US" w:eastAsia="zh-CN"/>
        </w:rPr>
        <w:t>本项目位于南园区内，因此重点介绍化工园区南园区概况。</w:t>
      </w:r>
    </w:p>
    <w:p w14:paraId="7C34FBE5">
      <w:pPr>
        <w:pStyle w:val="45"/>
        <w:bidi w:val="0"/>
        <w:rPr>
          <w:rFonts w:hint="default"/>
          <w:lang w:val="en-US" w:eastAsia="zh-CN"/>
        </w:rPr>
      </w:pPr>
      <w:r>
        <w:rPr>
          <w:rFonts w:hint="eastAsia"/>
          <w:lang w:val="en-US" w:eastAsia="zh-CN"/>
        </w:rPr>
        <w:t>位置及范围</w:t>
      </w:r>
    </w:p>
    <w:p w14:paraId="35F61FAF">
      <w:pPr>
        <w:ind w:firstLine="480"/>
        <w:rPr>
          <w:rFonts w:hint="eastAsia"/>
          <w:lang w:val="en-US" w:eastAsia="zh-CN"/>
        </w:rPr>
      </w:pPr>
      <w:r>
        <w:rPr>
          <w:kern w:val="0"/>
          <w:sz w:val="24"/>
          <w:szCs w:val="24"/>
          <w:shd w:val="clear" w:color="auto" w:fill="FFFFFF"/>
        </w:rPr>
        <w:t>化工园区位于胡杨河经济技术开发区内，在空间布局上，形成</w:t>
      </w:r>
      <w:r>
        <w:rPr>
          <w:rFonts w:hint="eastAsia"/>
          <w:kern w:val="0"/>
          <w:sz w:val="24"/>
          <w:szCs w:val="24"/>
          <w:shd w:val="clear" w:color="auto" w:fill="FFFFFF"/>
        </w:rPr>
        <w:t>“</w:t>
      </w:r>
      <w:r>
        <w:rPr>
          <w:kern w:val="0"/>
          <w:sz w:val="24"/>
          <w:szCs w:val="24"/>
          <w:shd w:val="clear" w:color="auto" w:fill="FFFFFF"/>
        </w:rPr>
        <w:t>一区两片</w:t>
      </w:r>
      <w:r>
        <w:rPr>
          <w:rFonts w:hint="eastAsia"/>
          <w:kern w:val="0"/>
          <w:sz w:val="24"/>
          <w:szCs w:val="24"/>
          <w:shd w:val="clear" w:color="auto" w:fill="FFFFFF"/>
        </w:rPr>
        <w:t>”</w:t>
      </w:r>
      <w:r>
        <w:rPr>
          <w:kern w:val="0"/>
          <w:sz w:val="24"/>
          <w:szCs w:val="24"/>
          <w:shd w:val="clear" w:color="auto" w:fill="FFFFFF"/>
        </w:rPr>
        <w:t>，分为南园区、北园区，总面积41.01km</w:t>
      </w:r>
      <w:r>
        <w:rPr>
          <w:kern w:val="0"/>
          <w:sz w:val="24"/>
          <w:szCs w:val="24"/>
          <w:shd w:val="clear" w:color="auto" w:fill="FFFFFF"/>
          <w:vertAlign w:val="superscript"/>
        </w:rPr>
        <w:t>2</w:t>
      </w:r>
      <w:r>
        <w:rPr>
          <w:kern w:val="0"/>
          <w:sz w:val="24"/>
          <w:szCs w:val="24"/>
          <w:shd w:val="clear" w:color="auto" w:fill="FFFFFF"/>
        </w:rPr>
        <w:t>。</w:t>
      </w:r>
      <w:r>
        <w:rPr>
          <w:rFonts w:hint="eastAsia"/>
          <w:kern w:val="0"/>
          <w:sz w:val="24"/>
          <w:szCs w:val="24"/>
          <w:shd w:val="clear" w:color="auto" w:fill="FFFFFF"/>
        </w:rPr>
        <w:t>其中</w:t>
      </w:r>
      <w:r>
        <w:rPr>
          <w:kern w:val="0"/>
          <w:sz w:val="24"/>
          <w:szCs w:val="24"/>
          <w:shd w:val="clear" w:color="auto" w:fill="FFFFFF"/>
        </w:rPr>
        <w:t>，南园区</w:t>
      </w:r>
      <w:r>
        <w:rPr>
          <w:rFonts w:hint="eastAsia"/>
          <w:kern w:val="0"/>
          <w:sz w:val="24"/>
          <w:szCs w:val="24"/>
          <w:shd w:val="clear" w:color="auto" w:fill="FFFFFF"/>
        </w:rPr>
        <w:t>位于</w:t>
      </w:r>
      <w:r>
        <w:rPr>
          <w:rFonts w:hint="eastAsia"/>
          <w:bCs/>
          <w:sz w:val="24"/>
          <w:szCs w:val="24"/>
          <w:shd w:val="clear" w:color="auto" w:fill="FFFFFF"/>
        </w:rPr>
        <w:t>129团五五新镇东南侧与胡杨河市东北侧，</w:t>
      </w:r>
      <w:r>
        <w:rPr>
          <w:kern w:val="0"/>
          <w:sz w:val="24"/>
          <w:szCs w:val="24"/>
          <w:shd w:val="clear" w:color="auto" w:fill="FFFFFF"/>
        </w:rPr>
        <w:t>规划用地面积26.48km</w:t>
      </w:r>
      <w:r>
        <w:rPr>
          <w:kern w:val="0"/>
          <w:sz w:val="24"/>
          <w:szCs w:val="24"/>
          <w:shd w:val="clear" w:color="auto" w:fill="FFFFFF"/>
          <w:vertAlign w:val="superscript"/>
        </w:rPr>
        <w:t>2</w:t>
      </w:r>
      <w:r>
        <w:rPr>
          <w:kern w:val="0"/>
          <w:sz w:val="24"/>
          <w:szCs w:val="24"/>
          <w:shd w:val="clear" w:color="auto" w:fill="FFFFFF"/>
        </w:rPr>
        <w:t>，四至范围为：东至天北大道，西至奎克高速，南至高新二路，北至北环路；北园区</w:t>
      </w:r>
      <w:r>
        <w:rPr>
          <w:rFonts w:hint="eastAsia"/>
          <w:bCs/>
          <w:sz w:val="24"/>
          <w:szCs w:val="24"/>
          <w:shd w:val="clear" w:color="auto" w:fill="FFFFFF"/>
        </w:rPr>
        <w:t>位于129团五五新镇北侧、128团前山镇东侧，</w:t>
      </w:r>
      <w:r>
        <w:rPr>
          <w:kern w:val="0"/>
          <w:sz w:val="24"/>
          <w:szCs w:val="24"/>
          <w:shd w:val="clear" w:color="auto" w:fill="FFFFFF"/>
        </w:rPr>
        <w:t>规划用地面积14.53km</w:t>
      </w:r>
      <w:r>
        <w:rPr>
          <w:kern w:val="0"/>
          <w:sz w:val="24"/>
          <w:szCs w:val="24"/>
          <w:shd w:val="clear" w:color="auto" w:fill="FFFFFF"/>
          <w:vertAlign w:val="superscript"/>
        </w:rPr>
        <w:t>2</w:t>
      </w:r>
      <w:r>
        <w:rPr>
          <w:kern w:val="0"/>
          <w:sz w:val="24"/>
          <w:szCs w:val="24"/>
          <w:shd w:val="clear" w:color="auto" w:fill="FFFFFF"/>
        </w:rPr>
        <w:t>，四至范围为：东侧、北侧紧邻克拉玛依市荒漠区，西邻奎克高速公路，南邻129团10连。</w:t>
      </w:r>
    </w:p>
    <w:p w14:paraId="044BA837">
      <w:pPr>
        <w:pStyle w:val="45"/>
        <w:bidi w:val="0"/>
        <w:rPr>
          <w:rFonts w:hint="eastAsia"/>
          <w:lang w:val="en-US" w:eastAsia="zh-CN"/>
        </w:rPr>
      </w:pPr>
      <w:r>
        <w:rPr>
          <w:rFonts w:hint="eastAsia"/>
          <w:lang w:val="en-US" w:eastAsia="zh-CN"/>
        </w:rPr>
        <w:t>产业布局</w:t>
      </w:r>
    </w:p>
    <w:p w14:paraId="03CC35E2">
      <w:pPr>
        <w:spacing w:line="360" w:lineRule="auto"/>
        <w:ind w:firstLine="480" w:firstLineChars="200"/>
        <w:rPr>
          <w:kern w:val="0"/>
          <w:sz w:val="24"/>
          <w:szCs w:val="24"/>
          <w:shd w:val="clear" w:color="auto" w:fill="FFFFFF"/>
        </w:rPr>
      </w:pPr>
      <w:r>
        <w:rPr>
          <w:rFonts w:hint="eastAsia"/>
          <w:kern w:val="0"/>
          <w:sz w:val="24"/>
          <w:szCs w:val="24"/>
          <w:shd w:val="clear" w:color="auto" w:fill="FFFFFF"/>
        </w:rPr>
        <w:t>①空间结构</w:t>
      </w:r>
    </w:p>
    <w:p w14:paraId="4C3BCDB5">
      <w:pPr>
        <w:spacing w:line="360" w:lineRule="auto"/>
        <w:ind w:firstLine="480" w:firstLineChars="200"/>
        <w:rPr>
          <w:kern w:val="0"/>
          <w:sz w:val="24"/>
          <w:szCs w:val="24"/>
          <w:shd w:val="clear" w:color="auto" w:fill="FFFFFF"/>
        </w:rPr>
      </w:pPr>
      <w:r>
        <w:rPr>
          <w:rFonts w:hint="eastAsia"/>
          <w:kern w:val="0"/>
          <w:sz w:val="24"/>
          <w:szCs w:val="24"/>
          <w:shd w:val="clear" w:color="auto" w:fill="FFFFFF"/>
        </w:rPr>
        <w:t>南园区整体上为“一区二板块多点”的空间结构。一区：即化工园区南园区；二板块：即化工及新材料板块、精细化工板块。多点：即一体化配套服务的公用工程及辅助设施。包括热电厂、供水厂、变电站、污水处理厂、消防站及危化品专用停车场等。</w:t>
      </w:r>
    </w:p>
    <w:p w14:paraId="2D4F71D8">
      <w:pPr>
        <w:spacing w:line="360" w:lineRule="auto"/>
        <w:ind w:firstLine="480" w:firstLineChars="200"/>
        <w:rPr>
          <w:kern w:val="0"/>
          <w:sz w:val="24"/>
          <w:szCs w:val="24"/>
          <w:shd w:val="clear" w:color="auto" w:fill="FFFFFF"/>
        </w:rPr>
      </w:pPr>
      <w:r>
        <w:rPr>
          <w:rFonts w:hint="eastAsia"/>
          <w:kern w:val="0"/>
          <w:sz w:val="24"/>
          <w:szCs w:val="24"/>
          <w:shd w:val="clear" w:color="auto" w:fill="FFFFFF"/>
        </w:rPr>
        <w:t>②功能区布局</w:t>
      </w:r>
    </w:p>
    <w:p w14:paraId="5BCF442F">
      <w:pPr>
        <w:spacing w:line="360" w:lineRule="auto"/>
        <w:ind w:firstLine="480" w:firstLineChars="200"/>
        <w:rPr>
          <w:kern w:val="0"/>
          <w:sz w:val="24"/>
          <w:szCs w:val="24"/>
          <w:shd w:val="clear" w:color="auto" w:fill="FFFFFF"/>
        </w:rPr>
      </w:pPr>
      <w:r>
        <w:rPr>
          <w:rFonts w:hint="eastAsia"/>
          <w:kern w:val="0"/>
          <w:sz w:val="24"/>
          <w:szCs w:val="24"/>
          <w:shd w:val="clear" w:color="auto" w:fill="FFFFFF"/>
        </w:rPr>
        <w:t>a</w:t>
      </w:r>
      <w:r>
        <w:rPr>
          <w:kern w:val="0"/>
          <w:sz w:val="24"/>
          <w:szCs w:val="24"/>
          <w:shd w:val="clear" w:color="auto" w:fill="FFFFFF"/>
        </w:rPr>
        <w:t>.</w:t>
      </w:r>
      <w:r>
        <w:rPr>
          <w:rFonts w:hint="eastAsia"/>
          <w:kern w:val="0"/>
          <w:sz w:val="24"/>
          <w:szCs w:val="24"/>
          <w:shd w:val="clear" w:color="auto" w:fill="FFFFFF"/>
        </w:rPr>
        <w:t>管理服务区：不单独</w:t>
      </w:r>
      <w:r>
        <w:rPr>
          <w:kern w:val="0"/>
          <w:sz w:val="24"/>
          <w:szCs w:val="24"/>
          <w:shd w:val="clear" w:color="auto" w:fill="FFFFFF"/>
        </w:rPr>
        <w:t>设置管理服务区，</w:t>
      </w:r>
      <w:r>
        <w:rPr>
          <w:rFonts w:hint="eastAsia"/>
          <w:kern w:val="0"/>
          <w:sz w:val="24"/>
          <w:szCs w:val="24"/>
          <w:shd w:val="clear" w:color="auto" w:fill="FFFFFF"/>
        </w:rPr>
        <w:t>依托胡杨河经济技术开发区现状管理服务区，将全面管理化工园区的基础设施建设、综合配套等，集整个化工园区的管理、信息咨询、金融服务、商贸服务、应急响应等。管理服务区位于化工园区南园区外南部，胡杨河经济技术开发区南区南部，距离南园区南边界约3.6km。</w:t>
      </w:r>
    </w:p>
    <w:p w14:paraId="39779B50">
      <w:pPr>
        <w:spacing w:line="360" w:lineRule="auto"/>
        <w:ind w:firstLine="480" w:firstLineChars="200"/>
        <w:rPr>
          <w:kern w:val="0"/>
          <w:sz w:val="24"/>
          <w:szCs w:val="24"/>
          <w:shd w:val="clear" w:color="auto" w:fill="FFFFFF"/>
        </w:rPr>
      </w:pPr>
      <w:r>
        <w:rPr>
          <w:rFonts w:hint="eastAsia"/>
          <w:kern w:val="0"/>
          <w:sz w:val="24"/>
          <w:szCs w:val="24"/>
          <w:shd w:val="clear" w:color="auto" w:fill="FFFFFF"/>
        </w:rPr>
        <w:t>b.产业区：产业区全部为三类工业用地，具体布局如下：</w:t>
      </w:r>
    </w:p>
    <w:p w14:paraId="3C8E168B">
      <w:pPr>
        <w:spacing w:line="360" w:lineRule="auto"/>
        <w:ind w:firstLine="480" w:firstLineChars="200"/>
        <w:rPr>
          <w:kern w:val="0"/>
          <w:sz w:val="24"/>
          <w:szCs w:val="24"/>
          <w:shd w:val="clear" w:color="auto" w:fill="FFFFFF"/>
        </w:rPr>
      </w:pPr>
      <w:r>
        <w:rPr>
          <w:rFonts w:hint="eastAsia"/>
          <w:kern w:val="0"/>
          <w:sz w:val="24"/>
          <w:szCs w:val="24"/>
          <w:shd w:val="clear" w:color="auto" w:fill="FFFFFF"/>
        </w:rPr>
        <w:t>I</w:t>
      </w:r>
      <w:r>
        <w:rPr>
          <w:kern w:val="0"/>
          <w:sz w:val="24"/>
          <w:szCs w:val="24"/>
          <w:shd w:val="clear" w:color="auto" w:fill="FFFFFF"/>
        </w:rPr>
        <w:t>.</w:t>
      </w:r>
      <w:r>
        <w:rPr>
          <w:rFonts w:hint="eastAsia"/>
          <w:kern w:val="0"/>
          <w:sz w:val="24"/>
          <w:szCs w:val="24"/>
          <w:shd w:val="clear" w:color="auto" w:fill="FFFFFF"/>
        </w:rPr>
        <w:t>化工及新材料板块</w:t>
      </w:r>
    </w:p>
    <w:p w14:paraId="32039B1A">
      <w:pPr>
        <w:spacing w:line="360" w:lineRule="auto"/>
        <w:ind w:firstLine="480" w:firstLineChars="200"/>
        <w:rPr>
          <w:kern w:val="0"/>
          <w:sz w:val="24"/>
          <w:szCs w:val="24"/>
          <w:shd w:val="clear" w:color="auto" w:fill="FFFFFF"/>
        </w:rPr>
      </w:pPr>
      <w:r>
        <w:rPr>
          <w:rFonts w:hint="eastAsia"/>
          <w:kern w:val="0"/>
          <w:sz w:val="24"/>
          <w:szCs w:val="24"/>
          <w:shd w:val="clear" w:color="auto" w:fill="FFFFFF"/>
        </w:rPr>
        <w:t>化工及新材料板块包括化工及石化新材料、无机新材料、硅基新材料，主要依据现状企业类型和产业规划进行布局。</w:t>
      </w:r>
    </w:p>
    <w:p w14:paraId="4F620EA9">
      <w:pPr>
        <w:spacing w:line="360" w:lineRule="auto"/>
        <w:ind w:firstLine="480" w:firstLineChars="200"/>
        <w:rPr>
          <w:kern w:val="0"/>
          <w:sz w:val="24"/>
          <w:szCs w:val="24"/>
          <w:shd w:val="clear" w:color="auto" w:fill="FFFFFF"/>
        </w:rPr>
      </w:pPr>
      <w:r>
        <w:rPr>
          <w:kern w:val="0"/>
          <w:sz w:val="24"/>
          <w:szCs w:val="24"/>
          <w:shd w:val="clear" w:color="auto" w:fill="FFFFFF"/>
        </w:rPr>
        <w:t>II.</w:t>
      </w:r>
      <w:r>
        <w:rPr>
          <w:rFonts w:hint="eastAsia"/>
          <w:kern w:val="0"/>
          <w:sz w:val="24"/>
          <w:szCs w:val="24"/>
          <w:shd w:val="clear" w:color="auto" w:fill="FFFFFF"/>
        </w:rPr>
        <w:t>精细化工板块</w:t>
      </w:r>
    </w:p>
    <w:p w14:paraId="7FD9378B">
      <w:pPr>
        <w:spacing w:line="360" w:lineRule="auto"/>
        <w:ind w:firstLine="480" w:firstLineChars="200"/>
        <w:rPr>
          <w:kern w:val="0"/>
          <w:sz w:val="24"/>
          <w:szCs w:val="24"/>
          <w:shd w:val="clear" w:color="auto" w:fill="FFFFFF"/>
        </w:rPr>
      </w:pPr>
      <w:r>
        <w:rPr>
          <w:rFonts w:hint="eastAsia"/>
          <w:kern w:val="0"/>
          <w:sz w:val="24"/>
          <w:szCs w:val="24"/>
          <w:shd w:val="clear" w:color="auto" w:fill="FFFFFF"/>
        </w:rPr>
        <w:t>精细化工板块集中布局在工业大道以东，车排子路两侧，五五新路以北，共青路以南。</w:t>
      </w:r>
    </w:p>
    <w:p w14:paraId="4B34BAA5">
      <w:pPr>
        <w:spacing w:line="360" w:lineRule="auto"/>
        <w:ind w:firstLine="480" w:firstLineChars="200"/>
        <w:rPr>
          <w:kern w:val="0"/>
          <w:sz w:val="24"/>
          <w:szCs w:val="24"/>
          <w:shd w:val="clear" w:color="auto" w:fill="FFFFFF"/>
        </w:rPr>
      </w:pPr>
      <w:r>
        <w:rPr>
          <w:kern w:val="0"/>
          <w:sz w:val="24"/>
          <w:szCs w:val="24"/>
          <w:shd w:val="clear" w:color="auto" w:fill="FFFFFF"/>
        </w:rPr>
        <w:t>c</w:t>
      </w:r>
      <w:r>
        <w:rPr>
          <w:rFonts w:hint="eastAsia"/>
          <w:kern w:val="0"/>
          <w:sz w:val="24"/>
          <w:szCs w:val="24"/>
          <w:shd w:val="clear" w:color="auto" w:fill="FFFFFF"/>
        </w:rPr>
        <w:t>.物流仓储区：结合产业区的布局，南园区西北部依托现有企业规划设置配套物流区。</w:t>
      </w:r>
    </w:p>
    <w:p w14:paraId="7A4BAD3A">
      <w:pPr>
        <w:ind w:firstLine="480"/>
        <w:rPr>
          <w:rFonts w:hint="eastAsia"/>
          <w:kern w:val="0"/>
          <w:sz w:val="24"/>
          <w:szCs w:val="24"/>
          <w:shd w:val="clear" w:color="auto" w:fill="FFFFFF"/>
        </w:rPr>
      </w:pPr>
      <w:r>
        <w:rPr>
          <w:rFonts w:hint="eastAsia"/>
          <w:kern w:val="0"/>
          <w:sz w:val="24"/>
          <w:szCs w:val="24"/>
          <w:shd w:val="clear" w:color="auto" w:fill="FFFFFF"/>
        </w:rPr>
        <w:t>d</w:t>
      </w:r>
      <w:r>
        <w:rPr>
          <w:kern w:val="0"/>
          <w:sz w:val="24"/>
          <w:szCs w:val="24"/>
          <w:shd w:val="clear" w:color="auto" w:fill="FFFFFF"/>
        </w:rPr>
        <w:t>.</w:t>
      </w:r>
      <w:r>
        <w:rPr>
          <w:rFonts w:hint="eastAsia"/>
          <w:kern w:val="0"/>
          <w:sz w:val="24"/>
          <w:szCs w:val="24"/>
          <w:shd w:val="clear" w:color="auto" w:fill="FFFFFF"/>
        </w:rPr>
        <w:t>公用工程区：南园区公用设施主要依托胡杨河经济技术开发区基础设施，各类公用工程的布局除考虑现有设施其本身建设要求外，也应尽量靠近负荷中心，以缩短其输送距离，节约能耗。各类上下游装置和配套的公用工程设施等都围绕在主产业链的周围。南园区现状工业供水厂</w:t>
      </w:r>
      <w:r>
        <w:rPr>
          <w:kern w:val="0"/>
          <w:sz w:val="24"/>
          <w:szCs w:val="24"/>
          <w:shd w:val="clear" w:color="auto" w:fill="FFFFFF"/>
        </w:rPr>
        <w:t>1</w:t>
      </w:r>
      <w:r>
        <w:rPr>
          <w:rFonts w:hint="eastAsia"/>
          <w:kern w:val="0"/>
          <w:sz w:val="24"/>
          <w:szCs w:val="24"/>
          <w:shd w:val="clear" w:color="auto" w:fill="FFFFFF"/>
        </w:rPr>
        <w:t>处，现状污水处理厂</w:t>
      </w:r>
      <w:r>
        <w:rPr>
          <w:kern w:val="0"/>
          <w:sz w:val="24"/>
          <w:szCs w:val="24"/>
          <w:shd w:val="clear" w:color="auto" w:fill="FFFFFF"/>
        </w:rPr>
        <w:t>2</w:t>
      </w:r>
      <w:r>
        <w:rPr>
          <w:rFonts w:hint="eastAsia"/>
          <w:kern w:val="0"/>
          <w:sz w:val="24"/>
          <w:szCs w:val="24"/>
          <w:shd w:val="clear" w:color="auto" w:fill="FFFFFF"/>
        </w:rPr>
        <w:t>处（1号</w:t>
      </w:r>
      <w:r>
        <w:rPr>
          <w:kern w:val="0"/>
          <w:sz w:val="24"/>
          <w:szCs w:val="24"/>
          <w:shd w:val="clear" w:color="auto" w:fill="FFFFFF"/>
        </w:rPr>
        <w:t>污水处理厂</w:t>
      </w:r>
      <w:r>
        <w:rPr>
          <w:rFonts w:hint="eastAsia"/>
          <w:kern w:val="0"/>
          <w:sz w:val="24"/>
          <w:szCs w:val="24"/>
          <w:shd w:val="clear" w:color="auto" w:fill="FFFFFF"/>
        </w:rPr>
        <w:t>和2号污水处理厂），现状220kV变电站2座，现状110kV变电站1座，现状热电厂2处，现状危废处置中心1处、</w:t>
      </w:r>
      <w:r>
        <w:rPr>
          <w:kern w:val="0"/>
          <w:sz w:val="24"/>
          <w:szCs w:val="24"/>
          <w:shd w:val="clear" w:color="auto" w:fill="FFFFFF"/>
        </w:rPr>
        <w:t>一般固废填埋场和生活垃圾各</w:t>
      </w:r>
      <w:r>
        <w:rPr>
          <w:rFonts w:hint="eastAsia"/>
          <w:kern w:val="0"/>
          <w:sz w:val="24"/>
          <w:szCs w:val="24"/>
          <w:shd w:val="clear" w:color="auto" w:fill="FFFFFF"/>
        </w:rPr>
        <w:t>1处，现状危化品停车场1处，现状消防站1处，规划消防站2处，现状中水库和</w:t>
      </w:r>
      <w:r>
        <w:rPr>
          <w:kern w:val="0"/>
          <w:sz w:val="24"/>
          <w:szCs w:val="24"/>
          <w:shd w:val="clear" w:color="auto" w:fill="FFFFFF"/>
        </w:rPr>
        <w:t>除盐设施各</w:t>
      </w:r>
      <w:r>
        <w:rPr>
          <w:rFonts w:hint="eastAsia"/>
          <w:kern w:val="0"/>
          <w:sz w:val="24"/>
          <w:szCs w:val="24"/>
          <w:shd w:val="clear" w:color="auto" w:fill="FFFFFF"/>
        </w:rPr>
        <w:t>1处。</w:t>
      </w:r>
    </w:p>
    <w:p w14:paraId="57FD0DA2">
      <w:pPr>
        <w:ind w:firstLine="480"/>
        <w:rPr>
          <w:rFonts w:hint="default" w:eastAsia="宋体"/>
          <w:kern w:val="0"/>
          <w:sz w:val="24"/>
          <w:szCs w:val="24"/>
          <w:shd w:val="clear" w:color="auto" w:fill="FFFFFF"/>
          <w:lang w:val="en-US" w:eastAsia="zh-CN"/>
        </w:rPr>
      </w:pPr>
      <w:r>
        <w:rPr>
          <w:rFonts w:hint="eastAsia"/>
          <w:kern w:val="0"/>
          <w:sz w:val="24"/>
          <w:szCs w:val="24"/>
          <w:shd w:val="clear" w:color="auto" w:fill="FFFFFF"/>
          <w:lang w:val="en-US" w:eastAsia="zh-CN"/>
        </w:rPr>
        <w:t>具体见图1.4-4。</w:t>
      </w:r>
    </w:p>
    <w:p w14:paraId="702C3357">
      <w:pPr>
        <w:pStyle w:val="45"/>
        <w:bidi w:val="0"/>
        <w:rPr>
          <w:rFonts w:hint="default"/>
          <w:lang w:val="en-US" w:eastAsia="zh-CN"/>
        </w:rPr>
      </w:pPr>
      <w:r>
        <w:rPr>
          <w:rFonts w:hint="eastAsia"/>
          <w:lang w:val="en-US" w:eastAsia="zh-CN"/>
        </w:rPr>
        <w:t>用地规划</w:t>
      </w:r>
    </w:p>
    <w:p w14:paraId="1592BAFA">
      <w:pPr>
        <w:ind w:firstLine="480"/>
        <w:rPr>
          <w:rFonts w:hint="default" w:eastAsia="宋体"/>
          <w:lang w:val="en-US" w:eastAsia="zh-CN"/>
        </w:rPr>
      </w:pPr>
      <w:r>
        <w:rPr>
          <w:rFonts w:hint="eastAsia"/>
          <w:lang w:val="en-US" w:eastAsia="zh-CN"/>
        </w:rPr>
        <w:t>具体见图1.4-3。</w:t>
      </w:r>
    </w:p>
    <w:p w14:paraId="5259030B">
      <w:pPr>
        <w:pStyle w:val="43"/>
      </w:pPr>
      <w:bookmarkStart w:id="346" w:name="_Toc79515479"/>
      <w:bookmarkStart w:id="347" w:name="_Toc82518790"/>
      <w:bookmarkStart w:id="348" w:name="_Toc80193108"/>
      <w:bookmarkStart w:id="349" w:name="_Toc77007808"/>
      <w:bookmarkStart w:id="350" w:name="_Toc152864202"/>
      <w:bookmarkStart w:id="351" w:name="_Toc81214102"/>
      <w:bookmarkStart w:id="352" w:name="_Toc80973534"/>
      <w:r>
        <w:rPr>
          <w:rFonts w:hint="eastAsia"/>
        </w:rPr>
        <w:t>园区现有污染源</w:t>
      </w:r>
      <w:bookmarkEnd w:id="346"/>
      <w:bookmarkEnd w:id="347"/>
      <w:bookmarkEnd w:id="348"/>
      <w:bookmarkEnd w:id="349"/>
      <w:bookmarkEnd w:id="350"/>
      <w:bookmarkEnd w:id="351"/>
      <w:bookmarkEnd w:id="352"/>
    </w:p>
    <w:p w14:paraId="58720C44">
      <w:pPr>
        <w:ind w:firstLine="480"/>
      </w:pPr>
      <w:r>
        <w:rPr>
          <w:rFonts w:hint="eastAsia"/>
        </w:rPr>
        <w:t>自2011年开始建设以来，胡杨河经济技术开发区南园区发展速度非常快。截至目前，园区已入驻的企业达到40家，其中，已投产企业</w:t>
      </w:r>
      <w:r>
        <w:t>3</w:t>
      </w:r>
      <w:r>
        <w:rPr>
          <w:rFonts w:hint="eastAsia"/>
        </w:rPr>
        <w:t>4家，试运行企业1家，在建企业2家，停建企业2家，还有1家企业为建成后一直未投产。生产主要涉及行业包括：煤化工、盐化工、建材等。园区入驻企业及环评、验收情况见表4</w:t>
      </w:r>
      <w:r>
        <w:t>.2-2</w:t>
      </w:r>
      <w:r>
        <w:rPr>
          <w:rFonts w:hint="eastAsia"/>
        </w:rPr>
        <w:t>。园区项目污染物排放情况见表4</w:t>
      </w:r>
      <w:r>
        <w:t>.2-3</w:t>
      </w:r>
      <w:r>
        <w:rPr>
          <w:rFonts w:hint="eastAsia"/>
        </w:rPr>
        <w:t>。</w:t>
      </w:r>
    </w:p>
    <w:p w14:paraId="5FBE07D2">
      <w:pPr>
        <w:pStyle w:val="47"/>
        <w:spacing w:before="65"/>
      </w:pPr>
      <w:r>
        <w:rPr>
          <w:rFonts w:hint="eastAsia"/>
        </w:rPr>
        <w:t>表4</w:t>
      </w:r>
      <w:r>
        <w:t xml:space="preserve">.2-2   </w:t>
      </w:r>
      <w:r>
        <w:rPr>
          <w:rFonts w:hint="eastAsia"/>
        </w:rPr>
        <w:t>园区入驻企业基本情况一览表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08"/>
        <w:gridCol w:w="1939"/>
        <w:gridCol w:w="3533"/>
        <w:gridCol w:w="774"/>
        <w:gridCol w:w="697"/>
        <w:gridCol w:w="651"/>
        <w:gridCol w:w="828"/>
      </w:tblGrid>
      <w:tr w14:paraId="7D506D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51BC306">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1110" w:type="pct"/>
            <w:shd w:val="clear" w:color="auto" w:fill="auto"/>
            <w:vAlign w:val="center"/>
          </w:tcPr>
          <w:p w14:paraId="563F70A4">
            <w:pPr>
              <w:adjustRightInd w:val="0"/>
              <w:snapToGrid w:val="0"/>
              <w:spacing w:line="240" w:lineRule="auto"/>
              <w:ind w:firstLine="0" w:firstLineChars="0"/>
              <w:jc w:val="center"/>
              <w:rPr>
                <w:sz w:val="21"/>
                <w:szCs w:val="21"/>
                <w:lang w:eastAsia="en-US"/>
              </w:rPr>
            </w:pPr>
            <w:r>
              <w:rPr>
                <w:sz w:val="21"/>
                <w:szCs w:val="21"/>
                <w:lang w:eastAsia="en-US"/>
              </w:rPr>
              <w:t>企业名称</w:t>
            </w:r>
          </w:p>
        </w:tc>
        <w:tc>
          <w:tcPr>
            <w:tcW w:w="2023" w:type="pct"/>
            <w:shd w:val="clear" w:color="auto" w:fill="auto"/>
            <w:vAlign w:val="center"/>
          </w:tcPr>
          <w:p w14:paraId="5FF4026C">
            <w:pPr>
              <w:adjustRightInd w:val="0"/>
              <w:snapToGrid w:val="0"/>
              <w:spacing w:line="240" w:lineRule="auto"/>
              <w:ind w:firstLine="0" w:firstLineChars="0"/>
              <w:jc w:val="center"/>
              <w:rPr>
                <w:sz w:val="21"/>
                <w:szCs w:val="21"/>
                <w:lang w:eastAsia="en-US"/>
              </w:rPr>
            </w:pPr>
            <w:r>
              <w:rPr>
                <w:sz w:val="21"/>
                <w:szCs w:val="21"/>
                <w:lang w:eastAsia="en-US"/>
              </w:rPr>
              <w:t>生产规模及产品</w:t>
            </w:r>
          </w:p>
        </w:tc>
        <w:tc>
          <w:tcPr>
            <w:tcW w:w="443" w:type="pct"/>
            <w:shd w:val="clear" w:color="auto" w:fill="auto"/>
            <w:vAlign w:val="center"/>
          </w:tcPr>
          <w:p w14:paraId="26336AC8">
            <w:pPr>
              <w:adjustRightInd w:val="0"/>
              <w:snapToGrid w:val="0"/>
              <w:spacing w:line="240" w:lineRule="auto"/>
              <w:ind w:firstLine="0" w:firstLineChars="0"/>
              <w:jc w:val="center"/>
              <w:rPr>
                <w:sz w:val="21"/>
                <w:szCs w:val="21"/>
                <w:lang w:eastAsia="en-US"/>
              </w:rPr>
            </w:pPr>
            <w:r>
              <w:rPr>
                <w:sz w:val="21"/>
                <w:szCs w:val="21"/>
                <w:lang w:eastAsia="en-US"/>
              </w:rPr>
              <w:t>占地</w:t>
            </w:r>
          </w:p>
          <w:p w14:paraId="41B7E788">
            <w:pPr>
              <w:adjustRightInd w:val="0"/>
              <w:snapToGrid w:val="0"/>
              <w:spacing w:line="240" w:lineRule="auto"/>
              <w:ind w:firstLine="0" w:firstLineChars="0"/>
              <w:jc w:val="center"/>
              <w:rPr>
                <w:sz w:val="21"/>
                <w:szCs w:val="21"/>
                <w:lang w:eastAsia="en-US"/>
              </w:rPr>
            </w:pPr>
            <w:r>
              <w:rPr>
                <w:sz w:val="21"/>
                <w:szCs w:val="21"/>
                <w:lang w:eastAsia="en-US"/>
              </w:rPr>
              <w:t>（</w:t>
            </w:r>
            <w:r>
              <w:rPr>
                <w:rFonts w:hint="eastAsia"/>
                <w:sz w:val="21"/>
                <w:szCs w:val="21"/>
              </w:rPr>
              <w:t>hm</w:t>
            </w:r>
            <w:r>
              <w:rPr>
                <w:sz w:val="21"/>
                <w:szCs w:val="21"/>
                <w:vertAlign w:val="superscript"/>
              </w:rPr>
              <w:t>2</w:t>
            </w:r>
            <w:r>
              <w:rPr>
                <w:sz w:val="21"/>
                <w:szCs w:val="21"/>
                <w:lang w:eastAsia="en-US"/>
              </w:rPr>
              <w:t>）</w:t>
            </w:r>
          </w:p>
        </w:tc>
        <w:tc>
          <w:tcPr>
            <w:tcW w:w="399" w:type="pct"/>
            <w:shd w:val="clear" w:color="auto" w:fill="auto"/>
            <w:vAlign w:val="center"/>
          </w:tcPr>
          <w:p w14:paraId="5775FD31">
            <w:pPr>
              <w:adjustRightInd w:val="0"/>
              <w:snapToGrid w:val="0"/>
              <w:spacing w:line="240" w:lineRule="auto"/>
              <w:ind w:firstLine="0" w:firstLineChars="0"/>
              <w:jc w:val="center"/>
              <w:rPr>
                <w:sz w:val="21"/>
                <w:szCs w:val="21"/>
                <w:lang w:eastAsia="en-US"/>
              </w:rPr>
            </w:pPr>
            <w:r>
              <w:rPr>
                <w:sz w:val="21"/>
                <w:szCs w:val="21"/>
                <w:lang w:eastAsia="en-US"/>
              </w:rPr>
              <w:t>建设情况</w:t>
            </w:r>
          </w:p>
        </w:tc>
        <w:tc>
          <w:tcPr>
            <w:tcW w:w="373" w:type="pct"/>
            <w:shd w:val="clear" w:color="auto" w:fill="auto"/>
            <w:vAlign w:val="center"/>
          </w:tcPr>
          <w:p w14:paraId="3BDA6524">
            <w:pPr>
              <w:adjustRightInd w:val="0"/>
              <w:snapToGrid w:val="0"/>
              <w:spacing w:line="240" w:lineRule="auto"/>
              <w:ind w:firstLine="0" w:firstLineChars="0"/>
              <w:jc w:val="center"/>
              <w:rPr>
                <w:sz w:val="21"/>
                <w:szCs w:val="21"/>
                <w:lang w:eastAsia="en-US"/>
              </w:rPr>
            </w:pPr>
            <w:r>
              <w:rPr>
                <w:sz w:val="21"/>
                <w:szCs w:val="21"/>
                <w:lang w:eastAsia="en-US"/>
              </w:rPr>
              <w:t>环评情况</w:t>
            </w:r>
          </w:p>
        </w:tc>
        <w:tc>
          <w:tcPr>
            <w:tcW w:w="474" w:type="pct"/>
            <w:shd w:val="clear" w:color="auto" w:fill="auto"/>
            <w:vAlign w:val="center"/>
          </w:tcPr>
          <w:p w14:paraId="0F3BBE05">
            <w:pPr>
              <w:adjustRightInd w:val="0"/>
              <w:snapToGrid w:val="0"/>
              <w:spacing w:line="240" w:lineRule="auto"/>
              <w:ind w:firstLine="0" w:firstLineChars="0"/>
              <w:jc w:val="center"/>
              <w:rPr>
                <w:sz w:val="21"/>
                <w:szCs w:val="21"/>
                <w:lang w:eastAsia="en-US"/>
              </w:rPr>
            </w:pPr>
            <w:r>
              <w:rPr>
                <w:sz w:val="21"/>
                <w:szCs w:val="21"/>
                <w:lang w:eastAsia="en-US"/>
              </w:rPr>
              <w:t>竣工验收情况</w:t>
            </w:r>
          </w:p>
        </w:tc>
      </w:tr>
      <w:tr w14:paraId="082D4B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4C52BD35">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48A023C2">
            <w:pPr>
              <w:adjustRightInd w:val="0"/>
              <w:snapToGrid w:val="0"/>
              <w:spacing w:line="240" w:lineRule="auto"/>
              <w:ind w:firstLine="0" w:firstLineChars="0"/>
              <w:jc w:val="center"/>
              <w:rPr>
                <w:sz w:val="21"/>
                <w:szCs w:val="21"/>
              </w:rPr>
            </w:pPr>
            <w:r>
              <w:rPr>
                <w:sz w:val="21"/>
                <w:szCs w:val="21"/>
              </w:rPr>
              <w:t>新疆澳林石化科技有限责任公司</w:t>
            </w:r>
          </w:p>
        </w:tc>
        <w:tc>
          <w:tcPr>
            <w:tcW w:w="2023" w:type="pct"/>
            <w:shd w:val="clear" w:color="auto" w:fill="auto"/>
            <w:vAlign w:val="center"/>
          </w:tcPr>
          <w:p w14:paraId="4A6B67DA">
            <w:pPr>
              <w:adjustRightInd w:val="0"/>
              <w:snapToGrid w:val="0"/>
              <w:spacing w:line="240" w:lineRule="auto"/>
              <w:ind w:firstLine="0" w:firstLineChars="0"/>
              <w:jc w:val="center"/>
              <w:rPr>
                <w:sz w:val="21"/>
                <w:szCs w:val="21"/>
              </w:rPr>
            </w:pPr>
            <w:r>
              <w:rPr>
                <w:sz w:val="21"/>
                <w:szCs w:val="21"/>
              </w:rPr>
              <w:t>十万吨改性沥青项目、二期十万吨焦油沥青</w:t>
            </w:r>
          </w:p>
        </w:tc>
        <w:tc>
          <w:tcPr>
            <w:tcW w:w="443" w:type="pct"/>
            <w:shd w:val="clear" w:color="auto" w:fill="auto"/>
            <w:vAlign w:val="center"/>
          </w:tcPr>
          <w:p w14:paraId="49CFE27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13.31</w:t>
            </w:r>
          </w:p>
        </w:tc>
        <w:tc>
          <w:tcPr>
            <w:tcW w:w="399" w:type="pct"/>
            <w:shd w:val="clear" w:color="auto" w:fill="auto"/>
            <w:vAlign w:val="center"/>
          </w:tcPr>
          <w:p w14:paraId="3A06F211">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35F13FE3">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4BCAD3A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01BA58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39EA1C8F">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5E3C4298">
            <w:pPr>
              <w:adjustRightInd w:val="0"/>
              <w:snapToGrid w:val="0"/>
              <w:spacing w:line="240" w:lineRule="auto"/>
              <w:ind w:firstLine="0" w:firstLineChars="0"/>
              <w:jc w:val="center"/>
              <w:rPr>
                <w:sz w:val="21"/>
                <w:szCs w:val="21"/>
              </w:rPr>
            </w:pPr>
            <w:r>
              <w:rPr>
                <w:sz w:val="21"/>
                <w:szCs w:val="21"/>
              </w:rPr>
              <w:t>克拉玛依新大路石油化工有限公司</w:t>
            </w:r>
          </w:p>
        </w:tc>
        <w:tc>
          <w:tcPr>
            <w:tcW w:w="2023" w:type="pct"/>
            <w:shd w:val="clear" w:color="auto" w:fill="auto"/>
            <w:vAlign w:val="center"/>
          </w:tcPr>
          <w:p w14:paraId="529432C1">
            <w:pPr>
              <w:adjustRightInd w:val="0"/>
              <w:snapToGrid w:val="0"/>
              <w:spacing w:line="240" w:lineRule="auto"/>
              <w:ind w:firstLine="0" w:firstLineChars="0"/>
              <w:jc w:val="center"/>
              <w:rPr>
                <w:sz w:val="21"/>
                <w:szCs w:val="21"/>
                <w:lang w:eastAsia="en-US"/>
              </w:rPr>
            </w:pPr>
            <w:r>
              <w:rPr>
                <w:rFonts w:eastAsia="Times New Roman"/>
                <w:sz w:val="21"/>
                <w:szCs w:val="21"/>
                <w:lang w:eastAsia="en-US"/>
              </w:rPr>
              <w:t>20</w:t>
            </w:r>
            <w:r>
              <w:rPr>
                <w:sz w:val="21"/>
                <w:szCs w:val="21"/>
                <w:lang w:eastAsia="en-US"/>
              </w:rPr>
              <w:t>万吨</w:t>
            </w:r>
            <w:r>
              <w:rPr>
                <w:rFonts w:eastAsia="Times New Roman"/>
                <w:sz w:val="21"/>
                <w:szCs w:val="21"/>
                <w:lang w:eastAsia="en-US"/>
              </w:rPr>
              <w:t>/</w:t>
            </w:r>
            <w:r>
              <w:rPr>
                <w:sz w:val="21"/>
                <w:szCs w:val="21"/>
                <w:lang w:eastAsia="en-US"/>
              </w:rPr>
              <w:t>年改性沥青项目</w:t>
            </w:r>
          </w:p>
        </w:tc>
        <w:tc>
          <w:tcPr>
            <w:tcW w:w="443" w:type="pct"/>
            <w:shd w:val="clear" w:color="auto" w:fill="auto"/>
            <w:vAlign w:val="center"/>
          </w:tcPr>
          <w:p w14:paraId="13185AA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6.83</w:t>
            </w:r>
          </w:p>
        </w:tc>
        <w:tc>
          <w:tcPr>
            <w:tcW w:w="399" w:type="pct"/>
            <w:shd w:val="clear" w:color="auto" w:fill="auto"/>
            <w:vAlign w:val="center"/>
          </w:tcPr>
          <w:p w14:paraId="596339BE">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28A801C2">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EC8A74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5E8D2D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53205EEB">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39E27D51">
            <w:pPr>
              <w:adjustRightInd w:val="0"/>
              <w:snapToGrid w:val="0"/>
              <w:spacing w:line="240" w:lineRule="auto"/>
              <w:ind w:firstLine="0" w:firstLineChars="0"/>
              <w:jc w:val="center"/>
              <w:rPr>
                <w:sz w:val="21"/>
                <w:szCs w:val="21"/>
              </w:rPr>
            </w:pPr>
            <w:r>
              <w:rPr>
                <w:sz w:val="21"/>
                <w:szCs w:val="21"/>
              </w:rPr>
              <w:t>克拉玛依拓源化工有限公司</w:t>
            </w:r>
          </w:p>
        </w:tc>
        <w:tc>
          <w:tcPr>
            <w:tcW w:w="2023" w:type="pct"/>
            <w:shd w:val="clear" w:color="auto" w:fill="auto"/>
            <w:vAlign w:val="center"/>
          </w:tcPr>
          <w:p w14:paraId="1A8FAA94">
            <w:pPr>
              <w:adjustRightInd w:val="0"/>
              <w:snapToGrid w:val="0"/>
              <w:spacing w:line="240" w:lineRule="auto"/>
              <w:ind w:firstLine="0" w:firstLineChars="0"/>
              <w:jc w:val="center"/>
              <w:rPr>
                <w:sz w:val="21"/>
                <w:szCs w:val="21"/>
              </w:rPr>
            </w:pPr>
            <w:r>
              <w:rPr>
                <w:sz w:val="21"/>
                <w:szCs w:val="21"/>
              </w:rPr>
              <w:t>建设</w:t>
            </w:r>
            <w:r>
              <w:rPr>
                <w:rFonts w:eastAsia="Times New Roman"/>
                <w:sz w:val="21"/>
                <w:szCs w:val="21"/>
              </w:rPr>
              <w:t>1</w:t>
            </w:r>
            <w:r>
              <w:rPr>
                <w:sz w:val="21"/>
                <w:szCs w:val="21"/>
              </w:rPr>
              <w:t>万吨乙炔法生产</w:t>
            </w:r>
            <w:r>
              <w:rPr>
                <w:rFonts w:hint="eastAsia"/>
                <w:sz w:val="21"/>
                <w:szCs w:val="21"/>
              </w:rPr>
              <w:t>聚氯乙烯催化剂</w:t>
            </w:r>
            <w:r>
              <w:rPr>
                <w:sz w:val="21"/>
                <w:szCs w:val="21"/>
              </w:rPr>
              <w:t>项目</w:t>
            </w:r>
          </w:p>
        </w:tc>
        <w:tc>
          <w:tcPr>
            <w:tcW w:w="443" w:type="pct"/>
            <w:shd w:val="clear" w:color="auto" w:fill="auto"/>
            <w:vAlign w:val="center"/>
          </w:tcPr>
          <w:p w14:paraId="0351D29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4.60</w:t>
            </w:r>
          </w:p>
        </w:tc>
        <w:tc>
          <w:tcPr>
            <w:tcW w:w="399" w:type="pct"/>
            <w:shd w:val="clear" w:color="auto" w:fill="auto"/>
            <w:vAlign w:val="center"/>
          </w:tcPr>
          <w:p w14:paraId="65D29342">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6472D0F6">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21E903C5">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31D8DF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00B94C3E">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63E8AA4A">
            <w:pPr>
              <w:adjustRightInd w:val="0"/>
              <w:snapToGrid w:val="0"/>
              <w:spacing w:line="240" w:lineRule="auto"/>
              <w:ind w:firstLine="0" w:firstLineChars="0"/>
              <w:jc w:val="center"/>
              <w:rPr>
                <w:sz w:val="21"/>
                <w:szCs w:val="21"/>
              </w:rPr>
            </w:pPr>
            <w:r>
              <w:rPr>
                <w:sz w:val="21"/>
                <w:szCs w:val="21"/>
              </w:rPr>
              <w:t>克拉玛依建杰油品有限公司</w:t>
            </w:r>
          </w:p>
        </w:tc>
        <w:tc>
          <w:tcPr>
            <w:tcW w:w="2023" w:type="pct"/>
            <w:shd w:val="clear" w:color="auto" w:fill="auto"/>
            <w:vAlign w:val="center"/>
          </w:tcPr>
          <w:p w14:paraId="7A8B6563">
            <w:pPr>
              <w:adjustRightInd w:val="0"/>
              <w:snapToGrid w:val="0"/>
              <w:spacing w:line="240" w:lineRule="auto"/>
              <w:ind w:firstLine="0" w:firstLineChars="0"/>
              <w:jc w:val="center"/>
              <w:rPr>
                <w:sz w:val="21"/>
                <w:szCs w:val="21"/>
              </w:rPr>
            </w:pPr>
            <w:r>
              <w:rPr>
                <w:rFonts w:eastAsia="Times New Roman"/>
                <w:sz w:val="21"/>
                <w:szCs w:val="21"/>
              </w:rPr>
              <w:t>10</w:t>
            </w:r>
            <w:r>
              <w:rPr>
                <w:sz w:val="21"/>
                <w:szCs w:val="21"/>
              </w:rPr>
              <w:t>万吨石化重油项目，</w:t>
            </w:r>
            <w:r>
              <w:rPr>
                <w:rFonts w:eastAsia="Times New Roman"/>
                <w:sz w:val="21"/>
                <w:szCs w:val="21"/>
              </w:rPr>
              <w:t>10</w:t>
            </w:r>
            <w:r>
              <w:rPr>
                <w:sz w:val="21"/>
                <w:szCs w:val="21"/>
              </w:rPr>
              <w:t>万吨煤焦油项目</w:t>
            </w:r>
          </w:p>
        </w:tc>
        <w:tc>
          <w:tcPr>
            <w:tcW w:w="443" w:type="pct"/>
            <w:shd w:val="clear" w:color="auto" w:fill="auto"/>
            <w:vAlign w:val="center"/>
          </w:tcPr>
          <w:p w14:paraId="62AC7CE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7.27</w:t>
            </w:r>
          </w:p>
        </w:tc>
        <w:tc>
          <w:tcPr>
            <w:tcW w:w="399" w:type="pct"/>
            <w:shd w:val="clear" w:color="auto" w:fill="auto"/>
            <w:vAlign w:val="center"/>
          </w:tcPr>
          <w:p w14:paraId="5FB65486">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01B62DFE">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94E932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63EEAA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2607A3B3">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70BE7B01">
            <w:pPr>
              <w:adjustRightInd w:val="0"/>
              <w:snapToGrid w:val="0"/>
              <w:spacing w:line="240" w:lineRule="auto"/>
              <w:ind w:firstLine="0" w:firstLineChars="0"/>
              <w:jc w:val="center"/>
              <w:rPr>
                <w:sz w:val="21"/>
                <w:szCs w:val="21"/>
              </w:rPr>
            </w:pPr>
            <w:r>
              <w:rPr>
                <w:sz w:val="21"/>
                <w:szCs w:val="21"/>
              </w:rPr>
              <w:t>新疆粤新能源化工有限公司</w:t>
            </w:r>
          </w:p>
        </w:tc>
        <w:tc>
          <w:tcPr>
            <w:tcW w:w="2023" w:type="pct"/>
            <w:shd w:val="clear" w:color="auto" w:fill="auto"/>
            <w:vAlign w:val="center"/>
          </w:tcPr>
          <w:p w14:paraId="034C9C68">
            <w:pPr>
              <w:adjustRightInd w:val="0"/>
              <w:snapToGrid w:val="0"/>
              <w:spacing w:line="240" w:lineRule="auto"/>
              <w:ind w:firstLine="0" w:firstLineChars="0"/>
              <w:jc w:val="center"/>
              <w:rPr>
                <w:sz w:val="21"/>
                <w:szCs w:val="21"/>
              </w:rPr>
            </w:pPr>
            <w:r>
              <w:rPr>
                <w:sz w:val="21"/>
                <w:szCs w:val="21"/>
              </w:rPr>
              <w:t>新建</w:t>
            </w:r>
            <w:r>
              <w:rPr>
                <w:rFonts w:hint="eastAsia"/>
                <w:sz w:val="21"/>
                <w:szCs w:val="21"/>
              </w:rPr>
              <w:t>2</w:t>
            </w:r>
            <w:r>
              <w:rPr>
                <w:rFonts w:eastAsia="Times New Roman"/>
                <w:sz w:val="21"/>
                <w:szCs w:val="21"/>
              </w:rPr>
              <w:t>×100</w:t>
            </w:r>
            <w:r>
              <w:rPr>
                <w:sz w:val="21"/>
                <w:szCs w:val="21"/>
              </w:rPr>
              <w:t>兆瓦高背压热电项目</w:t>
            </w:r>
          </w:p>
        </w:tc>
        <w:tc>
          <w:tcPr>
            <w:tcW w:w="443" w:type="pct"/>
            <w:shd w:val="clear" w:color="auto" w:fill="auto"/>
            <w:vAlign w:val="center"/>
          </w:tcPr>
          <w:p w14:paraId="79D6575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15.20</w:t>
            </w:r>
          </w:p>
        </w:tc>
        <w:tc>
          <w:tcPr>
            <w:tcW w:w="399" w:type="pct"/>
            <w:shd w:val="clear" w:color="auto" w:fill="auto"/>
            <w:vAlign w:val="center"/>
          </w:tcPr>
          <w:p w14:paraId="3BB0A228">
            <w:pPr>
              <w:adjustRightInd w:val="0"/>
              <w:snapToGrid w:val="0"/>
              <w:spacing w:line="240" w:lineRule="auto"/>
              <w:ind w:firstLine="0" w:firstLineChars="0"/>
              <w:jc w:val="center"/>
              <w:rPr>
                <w:sz w:val="21"/>
                <w:szCs w:val="21"/>
                <w:lang w:eastAsia="en-US"/>
              </w:rPr>
            </w:pPr>
            <w:r>
              <w:rPr>
                <w:sz w:val="21"/>
                <w:szCs w:val="21"/>
                <w:lang w:eastAsia="en-US"/>
              </w:rPr>
              <w:t>停建</w:t>
            </w:r>
          </w:p>
        </w:tc>
        <w:tc>
          <w:tcPr>
            <w:tcW w:w="373" w:type="pct"/>
            <w:shd w:val="clear" w:color="auto" w:fill="auto"/>
            <w:vAlign w:val="center"/>
          </w:tcPr>
          <w:p w14:paraId="00DE5933">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6CAD1135">
            <w:pPr>
              <w:adjustRightInd w:val="0"/>
              <w:snapToGrid w:val="0"/>
              <w:spacing w:line="240" w:lineRule="auto"/>
              <w:ind w:firstLine="0" w:firstLineChars="0"/>
              <w:jc w:val="center"/>
              <w:rPr>
                <w:sz w:val="21"/>
                <w:szCs w:val="21"/>
                <w:lang w:eastAsia="en-US"/>
              </w:rPr>
            </w:pPr>
            <w:r>
              <w:rPr>
                <w:rFonts w:eastAsia="Times New Roman"/>
                <w:sz w:val="21"/>
                <w:szCs w:val="21"/>
                <w:lang w:eastAsia="en-US"/>
              </w:rPr>
              <w:t>2016</w:t>
            </w:r>
            <w:r>
              <w:rPr>
                <w:rFonts w:eastAsia="Times New Roman"/>
                <w:spacing w:val="2"/>
                <w:sz w:val="21"/>
                <w:szCs w:val="21"/>
                <w:lang w:eastAsia="en-US"/>
              </w:rPr>
              <w:t xml:space="preserve"> </w:t>
            </w:r>
            <w:r>
              <w:rPr>
                <w:sz w:val="21"/>
                <w:szCs w:val="21"/>
                <w:lang w:eastAsia="en-US"/>
              </w:rPr>
              <w:t>年停建</w:t>
            </w:r>
          </w:p>
        </w:tc>
      </w:tr>
      <w:tr w14:paraId="0381F6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197E74FC">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6D49A99F">
            <w:pPr>
              <w:adjustRightInd w:val="0"/>
              <w:snapToGrid w:val="0"/>
              <w:spacing w:line="240" w:lineRule="auto"/>
              <w:ind w:firstLine="0" w:firstLineChars="0"/>
              <w:jc w:val="center"/>
              <w:rPr>
                <w:sz w:val="21"/>
                <w:szCs w:val="21"/>
              </w:rPr>
            </w:pPr>
            <w:r>
              <w:rPr>
                <w:sz w:val="21"/>
                <w:szCs w:val="21"/>
              </w:rPr>
              <w:t>新疆德欣精细化工有限公司</w:t>
            </w:r>
          </w:p>
        </w:tc>
        <w:tc>
          <w:tcPr>
            <w:tcW w:w="2023" w:type="pct"/>
            <w:shd w:val="clear" w:color="auto" w:fill="auto"/>
            <w:vAlign w:val="center"/>
          </w:tcPr>
          <w:p w14:paraId="672F6EF7">
            <w:pPr>
              <w:adjustRightInd w:val="0"/>
              <w:snapToGrid w:val="0"/>
              <w:spacing w:line="240" w:lineRule="auto"/>
              <w:ind w:firstLine="0" w:firstLineChars="0"/>
              <w:jc w:val="center"/>
              <w:rPr>
                <w:sz w:val="21"/>
                <w:szCs w:val="21"/>
                <w:lang w:eastAsia="en-US"/>
              </w:rPr>
            </w:pPr>
            <w:r>
              <w:rPr>
                <w:rFonts w:eastAsia="Times New Roman"/>
                <w:sz w:val="21"/>
                <w:szCs w:val="21"/>
                <w:lang w:eastAsia="en-US"/>
              </w:rPr>
              <w:t>6</w:t>
            </w:r>
            <w:r>
              <w:rPr>
                <w:rFonts w:eastAsia="Times New Roman"/>
                <w:spacing w:val="1"/>
                <w:sz w:val="21"/>
                <w:szCs w:val="21"/>
                <w:lang w:eastAsia="en-US"/>
              </w:rPr>
              <w:t xml:space="preserve"> </w:t>
            </w:r>
            <w:r>
              <w:rPr>
                <w:sz w:val="21"/>
                <w:szCs w:val="21"/>
                <w:lang w:eastAsia="en-US"/>
              </w:rPr>
              <w:t>万吨特种炭黑项目</w:t>
            </w:r>
          </w:p>
        </w:tc>
        <w:tc>
          <w:tcPr>
            <w:tcW w:w="443" w:type="pct"/>
            <w:shd w:val="clear" w:color="auto" w:fill="auto"/>
            <w:vAlign w:val="center"/>
          </w:tcPr>
          <w:p w14:paraId="1595844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5.34</w:t>
            </w:r>
          </w:p>
        </w:tc>
        <w:tc>
          <w:tcPr>
            <w:tcW w:w="399" w:type="pct"/>
            <w:shd w:val="clear" w:color="auto" w:fill="auto"/>
            <w:vAlign w:val="center"/>
          </w:tcPr>
          <w:p w14:paraId="2F1D6E19">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5723A282">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53CBF537">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10526D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54CA466F">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733423D0">
            <w:pPr>
              <w:adjustRightInd w:val="0"/>
              <w:snapToGrid w:val="0"/>
              <w:spacing w:line="240" w:lineRule="auto"/>
              <w:ind w:firstLine="0" w:firstLineChars="0"/>
              <w:jc w:val="center"/>
              <w:rPr>
                <w:sz w:val="21"/>
                <w:szCs w:val="21"/>
              </w:rPr>
            </w:pPr>
            <w:r>
              <w:rPr>
                <w:sz w:val="21"/>
                <w:szCs w:val="21"/>
              </w:rPr>
              <w:t>克拉玛依苏通精细化工有限公司</w:t>
            </w:r>
          </w:p>
        </w:tc>
        <w:tc>
          <w:tcPr>
            <w:tcW w:w="2023" w:type="pct"/>
            <w:shd w:val="clear" w:color="auto" w:fill="auto"/>
            <w:vAlign w:val="center"/>
          </w:tcPr>
          <w:p w14:paraId="19E4999E">
            <w:pPr>
              <w:adjustRightInd w:val="0"/>
              <w:snapToGrid w:val="0"/>
              <w:spacing w:line="240" w:lineRule="auto"/>
              <w:ind w:firstLine="0" w:firstLineChars="0"/>
              <w:jc w:val="center"/>
              <w:rPr>
                <w:sz w:val="21"/>
                <w:szCs w:val="21"/>
              </w:rPr>
            </w:pPr>
            <w:r>
              <w:rPr>
                <w:sz w:val="21"/>
                <w:szCs w:val="21"/>
              </w:rPr>
              <w:t>新型环保年产</w:t>
            </w:r>
            <w:r>
              <w:rPr>
                <w:spacing w:val="-46"/>
                <w:sz w:val="21"/>
                <w:szCs w:val="21"/>
              </w:rPr>
              <w:t xml:space="preserve"> </w:t>
            </w:r>
            <w:r>
              <w:rPr>
                <w:rFonts w:eastAsia="Times New Roman"/>
                <w:sz w:val="21"/>
                <w:szCs w:val="21"/>
              </w:rPr>
              <w:t>6000</w:t>
            </w:r>
            <w:r>
              <w:rPr>
                <w:sz w:val="21"/>
                <w:szCs w:val="21"/>
              </w:rPr>
              <w:t>吨纺织染料研发及生产项目</w:t>
            </w:r>
          </w:p>
        </w:tc>
        <w:tc>
          <w:tcPr>
            <w:tcW w:w="443" w:type="pct"/>
            <w:shd w:val="clear" w:color="auto" w:fill="auto"/>
            <w:vAlign w:val="center"/>
          </w:tcPr>
          <w:p w14:paraId="7C48FAB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6.67</w:t>
            </w:r>
          </w:p>
        </w:tc>
        <w:tc>
          <w:tcPr>
            <w:tcW w:w="399" w:type="pct"/>
            <w:shd w:val="clear" w:color="auto" w:fill="auto"/>
            <w:vAlign w:val="center"/>
          </w:tcPr>
          <w:p w14:paraId="0A51A2FF">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2DF37DDE">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03303C3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1E94FB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79A78C1">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055D1D79">
            <w:pPr>
              <w:adjustRightInd w:val="0"/>
              <w:snapToGrid w:val="0"/>
              <w:spacing w:line="240" w:lineRule="auto"/>
              <w:ind w:firstLine="0" w:firstLineChars="0"/>
              <w:jc w:val="center"/>
              <w:rPr>
                <w:sz w:val="21"/>
                <w:szCs w:val="21"/>
                <w:lang w:eastAsia="en-US"/>
              </w:rPr>
            </w:pPr>
            <w:r>
              <w:rPr>
                <w:sz w:val="21"/>
                <w:szCs w:val="21"/>
                <w:lang w:eastAsia="en-US"/>
              </w:rPr>
              <w:t>新疆格瑞汀新材料科技有限公司</w:t>
            </w:r>
          </w:p>
        </w:tc>
        <w:tc>
          <w:tcPr>
            <w:tcW w:w="2023" w:type="pct"/>
            <w:shd w:val="clear" w:color="auto" w:fill="auto"/>
            <w:vAlign w:val="center"/>
          </w:tcPr>
          <w:p w14:paraId="0C0C31F8">
            <w:pPr>
              <w:adjustRightInd w:val="0"/>
              <w:snapToGrid w:val="0"/>
              <w:spacing w:line="240" w:lineRule="auto"/>
              <w:ind w:firstLine="0" w:firstLineChars="0"/>
              <w:jc w:val="center"/>
              <w:rPr>
                <w:sz w:val="21"/>
                <w:szCs w:val="21"/>
              </w:rPr>
            </w:pPr>
            <w:r>
              <w:rPr>
                <w:rFonts w:eastAsia="Times New Roman"/>
                <w:sz w:val="21"/>
                <w:szCs w:val="21"/>
              </w:rPr>
              <w:t>LED</w:t>
            </w:r>
            <w:r>
              <w:rPr>
                <w:sz w:val="21"/>
                <w:szCs w:val="21"/>
              </w:rPr>
              <w:t>及工程陶瓷材料碳化硼建设项目（一期）</w:t>
            </w:r>
          </w:p>
        </w:tc>
        <w:tc>
          <w:tcPr>
            <w:tcW w:w="443" w:type="pct"/>
            <w:shd w:val="clear" w:color="auto" w:fill="auto"/>
            <w:vAlign w:val="center"/>
          </w:tcPr>
          <w:p w14:paraId="4E64A7B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10.08</w:t>
            </w:r>
          </w:p>
        </w:tc>
        <w:tc>
          <w:tcPr>
            <w:tcW w:w="399" w:type="pct"/>
            <w:shd w:val="clear" w:color="auto" w:fill="auto"/>
            <w:vAlign w:val="center"/>
          </w:tcPr>
          <w:p w14:paraId="43F5166D">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691DA8E4">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6222D632">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329DA7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51C7A89">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59FD1DD9">
            <w:pPr>
              <w:adjustRightInd w:val="0"/>
              <w:snapToGrid w:val="0"/>
              <w:spacing w:line="240" w:lineRule="auto"/>
              <w:ind w:firstLine="0" w:firstLineChars="0"/>
              <w:jc w:val="center"/>
              <w:rPr>
                <w:sz w:val="21"/>
                <w:szCs w:val="21"/>
              </w:rPr>
            </w:pPr>
            <w:r>
              <w:rPr>
                <w:sz w:val="21"/>
                <w:szCs w:val="21"/>
              </w:rPr>
              <w:t>新疆绿源新建材有限责任公司</w:t>
            </w:r>
          </w:p>
        </w:tc>
        <w:tc>
          <w:tcPr>
            <w:tcW w:w="2023" w:type="pct"/>
            <w:shd w:val="clear" w:color="auto" w:fill="auto"/>
            <w:vAlign w:val="center"/>
          </w:tcPr>
          <w:p w14:paraId="0F824D60">
            <w:pPr>
              <w:adjustRightInd w:val="0"/>
              <w:snapToGrid w:val="0"/>
              <w:spacing w:line="240" w:lineRule="auto"/>
              <w:ind w:firstLine="0" w:firstLineChars="0"/>
              <w:jc w:val="center"/>
              <w:rPr>
                <w:sz w:val="21"/>
                <w:szCs w:val="21"/>
              </w:rPr>
            </w:pPr>
            <w:r>
              <w:rPr>
                <w:rFonts w:eastAsia="Times New Roman"/>
                <w:sz w:val="21"/>
                <w:szCs w:val="21"/>
              </w:rPr>
              <w:t>40</w:t>
            </w:r>
            <w:r>
              <w:rPr>
                <w:sz w:val="21"/>
                <w:szCs w:val="21"/>
              </w:rPr>
              <w:t>万立方米加气混凝土砌块及年产</w:t>
            </w:r>
            <w:r>
              <w:rPr>
                <w:spacing w:val="-47"/>
                <w:sz w:val="21"/>
                <w:szCs w:val="21"/>
              </w:rPr>
              <w:t xml:space="preserve"> </w:t>
            </w:r>
            <w:r>
              <w:rPr>
                <w:rFonts w:eastAsia="Times New Roman"/>
                <w:sz w:val="21"/>
                <w:szCs w:val="21"/>
              </w:rPr>
              <w:t>2.43</w:t>
            </w:r>
            <w:r>
              <w:rPr>
                <w:sz w:val="21"/>
                <w:szCs w:val="21"/>
              </w:rPr>
              <w:t>万立方米外墙保温板项目</w:t>
            </w:r>
          </w:p>
        </w:tc>
        <w:tc>
          <w:tcPr>
            <w:tcW w:w="443" w:type="pct"/>
            <w:shd w:val="clear" w:color="auto" w:fill="auto"/>
            <w:vAlign w:val="center"/>
          </w:tcPr>
          <w:p w14:paraId="2A631D0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11.02</w:t>
            </w:r>
          </w:p>
        </w:tc>
        <w:tc>
          <w:tcPr>
            <w:tcW w:w="399" w:type="pct"/>
            <w:shd w:val="clear" w:color="auto" w:fill="auto"/>
            <w:vAlign w:val="center"/>
          </w:tcPr>
          <w:p w14:paraId="1D89E054">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07F325D2">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65E7172A">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5C2702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744CD5B2">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11E622F0">
            <w:pPr>
              <w:adjustRightInd w:val="0"/>
              <w:snapToGrid w:val="0"/>
              <w:spacing w:line="240" w:lineRule="auto"/>
              <w:ind w:firstLine="0" w:firstLineChars="0"/>
              <w:jc w:val="center"/>
              <w:rPr>
                <w:sz w:val="21"/>
                <w:szCs w:val="21"/>
              </w:rPr>
            </w:pPr>
            <w:r>
              <w:rPr>
                <w:sz w:val="21"/>
                <w:szCs w:val="21"/>
              </w:rPr>
              <w:t>克拉玛依玖虹水泥有限责任公司</w:t>
            </w:r>
          </w:p>
        </w:tc>
        <w:tc>
          <w:tcPr>
            <w:tcW w:w="2023" w:type="pct"/>
            <w:shd w:val="clear" w:color="auto" w:fill="auto"/>
            <w:vAlign w:val="center"/>
          </w:tcPr>
          <w:p w14:paraId="66C2E606">
            <w:pPr>
              <w:adjustRightInd w:val="0"/>
              <w:snapToGrid w:val="0"/>
              <w:spacing w:line="240" w:lineRule="auto"/>
              <w:ind w:firstLine="0" w:firstLineChars="0"/>
              <w:jc w:val="center"/>
              <w:rPr>
                <w:sz w:val="21"/>
                <w:szCs w:val="21"/>
              </w:rPr>
            </w:pPr>
            <w:r>
              <w:rPr>
                <w:rFonts w:eastAsia="Times New Roman"/>
                <w:sz w:val="21"/>
                <w:szCs w:val="21"/>
              </w:rPr>
              <w:t>200</w:t>
            </w:r>
            <w:r>
              <w:rPr>
                <w:sz w:val="21"/>
                <w:szCs w:val="21"/>
              </w:rPr>
              <w:t>万吨水泥粉磨生产线项目</w:t>
            </w:r>
          </w:p>
        </w:tc>
        <w:tc>
          <w:tcPr>
            <w:tcW w:w="443" w:type="pct"/>
            <w:shd w:val="clear" w:color="auto" w:fill="auto"/>
            <w:vAlign w:val="center"/>
          </w:tcPr>
          <w:p w14:paraId="3A3D316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26.54</w:t>
            </w:r>
          </w:p>
        </w:tc>
        <w:tc>
          <w:tcPr>
            <w:tcW w:w="399" w:type="pct"/>
            <w:shd w:val="clear" w:color="auto" w:fill="auto"/>
            <w:vAlign w:val="center"/>
          </w:tcPr>
          <w:p w14:paraId="06675AC6">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36E0E5A5">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5BCA12B2">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20E811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4D64132F">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3C5A2266">
            <w:pPr>
              <w:adjustRightInd w:val="0"/>
              <w:snapToGrid w:val="0"/>
              <w:spacing w:line="240" w:lineRule="auto"/>
              <w:ind w:firstLine="0" w:firstLineChars="0"/>
              <w:jc w:val="center"/>
              <w:rPr>
                <w:sz w:val="21"/>
                <w:szCs w:val="21"/>
              </w:rPr>
            </w:pPr>
            <w:r>
              <w:rPr>
                <w:sz w:val="21"/>
                <w:szCs w:val="21"/>
              </w:rPr>
              <w:t>克拉玛依天钜塑业科技有限公司</w:t>
            </w:r>
          </w:p>
        </w:tc>
        <w:tc>
          <w:tcPr>
            <w:tcW w:w="2023" w:type="pct"/>
            <w:shd w:val="clear" w:color="auto" w:fill="auto"/>
            <w:vAlign w:val="center"/>
          </w:tcPr>
          <w:p w14:paraId="50F6AAA1">
            <w:pPr>
              <w:adjustRightInd w:val="0"/>
              <w:snapToGrid w:val="0"/>
              <w:spacing w:line="240" w:lineRule="auto"/>
              <w:ind w:firstLine="0" w:firstLineChars="0"/>
              <w:jc w:val="center"/>
              <w:rPr>
                <w:sz w:val="21"/>
                <w:szCs w:val="21"/>
              </w:rPr>
            </w:pPr>
            <w:r>
              <w:rPr>
                <w:sz w:val="21"/>
                <w:szCs w:val="21"/>
              </w:rPr>
              <w:t>年产</w:t>
            </w:r>
            <w:r>
              <w:rPr>
                <w:spacing w:val="-47"/>
                <w:sz w:val="21"/>
                <w:szCs w:val="21"/>
              </w:rPr>
              <w:t xml:space="preserve"> </w:t>
            </w:r>
            <w:r>
              <w:rPr>
                <w:rFonts w:eastAsia="Times New Roman"/>
                <w:sz w:val="21"/>
                <w:szCs w:val="21"/>
              </w:rPr>
              <w:t>10000</w:t>
            </w:r>
            <w:r>
              <w:rPr>
                <w:rFonts w:eastAsia="Times New Roman"/>
                <w:spacing w:val="-1"/>
                <w:sz w:val="21"/>
                <w:szCs w:val="21"/>
              </w:rPr>
              <w:t xml:space="preserve"> </w:t>
            </w:r>
            <w:r>
              <w:rPr>
                <w:sz w:val="21"/>
                <w:szCs w:val="21"/>
              </w:rPr>
              <w:t>注塑、</w:t>
            </w:r>
            <w:r>
              <w:rPr>
                <w:rFonts w:eastAsia="Times New Roman"/>
                <w:sz w:val="21"/>
                <w:szCs w:val="21"/>
              </w:rPr>
              <w:t>PE</w:t>
            </w:r>
            <w:r>
              <w:rPr>
                <w:sz w:val="21"/>
                <w:szCs w:val="21"/>
              </w:rPr>
              <w:t>、</w:t>
            </w:r>
            <w:r>
              <w:rPr>
                <w:rFonts w:eastAsia="Times New Roman"/>
                <w:sz w:val="21"/>
                <w:szCs w:val="21"/>
              </w:rPr>
              <w:t>PVC</w:t>
            </w:r>
            <w:r>
              <w:rPr>
                <w:rFonts w:eastAsia="Times New Roman"/>
                <w:spacing w:val="-3"/>
                <w:sz w:val="21"/>
                <w:szCs w:val="21"/>
              </w:rPr>
              <w:t xml:space="preserve"> </w:t>
            </w:r>
            <w:r>
              <w:rPr>
                <w:sz w:val="21"/>
                <w:szCs w:val="21"/>
              </w:rPr>
              <w:t>管材塑料制品项目</w:t>
            </w:r>
          </w:p>
        </w:tc>
        <w:tc>
          <w:tcPr>
            <w:tcW w:w="443" w:type="pct"/>
            <w:shd w:val="clear" w:color="auto" w:fill="auto"/>
            <w:vAlign w:val="center"/>
          </w:tcPr>
          <w:p w14:paraId="5DF3B64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2.93</w:t>
            </w:r>
          </w:p>
        </w:tc>
        <w:tc>
          <w:tcPr>
            <w:tcW w:w="399" w:type="pct"/>
            <w:shd w:val="clear" w:color="auto" w:fill="auto"/>
            <w:vAlign w:val="center"/>
          </w:tcPr>
          <w:p w14:paraId="2281B8FE">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7A6F6541">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4F1FF35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638674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7BAF4D6A">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6DC5122A">
            <w:pPr>
              <w:adjustRightInd w:val="0"/>
              <w:snapToGrid w:val="0"/>
              <w:spacing w:line="240" w:lineRule="auto"/>
              <w:ind w:firstLine="0" w:firstLineChars="0"/>
              <w:jc w:val="center"/>
              <w:rPr>
                <w:sz w:val="21"/>
                <w:szCs w:val="21"/>
              </w:rPr>
            </w:pPr>
            <w:r>
              <w:rPr>
                <w:sz w:val="21"/>
                <w:szCs w:val="21"/>
              </w:rPr>
              <w:t>新疆胜沃能源开发有限公司</w:t>
            </w:r>
          </w:p>
        </w:tc>
        <w:tc>
          <w:tcPr>
            <w:tcW w:w="2023" w:type="pct"/>
            <w:shd w:val="clear" w:color="auto" w:fill="auto"/>
            <w:vAlign w:val="center"/>
          </w:tcPr>
          <w:p w14:paraId="06834568">
            <w:pPr>
              <w:adjustRightInd w:val="0"/>
              <w:snapToGrid w:val="0"/>
              <w:spacing w:line="240" w:lineRule="auto"/>
              <w:ind w:firstLine="0" w:firstLineChars="0"/>
              <w:jc w:val="center"/>
              <w:rPr>
                <w:sz w:val="21"/>
                <w:szCs w:val="21"/>
              </w:rPr>
            </w:pPr>
            <w:r>
              <w:rPr>
                <w:sz w:val="21"/>
                <w:szCs w:val="21"/>
              </w:rPr>
              <w:t>长焰煤分质利用化工一体化示范项目（一期）</w:t>
            </w:r>
          </w:p>
        </w:tc>
        <w:tc>
          <w:tcPr>
            <w:tcW w:w="443" w:type="pct"/>
            <w:shd w:val="clear" w:color="auto" w:fill="auto"/>
            <w:vAlign w:val="center"/>
          </w:tcPr>
          <w:p w14:paraId="79DD5A8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49.88</w:t>
            </w:r>
          </w:p>
        </w:tc>
        <w:tc>
          <w:tcPr>
            <w:tcW w:w="399" w:type="pct"/>
            <w:shd w:val="clear" w:color="auto" w:fill="auto"/>
            <w:vAlign w:val="center"/>
          </w:tcPr>
          <w:p w14:paraId="02832C05">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6D92CA81">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594F84F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3479D5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10222CFF">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607C37D1">
            <w:pPr>
              <w:adjustRightInd w:val="0"/>
              <w:snapToGrid w:val="0"/>
              <w:spacing w:line="240" w:lineRule="auto"/>
              <w:ind w:firstLine="0" w:firstLineChars="0"/>
              <w:jc w:val="center"/>
              <w:rPr>
                <w:sz w:val="21"/>
                <w:szCs w:val="21"/>
              </w:rPr>
            </w:pPr>
            <w:r>
              <w:rPr>
                <w:sz w:val="21"/>
                <w:szCs w:val="21"/>
              </w:rPr>
              <w:t>晨光生物科技集团股份有限公司</w:t>
            </w:r>
          </w:p>
        </w:tc>
        <w:tc>
          <w:tcPr>
            <w:tcW w:w="2023" w:type="pct"/>
            <w:shd w:val="clear" w:color="auto" w:fill="auto"/>
            <w:vAlign w:val="center"/>
          </w:tcPr>
          <w:p w14:paraId="13FE70DF">
            <w:pPr>
              <w:adjustRightInd w:val="0"/>
              <w:snapToGrid w:val="0"/>
              <w:spacing w:line="240" w:lineRule="auto"/>
              <w:ind w:firstLine="0" w:firstLineChars="0"/>
              <w:jc w:val="center"/>
              <w:rPr>
                <w:sz w:val="21"/>
                <w:szCs w:val="21"/>
              </w:rPr>
            </w:pPr>
            <w:r>
              <w:rPr>
                <w:sz w:val="21"/>
                <w:szCs w:val="21"/>
              </w:rPr>
              <w:t>年产</w:t>
            </w:r>
            <w:r>
              <w:rPr>
                <w:rFonts w:eastAsia="Times New Roman"/>
                <w:sz w:val="21"/>
                <w:szCs w:val="21"/>
              </w:rPr>
              <w:t>3.3</w:t>
            </w:r>
            <w:r>
              <w:rPr>
                <w:sz w:val="21"/>
                <w:szCs w:val="21"/>
              </w:rPr>
              <w:t>万吨精炼油和</w:t>
            </w:r>
            <w:r>
              <w:rPr>
                <w:rFonts w:eastAsia="Times New Roman"/>
                <w:sz w:val="21"/>
                <w:szCs w:val="21"/>
              </w:rPr>
              <w:t>7.5</w:t>
            </w:r>
            <w:r>
              <w:rPr>
                <w:sz w:val="21"/>
                <w:szCs w:val="21"/>
              </w:rPr>
              <w:t>万吨植物蛋白项目</w:t>
            </w:r>
          </w:p>
        </w:tc>
        <w:tc>
          <w:tcPr>
            <w:tcW w:w="443" w:type="pct"/>
            <w:shd w:val="clear" w:color="auto" w:fill="auto"/>
            <w:vAlign w:val="center"/>
          </w:tcPr>
          <w:p w14:paraId="703DB6D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13.25</w:t>
            </w:r>
          </w:p>
        </w:tc>
        <w:tc>
          <w:tcPr>
            <w:tcW w:w="399" w:type="pct"/>
            <w:shd w:val="clear" w:color="auto" w:fill="auto"/>
            <w:vAlign w:val="center"/>
          </w:tcPr>
          <w:p w14:paraId="20CCC8DB">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6CE21517">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2162D004">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65DCFE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77D56EC">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050221CB">
            <w:pPr>
              <w:adjustRightInd w:val="0"/>
              <w:snapToGrid w:val="0"/>
              <w:spacing w:line="240" w:lineRule="auto"/>
              <w:ind w:firstLine="0" w:firstLineChars="0"/>
              <w:jc w:val="center"/>
              <w:rPr>
                <w:sz w:val="21"/>
                <w:szCs w:val="21"/>
              </w:rPr>
            </w:pPr>
            <w:r>
              <w:rPr>
                <w:sz w:val="21"/>
                <w:szCs w:val="21"/>
              </w:rPr>
              <w:t>克拉玛依加荣化工有限公司</w:t>
            </w:r>
          </w:p>
        </w:tc>
        <w:tc>
          <w:tcPr>
            <w:tcW w:w="2023" w:type="pct"/>
            <w:shd w:val="clear" w:color="auto" w:fill="auto"/>
            <w:vAlign w:val="center"/>
          </w:tcPr>
          <w:p w14:paraId="75855C32">
            <w:pPr>
              <w:adjustRightInd w:val="0"/>
              <w:snapToGrid w:val="0"/>
              <w:spacing w:line="240" w:lineRule="auto"/>
              <w:ind w:firstLine="0" w:firstLineChars="0"/>
              <w:jc w:val="center"/>
              <w:rPr>
                <w:sz w:val="21"/>
                <w:szCs w:val="21"/>
                <w:lang w:eastAsia="en-US"/>
              </w:rPr>
            </w:pPr>
            <w:r>
              <w:rPr>
                <w:sz w:val="21"/>
                <w:szCs w:val="21"/>
                <w:lang w:eastAsia="en-US"/>
              </w:rPr>
              <w:t>年产</w:t>
            </w:r>
            <w:r>
              <w:rPr>
                <w:rFonts w:eastAsia="Times New Roman"/>
                <w:sz w:val="21"/>
                <w:szCs w:val="21"/>
                <w:lang w:eastAsia="en-US"/>
              </w:rPr>
              <w:t>10000</w:t>
            </w:r>
            <w:r>
              <w:rPr>
                <w:sz w:val="21"/>
                <w:szCs w:val="21"/>
                <w:lang w:eastAsia="en-US"/>
              </w:rPr>
              <w:t>吨硫酸锌项目</w:t>
            </w:r>
          </w:p>
        </w:tc>
        <w:tc>
          <w:tcPr>
            <w:tcW w:w="443" w:type="pct"/>
            <w:shd w:val="clear" w:color="auto" w:fill="auto"/>
            <w:vAlign w:val="center"/>
          </w:tcPr>
          <w:p w14:paraId="53393EA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4.02</w:t>
            </w:r>
          </w:p>
        </w:tc>
        <w:tc>
          <w:tcPr>
            <w:tcW w:w="399" w:type="pct"/>
            <w:shd w:val="clear" w:color="auto" w:fill="auto"/>
            <w:vAlign w:val="center"/>
          </w:tcPr>
          <w:p w14:paraId="2B1E4182">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7F293525">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E7F166B">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38019A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33B90339">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4E68413E">
            <w:pPr>
              <w:adjustRightInd w:val="0"/>
              <w:snapToGrid w:val="0"/>
              <w:spacing w:line="240" w:lineRule="auto"/>
              <w:ind w:firstLine="0" w:firstLineChars="0"/>
              <w:jc w:val="center"/>
              <w:rPr>
                <w:sz w:val="21"/>
                <w:szCs w:val="21"/>
              </w:rPr>
            </w:pPr>
            <w:r>
              <w:rPr>
                <w:sz w:val="21"/>
                <w:szCs w:val="21"/>
              </w:rPr>
              <w:t>新疆奥凡铁合金有限公司</w:t>
            </w:r>
          </w:p>
        </w:tc>
        <w:tc>
          <w:tcPr>
            <w:tcW w:w="2023" w:type="pct"/>
            <w:shd w:val="clear" w:color="auto" w:fill="auto"/>
            <w:vAlign w:val="center"/>
          </w:tcPr>
          <w:p w14:paraId="11BED7E1">
            <w:pPr>
              <w:adjustRightInd w:val="0"/>
              <w:snapToGrid w:val="0"/>
              <w:spacing w:line="240" w:lineRule="auto"/>
              <w:ind w:firstLine="0" w:firstLineChars="0"/>
              <w:jc w:val="center"/>
              <w:rPr>
                <w:sz w:val="21"/>
                <w:szCs w:val="21"/>
                <w:lang w:eastAsia="en-US"/>
              </w:rPr>
            </w:pPr>
            <w:r>
              <w:rPr>
                <w:sz w:val="21"/>
                <w:szCs w:val="21"/>
                <w:lang w:eastAsia="en-US"/>
              </w:rPr>
              <w:t>年产</w:t>
            </w:r>
            <w:r>
              <w:rPr>
                <w:rFonts w:eastAsia="Times New Roman"/>
                <w:sz w:val="21"/>
                <w:szCs w:val="21"/>
                <w:lang w:eastAsia="en-US"/>
              </w:rPr>
              <w:t>10</w:t>
            </w:r>
            <w:r>
              <w:rPr>
                <w:sz w:val="21"/>
                <w:szCs w:val="21"/>
                <w:lang w:eastAsia="en-US"/>
              </w:rPr>
              <w:t>万吨铁合金项目</w:t>
            </w:r>
          </w:p>
        </w:tc>
        <w:tc>
          <w:tcPr>
            <w:tcW w:w="443" w:type="pct"/>
            <w:shd w:val="clear" w:color="auto" w:fill="auto"/>
            <w:vAlign w:val="center"/>
          </w:tcPr>
          <w:p w14:paraId="16AB23D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12.16</w:t>
            </w:r>
          </w:p>
        </w:tc>
        <w:tc>
          <w:tcPr>
            <w:tcW w:w="399" w:type="pct"/>
            <w:shd w:val="clear" w:color="auto" w:fill="auto"/>
            <w:vAlign w:val="center"/>
          </w:tcPr>
          <w:p w14:paraId="734AA536">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35770C28">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10A92BD">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2DA70D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0DBB01A">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10C7471B">
            <w:pPr>
              <w:adjustRightInd w:val="0"/>
              <w:snapToGrid w:val="0"/>
              <w:spacing w:line="240" w:lineRule="auto"/>
              <w:ind w:firstLine="0" w:firstLineChars="0"/>
              <w:jc w:val="center"/>
              <w:rPr>
                <w:sz w:val="21"/>
                <w:szCs w:val="21"/>
              </w:rPr>
            </w:pPr>
            <w:r>
              <w:rPr>
                <w:sz w:val="21"/>
                <w:szCs w:val="21"/>
              </w:rPr>
              <w:t>奎屯广合商品混凝土有限责任公司</w:t>
            </w:r>
          </w:p>
        </w:tc>
        <w:tc>
          <w:tcPr>
            <w:tcW w:w="2023" w:type="pct"/>
            <w:shd w:val="clear" w:color="auto" w:fill="auto"/>
            <w:vAlign w:val="center"/>
          </w:tcPr>
          <w:p w14:paraId="733E17BE">
            <w:pPr>
              <w:adjustRightInd w:val="0"/>
              <w:snapToGrid w:val="0"/>
              <w:spacing w:line="240" w:lineRule="auto"/>
              <w:ind w:firstLine="0" w:firstLineChars="0"/>
              <w:jc w:val="center"/>
              <w:rPr>
                <w:sz w:val="21"/>
                <w:szCs w:val="21"/>
                <w:lang w:eastAsia="en-US"/>
              </w:rPr>
            </w:pPr>
            <w:r>
              <w:rPr>
                <w:rFonts w:eastAsia="Times New Roman"/>
                <w:sz w:val="21"/>
                <w:szCs w:val="21"/>
                <w:lang w:eastAsia="en-US"/>
              </w:rPr>
              <w:t>100</w:t>
            </w:r>
            <w:r>
              <w:rPr>
                <w:sz w:val="21"/>
                <w:szCs w:val="21"/>
                <w:lang w:eastAsia="en-US"/>
              </w:rPr>
              <w:t>万方商混项目</w:t>
            </w:r>
          </w:p>
        </w:tc>
        <w:tc>
          <w:tcPr>
            <w:tcW w:w="443" w:type="pct"/>
            <w:shd w:val="clear" w:color="auto" w:fill="auto"/>
            <w:vAlign w:val="center"/>
          </w:tcPr>
          <w:p w14:paraId="68861A0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w:t>
            </w:r>
          </w:p>
        </w:tc>
        <w:tc>
          <w:tcPr>
            <w:tcW w:w="399" w:type="pct"/>
            <w:shd w:val="clear" w:color="auto" w:fill="auto"/>
            <w:vAlign w:val="center"/>
          </w:tcPr>
          <w:p w14:paraId="01D70A39">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64843907">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EEF81F8">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420016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21E4B706">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13E20301">
            <w:pPr>
              <w:adjustRightInd w:val="0"/>
              <w:snapToGrid w:val="0"/>
              <w:spacing w:line="240" w:lineRule="auto"/>
              <w:ind w:firstLine="0" w:firstLineChars="0"/>
              <w:jc w:val="center"/>
              <w:rPr>
                <w:sz w:val="21"/>
                <w:szCs w:val="21"/>
              </w:rPr>
            </w:pPr>
            <w:r>
              <w:rPr>
                <w:sz w:val="21"/>
                <w:szCs w:val="21"/>
              </w:rPr>
              <w:t>克拉玛依市和新康石油化工有限公司</w:t>
            </w:r>
          </w:p>
        </w:tc>
        <w:tc>
          <w:tcPr>
            <w:tcW w:w="2023" w:type="pct"/>
            <w:shd w:val="clear" w:color="auto" w:fill="auto"/>
            <w:vAlign w:val="center"/>
          </w:tcPr>
          <w:p w14:paraId="5C291854">
            <w:pPr>
              <w:adjustRightInd w:val="0"/>
              <w:snapToGrid w:val="0"/>
              <w:spacing w:line="240" w:lineRule="auto"/>
              <w:ind w:firstLine="0" w:firstLineChars="0"/>
              <w:jc w:val="center"/>
              <w:rPr>
                <w:sz w:val="21"/>
                <w:szCs w:val="21"/>
              </w:rPr>
            </w:pPr>
            <w:r>
              <w:rPr>
                <w:rFonts w:eastAsia="Times New Roman"/>
                <w:sz w:val="21"/>
                <w:szCs w:val="21"/>
              </w:rPr>
              <w:t>5000</w:t>
            </w:r>
            <w:r>
              <w:rPr>
                <w:sz w:val="21"/>
                <w:szCs w:val="21"/>
              </w:rPr>
              <w:t>吨</w:t>
            </w:r>
            <w:r>
              <w:rPr>
                <w:rFonts w:eastAsia="Times New Roman"/>
                <w:sz w:val="21"/>
                <w:szCs w:val="21"/>
              </w:rPr>
              <w:t>/</w:t>
            </w:r>
            <w:r>
              <w:rPr>
                <w:sz w:val="21"/>
                <w:szCs w:val="21"/>
              </w:rPr>
              <w:t>年混合二元酸二甲酯项目</w:t>
            </w:r>
          </w:p>
        </w:tc>
        <w:tc>
          <w:tcPr>
            <w:tcW w:w="443" w:type="pct"/>
            <w:shd w:val="clear" w:color="auto" w:fill="auto"/>
            <w:vAlign w:val="center"/>
          </w:tcPr>
          <w:p w14:paraId="220B82B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2.57</w:t>
            </w:r>
          </w:p>
        </w:tc>
        <w:tc>
          <w:tcPr>
            <w:tcW w:w="399" w:type="pct"/>
            <w:shd w:val="clear" w:color="auto" w:fill="auto"/>
            <w:vAlign w:val="center"/>
          </w:tcPr>
          <w:p w14:paraId="2E168227">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26E00DDB">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2E3DD733">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64174B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33382E4B">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7A6CDE2E">
            <w:pPr>
              <w:adjustRightInd w:val="0"/>
              <w:snapToGrid w:val="0"/>
              <w:spacing w:line="240" w:lineRule="auto"/>
              <w:ind w:firstLine="0" w:firstLineChars="0"/>
              <w:jc w:val="center"/>
              <w:rPr>
                <w:sz w:val="21"/>
                <w:szCs w:val="21"/>
                <w:lang w:eastAsia="en-US"/>
              </w:rPr>
            </w:pPr>
            <w:r>
              <w:rPr>
                <w:sz w:val="21"/>
                <w:szCs w:val="21"/>
                <w:lang w:eastAsia="en-US"/>
              </w:rPr>
              <w:t>新疆佳宇恒能源科技有限公司</w:t>
            </w:r>
          </w:p>
        </w:tc>
        <w:tc>
          <w:tcPr>
            <w:tcW w:w="2023" w:type="pct"/>
            <w:shd w:val="clear" w:color="auto" w:fill="auto"/>
            <w:vAlign w:val="center"/>
          </w:tcPr>
          <w:p w14:paraId="496D4F35">
            <w:pPr>
              <w:adjustRightInd w:val="0"/>
              <w:snapToGrid w:val="0"/>
              <w:spacing w:line="240" w:lineRule="auto"/>
              <w:ind w:firstLine="0" w:firstLineChars="0"/>
              <w:jc w:val="center"/>
              <w:rPr>
                <w:sz w:val="21"/>
                <w:szCs w:val="21"/>
              </w:rPr>
            </w:pPr>
            <w:r>
              <w:rPr>
                <w:rFonts w:eastAsia="Times New Roman"/>
                <w:sz w:val="21"/>
                <w:szCs w:val="21"/>
              </w:rPr>
              <w:t>10</w:t>
            </w:r>
            <w:r>
              <w:rPr>
                <w:sz w:val="21"/>
                <w:szCs w:val="21"/>
              </w:rPr>
              <w:t>万吨</w:t>
            </w:r>
            <w:r>
              <w:rPr>
                <w:rFonts w:eastAsia="Times New Roman"/>
                <w:sz w:val="21"/>
                <w:szCs w:val="21"/>
              </w:rPr>
              <w:t>/</w:t>
            </w:r>
            <w:r>
              <w:rPr>
                <w:sz w:val="21"/>
                <w:szCs w:val="21"/>
              </w:rPr>
              <w:t>年</w:t>
            </w:r>
            <w:r>
              <w:rPr>
                <w:rFonts w:eastAsia="Times New Roman"/>
                <w:sz w:val="21"/>
                <w:szCs w:val="21"/>
              </w:rPr>
              <w:t>BS</w:t>
            </w:r>
            <w:r>
              <w:rPr>
                <w:sz w:val="21"/>
                <w:szCs w:val="21"/>
              </w:rPr>
              <w:t>光亮油项目</w:t>
            </w:r>
          </w:p>
        </w:tc>
        <w:tc>
          <w:tcPr>
            <w:tcW w:w="443" w:type="pct"/>
            <w:shd w:val="clear" w:color="auto" w:fill="auto"/>
            <w:vAlign w:val="center"/>
          </w:tcPr>
          <w:p w14:paraId="5F2BE2E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17.31</w:t>
            </w:r>
          </w:p>
        </w:tc>
        <w:tc>
          <w:tcPr>
            <w:tcW w:w="399" w:type="pct"/>
            <w:shd w:val="clear" w:color="auto" w:fill="auto"/>
            <w:vAlign w:val="center"/>
          </w:tcPr>
          <w:p w14:paraId="4D70D83B">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656B02D8">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5D5DF65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169251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405D6D71">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398DD7A9">
            <w:pPr>
              <w:adjustRightInd w:val="0"/>
              <w:snapToGrid w:val="0"/>
              <w:spacing w:line="240" w:lineRule="auto"/>
              <w:ind w:firstLine="0" w:firstLineChars="0"/>
              <w:jc w:val="center"/>
              <w:rPr>
                <w:sz w:val="21"/>
                <w:szCs w:val="21"/>
                <w:lang w:eastAsia="en-US"/>
              </w:rPr>
            </w:pPr>
            <w:r>
              <w:rPr>
                <w:sz w:val="21"/>
                <w:szCs w:val="21"/>
                <w:lang w:eastAsia="en-US"/>
              </w:rPr>
              <w:t>新疆新港金源肥料科技有限公司</w:t>
            </w:r>
          </w:p>
        </w:tc>
        <w:tc>
          <w:tcPr>
            <w:tcW w:w="2023" w:type="pct"/>
            <w:shd w:val="clear" w:color="auto" w:fill="auto"/>
            <w:vAlign w:val="center"/>
          </w:tcPr>
          <w:p w14:paraId="6CD965F3">
            <w:pPr>
              <w:adjustRightInd w:val="0"/>
              <w:snapToGrid w:val="0"/>
              <w:spacing w:line="240" w:lineRule="auto"/>
              <w:ind w:firstLine="0" w:firstLineChars="0"/>
              <w:jc w:val="center"/>
              <w:rPr>
                <w:sz w:val="21"/>
                <w:szCs w:val="21"/>
              </w:rPr>
            </w:pPr>
            <w:r>
              <w:rPr>
                <w:rFonts w:eastAsia="Times New Roman"/>
                <w:sz w:val="21"/>
                <w:szCs w:val="21"/>
              </w:rPr>
              <w:t>100</w:t>
            </w:r>
            <w:r>
              <w:rPr>
                <w:sz w:val="21"/>
                <w:szCs w:val="21"/>
              </w:rPr>
              <w:t>万吨</w:t>
            </w:r>
            <w:r>
              <w:rPr>
                <w:rFonts w:eastAsia="Times New Roman"/>
                <w:sz w:val="21"/>
                <w:szCs w:val="21"/>
              </w:rPr>
              <w:t>/</w:t>
            </w:r>
            <w:r>
              <w:rPr>
                <w:sz w:val="21"/>
                <w:szCs w:val="21"/>
              </w:rPr>
              <w:t>年全自动滴灌肥项目</w:t>
            </w:r>
          </w:p>
        </w:tc>
        <w:tc>
          <w:tcPr>
            <w:tcW w:w="443" w:type="pct"/>
            <w:shd w:val="clear" w:color="auto" w:fill="auto"/>
            <w:vAlign w:val="center"/>
          </w:tcPr>
          <w:p w14:paraId="75D3027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20.93</w:t>
            </w:r>
          </w:p>
        </w:tc>
        <w:tc>
          <w:tcPr>
            <w:tcW w:w="399" w:type="pct"/>
            <w:shd w:val="clear" w:color="auto" w:fill="auto"/>
            <w:vAlign w:val="center"/>
          </w:tcPr>
          <w:p w14:paraId="4230C363">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48D7B887">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6AC2237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4B1A48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2538DE90">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37908520">
            <w:pPr>
              <w:adjustRightInd w:val="0"/>
              <w:snapToGrid w:val="0"/>
              <w:spacing w:line="240" w:lineRule="auto"/>
              <w:ind w:firstLine="0" w:firstLineChars="0"/>
              <w:jc w:val="center"/>
              <w:rPr>
                <w:sz w:val="21"/>
                <w:szCs w:val="21"/>
              </w:rPr>
            </w:pPr>
            <w:r>
              <w:rPr>
                <w:sz w:val="21"/>
                <w:szCs w:val="21"/>
              </w:rPr>
              <w:t>克拉玛依宝鼎能源有限公司</w:t>
            </w:r>
          </w:p>
        </w:tc>
        <w:tc>
          <w:tcPr>
            <w:tcW w:w="2023" w:type="pct"/>
            <w:shd w:val="clear" w:color="auto" w:fill="auto"/>
            <w:vAlign w:val="center"/>
          </w:tcPr>
          <w:p w14:paraId="1815ECEF">
            <w:pPr>
              <w:adjustRightInd w:val="0"/>
              <w:snapToGrid w:val="0"/>
              <w:spacing w:line="240" w:lineRule="auto"/>
              <w:ind w:firstLine="0" w:firstLineChars="0"/>
              <w:jc w:val="center"/>
              <w:rPr>
                <w:sz w:val="21"/>
                <w:szCs w:val="21"/>
              </w:rPr>
            </w:pPr>
            <w:r>
              <w:rPr>
                <w:sz w:val="21"/>
                <w:szCs w:val="21"/>
              </w:rPr>
              <w:t>年产</w:t>
            </w:r>
            <w:r>
              <w:rPr>
                <w:rFonts w:eastAsia="Times New Roman"/>
                <w:sz w:val="21"/>
                <w:szCs w:val="21"/>
              </w:rPr>
              <w:t>1.5</w:t>
            </w:r>
            <w:r>
              <w:rPr>
                <w:sz w:val="21"/>
                <w:szCs w:val="21"/>
              </w:rPr>
              <w:t>万吨氧化沥青装置一套和年产</w:t>
            </w:r>
            <w:r>
              <w:rPr>
                <w:rFonts w:eastAsia="Times New Roman"/>
                <w:sz w:val="21"/>
                <w:szCs w:val="21"/>
              </w:rPr>
              <w:t>1.5</w:t>
            </w:r>
            <w:r>
              <w:rPr>
                <w:sz w:val="21"/>
                <w:szCs w:val="21"/>
              </w:rPr>
              <w:t>万吨重燃料油脱水调合装置项目</w:t>
            </w:r>
          </w:p>
        </w:tc>
        <w:tc>
          <w:tcPr>
            <w:tcW w:w="443" w:type="pct"/>
            <w:shd w:val="clear" w:color="auto" w:fill="auto"/>
            <w:vAlign w:val="center"/>
          </w:tcPr>
          <w:p w14:paraId="0E14389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2.68</w:t>
            </w:r>
          </w:p>
        </w:tc>
        <w:tc>
          <w:tcPr>
            <w:tcW w:w="399" w:type="pct"/>
            <w:shd w:val="clear" w:color="auto" w:fill="auto"/>
            <w:vAlign w:val="center"/>
          </w:tcPr>
          <w:p w14:paraId="4CB2E921">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7FC72711">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ECDBAE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50D9B7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0EA5428F">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224D705E">
            <w:pPr>
              <w:adjustRightInd w:val="0"/>
              <w:snapToGrid w:val="0"/>
              <w:spacing w:line="240" w:lineRule="auto"/>
              <w:ind w:firstLine="0" w:firstLineChars="0"/>
              <w:jc w:val="center"/>
              <w:rPr>
                <w:sz w:val="21"/>
                <w:szCs w:val="21"/>
              </w:rPr>
            </w:pPr>
            <w:r>
              <w:rPr>
                <w:sz w:val="21"/>
                <w:szCs w:val="21"/>
              </w:rPr>
              <w:t>克拉玛依路博化工有限公司</w:t>
            </w:r>
          </w:p>
        </w:tc>
        <w:tc>
          <w:tcPr>
            <w:tcW w:w="2023" w:type="pct"/>
            <w:shd w:val="clear" w:color="auto" w:fill="auto"/>
            <w:vAlign w:val="center"/>
          </w:tcPr>
          <w:p w14:paraId="52E0FAA2">
            <w:pPr>
              <w:adjustRightInd w:val="0"/>
              <w:snapToGrid w:val="0"/>
              <w:spacing w:line="240" w:lineRule="auto"/>
              <w:ind w:firstLine="0" w:firstLineChars="0"/>
              <w:jc w:val="center"/>
              <w:rPr>
                <w:sz w:val="21"/>
                <w:szCs w:val="21"/>
              </w:rPr>
            </w:pPr>
            <w:r>
              <w:rPr>
                <w:sz w:val="21"/>
                <w:szCs w:val="21"/>
              </w:rPr>
              <w:t>年产</w:t>
            </w:r>
            <w:r>
              <w:rPr>
                <w:rFonts w:eastAsia="Times New Roman"/>
                <w:sz w:val="21"/>
                <w:szCs w:val="21"/>
              </w:rPr>
              <w:t>20</w:t>
            </w:r>
            <w:r>
              <w:rPr>
                <w:sz w:val="21"/>
                <w:szCs w:val="21"/>
              </w:rPr>
              <w:t>万吨改性沥青项目</w:t>
            </w:r>
          </w:p>
        </w:tc>
        <w:tc>
          <w:tcPr>
            <w:tcW w:w="443" w:type="pct"/>
            <w:shd w:val="clear" w:color="auto" w:fill="auto"/>
            <w:vAlign w:val="center"/>
          </w:tcPr>
          <w:p w14:paraId="7084581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1.69</w:t>
            </w:r>
          </w:p>
        </w:tc>
        <w:tc>
          <w:tcPr>
            <w:tcW w:w="399" w:type="pct"/>
            <w:shd w:val="clear" w:color="auto" w:fill="auto"/>
            <w:vAlign w:val="center"/>
          </w:tcPr>
          <w:p w14:paraId="59C4EC1B">
            <w:pPr>
              <w:adjustRightInd w:val="0"/>
              <w:snapToGrid w:val="0"/>
              <w:spacing w:line="240" w:lineRule="auto"/>
              <w:ind w:firstLine="0" w:firstLineChars="0"/>
              <w:jc w:val="center"/>
              <w:rPr>
                <w:sz w:val="21"/>
                <w:szCs w:val="21"/>
                <w:lang w:eastAsia="en-US"/>
              </w:rPr>
            </w:pPr>
            <w:r>
              <w:rPr>
                <w:sz w:val="21"/>
                <w:szCs w:val="21"/>
                <w:lang w:eastAsia="en-US"/>
              </w:rPr>
              <w:t>停建</w:t>
            </w:r>
          </w:p>
        </w:tc>
        <w:tc>
          <w:tcPr>
            <w:tcW w:w="373" w:type="pct"/>
            <w:shd w:val="clear" w:color="auto" w:fill="auto"/>
            <w:vAlign w:val="center"/>
          </w:tcPr>
          <w:p w14:paraId="71E2D9A2">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02C083C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12F82D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02B08506">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4D9BC7AF">
            <w:pPr>
              <w:adjustRightInd w:val="0"/>
              <w:snapToGrid w:val="0"/>
              <w:spacing w:line="240" w:lineRule="auto"/>
              <w:ind w:firstLine="0" w:firstLineChars="0"/>
              <w:jc w:val="center"/>
              <w:rPr>
                <w:sz w:val="21"/>
                <w:szCs w:val="21"/>
              </w:rPr>
            </w:pPr>
            <w:r>
              <w:rPr>
                <w:sz w:val="21"/>
                <w:szCs w:val="21"/>
              </w:rPr>
              <w:t>克拉玛依科堡润滑油有限公司</w:t>
            </w:r>
          </w:p>
        </w:tc>
        <w:tc>
          <w:tcPr>
            <w:tcW w:w="2023" w:type="pct"/>
            <w:shd w:val="clear" w:color="auto" w:fill="auto"/>
            <w:vAlign w:val="center"/>
          </w:tcPr>
          <w:p w14:paraId="776CAA0D">
            <w:pPr>
              <w:adjustRightInd w:val="0"/>
              <w:snapToGrid w:val="0"/>
              <w:spacing w:line="240" w:lineRule="auto"/>
              <w:ind w:firstLine="0" w:firstLineChars="0"/>
              <w:jc w:val="center"/>
              <w:rPr>
                <w:sz w:val="21"/>
                <w:szCs w:val="21"/>
                <w:lang w:eastAsia="en-US"/>
              </w:rPr>
            </w:pPr>
            <w:r>
              <w:rPr>
                <w:sz w:val="21"/>
                <w:szCs w:val="21"/>
                <w:lang w:eastAsia="en-US"/>
              </w:rPr>
              <w:t>年产</w:t>
            </w:r>
            <w:r>
              <w:rPr>
                <w:rFonts w:eastAsia="Times New Roman"/>
                <w:sz w:val="21"/>
                <w:szCs w:val="21"/>
                <w:lang w:eastAsia="en-US"/>
              </w:rPr>
              <w:t>10000</w:t>
            </w:r>
            <w:r>
              <w:rPr>
                <w:sz w:val="21"/>
                <w:szCs w:val="21"/>
                <w:lang w:eastAsia="en-US"/>
              </w:rPr>
              <w:t>吨润滑油项目</w:t>
            </w:r>
          </w:p>
        </w:tc>
        <w:tc>
          <w:tcPr>
            <w:tcW w:w="443" w:type="pct"/>
            <w:shd w:val="clear" w:color="auto" w:fill="auto"/>
            <w:vAlign w:val="center"/>
          </w:tcPr>
          <w:p w14:paraId="678D934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w:t>
            </w:r>
          </w:p>
        </w:tc>
        <w:tc>
          <w:tcPr>
            <w:tcW w:w="399" w:type="pct"/>
            <w:shd w:val="clear" w:color="auto" w:fill="auto"/>
            <w:vAlign w:val="center"/>
          </w:tcPr>
          <w:p w14:paraId="5366B360">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744F132C">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3F63F16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017E80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A9326FB">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5351C5E1">
            <w:pPr>
              <w:adjustRightInd w:val="0"/>
              <w:snapToGrid w:val="0"/>
              <w:spacing w:line="240" w:lineRule="auto"/>
              <w:ind w:firstLine="0" w:firstLineChars="0"/>
              <w:jc w:val="center"/>
              <w:rPr>
                <w:sz w:val="21"/>
                <w:szCs w:val="21"/>
              </w:rPr>
            </w:pPr>
            <w:r>
              <w:rPr>
                <w:sz w:val="21"/>
                <w:szCs w:val="21"/>
              </w:rPr>
              <w:t>新疆锦贸鑫能源有限公司</w:t>
            </w:r>
          </w:p>
        </w:tc>
        <w:tc>
          <w:tcPr>
            <w:tcW w:w="2023" w:type="pct"/>
            <w:shd w:val="clear" w:color="auto" w:fill="auto"/>
            <w:vAlign w:val="center"/>
          </w:tcPr>
          <w:p w14:paraId="6897E895">
            <w:pPr>
              <w:adjustRightInd w:val="0"/>
              <w:snapToGrid w:val="0"/>
              <w:spacing w:line="240" w:lineRule="auto"/>
              <w:ind w:firstLine="0" w:firstLineChars="0"/>
              <w:jc w:val="center"/>
              <w:rPr>
                <w:sz w:val="21"/>
                <w:szCs w:val="21"/>
              </w:rPr>
            </w:pPr>
            <w:r>
              <w:rPr>
                <w:rFonts w:eastAsia="Times New Roman"/>
                <w:sz w:val="21"/>
                <w:szCs w:val="21"/>
              </w:rPr>
              <w:t>100</w:t>
            </w:r>
            <w:r>
              <w:rPr>
                <w:sz w:val="21"/>
                <w:szCs w:val="21"/>
              </w:rPr>
              <w:t>万吨</w:t>
            </w:r>
            <w:r>
              <w:rPr>
                <w:rFonts w:eastAsia="Times New Roman"/>
                <w:sz w:val="21"/>
                <w:szCs w:val="21"/>
              </w:rPr>
              <w:t>/</w:t>
            </w:r>
            <w:r>
              <w:rPr>
                <w:sz w:val="21"/>
                <w:szCs w:val="21"/>
              </w:rPr>
              <w:t>年沥青及资源化综合利用项目</w:t>
            </w:r>
          </w:p>
        </w:tc>
        <w:tc>
          <w:tcPr>
            <w:tcW w:w="443" w:type="pct"/>
            <w:shd w:val="clear" w:color="auto" w:fill="auto"/>
            <w:vAlign w:val="center"/>
          </w:tcPr>
          <w:p w14:paraId="6BE6347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48.28</w:t>
            </w:r>
          </w:p>
        </w:tc>
        <w:tc>
          <w:tcPr>
            <w:tcW w:w="399" w:type="pct"/>
            <w:shd w:val="clear" w:color="auto" w:fill="auto"/>
            <w:vAlign w:val="center"/>
          </w:tcPr>
          <w:p w14:paraId="66C74A49">
            <w:pPr>
              <w:adjustRightInd w:val="0"/>
              <w:snapToGrid w:val="0"/>
              <w:spacing w:line="240" w:lineRule="auto"/>
              <w:ind w:firstLine="0" w:firstLineChars="0"/>
              <w:jc w:val="center"/>
              <w:rPr>
                <w:sz w:val="21"/>
                <w:szCs w:val="21"/>
                <w:lang w:eastAsia="en-US"/>
              </w:rPr>
            </w:pPr>
            <w:r>
              <w:rPr>
                <w:sz w:val="21"/>
                <w:szCs w:val="21"/>
                <w:lang w:eastAsia="en-US"/>
              </w:rPr>
              <w:t>建成未投产</w:t>
            </w:r>
          </w:p>
        </w:tc>
        <w:tc>
          <w:tcPr>
            <w:tcW w:w="373" w:type="pct"/>
            <w:shd w:val="clear" w:color="auto" w:fill="auto"/>
            <w:vAlign w:val="center"/>
          </w:tcPr>
          <w:p w14:paraId="573FC752">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37D8FD14">
            <w:pPr>
              <w:adjustRightInd w:val="0"/>
              <w:snapToGrid w:val="0"/>
              <w:spacing w:line="240" w:lineRule="auto"/>
              <w:ind w:firstLine="0" w:firstLineChars="0"/>
              <w:jc w:val="center"/>
              <w:rPr>
                <w:sz w:val="21"/>
                <w:szCs w:val="21"/>
                <w:lang w:eastAsia="en-US"/>
              </w:rPr>
            </w:pPr>
            <w:r>
              <w:rPr>
                <w:rFonts w:eastAsia="Times New Roman"/>
                <w:sz w:val="21"/>
                <w:szCs w:val="21"/>
                <w:lang w:eastAsia="en-US"/>
              </w:rPr>
              <w:t>2016</w:t>
            </w:r>
            <w:r>
              <w:rPr>
                <w:sz w:val="21"/>
                <w:szCs w:val="21"/>
                <w:lang w:eastAsia="en-US"/>
              </w:rPr>
              <w:t>年建成</w:t>
            </w:r>
          </w:p>
        </w:tc>
      </w:tr>
      <w:tr w14:paraId="66211C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03B52F35">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7C6694AC">
            <w:pPr>
              <w:adjustRightInd w:val="0"/>
              <w:snapToGrid w:val="0"/>
              <w:spacing w:line="240" w:lineRule="auto"/>
              <w:ind w:firstLine="0" w:firstLineChars="0"/>
              <w:jc w:val="center"/>
              <w:rPr>
                <w:sz w:val="21"/>
                <w:szCs w:val="21"/>
                <w:lang w:eastAsia="en-US"/>
              </w:rPr>
            </w:pPr>
            <w:r>
              <w:rPr>
                <w:sz w:val="21"/>
                <w:szCs w:val="21"/>
                <w:lang w:eastAsia="en-US"/>
              </w:rPr>
              <w:t>新疆邦德生物科技有限公司</w:t>
            </w:r>
          </w:p>
        </w:tc>
        <w:tc>
          <w:tcPr>
            <w:tcW w:w="2023" w:type="pct"/>
            <w:shd w:val="clear" w:color="auto" w:fill="auto"/>
            <w:vAlign w:val="center"/>
          </w:tcPr>
          <w:p w14:paraId="18EBADC8">
            <w:pPr>
              <w:adjustRightInd w:val="0"/>
              <w:snapToGrid w:val="0"/>
              <w:spacing w:line="240" w:lineRule="auto"/>
              <w:ind w:firstLine="0" w:firstLineChars="0"/>
              <w:jc w:val="center"/>
              <w:rPr>
                <w:sz w:val="21"/>
                <w:szCs w:val="21"/>
              </w:rPr>
            </w:pPr>
            <w:r>
              <w:rPr>
                <w:sz w:val="21"/>
                <w:szCs w:val="21"/>
              </w:rPr>
              <w:t>年处理利用废有机溶液</w:t>
            </w:r>
            <w:r>
              <w:rPr>
                <w:rFonts w:eastAsia="Times New Roman"/>
                <w:sz w:val="21"/>
                <w:szCs w:val="21"/>
              </w:rPr>
              <w:t>170000</w:t>
            </w:r>
            <w:r>
              <w:rPr>
                <w:sz w:val="21"/>
                <w:szCs w:val="21"/>
              </w:rPr>
              <w:t>吨</w:t>
            </w:r>
          </w:p>
        </w:tc>
        <w:tc>
          <w:tcPr>
            <w:tcW w:w="443" w:type="pct"/>
            <w:shd w:val="clear" w:color="auto" w:fill="auto"/>
            <w:vAlign w:val="center"/>
          </w:tcPr>
          <w:p w14:paraId="75218D4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8.67</w:t>
            </w:r>
          </w:p>
        </w:tc>
        <w:tc>
          <w:tcPr>
            <w:tcW w:w="399" w:type="pct"/>
            <w:shd w:val="clear" w:color="auto" w:fill="auto"/>
            <w:vAlign w:val="center"/>
          </w:tcPr>
          <w:p w14:paraId="19D432F1">
            <w:pPr>
              <w:adjustRightInd w:val="0"/>
              <w:snapToGrid w:val="0"/>
              <w:spacing w:line="240" w:lineRule="auto"/>
              <w:ind w:firstLine="0" w:firstLineChars="0"/>
              <w:jc w:val="center"/>
              <w:rPr>
                <w:sz w:val="21"/>
                <w:szCs w:val="21"/>
                <w:lang w:eastAsia="en-US"/>
              </w:rPr>
            </w:pPr>
            <w:r>
              <w:rPr>
                <w:rFonts w:hint="eastAsia"/>
                <w:sz w:val="21"/>
                <w:szCs w:val="21"/>
              </w:rPr>
              <w:t>已投产</w:t>
            </w:r>
          </w:p>
        </w:tc>
        <w:tc>
          <w:tcPr>
            <w:tcW w:w="373" w:type="pct"/>
            <w:shd w:val="clear" w:color="auto" w:fill="auto"/>
            <w:vAlign w:val="center"/>
          </w:tcPr>
          <w:p w14:paraId="68454260">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70A0C55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4C860D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6A0CD39A">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54EF713B">
            <w:pPr>
              <w:adjustRightInd w:val="0"/>
              <w:snapToGrid w:val="0"/>
              <w:spacing w:line="240" w:lineRule="auto"/>
              <w:ind w:firstLine="0" w:firstLineChars="0"/>
              <w:jc w:val="center"/>
              <w:rPr>
                <w:sz w:val="21"/>
                <w:szCs w:val="21"/>
              </w:rPr>
            </w:pPr>
            <w:r>
              <w:rPr>
                <w:sz w:val="21"/>
                <w:szCs w:val="21"/>
              </w:rPr>
              <w:t>新疆金派危险废物综合处置中心</w:t>
            </w:r>
          </w:p>
        </w:tc>
        <w:tc>
          <w:tcPr>
            <w:tcW w:w="2023" w:type="pct"/>
            <w:shd w:val="clear" w:color="auto" w:fill="auto"/>
            <w:vAlign w:val="center"/>
          </w:tcPr>
          <w:p w14:paraId="49A82D5A">
            <w:pPr>
              <w:adjustRightInd w:val="0"/>
              <w:snapToGrid w:val="0"/>
              <w:spacing w:line="240" w:lineRule="auto"/>
              <w:ind w:firstLine="0" w:firstLineChars="0"/>
              <w:jc w:val="center"/>
              <w:rPr>
                <w:sz w:val="21"/>
                <w:szCs w:val="21"/>
                <w:lang w:eastAsia="en-US"/>
              </w:rPr>
            </w:pPr>
            <w:r>
              <w:rPr>
                <w:sz w:val="21"/>
                <w:szCs w:val="21"/>
                <w:lang w:eastAsia="en-US"/>
              </w:rPr>
              <w:t>年处理危险废物</w:t>
            </w:r>
            <w:r>
              <w:rPr>
                <w:rFonts w:eastAsia="Times New Roman"/>
                <w:sz w:val="21"/>
                <w:szCs w:val="21"/>
                <w:lang w:eastAsia="en-US"/>
              </w:rPr>
              <w:t>18</w:t>
            </w:r>
            <w:r>
              <w:rPr>
                <w:sz w:val="21"/>
                <w:szCs w:val="21"/>
                <w:lang w:eastAsia="en-US"/>
              </w:rPr>
              <w:t>万吨</w:t>
            </w:r>
          </w:p>
        </w:tc>
        <w:tc>
          <w:tcPr>
            <w:tcW w:w="443" w:type="pct"/>
            <w:shd w:val="clear" w:color="auto" w:fill="auto"/>
            <w:vAlign w:val="center"/>
          </w:tcPr>
          <w:p w14:paraId="5266DA0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25.31</w:t>
            </w:r>
          </w:p>
        </w:tc>
        <w:tc>
          <w:tcPr>
            <w:tcW w:w="399" w:type="pct"/>
            <w:shd w:val="clear" w:color="auto" w:fill="auto"/>
            <w:vAlign w:val="center"/>
          </w:tcPr>
          <w:p w14:paraId="407AF929">
            <w:pPr>
              <w:adjustRightInd w:val="0"/>
              <w:snapToGrid w:val="0"/>
              <w:spacing w:line="240" w:lineRule="auto"/>
              <w:ind w:firstLine="0" w:firstLineChars="0"/>
              <w:jc w:val="center"/>
              <w:rPr>
                <w:sz w:val="21"/>
                <w:szCs w:val="21"/>
                <w:lang w:eastAsia="en-US"/>
              </w:rPr>
            </w:pPr>
            <w:r>
              <w:rPr>
                <w:rFonts w:hint="eastAsia"/>
                <w:sz w:val="21"/>
                <w:szCs w:val="21"/>
              </w:rPr>
              <w:t>已投产</w:t>
            </w:r>
          </w:p>
        </w:tc>
        <w:tc>
          <w:tcPr>
            <w:tcW w:w="373" w:type="pct"/>
            <w:shd w:val="clear" w:color="auto" w:fill="auto"/>
            <w:vAlign w:val="center"/>
          </w:tcPr>
          <w:p w14:paraId="5A4EF57C">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1E3C1B8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1E1DBC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4B5919CC">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358CD541">
            <w:pPr>
              <w:adjustRightInd w:val="0"/>
              <w:snapToGrid w:val="0"/>
              <w:spacing w:line="240" w:lineRule="auto"/>
              <w:ind w:firstLine="0" w:firstLineChars="0"/>
              <w:jc w:val="center"/>
              <w:rPr>
                <w:sz w:val="21"/>
                <w:szCs w:val="21"/>
                <w:lang w:eastAsia="en-US"/>
              </w:rPr>
            </w:pPr>
            <w:r>
              <w:rPr>
                <w:sz w:val="21"/>
                <w:szCs w:val="21"/>
                <w:lang w:eastAsia="en-US"/>
              </w:rPr>
              <w:t>阳光一诺</w:t>
            </w:r>
          </w:p>
        </w:tc>
        <w:tc>
          <w:tcPr>
            <w:tcW w:w="2023" w:type="pct"/>
            <w:shd w:val="clear" w:color="auto" w:fill="auto"/>
            <w:vAlign w:val="center"/>
          </w:tcPr>
          <w:p w14:paraId="22C37B83">
            <w:pPr>
              <w:adjustRightInd w:val="0"/>
              <w:snapToGrid w:val="0"/>
              <w:spacing w:line="240" w:lineRule="auto"/>
              <w:ind w:firstLine="0" w:firstLineChars="0"/>
              <w:jc w:val="center"/>
              <w:rPr>
                <w:sz w:val="21"/>
                <w:szCs w:val="21"/>
              </w:rPr>
            </w:pPr>
            <w:r>
              <w:rPr>
                <w:rFonts w:eastAsia="Times New Roman"/>
                <w:sz w:val="21"/>
                <w:szCs w:val="21"/>
              </w:rPr>
              <w:t>10</w:t>
            </w:r>
            <w:r>
              <w:rPr>
                <w:sz w:val="21"/>
                <w:szCs w:val="21"/>
              </w:rPr>
              <w:t>万吨</w:t>
            </w:r>
            <w:r>
              <w:rPr>
                <w:rFonts w:eastAsia="Times New Roman"/>
                <w:sz w:val="21"/>
                <w:szCs w:val="21"/>
              </w:rPr>
              <w:t>/</w:t>
            </w:r>
            <w:r>
              <w:rPr>
                <w:sz w:val="21"/>
                <w:szCs w:val="21"/>
              </w:rPr>
              <w:t>年润滑油、润滑脂生产项目</w:t>
            </w:r>
          </w:p>
        </w:tc>
        <w:tc>
          <w:tcPr>
            <w:tcW w:w="443" w:type="pct"/>
            <w:shd w:val="clear" w:color="auto" w:fill="auto"/>
            <w:vAlign w:val="center"/>
          </w:tcPr>
          <w:p w14:paraId="65EB875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2.37</w:t>
            </w:r>
          </w:p>
        </w:tc>
        <w:tc>
          <w:tcPr>
            <w:tcW w:w="399" w:type="pct"/>
            <w:shd w:val="clear" w:color="auto" w:fill="auto"/>
            <w:vAlign w:val="center"/>
          </w:tcPr>
          <w:p w14:paraId="40B3A663">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0CFFB10A">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28BE694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2EFC2A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4690EB61">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73375969">
            <w:pPr>
              <w:adjustRightInd w:val="0"/>
              <w:snapToGrid w:val="0"/>
              <w:spacing w:line="240" w:lineRule="auto"/>
              <w:ind w:firstLine="0" w:firstLineChars="0"/>
              <w:jc w:val="center"/>
              <w:rPr>
                <w:sz w:val="21"/>
                <w:szCs w:val="21"/>
                <w:lang w:eastAsia="en-US"/>
              </w:rPr>
            </w:pPr>
            <w:r>
              <w:rPr>
                <w:sz w:val="21"/>
                <w:szCs w:val="21"/>
                <w:lang w:eastAsia="en-US"/>
              </w:rPr>
              <w:t>锦龙神雾热电</w:t>
            </w:r>
          </w:p>
        </w:tc>
        <w:tc>
          <w:tcPr>
            <w:tcW w:w="2023" w:type="pct"/>
            <w:shd w:val="clear" w:color="auto" w:fill="auto"/>
            <w:vAlign w:val="center"/>
          </w:tcPr>
          <w:p w14:paraId="66E8E10B">
            <w:pPr>
              <w:adjustRightInd w:val="0"/>
              <w:snapToGrid w:val="0"/>
              <w:spacing w:line="240" w:lineRule="auto"/>
              <w:ind w:firstLine="0" w:firstLineChars="0"/>
              <w:jc w:val="center"/>
              <w:rPr>
                <w:sz w:val="21"/>
                <w:szCs w:val="21"/>
              </w:rPr>
            </w:pPr>
            <w:r>
              <w:rPr>
                <w:sz w:val="21"/>
                <w:szCs w:val="21"/>
              </w:rPr>
              <w:t>五五工业园区</w:t>
            </w:r>
            <w:r>
              <w:rPr>
                <w:rFonts w:eastAsia="Times New Roman"/>
                <w:sz w:val="21"/>
                <w:szCs w:val="21"/>
              </w:rPr>
              <w:t>2×350MW</w:t>
            </w:r>
            <w:r>
              <w:rPr>
                <w:sz w:val="21"/>
                <w:szCs w:val="21"/>
              </w:rPr>
              <w:t>热电联产项目</w:t>
            </w:r>
          </w:p>
        </w:tc>
        <w:tc>
          <w:tcPr>
            <w:tcW w:w="443" w:type="pct"/>
            <w:shd w:val="clear" w:color="auto" w:fill="auto"/>
            <w:vAlign w:val="center"/>
          </w:tcPr>
          <w:p w14:paraId="11B22A2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51.78</w:t>
            </w:r>
          </w:p>
        </w:tc>
        <w:tc>
          <w:tcPr>
            <w:tcW w:w="399" w:type="pct"/>
            <w:shd w:val="clear" w:color="auto" w:fill="auto"/>
            <w:vAlign w:val="center"/>
          </w:tcPr>
          <w:p w14:paraId="742B5A2B">
            <w:pPr>
              <w:adjustRightInd w:val="0"/>
              <w:snapToGrid w:val="0"/>
              <w:spacing w:line="240" w:lineRule="auto"/>
              <w:ind w:firstLine="0" w:firstLineChars="0"/>
              <w:jc w:val="center"/>
              <w:rPr>
                <w:sz w:val="21"/>
                <w:szCs w:val="21"/>
                <w:lang w:eastAsia="en-US"/>
              </w:rPr>
            </w:pPr>
            <w:r>
              <w:rPr>
                <w:sz w:val="21"/>
                <w:szCs w:val="21"/>
                <w:lang w:eastAsia="en-US"/>
              </w:rPr>
              <w:t>试运行</w:t>
            </w:r>
          </w:p>
        </w:tc>
        <w:tc>
          <w:tcPr>
            <w:tcW w:w="373" w:type="pct"/>
            <w:shd w:val="clear" w:color="auto" w:fill="auto"/>
            <w:vAlign w:val="center"/>
          </w:tcPr>
          <w:p w14:paraId="76AEFDBA">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23A05C9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11C8F8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31A42EA1">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20AB5DBB">
            <w:pPr>
              <w:adjustRightInd w:val="0"/>
              <w:snapToGrid w:val="0"/>
              <w:spacing w:line="240" w:lineRule="auto"/>
              <w:ind w:firstLine="0" w:firstLineChars="0"/>
              <w:jc w:val="center"/>
              <w:rPr>
                <w:sz w:val="21"/>
                <w:szCs w:val="21"/>
                <w:lang w:eastAsia="en-US"/>
              </w:rPr>
            </w:pPr>
            <w:r>
              <w:rPr>
                <w:sz w:val="21"/>
                <w:szCs w:val="21"/>
                <w:lang w:eastAsia="en-US"/>
              </w:rPr>
              <w:t>璟泰丰</w:t>
            </w:r>
          </w:p>
        </w:tc>
        <w:tc>
          <w:tcPr>
            <w:tcW w:w="2023" w:type="pct"/>
            <w:shd w:val="clear" w:color="auto" w:fill="auto"/>
            <w:vAlign w:val="center"/>
          </w:tcPr>
          <w:p w14:paraId="5920CA4A">
            <w:pPr>
              <w:adjustRightInd w:val="0"/>
              <w:snapToGrid w:val="0"/>
              <w:spacing w:line="240" w:lineRule="auto"/>
              <w:ind w:firstLine="0" w:firstLineChars="0"/>
              <w:jc w:val="center"/>
              <w:rPr>
                <w:rFonts w:ascii="Calibri" w:hAnsi="Calibri"/>
                <w:sz w:val="21"/>
                <w:szCs w:val="21"/>
                <w:lang w:eastAsia="en-US"/>
              </w:rPr>
            </w:pPr>
            <w:r>
              <w:rPr>
                <w:sz w:val="21"/>
                <w:szCs w:val="21"/>
                <w:lang w:eastAsia="en-US"/>
              </w:rPr>
              <w:t>璟泰丰</w:t>
            </w:r>
            <w:r>
              <w:rPr>
                <w:rFonts w:hint="eastAsia"/>
                <w:sz w:val="21"/>
                <w:szCs w:val="21"/>
              </w:rPr>
              <w:t>项目</w:t>
            </w:r>
          </w:p>
        </w:tc>
        <w:tc>
          <w:tcPr>
            <w:tcW w:w="443" w:type="pct"/>
            <w:shd w:val="clear" w:color="auto" w:fill="auto"/>
            <w:vAlign w:val="center"/>
          </w:tcPr>
          <w:p w14:paraId="7747AE2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4.67</w:t>
            </w:r>
          </w:p>
        </w:tc>
        <w:tc>
          <w:tcPr>
            <w:tcW w:w="399" w:type="pct"/>
            <w:shd w:val="clear" w:color="auto" w:fill="auto"/>
            <w:vAlign w:val="center"/>
          </w:tcPr>
          <w:p w14:paraId="3AAFF4DF">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0AA57D8E">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35CBF02E">
            <w:pPr>
              <w:adjustRightInd w:val="0"/>
              <w:snapToGrid w:val="0"/>
              <w:spacing w:line="240" w:lineRule="auto"/>
              <w:ind w:firstLine="0" w:firstLineChars="0"/>
              <w:jc w:val="center"/>
              <w:rPr>
                <w:sz w:val="21"/>
                <w:szCs w:val="21"/>
                <w:lang w:eastAsia="en-US"/>
              </w:rPr>
            </w:pPr>
            <w:r>
              <w:rPr>
                <w:sz w:val="21"/>
                <w:szCs w:val="21"/>
                <w:lang w:eastAsia="en-US"/>
              </w:rPr>
              <w:t>已验收</w:t>
            </w:r>
          </w:p>
        </w:tc>
      </w:tr>
      <w:tr w14:paraId="1B1CEC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4AB6DD28">
            <w:pPr>
              <w:numPr>
                <w:ilvl w:val="0"/>
                <w:numId w:val="20"/>
              </w:numPr>
              <w:adjustRightInd w:val="0"/>
              <w:snapToGrid w:val="0"/>
              <w:spacing w:line="240" w:lineRule="auto"/>
              <w:ind w:firstLineChars="0"/>
              <w:jc w:val="center"/>
              <w:rPr>
                <w:rFonts w:eastAsia="Times New Roman"/>
                <w:sz w:val="21"/>
                <w:szCs w:val="21"/>
                <w:lang w:eastAsia="en-US"/>
              </w:rPr>
            </w:pPr>
          </w:p>
        </w:tc>
        <w:tc>
          <w:tcPr>
            <w:tcW w:w="1110" w:type="pct"/>
            <w:shd w:val="clear" w:color="auto" w:fill="auto"/>
            <w:vAlign w:val="center"/>
          </w:tcPr>
          <w:p w14:paraId="2FD411B7">
            <w:pPr>
              <w:adjustRightInd w:val="0"/>
              <w:snapToGrid w:val="0"/>
              <w:spacing w:line="240" w:lineRule="auto"/>
              <w:ind w:firstLine="0" w:firstLineChars="0"/>
              <w:jc w:val="center"/>
              <w:rPr>
                <w:sz w:val="21"/>
                <w:szCs w:val="21"/>
                <w:lang w:eastAsia="en-US"/>
              </w:rPr>
            </w:pPr>
            <w:r>
              <w:rPr>
                <w:sz w:val="21"/>
                <w:szCs w:val="21"/>
                <w:lang w:eastAsia="en-US"/>
              </w:rPr>
              <w:t>陆路顺</w:t>
            </w:r>
          </w:p>
        </w:tc>
        <w:tc>
          <w:tcPr>
            <w:tcW w:w="2023" w:type="pct"/>
            <w:shd w:val="clear" w:color="auto" w:fill="auto"/>
            <w:vAlign w:val="center"/>
          </w:tcPr>
          <w:p w14:paraId="3CB4064A">
            <w:pPr>
              <w:adjustRightInd w:val="0"/>
              <w:snapToGrid w:val="0"/>
              <w:spacing w:line="240" w:lineRule="auto"/>
              <w:ind w:firstLine="0" w:firstLineChars="0"/>
              <w:jc w:val="center"/>
              <w:rPr>
                <w:sz w:val="21"/>
                <w:szCs w:val="21"/>
                <w:lang w:eastAsia="en-US"/>
              </w:rPr>
            </w:pPr>
            <w:r>
              <w:rPr>
                <w:sz w:val="21"/>
                <w:szCs w:val="21"/>
                <w:lang w:eastAsia="en-US"/>
              </w:rPr>
              <w:t>沥青</w:t>
            </w:r>
          </w:p>
        </w:tc>
        <w:tc>
          <w:tcPr>
            <w:tcW w:w="443" w:type="pct"/>
            <w:shd w:val="clear" w:color="auto" w:fill="auto"/>
            <w:vAlign w:val="center"/>
          </w:tcPr>
          <w:p w14:paraId="271CAD9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2.69</w:t>
            </w:r>
          </w:p>
        </w:tc>
        <w:tc>
          <w:tcPr>
            <w:tcW w:w="399" w:type="pct"/>
            <w:shd w:val="clear" w:color="auto" w:fill="auto"/>
            <w:vAlign w:val="center"/>
          </w:tcPr>
          <w:p w14:paraId="019E02E7">
            <w:pPr>
              <w:adjustRightInd w:val="0"/>
              <w:snapToGrid w:val="0"/>
              <w:spacing w:line="240" w:lineRule="auto"/>
              <w:ind w:firstLine="0" w:firstLineChars="0"/>
              <w:jc w:val="center"/>
              <w:rPr>
                <w:sz w:val="21"/>
                <w:szCs w:val="21"/>
                <w:lang w:eastAsia="en-US"/>
              </w:rPr>
            </w:pPr>
            <w:r>
              <w:rPr>
                <w:sz w:val="21"/>
                <w:szCs w:val="21"/>
                <w:lang w:eastAsia="en-US"/>
              </w:rPr>
              <w:t>已投产</w:t>
            </w:r>
          </w:p>
        </w:tc>
        <w:tc>
          <w:tcPr>
            <w:tcW w:w="373" w:type="pct"/>
            <w:shd w:val="clear" w:color="auto" w:fill="auto"/>
            <w:vAlign w:val="center"/>
          </w:tcPr>
          <w:p w14:paraId="2015F5C9">
            <w:pPr>
              <w:adjustRightInd w:val="0"/>
              <w:snapToGrid w:val="0"/>
              <w:spacing w:line="240" w:lineRule="auto"/>
              <w:ind w:firstLine="0" w:firstLineChars="0"/>
              <w:jc w:val="center"/>
              <w:rPr>
                <w:sz w:val="21"/>
                <w:szCs w:val="21"/>
                <w:lang w:eastAsia="en-US"/>
              </w:rPr>
            </w:pPr>
            <w:r>
              <w:rPr>
                <w:sz w:val="21"/>
                <w:szCs w:val="21"/>
                <w:lang w:eastAsia="en-US"/>
              </w:rPr>
              <w:t>已批复</w:t>
            </w:r>
          </w:p>
        </w:tc>
        <w:tc>
          <w:tcPr>
            <w:tcW w:w="474" w:type="pct"/>
            <w:shd w:val="clear" w:color="auto" w:fill="auto"/>
            <w:vAlign w:val="center"/>
          </w:tcPr>
          <w:p w14:paraId="0DBCE12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0548B3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7DBD194A">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59AFBA93">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中科恒信</w:t>
            </w:r>
          </w:p>
        </w:tc>
        <w:tc>
          <w:tcPr>
            <w:tcW w:w="2023" w:type="pct"/>
            <w:shd w:val="clear" w:color="auto" w:fill="auto"/>
            <w:vAlign w:val="center"/>
          </w:tcPr>
          <w:p w14:paraId="255C39EC">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10000吨油田助剂与技术服务基地项目</w:t>
            </w:r>
          </w:p>
        </w:tc>
        <w:tc>
          <w:tcPr>
            <w:tcW w:w="443" w:type="pct"/>
            <w:shd w:val="clear" w:color="auto" w:fill="auto"/>
            <w:vAlign w:val="center"/>
          </w:tcPr>
          <w:p w14:paraId="034E69C1">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2.09</w:t>
            </w:r>
          </w:p>
        </w:tc>
        <w:tc>
          <w:tcPr>
            <w:tcW w:w="399" w:type="pct"/>
            <w:shd w:val="clear" w:color="auto" w:fill="auto"/>
            <w:vAlign w:val="center"/>
          </w:tcPr>
          <w:p w14:paraId="4853009F">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236B6829">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60AF8DAE">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已验收</w:t>
            </w:r>
          </w:p>
        </w:tc>
      </w:tr>
      <w:tr w14:paraId="6FB170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359E89FA">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599F67BA">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世益石化</w:t>
            </w:r>
          </w:p>
        </w:tc>
        <w:tc>
          <w:tcPr>
            <w:tcW w:w="2023" w:type="pct"/>
            <w:shd w:val="clear" w:color="auto" w:fill="auto"/>
            <w:vAlign w:val="center"/>
          </w:tcPr>
          <w:p w14:paraId="7C527920">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10万吨/年特种油品沥青调和项目</w:t>
            </w:r>
          </w:p>
        </w:tc>
        <w:tc>
          <w:tcPr>
            <w:tcW w:w="443" w:type="pct"/>
            <w:shd w:val="clear" w:color="auto" w:fill="auto"/>
            <w:vAlign w:val="center"/>
          </w:tcPr>
          <w:p w14:paraId="695C57FD">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5.92</w:t>
            </w:r>
          </w:p>
        </w:tc>
        <w:tc>
          <w:tcPr>
            <w:tcW w:w="399" w:type="pct"/>
            <w:shd w:val="clear" w:color="auto" w:fill="auto"/>
            <w:vAlign w:val="center"/>
          </w:tcPr>
          <w:p w14:paraId="15301F1D">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在建</w:t>
            </w:r>
          </w:p>
        </w:tc>
        <w:tc>
          <w:tcPr>
            <w:tcW w:w="373" w:type="pct"/>
            <w:shd w:val="clear" w:color="auto" w:fill="auto"/>
            <w:vAlign w:val="center"/>
          </w:tcPr>
          <w:p w14:paraId="0A190476">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39FC08D4">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w:t>
            </w:r>
          </w:p>
        </w:tc>
      </w:tr>
      <w:tr w14:paraId="06D832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276C7744">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0CCD412D">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曼海姆</w:t>
            </w:r>
          </w:p>
        </w:tc>
        <w:tc>
          <w:tcPr>
            <w:tcW w:w="2023" w:type="pct"/>
            <w:shd w:val="clear" w:color="auto" w:fill="auto"/>
            <w:vAlign w:val="center"/>
          </w:tcPr>
          <w:p w14:paraId="38E4706F">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硫酸钾及水溶肥料建设项目</w:t>
            </w:r>
          </w:p>
        </w:tc>
        <w:tc>
          <w:tcPr>
            <w:tcW w:w="443" w:type="pct"/>
            <w:shd w:val="clear" w:color="auto" w:fill="auto"/>
            <w:vAlign w:val="center"/>
          </w:tcPr>
          <w:p w14:paraId="6192C7D0">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2.69</w:t>
            </w:r>
          </w:p>
        </w:tc>
        <w:tc>
          <w:tcPr>
            <w:tcW w:w="399" w:type="pct"/>
            <w:shd w:val="clear" w:color="auto" w:fill="auto"/>
            <w:vAlign w:val="center"/>
          </w:tcPr>
          <w:p w14:paraId="4DD39498">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4196525D">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4375B1CC">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w:t>
            </w:r>
          </w:p>
        </w:tc>
      </w:tr>
      <w:tr w14:paraId="39D08F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51F5DFB7">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3A607420">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跃通</w:t>
            </w:r>
          </w:p>
        </w:tc>
        <w:tc>
          <w:tcPr>
            <w:tcW w:w="2023" w:type="pct"/>
            <w:shd w:val="clear" w:color="auto" w:fill="auto"/>
            <w:vAlign w:val="center"/>
          </w:tcPr>
          <w:p w14:paraId="6ED0735C">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年12万吨改性沥青建设项目</w:t>
            </w:r>
          </w:p>
        </w:tc>
        <w:tc>
          <w:tcPr>
            <w:tcW w:w="443" w:type="pct"/>
            <w:shd w:val="clear" w:color="auto" w:fill="auto"/>
            <w:vAlign w:val="center"/>
          </w:tcPr>
          <w:p w14:paraId="1C95B456">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3.16</w:t>
            </w:r>
          </w:p>
        </w:tc>
        <w:tc>
          <w:tcPr>
            <w:tcW w:w="399" w:type="pct"/>
            <w:shd w:val="clear" w:color="auto" w:fill="auto"/>
            <w:vAlign w:val="center"/>
          </w:tcPr>
          <w:p w14:paraId="3280E389">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3C6ADEB6">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0AF3BD53">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w:t>
            </w:r>
          </w:p>
        </w:tc>
      </w:tr>
      <w:tr w14:paraId="75C3A7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1A0B9DC8">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5F014564">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利础肥业</w:t>
            </w:r>
          </w:p>
        </w:tc>
        <w:tc>
          <w:tcPr>
            <w:tcW w:w="2023" w:type="pct"/>
            <w:shd w:val="clear" w:color="auto" w:fill="auto"/>
            <w:vAlign w:val="center"/>
          </w:tcPr>
          <w:p w14:paraId="3FF199DA">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年产5万吨新型多抗生物有机肥项目</w:t>
            </w:r>
          </w:p>
        </w:tc>
        <w:tc>
          <w:tcPr>
            <w:tcW w:w="443" w:type="pct"/>
            <w:shd w:val="clear" w:color="auto" w:fill="auto"/>
            <w:vAlign w:val="center"/>
          </w:tcPr>
          <w:p w14:paraId="2C0E2A27">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2.40</w:t>
            </w:r>
          </w:p>
        </w:tc>
        <w:tc>
          <w:tcPr>
            <w:tcW w:w="399" w:type="pct"/>
            <w:shd w:val="clear" w:color="auto" w:fill="auto"/>
            <w:vAlign w:val="center"/>
          </w:tcPr>
          <w:p w14:paraId="079E198D">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023090DD">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6D4679C1">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已验收</w:t>
            </w:r>
          </w:p>
        </w:tc>
      </w:tr>
      <w:tr w14:paraId="13A6BE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0250153F">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0A91247F">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详亿建材</w:t>
            </w:r>
          </w:p>
        </w:tc>
        <w:tc>
          <w:tcPr>
            <w:tcW w:w="2023" w:type="pct"/>
            <w:shd w:val="clear" w:color="auto" w:fill="auto"/>
            <w:vAlign w:val="center"/>
          </w:tcPr>
          <w:p w14:paraId="614DFFA5">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克拉玛依祥亿新型建材项目</w:t>
            </w:r>
          </w:p>
        </w:tc>
        <w:tc>
          <w:tcPr>
            <w:tcW w:w="443" w:type="pct"/>
            <w:shd w:val="clear" w:color="auto" w:fill="auto"/>
            <w:vAlign w:val="center"/>
          </w:tcPr>
          <w:p w14:paraId="2831E2DF">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3.33</w:t>
            </w:r>
          </w:p>
        </w:tc>
        <w:tc>
          <w:tcPr>
            <w:tcW w:w="399" w:type="pct"/>
            <w:shd w:val="clear" w:color="auto" w:fill="auto"/>
            <w:vAlign w:val="center"/>
          </w:tcPr>
          <w:p w14:paraId="39C52E24">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3172955B">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5A912C22">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已验收</w:t>
            </w:r>
          </w:p>
        </w:tc>
      </w:tr>
      <w:tr w14:paraId="32C970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10B5FD26">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67B6C18F">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花园贝乐</w:t>
            </w:r>
          </w:p>
        </w:tc>
        <w:tc>
          <w:tcPr>
            <w:tcW w:w="2023" w:type="pct"/>
            <w:shd w:val="clear" w:color="auto" w:fill="auto"/>
            <w:vAlign w:val="center"/>
          </w:tcPr>
          <w:p w14:paraId="515B5809">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400</w:t>
            </w:r>
            <w:r>
              <w:rPr>
                <w:rFonts w:hint="eastAsia" w:ascii="Times New Roman" w:hAnsi="Times New Roman"/>
                <w:kern w:val="2"/>
                <w:sz w:val="21"/>
                <w:szCs w:val="21"/>
                <w:lang w:eastAsia="zh-CN"/>
              </w:rPr>
              <w:t>m</w:t>
            </w:r>
            <w:r>
              <w:rPr>
                <w:rFonts w:ascii="Times New Roman" w:hAnsi="Times New Roman"/>
                <w:kern w:val="2"/>
                <w:sz w:val="21"/>
                <w:szCs w:val="21"/>
                <w:vertAlign w:val="superscript"/>
                <w:lang w:eastAsia="zh-CN"/>
              </w:rPr>
              <w:t>2</w:t>
            </w:r>
            <w:r>
              <w:rPr>
                <w:rFonts w:ascii="Times New Roman" w:hAnsi="Times New Roman"/>
                <w:kern w:val="2"/>
                <w:sz w:val="21"/>
                <w:szCs w:val="21"/>
                <w:lang w:eastAsia="zh-CN"/>
              </w:rPr>
              <w:t>铝电解电容器用阳极箔项目</w:t>
            </w:r>
          </w:p>
        </w:tc>
        <w:tc>
          <w:tcPr>
            <w:tcW w:w="443" w:type="pct"/>
            <w:shd w:val="clear" w:color="auto" w:fill="auto"/>
            <w:vAlign w:val="center"/>
          </w:tcPr>
          <w:p w14:paraId="5C2F14EE">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5.27</w:t>
            </w:r>
          </w:p>
        </w:tc>
        <w:tc>
          <w:tcPr>
            <w:tcW w:w="399" w:type="pct"/>
            <w:shd w:val="clear" w:color="auto" w:fill="auto"/>
            <w:vAlign w:val="center"/>
          </w:tcPr>
          <w:p w14:paraId="6EE6D0B3">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2416F846">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78B2F204">
            <w:pPr>
              <w:pStyle w:val="58"/>
              <w:jc w:val="center"/>
              <w:rPr>
                <w:rFonts w:ascii="Times New Roman" w:hAnsi="Times New Roman"/>
                <w:kern w:val="2"/>
                <w:sz w:val="21"/>
                <w:szCs w:val="21"/>
                <w:lang w:eastAsia="zh-CN"/>
              </w:rPr>
            </w:pPr>
            <w:r>
              <w:rPr>
                <w:rFonts w:hint="eastAsia" w:ascii="Times New Roman" w:hAnsi="Times New Roman"/>
                <w:kern w:val="2"/>
                <w:sz w:val="21"/>
                <w:szCs w:val="21"/>
                <w:lang w:eastAsia="zh-CN"/>
              </w:rPr>
              <w:t>已验收</w:t>
            </w:r>
          </w:p>
        </w:tc>
      </w:tr>
      <w:tr w14:paraId="0E2AF8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77" w:type="pct"/>
            <w:shd w:val="clear" w:color="auto" w:fill="auto"/>
            <w:vAlign w:val="center"/>
          </w:tcPr>
          <w:p w14:paraId="20DD67DD">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648DACE3">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东浩天成</w:t>
            </w:r>
          </w:p>
        </w:tc>
        <w:tc>
          <w:tcPr>
            <w:tcW w:w="2023" w:type="pct"/>
            <w:shd w:val="clear" w:color="auto" w:fill="auto"/>
            <w:vAlign w:val="center"/>
          </w:tcPr>
          <w:p w14:paraId="05D09264">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腐蚀箔生产基地项目</w:t>
            </w:r>
          </w:p>
        </w:tc>
        <w:tc>
          <w:tcPr>
            <w:tcW w:w="443" w:type="pct"/>
            <w:shd w:val="clear" w:color="auto" w:fill="auto"/>
            <w:vAlign w:val="center"/>
          </w:tcPr>
          <w:p w14:paraId="04B7C596">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5.52</w:t>
            </w:r>
          </w:p>
        </w:tc>
        <w:tc>
          <w:tcPr>
            <w:tcW w:w="399" w:type="pct"/>
            <w:shd w:val="clear" w:color="auto" w:fill="auto"/>
            <w:vAlign w:val="center"/>
          </w:tcPr>
          <w:p w14:paraId="3D370533">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已投产</w:t>
            </w:r>
          </w:p>
        </w:tc>
        <w:tc>
          <w:tcPr>
            <w:tcW w:w="373" w:type="pct"/>
            <w:shd w:val="clear" w:color="auto" w:fill="auto"/>
            <w:vAlign w:val="center"/>
          </w:tcPr>
          <w:p w14:paraId="36299A8A">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43769382">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w:t>
            </w:r>
          </w:p>
        </w:tc>
      </w:tr>
      <w:tr w14:paraId="550390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6" w:hRule="atLeast"/>
          <w:jc w:val="center"/>
        </w:trPr>
        <w:tc>
          <w:tcPr>
            <w:tcW w:w="177" w:type="pct"/>
            <w:shd w:val="clear" w:color="auto" w:fill="auto"/>
            <w:vAlign w:val="center"/>
          </w:tcPr>
          <w:p w14:paraId="37CFA8D9">
            <w:pPr>
              <w:numPr>
                <w:ilvl w:val="0"/>
                <w:numId w:val="20"/>
              </w:numPr>
              <w:adjustRightInd w:val="0"/>
              <w:snapToGrid w:val="0"/>
              <w:spacing w:line="240" w:lineRule="auto"/>
              <w:ind w:firstLineChars="0"/>
              <w:jc w:val="center"/>
              <w:rPr>
                <w:sz w:val="21"/>
                <w:szCs w:val="21"/>
              </w:rPr>
            </w:pPr>
          </w:p>
        </w:tc>
        <w:tc>
          <w:tcPr>
            <w:tcW w:w="1110" w:type="pct"/>
            <w:shd w:val="clear" w:color="auto" w:fill="auto"/>
            <w:vAlign w:val="center"/>
          </w:tcPr>
          <w:p w14:paraId="1579E345">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新疆蓝星星辰新材料</w:t>
            </w:r>
          </w:p>
        </w:tc>
        <w:tc>
          <w:tcPr>
            <w:tcW w:w="2023" w:type="pct"/>
            <w:shd w:val="clear" w:color="auto" w:fill="auto"/>
            <w:vAlign w:val="center"/>
          </w:tcPr>
          <w:p w14:paraId="67D25254">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6万t/a聚甲醛项目</w:t>
            </w:r>
          </w:p>
        </w:tc>
        <w:tc>
          <w:tcPr>
            <w:tcW w:w="443" w:type="pct"/>
            <w:shd w:val="clear" w:color="auto" w:fill="auto"/>
            <w:vAlign w:val="center"/>
          </w:tcPr>
          <w:p w14:paraId="12A6E8D9">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15.8</w:t>
            </w:r>
          </w:p>
        </w:tc>
        <w:tc>
          <w:tcPr>
            <w:tcW w:w="399" w:type="pct"/>
            <w:shd w:val="clear" w:color="auto" w:fill="auto"/>
            <w:vAlign w:val="center"/>
          </w:tcPr>
          <w:p w14:paraId="1AC8626A">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在建</w:t>
            </w:r>
          </w:p>
        </w:tc>
        <w:tc>
          <w:tcPr>
            <w:tcW w:w="373" w:type="pct"/>
            <w:shd w:val="clear" w:color="auto" w:fill="auto"/>
            <w:vAlign w:val="center"/>
          </w:tcPr>
          <w:p w14:paraId="21FC8111">
            <w:pPr>
              <w:pStyle w:val="58"/>
              <w:jc w:val="center"/>
              <w:rPr>
                <w:rFonts w:ascii="Times New Roman" w:hAnsi="Times New Roman"/>
                <w:kern w:val="2"/>
                <w:sz w:val="21"/>
                <w:szCs w:val="21"/>
                <w:lang w:eastAsia="zh-CN"/>
              </w:rPr>
            </w:pPr>
            <w:r>
              <w:rPr>
                <w:rFonts w:ascii="Times New Roman" w:hAnsi="Times New Roman"/>
                <w:kern w:val="2"/>
                <w:sz w:val="21"/>
                <w:szCs w:val="21"/>
                <w:lang w:eastAsia="zh-CN"/>
              </w:rPr>
              <w:t>已批复</w:t>
            </w:r>
          </w:p>
        </w:tc>
        <w:tc>
          <w:tcPr>
            <w:tcW w:w="474" w:type="pct"/>
            <w:shd w:val="clear" w:color="auto" w:fill="auto"/>
            <w:vAlign w:val="center"/>
          </w:tcPr>
          <w:p w14:paraId="20A995D5">
            <w:pPr>
              <w:spacing w:line="240" w:lineRule="auto"/>
              <w:ind w:firstLine="0" w:firstLineChars="0"/>
              <w:jc w:val="center"/>
              <w:rPr>
                <w:sz w:val="21"/>
                <w:szCs w:val="21"/>
              </w:rPr>
            </w:pPr>
          </w:p>
        </w:tc>
      </w:tr>
    </w:tbl>
    <w:p w14:paraId="115B3441">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42C8D272">
      <w:pPr>
        <w:pStyle w:val="47"/>
        <w:spacing w:before="65"/>
      </w:pPr>
      <w:r>
        <w:rPr>
          <w:rFonts w:hint="eastAsia"/>
        </w:rPr>
        <w:t>表4</w:t>
      </w:r>
      <w:r>
        <w:t xml:space="preserve">.2-3   </w:t>
      </w:r>
      <w:r>
        <w:rPr>
          <w:rFonts w:hint="eastAsia"/>
        </w:rPr>
        <w:t>园区入驻及拟入驻企业主要污染物排放统计一览表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autofit"/>
        <w:tblCellMar>
          <w:top w:w="0" w:type="dxa"/>
          <w:left w:w="0" w:type="dxa"/>
          <w:bottom w:w="0" w:type="dxa"/>
          <w:right w:w="0" w:type="dxa"/>
        </w:tblCellMar>
      </w:tblPr>
      <w:tblGrid>
        <w:gridCol w:w="533"/>
        <w:gridCol w:w="3587"/>
        <w:gridCol w:w="837"/>
        <w:gridCol w:w="837"/>
        <w:gridCol w:w="840"/>
        <w:gridCol w:w="837"/>
        <w:gridCol w:w="840"/>
        <w:gridCol w:w="1022"/>
        <w:gridCol w:w="1022"/>
        <w:gridCol w:w="1025"/>
        <w:gridCol w:w="1287"/>
        <w:gridCol w:w="1291"/>
      </w:tblGrid>
      <w:tr w14:paraId="0FB359FE">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vMerge w:val="restart"/>
            <w:shd w:val="clear" w:color="auto" w:fill="auto"/>
            <w:vAlign w:val="center"/>
          </w:tcPr>
          <w:p w14:paraId="7DFA2D81">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1285" w:type="pct"/>
            <w:vMerge w:val="restart"/>
            <w:shd w:val="clear" w:color="auto" w:fill="auto"/>
            <w:vAlign w:val="center"/>
          </w:tcPr>
          <w:p w14:paraId="1822182D">
            <w:pPr>
              <w:adjustRightInd w:val="0"/>
              <w:snapToGrid w:val="0"/>
              <w:spacing w:line="240" w:lineRule="auto"/>
              <w:ind w:firstLine="0" w:firstLineChars="0"/>
              <w:jc w:val="center"/>
              <w:rPr>
                <w:sz w:val="21"/>
                <w:szCs w:val="21"/>
                <w:lang w:eastAsia="en-US"/>
              </w:rPr>
            </w:pPr>
            <w:r>
              <w:rPr>
                <w:sz w:val="21"/>
                <w:szCs w:val="21"/>
                <w:lang w:eastAsia="en-US"/>
              </w:rPr>
              <w:t>企业名称</w:t>
            </w:r>
          </w:p>
        </w:tc>
        <w:tc>
          <w:tcPr>
            <w:tcW w:w="1501" w:type="pct"/>
            <w:gridSpan w:val="5"/>
            <w:shd w:val="clear" w:color="auto" w:fill="auto"/>
            <w:vAlign w:val="center"/>
          </w:tcPr>
          <w:p w14:paraId="37708064">
            <w:pPr>
              <w:adjustRightInd w:val="0"/>
              <w:snapToGrid w:val="0"/>
              <w:spacing w:line="240" w:lineRule="auto"/>
              <w:ind w:firstLine="0" w:firstLineChars="0"/>
              <w:jc w:val="center"/>
              <w:rPr>
                <w:sz w:val="21"/>
                <w:szCs w:val="21"/>
                <w:lang w:eastAsia="en-US"/>
              </w:rPr>
            </w:pPr>
            <w:r>
              <w:rPr>
                <w:sz w:val="21"/>
                <w:szCs w:val="21"/>
                <w:lang w:eastAsia="en-US"/>
              </w:rPr>
              <w:t>废气污染物</w:t>
            </w:r>
          </w:p>
        </w:tc>
        <w:tc>
          <w:tcPr>
            <w:tcW w:w="1099" w:type="pct"/>
            <w:gridSpan w:val="3"/>
            <w:shd w:val="clear" w:color="auto" w:fill="auto"/>
            <w:vAlign w:val="center"/>
          </w:tcPr>
          <w:p w14:paraId="44F70E87">
            <w:pPr>
              <w:adjustRightInd w:val="0"/>
              <w:snapToGrid w:val="0"/>
              <w:spacing w:line="240" w:lineRule="auto"/>
              <w:ind w:firstLine="0" w:firstLineChars="0"/>
              <w:jc w:val="center"/>
              <w:rPr>
                <w:sz w:val="21"/>
                <w:szCs w:val="21"/>
                <w:lang w:eastAsia="en-US"/>
              </w:rPr>
            </w:pPr>
            <w:r>
              <w:rPr>
                <w:sz w:val="21"/>
                <w:szCs w:val="21"/>
                <w:lang w:eastAsia="en-US"/>
              </w:rPr>
              <w:t>废水污染物</w:t>
            </w:r>
          </w:p>
        </w:tc>
        <w:tc>
          <w:tcPr>
            <w:tcW w:w="923" w:type="pct"/>
            <w:gridSpan w:val="2"/>
            <w:shd w:val="clear" w:color="auto" w:fill="auto"/>
            <w:vAlign w:val="center"/>
          </w:tcPr>
          <w:p w14:paraId="63AE3EF8">
            <w:pPr>
              <w:adjustRightInd w:val="0"/>
              <w:snapToGrid w:val="0"/>
              <w:spacing w:line="240" w:lineRule="auto"/>
              <w:ind w:firstLine="0" w:firstLineChars="0"/>
              <w:jc w:val="center"/>
              <w:rPr>
                <w:sz w:val="21"/>
                <w:szCs w:val="21"/>
                <w:lang w:eastAsia="en-US"/>
              </w:rPr>
            </w:pPr>
            <w:r>
              <w:rPr>
                <w:sz w:val="21"/>
                <w:szCs w:val="21"/>
                <w:lang w:eastAsia="en-US"/>
              </w:rPr>
              <w:t>固体废物</w:t>
            </w:r>
          </w:p>
        </w:tc>
      </w:tr>
      <w:tr w14:paraId="6C4190C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vMerge w:val="continue"/>
            <w:shd w:val="clear" w:color="auto" w:fill="auto"/>
            <w:vAlign w:val="center"/>
          </w:tcPr>
          <w:p w14:paraId="4C8278A3">
            <w:pPr>
              <w:adjustRightInd w:val="0"/>
              <w:snapToGrid w:val="0"/>
              <w:spacing w:line="240" w:lineRule="auto"/>
              <w:ind w:firstLine="0" w:firstLineChars="0"/>
              <w:jc w:val="center"/>
              <w:rPr>
                <w:rFonts w:ascii="Calibri" w:hAnsi="Calibri"/>
                <w:sz w:val="21"/>
                <w:szCs w:val="21"/>
                <w:lang w:eastAsia="en-US"/>
              </w:rPr>
            </w:pPr>
          </w:p>
        </w:tc>
        <w:tc>
          <w:tcPr>
            <w:tcW w:w="1285" w:type="pct"/>
            <w:vMerge w:val="continue"/>
            <w:shd w:val="clear" w:color="auto" w:fill="auto"/>
            <w:vAlign w:val="center"/>
          </w:tcPr>
          <w:p w14:paraId="045B6AA4">
            <w:pPr>
              <w:adjustRightInd w:val="0"/>
              <w:snapToGrid w:val="0"/>
              <w:spacing w:line="240" w:lineRule="auto"/>
              <w:ind w:firstLine="0" w:firstLineChars="0"/>
              <w:jc w:val="center"/>
              <w:rPr>
                <w:rFonts w:ascii="Calibri" w:hAnsi="Calibri"/>
                <w:sz w:val="21"/>
                <w:szCs w:val="21"/>
                <w:lang w:eastAsia="en-US"/>
              </w:rPr>
            </w:pPr>
          </w:p>
        </w:tc>
        <w:tc>
          <w:tcPr>
            <w:tcW w:w="300" w:type="pct"/>
            <w:shd w:val="clear" w:color="auto" w:fill="auto"/>
            <w:vAlign w:val="center"/>
          </w:tcPr>
          <w:p w14:paraId="51E45C07">
            <w:pPr>
              <w:adjustRightInd w:val="0"/>
              <w:snapToGrid w:val="0"/>
              <w:spacing w:line="240" w:lineRule="auto"/>
              <w:ind w:firstLine="0" w:firstLineChars="0"/>
              <w:jc w:val="center"/>
              <w:rPr>
                <w:rFonts w:eastAsia="Times New Roman"/>
                <w:sz w:val="21"/>
                <w:szCs w:val="21"/>
                <w:lang w:eastAsia="en-US"/>
              </w:rPr>
            </w:pPr>
            <w:r>
              <w:rPr>
                <w:rFonts w:eastAsia="Times New Roman"/>
                <w:sz w:val="21"/>
                <w:szCs w:val="21"/>
                <w:lang w:eastAsia="en-US"/>
              </w:rPr>
              <w:t>SO₂</w:t>
            </w:r>
          </w:p>
        </w:tc>
        <w:tc>
          <w:tcPr>
            <w:tcW w:w="300" w:type="pct"/>
            <w:shd w:val="clear" w:color="auto" w:fill="auto"/>
            <w:vAlign w:val="center"/>
          </w:tcPr>
          <w:p w14:paraId="236EA396">
            <w:pPr>
              <w:adjustRightInd w:val="0"/>
              <w:snapToGrid w:val="0"/>
              <w:spacing w:line="240" w:lineRule="auto"/>
              <w:ind w:firstLine="0" w:firstLineChars="0"/>
              <w:jc w:val="center"/>
              <w:rPr>
                <w:rFonts w:eastAsia="Times New Roman"/>
                <w:sz w:val="21"/>
                <w:szCs w:val="21"/>
                <w:lang w:eastAsia="en-US"/>
              </w:rPr>
            </w:pPr>
            <w:r>
              <w:rPr>
                <w:rFonts w:eastAsia="Times New Roman"/>
                <w:sz w:val="21"/>
                <w:szCs w:val="21"/>
                <w:lang w:eastAsia="en-US"/>
              </w:rPr>
              <w:t>NO₂</w:t>
            </w:r>
          </w:p>
        </w:tc>
        <w:tc>
          <w:tcPr>
            <w:tcW w:w="301" w:type="pct"/>
            <w:shd w:val="clear" w:color="auto" w:fill="auto"/>
            <w:vAlign w:val="center"/>
          </w:tcPr>
          <w:p w14:paraId="131B4A43">
            <w:pPr>
              <w:adjustRightInd w:val="0"/>
              <w:snapToGrid w:val="0"/>
              <w:spacing w:line="240" w:lineRule="auto"/>
              <w:ind w:firstLine="0" w:firstLineChars="0"/>
              <w:jc w:val="center"/>
              <w:rPr>
                <w:sz w:val="21"/>
                <w:szCs w:val="21"/>
                <w:lang w:eastAsia="en-US"/>
              </w:rPr>
            </w:pPr>
            <w:r>
              <w:rPr>
                <w:sz w:val="21"/>
                <w:szCs w:val="21"/>
                <w:lang w:eastAsia="en-US"/>
              </w:rPr>
              <w:t>烟尘</w:t>
            </w:r>
          </w:p>
        </w:tc>
        <w:tc>
          <w:tcPr>
            <w:tcW w:w="300" w:type="pct"/>
            <w:shd w:val="clear" w:color="auto" w:fill="auto"/>
            <w:vAlign w:val="center"/>
          </w:tcPr>
          <w:p w14:paraId="0BC1584B">
            <w:pPr>
              <w:adjustRightInd w:val="0"/>
              <w:snapToGrid w:val="0"/>
              <w:spacing w:line="240" w:lineRule="auto"/>
              <w:ind w:firstLine="0" w:firstLineChars="0"/>
              <w:jc w:val="center"/>
              <w:rPr>
                <w:sz w:val="21"/>
                <w:szCs w:val="21"/>
                <w:lang w:eastAsia="en-US"/>
              </w:rPr>
            </w:pPr>
            <w:r>
              <w:rPr>
                <w:sz w:val="21"/>
                <w:szCs w:val="21"/>
                <w:lang w:eastAsia="en-US"/>
              </w:rPr>
              <w:t>粉尘</w:t>
            </w:r>
          </w:p>
        </w:tc>
        <w:tc>
          <w:tcPr>
            <w:tcW w:w="301" w:type="pct"/>
            <w:shd w:val="clear" w:color="auto" w:fill="auto"/>
            <w:vAlign w:val="center"/>
          </w:tcPr>
          <w:p w14:paraId="15D05779">
            <w:pPr>
              <w:adjustRightInd w:val="0"/>
              <w:snapToGrid w:val="0"/>
              <w:spacing w:line="240" w:lineRule="auto"/>
              <w:ind w:firstLine="0" w:firstLineChars="0"/>
              <w:jc w:val="center"/>
              <w:rPr>
                <w:sz w:val="21"/>
                <w:szCs w:val="21"/>
                <w:lang w:eastAsia="en-US"/>
              </w:rPr>
            </w:pPr>
            <w:r>
              <w:rPr>
                <w:sz w:val="21"/>
                <w:szCs w:val="21"/>
                <w:lang w:eastAsia="en-US"/>
              </w:rPr>
              <w:t>非甲烷总烃</w:t>
            </w:r>
          </w:p>
        </w:tc>
        <w:tc>
          <w:tcPr>
            <w:tcW w:w="366" w:type="pct"/>
            <w:shd w:val="clear" w:color="auto" w:fill="auto"/>
            <w:vAlign w:val="center"/>
          </w:tcPr>
          <w:p w14:paraId="3D64AA03">
            <w:pPr>
              <w:adjustRightInd w:val="0"/>
              <w:snapToGrid w:val="0"/>
              <w:spacing w:line="240" w:lineRule="auto"/>
              <w:ind w:firstLine="0" w:firstLineChars="0"/>
              <w:jc w:val="center"/>
              <w:rPr>
                <w:sz w:val="21"/>
                <w:szCs w:val="21"/>
                <w:lang w:eastAsia="en-US"/>
              </w:rPr>
            </w:pPr>
            <w:r>
              <w:rPr>
                <w:sz w:val="21"/>
                <w:szCs w:val="21"/>
                <w:lang w:eastAsia="en-US"/>
              </w:rPr>
              <w:t>废水量（</w:t>
            </w:r>
            <w:r>
              <w:rPr>
                <w:rFonts w:eastAsia="等线"/>
                <w:sz w:val="21"/>
                <w:szCs w:val="21"/>
              </w:rPr>
              <w:t>m</w:t>
            </w:r>
            <w:r>
              <w:rPr>
                <w:rFonts w:eastAsia="Times New Roman"/>
                <w:sz w:val="21"/>
                <w:szCs w:val="21"/>
                <w:vertAlign w:val="superscript"/>
                <w:lang w:eastAsia="en-US"/>
              </w:rPr>
              <w:t>3</w:t>
            </w:r>
            <w:r>
              <w:rPr>
                <w:rFonts w:eastAsia="Times New Roman"/>
                <w:sz w:val="21"/>
                <w:szCs w:val="21"/>
                <w:lang w:eastAsia="en-US"/>
              </w:rPr>
              <w:t>/d</w:t>
            </w:r>
            <w:r>
              <w:rPr>
                <w:sz w:val="21"/>
                <w:szCs w:val="21"/>
                <w:lang w:eastAsia="en-US"/>
              </w:rPr>
              <w:t>）</w:t>
            </w:r>
          </w:p>
        </w:tc>
        <w:tc>
          <w:tcPr>
            <w:tcW w:w="366" w:type="pct"/>
            <w:shd w:val="clear" w:color="auto" w:fill="auto"/>
            <w:vAlign w:val="center"/>
          </w:tcPr>
          <w:p w14:paraId="5192FDB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COD</w:t>
            </w:r>
          </w:p>
        </w:tc>
        <w:tc>
          <w:tcPr>
            <w:tcW w:w="367" w:type="pct"/>
            <w:shd w:val="clear" w:color="auto" w:fill="auto"/>
            <w:vAlign w:val="center"/>
          </w:tcPr>
          <w:p w14:paraId="298FCC19">
            <w:pPr>
              <w:adjustRightInd w:val="0"/>
              <w:snapToGrid w:val="0"/>
              <w:spacing w:line="240" w:lineRule="auto"/>
              <w:ind w:firstLine="0" w:firstLineChars="0"/>
              <w:jc w:val="center"/>
              <w:rPr>
                <w:sz w:val="21"/>
                <w:szCs w:val="21"/>
                <w:lang w:eastAsia="en-US"/>
              </w:rPr>
            </w:pPr>
            <w:r>
              <w:rPr>
                <w:sz w:val="21"/>
                <w:szCs w:val="21"/>
                <w:lang w:eastAsia="en-US"/>
              </w:rPr>
              <w:t>氨氮</w:t>
            </w:r>
          </w:p>
        </w:tc>
        <w:tc>
          <w:tcPr>
            <w:tcW w:w="461" w:type="pct"/>
            <w:shd w:val="clear" w:color="auto" w:fill="auto"/>
            <w:vAlign w:val="center"/>
          </w:tcPr>
          <w:p w14:paraId="12590329">
            <w:pPr>
              <w:adjustRightInd w:val="0"/>
              <w:snapToGrid w:val="0"/>
              <w:spacing w:line="240" w:lineRule="auto"/>
              <w:ind w:firstLine="0" w:firstLineChars="0"/>
              <w:jc w:val="center"/>
              <w:rPr>
                <w:sz w:val="21"/>
                <w:szCs w:val="21"/>
                <w:lang w:eastAsia="en-US"/>
              </w:rPr>
            </w:pPr>
            <w:r>
              <w:rPr>
                <w:sz w:val="21"/>
                <w:szCs w:val="21"/>
                <w:lang w:eastAsia="en-US"/>
              </w:rPr>
              <w:t>一般工业固废</w:t>
            </w:r>
          </w:p>
        </w:tc>
        <w:tc>
          <w:tcPr>
            <w:tcW w:w="462" w:type="pct"/>
            <w:shd w:val="clear" w:color="auto" w:fill="auto"/>
            <w:vAlign w:val="center"/>
          </w:tcPr>
          <w:p w14:paraId="01A95EFE">
            <w:pPr>
              <w:adjustRightInd w:val="0"/>
              <w:snapToGrid w:val="0"/>
              <w:spacing w:line="240" w:lineRule="auto"/>
              <w:ind w:firstLine="0" w:firstLineChars="0"/>
              <w:jc w:val="center"/>
              <w:rPr>
                <w:sz w:val="21"/>
                <w:szCs w:val="21"/>
                <w:lang w:eastAsia="en-US"/>
              </w:rPr>
            </w:pPr>
            <w:r>
              <w:rPr>
                <w:sz w:val="21"/>
                <w:szCs w:val="21"/>
                <w:lang w:eastAsia="en-US"/>
              </w:rPr>
              <w:t>危险废物</w:t>
            </w:r>
          </w:p>
        </w:tc>
      </w:tr>
      <w:tr w14:paraId="1C5D28A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E4FF955">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58DB8F0C">
            <w:pPr>
              <w:adjustRightInd w:val="0"/>
              <w:snapToGrid w:val="0"/>
              <w:spacing w:line="240" w:lineRule="auto"/>
              <w:ind w:firstLine="0" w:firstLineChars="0"/>
              <w:jc w:val="center"/>
              <w:rPr>
                <w:sz w:val="21"/>
                <w:szCs w:val="21"/>
              </w:rPr>
            </w:pPr>
            <w:r>
              <w:rPr>
                <w:sz w:val="21"/>
                <w:szCs w:val="21"/>
              </w:rPr>
              <w:t>新疆澳林石化科技有限责任公司</w:t>
            </w:r>
          </w:p>
        </w:tc>
        <w:tc>
          <w:tcPr>
            <w:tcW w:w="300" w:type="pct"/>
            <w:shd w:val="clear" w:color="auto" w:fill="auto"/>
            <w:vAlign w:val="center"/>
          </w:tcPr>
          <w:p w14:paraId="237D81C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2.48</w:t>
            </w:r>
          </w:p>
        </w:tc>
        <w:tc>
          <w:tcPr>
            <w:tcW w:w="300" w:type="pct"/>
            <w:shd w:val="clear" w:color="auto" w:fill="auto"/>
            <w:vAlign w:val="center"/>
          </w:tcPr>
          <w:p w14:paraId="7406895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1.51</w:t>
            </w:r>
          </w:p>
        </w:tc>
        <w:tc>
          <w:tcPr>
            <w:tcW w:w="301" w:type="pct"/>
            <w:shd w:val="clear" w:color="auto" w:fill="auto"/>
            <w:vAlign w:val="center"/>
          </w:tcPr>
          <w:p w14:paraId="63D6CD4A">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652D77B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0.012</w:t>
            </w:r>
          </w:p>
        </w:tc>
        <w:tc>
          <w:tcPr>
            <w:tcW w:w="301" w:type="pct"/>
            <w:shd w:val="clear" w:color="auto" w:fill="auto"/>
            <w:vAlign w:val="center"/>
          </w:tcPr>
          <w:p w14:paraId="5F4DB00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0.01</w:t>
            </w:r>
          </w:p>
        </w:tc>
        <w:tc>
          <w:tcPr>
            <w:tcW w:w="366" w:type="pct"/>
            <w:shd w:val="clear" w:color="auto" w:fill="auto"/>
            <w:vAlign w:val="center"/>
          </w:tcPr>
          <w:p w14:paraId="505E31E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w:t>
            </w:r>
          </w:p>
        </w:tc>
        <w:tc>
          <w:tcPr>
            <w:tcW w:w="366" w:type="pct"/>
            <w:shd w:val="clear" w:color="auto" w:fill="auto"/>
            <w:vAlign w:val="center"/>
          </w:tcPr>
          <w:p w14:paraId="79E5127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3.47</w:t>
            </w:r>
          </w:p>
        </w:tc>
        <w:tc>
          <w:tcPr>
            <w:tcW w:w="367" w:type="pct"/>
            <w:shd w:val="clear" w:color="auto" w:fill="auto"/>
            <w:vAlign w:val="center"/>
          </w:tcPr>
          <w:p w14:paraId="536E64B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0.17</w:t>
            </w:r>
          </w:p>
        </w:tc>
        <w:tc>
          <w:tcPr>
            <w:tcW w:w="461" w:type="pct"/>
            <w:shd w:val="clear" w:color="auto" w:fill="auto"/>
            <w:vAlign w:val="center"/>
          </w:tcPr>
          <w:p w14:paraId="35C68594">
            <w:pPr>
              <w:adjustRightInd w:val="0"/>
              <w:snapToGrid w:val="0"/>
              <w:spacing w:line="240" w:lineRule="auto"/>
              <w:ind w:firstLine="0" w:firstLineChars="0"/>
              <w:jc w:val="center"/>
              <w:rPr>
                <w:sz w:val="21"/>
                <w:szCs w:val="21"/>
                <w:lang w:eastAsia="en-US"/>
              </w:rPr>
            </w:pPr>
          </w:p>
        </w:tc>
        <w:tc>
          <w:tcPr>
            <w:tcW w:w="462" w:type="pct"/>
            <w:shd w:val="clear" w:color="auto" w:fill="auto"/>
            <w:vAlign w:val="center"/>
          </w:tcPr>
          <w:p w14:paraId="36A6004D">
            <w:pPr>
              <w:adjustRightInd w:val="0"/>
              <w:snapToGrid w:val="0"/>
              <w:spacing w:line="240" w:lineRule="auto"/>
              <w:ind w:firstLine="0" w:firstLineChars="0"/>
              <w:jc w:val="center"/>
              <w:rPr>
                <w:sz w:val="21"/>
                <w:szCs w:val="21"/>
                <w:lang w:eastAsia="en-US"/>
              </w:rPr>
            </w:pPr>
          </w:p>
        </w:tc>
      </w:tr>
      <w:tr w14:paraId="10283556">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423EE657">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CF026C2">
            <w:pPr>
              <w:adjustRightInd w:val="0"/>
              <w:snapToGrid w:val="0"/>
              <w:spacing w:line="240" w:lineRule="auto"/>
              <w:ind w:firstLine="0" w:firstLineChars="0"/>
              <w:jc w:val="center"/>
              <w:rPr>
                <w:sz w:val="21"/>
                <w:szCs w:val="21"/>
              </w:rPr>
            </w:pPr>
            <w:r>
              <w:rPr>
                <w:sz w:val="21"/>
                <w:szCs w:val="21"/>
              </w:rPr>
              <w:t>克拉玛依新大路石油化工有限公司</w:t>
            </w:r>
          </w:p>
        </w:tc>
        <w:tc>
          <w:tcPr>
            <w:tcW w:w="300" w:type="pct"/>
            <w:shd w:val="clear" w:color="auto" w:fill="auto"/>
            <w:vAlign w:val="center"/>
          </w:tcPr>
          <w:p w14:paraId="2C08156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0.28</w:t>
            </w:r>
          </w:p>
        </w:tc>
        <w:tc>
          <w:tcPr>
            <w:tcW w:w="300" w:type="pct"/>
            <w:shd w:val="clear" w:color="auto" w:fill="auto"/>
            <w:vAlign w:val="center"/>
          </w:tcPr>
          <w:p w14:paraId="299BF1E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0.7</w:t>
            </w:r>
          </w:p>
        </w:tc>
        <w:tc>
          <w:tcPr>
            <w:tcW w:w="301" w:type="pct"/>
            <w:shd w:val="clear" w:color="auto" w:fill="auto"/>
            <w:vAlign w:val="center"/>
          </w:tcPr>
          <w:p w14:paraId="72BD113B">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03AD1F2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0.63</w:t>
            </w:r>
          </w:p>
        </w:tc>
        <w:tc>
          <w:tcPr>
            <w:tcW w:w="301" w:type="pct"/>
            <w:shd w:val="clear" w:color="auto" w:fill="auto"/>
            <w:vAlign w:val="center"/>
          </w:tcPr>
          <w:p w14:paraId="21AE16E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2.6</w:t>
            </w:r>
          </w:p>
        </w:tc>
        <w:tc>
          <w:tcPr>
            <w:tcW w:w="366" w:type="pct"/>
            <w:shd w:val="clear" w:color="auto" w:fill="auto"/>
            <w:vAlign w:val="center"/>
          </w:tcPr>
          <w:p w14:paraId="45B840A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3728D2F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0.61</w:t>
            </w:r>
          </w:p>
        </w:tc>
        <w:tc>
          <w:tcPr>
            <w:tcW w:w="367" w:type="pct"/>
            <w:shd w:val="clear" w:color="auto" w:fill="auto"/>
            <w:vAlign w:val="center"/>
          </w:tcPr>
          <w:p w14:paraId="34F2FDC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0.051</w:t>
            </w:r>
          </w:p>
        </w:tc>
        <w:tc>
          <w:tcPr>
            <w:tcW w:w="461" w:type="pct"/>
            <w:shd w:val="clear" w:color="auto" w:fill="auto"/>
            <w:vAlign w:val="center"/>
          </w:tcPr>
          <w:p w14:paraId="7527FB2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188.62</w:t>
            </w:r>
          </w:p>
        </w:tc>
        <w:tc>
          <w:tcPr>
            <w:tcW w:w="462" w:type="pct"/>
            <w:shd w:val="clear" w:color="auto" w:fill="auto"/>
            <w:vAlign w:val="center"/>
          </w:tcPr>
          <w:p w14:paraId="62B7A2EB">
            <w:pPr>
              <w:adjustRightInd w:val="0"/>
              <w:snapToGrid w:val="0"/>
              <w:spacing w:line="240" w:lineRule="auto"/>
              <w:ind w:firstLine="0" w:firstLineChars="0"/>
              <w:jc w:val="center"/>
              <w:rPr>
                <w:sz w:val="21"/>
                <w:szCs w:val="21"/>
                <w:lang w:eastAsia="en-US"/>
              </w:rPr>
            </w:pPr>
          </w:p>
        </w:tc>
      </w:tr>
      <w:tr w14:paraId="2E117D60">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656D796E">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5FC4D7C3">
            <w:pPr>
              <w:adjustRightInd w:val="0"/>
              <w:snapToGrid w:val="0"/>
              <w:spacing w:line="240" w:lineRule="auto"/>
              <w:ind w:firstLine="0" w:firstLineChars="0"/>
              <w:jc w:val="center"/>
              <w:rPr>
                <w:sz w:val="21"/>
                <w:szCs w:val="21"/>
              </w:rPr>
            </w:pPr>
            <w:r>
              <w:rPr>
                <w:sz w:val="21"/>
                <w:szCs w:val="21"/>
              </w:rPr>
              <w:t>克拉玛依拓源化工有限公司</w:t>
            </w:r>
          </w:p>
        </w:tc>
        <w:tc>
          <w:tcPr>
            <w:tcW w:w="300" w:type="pct"/>
            <w:shd w:val="clear" w:color="auto" w:fill="auto"/>
            <w:vAlign w:val="center"/>
          </w:tcPr>
          <w:p w14:paraId="5568EEBB">
            <w:pPr>
              <w:adjustRightInd w:val="0"/>
              <w:snapToGrid w:val="0"/>
              <w:spacing w:line="240" w:lineRule="auto"/>
              <w:ind w:firstLine="0" w:firstLineChars="0"/>
              <w:jc w:val="center"/>
              <w:rPr>
                <w:sz w:val="21"/>
                <w:szCs w:val="21"/>
              </w:rPr>
            </w:pPr>
          </w:p>
        </w:tc>
        <w:tc>
          <w:tcPr>
            <w:tcW w:w="300" w:type="pct"/>
            <w:shd w:val="clear" w:color="auto" w:fill="auto"/>
            <w:vAlign w:val="center"/>
          </w:tcPr>
          <w:p w14:paraId="203C0104">
            <w:pPr>
              <w:adjustRightInd w:val="0"/>
              <w:snapToGrid w:val="0"/>
              <w:spacing w:line="240" w:lineRule="auto"/>
              <w:ind w:firstLine="0" w:firstLineChars="0"/>
              <w:jc w:val="center"/>
              <w:rPr>
                <w:sz w:val="21"/>
                <w:szCs w:val="21"/>
              </w:rPr>
            </w:pPr>
          </w:p>
        </w:tc>
        <w:tc>
          <w:tcPr>
            <w:tcW w:w="301" w:type="pct"/>
            <w:shd w:val="clear" w:color="auto" w:fill="auto"/>
            <w:vAlign w:val="center"/>
          </w:tcPr>
          <w:p w14:paraId="63B1E6BE">
            <w:pPr>
              <w:adjustRightInd w:val="0"/>
              <w:snapToGrid w:val="0"/>
              <w:spacing w:line="240" w:lineRule="auto"/>
              <w:ind w:firstLine="0" w:firstLineChars="0"/>
              <w:jc w:val="center"/>
              <w:rPr>
                <w:sz w:val="21"/>
                <w:szCs w:val="21"/>
              </w:rPr>
            </w:pPr>
          </w:p>
        </w:tc>
        <w:tc>
          <w:tcPr>
            <w:tcW w:w="300" w:type="pct"/>
            <w:shd w:val="clear" w:color="auto" w:fill="auto"/>
            <w:vAlign w:val="center"/>
          </w:tcPr>
          <w:p w14:paraId="543E4E2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0.00072</w:t>
            </w:r>
          </w:p>
        </w:tc>
        <w:tc>
          <w:tcPr>
            <w:tcW w:w="301" w:type="pct"/>
            <w:shd w:val="clear" w:color="auto" w:fill="auto"/>
            <w:vAlign w:val="center"/>
          </w:tcPr>
          <w:p w14:paraId="53707C70">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1FB6084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56736C8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1.152</w:t>
            </w:r>
          </w:p>
        </w:tc>
        <w:tc>
          <w:tcPr>
            <w:tcW w:w="367" w:type="pct"/>
            <w:shd w:val="clear" w:color="auto" w:fill="auto"/>
            <w:vAlign w:val="center"/>
          </w:tcPr>
          <w:p w14:paraId="05001EC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0.0576</w:t>
            </w:r>
          </w:p>
        </w:tc>
        <w:tc>
          <w:tcPr>
            <w:tcW w:w="461" w:type="pct"/>
            <w:shd w:val="clear" w:color="auto" w:fill="auto"/>
            <w:vAlign w:val="center"/>
          </w:tcPr>
          <w:p w14:paraId="17D59964">
            <w:pPr>
              <w:adjustRightInd w:val="0"/>
              <w:snapToGrid w:val="0"/>
              <w:spacing w:line="240" w:lineRule="auto"/>
              <w:ind w:firstLine="0" w:firstLineChars="0"/>
              <w:jc w:val="center"/>
              <w:rPr>
                <w:sz w:val="21"/>
                <w:szCs w:val="21"/>
                <w:lang w:eastAsia="en-US"/>
              </w:rPr>
            </w:pPr>
          </w:p>
        </w:tc>
        <w:tc>
          <w:tcPr>
            <w:tcW w:w="462" w:type="pct"/>
            <w:shd w:val="clear" w:color="auto" w:fill="auto"/>
            <w:vAlign w:val="center"/>
          </w:tcPr>
          <w:p w14:paraId="7A4E621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2008.6</w:t>
            </w:r>
          </w:p>
        </w:tc>
      </w:tr>
      <w:tr w14:paraId="27F7229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94E14E7">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35233940">
            <w:pPr>
              <w:adjustRightInd w:val="0"/>
              <w:snapToGrid w:val="0"/>
              <w:spacing w:line="240" w:lineRule="auto"/>
              <w:ind w:firstLine="0" w:firstLineChars="0"/>
              <w:jc w:val="center"/>
              <w:rPr>
                <w:sz w:val="21"/>
                <w:szCs w:val="21"/>
              </w:rPr>
            </w:pPr>
            <w:r>
              <w:rPr>
                <w:sz w:val="21"/>
                <w:szCs w:val="21"/>
              </w:rPr>
              <w:t>克拉玛依建杰油品有限公司</w:t>
            </w:r>
          </w:p>
        </w:tc>
        <w:tc>
          <w:tcPr>
            <w:tcW w:w="300" w:type="pct"/>
            <w:shd w:val="clear" w:color="auto" w:fill="auto"/>
            <w:vAlign w:val="center"/>
          </w:tcPr>
          <w:p w14:paraId="179AF21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17.16</w:t>
            </w:r>
          </w:p>
        </w:tc>
        <w:tc>
          <w:tcPr>
            <w:tcW w:w="300" w:type="pct"/>
            <w:shd w:val="clear" w:color="auto" w:fill="auto"/>
            <w:vAlign w:val="center"/>
          </w:tcPr>
          <w:p w14:paraId="02424C2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9.66</w:t>
            </w:r>
          </w:p>
        </w:tc>
        <w:tc>
          <w:tcPr>
            <w:tcW w:w="301" w:type="pct"/>
            <w:shd w:val="clear" w:color="auto" w:fill="auto"/>
            <w:vAlign w:val="center"/>
          </w:tcPr>
          <w:p w14:paraId="5FA61292">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06DF98F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4.38</w:t>
            </w:r>
          </w:p>
        </w:tc>
        <w:tc>
          <w:tcPr>
            <w:tcW w:w="301" w:type="pct"/>
            <w:shd w:val="clear" w:color="auto" w:fill="auto"/>
            <w:vAlign w:val="center"/>
          </w:tcPr>
          <w:p w14:paraId="7EB4AC6C">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340EC9E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027F3CCC">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0953DE94">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2EAF760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184</w:t>
            </w:r>
          </w:p>
        </w:tc>
        <w:tc>
          <w:tcPr>
            <w:tcW w:w="462" w:type="pct"/>
            <w:shd w:val="clear" w:color="auto" w:fill="auto"/>
            <w:vAlign w:val="center"/>
          </w:tcPr>
          <w:p w14:paraId="129A21F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0.87</w:t>
            </w:r>
          </w:p>
        </w:tc>
      </w:tr>
      <w:tr w14:paraId="113F32D2">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6101D657">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59F2F6A">
            <w:pPr>
              <w:adjustRightInd w:val="0"/>
              <w:snapToGrid w:val="0"/>
              <w:spacing w:line="240" w:lineRule="auto"/>
              <w:ind w:firstLine="0" w:firstLineChars="0"/>
              <w:jc w:val="center"/>
              <w:rPr>
                <w:sz w:val="21"/>
                <w:szCs w:val="21"/>
              </w:rPr>
            </w:pPr>
            <w:r>
              <w:rPr>
                <w:sz w:val="21"/>
                <w:szCs w:val="21"/>
              </w:rPr>
              <w:t>新疆粤新能源化工有限公司</w:t>
            </w:r>
          </w:p>
        </w:tc>
        <w:tc>
          <w:tcPr>
            <w:tcW w:w="300" w:type="pct"/>
            <w:shd w:val="clear" w:color="auto" w:fill="auto"/>
            <w:vAlign w:val="center"/>
          </w:tcPr>
          <w:p w14:paraId="656B0C6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23.4</w:t>
            </w:r>
          </w:p>
        </w:tc>
        <w:tc>
          <w:tcPr>
            <w:tcW w:w="300" w:type="pct"/>
            <w:shd w:val="clear" w:color="auto" w:fill="auto"/>
            <w:vAlign w:val="center"/>
          </w:tcPr>
          <w:p w14:paraId="4A6F5BC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3.5</w:t>
            </w:r>
          </w:p>
        </w:tc>
        <w:tc>
          <w:tcPr>
            <w:tcW w:w="301" w:type="pct"/>
            <w:shd w:val="clear" w:color="auto" w:fill="auto"/>
            <w:vAlign w:val="center"/>
          </w:tcPr>
          <w:p w14:paraId="066B9B35">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45A3F3B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4.3</w:t>
            </w:r>
          </w:p>
        </w:tc>
        <w:tc>
          <w:tcPr>
            <w:tcW w:w="301" w:type="pct"/>
            <w:shd w:val="clear" w:color="auto" w:fill="auto"/>
            <w:vAlign w:val="center"/>
          </w:tcPr>
          <w:p w14:paraId="2AF6213D">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5BCD2A98">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2A497326">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18FA914A">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7F6DFE7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170600</w:t>
            </w:r>
          </w:p>
        </w:tc>
        <w:tc>
          <w:tcPr>
            <w:tcW w:w="462" w:type="pct"/>
            <w:shd w:val="clear" w:color="auto" w:fill="auto"/>
            <w:vAlign w:val="center"/>
          </w:tcPr>
          <w:p w14:paraId="35F467BD">
            <w:pPr>
              <w:adjustRightInd w:val="0"/>
              <w:snapToGrid w:val="0"/>
              <w:spacing w:line="240" w:lineRule="auto"/>
              <w:ind w:firstLine="0" w:firstLineChars="0"/>
              <w:jc w:val="center"/>
              <w:rPr>
                <w:sz w:val="21"/>
                <w:szCs w:val="21"/>
                <w:lang w:eastAsia="en-US"/>
              </w:rPr>
            </w:pPr>
          </w:p>
        </w:tc>
      </w:tr>
      <w:tr w14:paraId="7424435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612CD43D">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7DCA7F2">
            <w:pPr>
              <w:adjustRightInd w:val="0"/>
              <w:snapToGrid w:val="0"/>
              <w:spacing w:line="240" w:lineRule="auto"/>
              <w:ind w:firstLine="0" w:firstLineChars="0"/>
              <w:jc w:val="center"/>
              <w:rPr>
                <w:sz w:val="21"/>
                <w:szCs w:val="21"/>
              </w:rPr>
            </w:pPr>
            <w:r>
              <w:rPr>
                <w:sz w:val="21"/>
                <w:szCs w:val="21"/>
              </w:rPr>
              <w:t>新疆德欣精细化工有限公司</w:t>
            </w:r>
          </w:p>
        </w:tc>
        <w:tc>
          <w:tcPr>
            <w:tcW w:w="300" w:type="pct"/>
            <w:shd w:val="clear" w:color="auto" w:fill="auto"/>
            <w:vAlign w:val="center"/>
          </w:tcPr>
          <w:p w14:paraId="33642FD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18.9</w:t>
            </w:r>
          </w:p>
        </w:tc>
        <w:tc>
          <w:tcPr>
            <w:tcW w:w="300" w:type="pct"/>
            <w:shd w:val="clear" w:color="auto" w:fill="auto"/>
            <w:vAlign w:val="center"/>
          </w:tcPr>
          <w:p w14:paraId="25405F7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2.8</w:t>
            </w:r>
          </w:p>
        </w:tc>
        <w:tc>
          <w:tcPr>
            <w:tcW w:w="301" w:type="pct"/>
            <w:shd w:val="clear" w:color="auto" w:fill="auto"/>
            <w:vAlign w:val="center"/>
          </w:tcPr>
          <w:p w14:paraId="1F851FAC">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1AC2A1D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6.5</w:t>
            </w:r>
          </w:p>
        </w:tc>
        <w:tc>
          <w:tcPr>
            <w:tcW w:w="301" w:type="pct"/>
            <w:shd w:val="clear" w:color="auto" w:fill="auto"/>
            <w:vAlign w:val="center"/>
          </w:tcPr>
          <w:p w14:paraId="5272C6C6">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650C7EE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w:t>
            </w:r>
          </w:p>
        </w:tc>
        <w:tc>
          <w:tcPr>
            <w:tcW w:w="366" w:type="pct"/>
            <w:shd w:val="clear" w:color="auto" w:fill="auto"/>
            <w:vAlign w:val="center"/>
          </w:tcPr>
          <w:p w14:paraId="7383554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w:t>
            </w:r>
          </w:p>
        </w:tc>
        <w:tc>
          <w:tcPr>
            <w:tcW w:w="367" w:type="pct"/>
            <w:shd w:val="clear" w:color="auto" w:fill="auto"/>
            <w:vAlign w:val="center"/>
          </w:tcPr>
          <w:p w14:paraId="6477A72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0.01</w:t>
            </w:r>
          </w:p>
        </w:tc>
        <w:tc>
          <w:tcPr>
            <w:tcW w:w="461" w:type="pct"/>
            <w:shd w:val="clear" w:color="auto" w:fill="auto"/>
            <w:vAlign w:val="center"/>
          </w:tcPr>
          <w:p w14:paraId="503F800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w:t>
            </w:r>
          </w:p>
        </w:tc>
        <w:tc>
          <w:tcPr>
            <w:tcW w:w="462" w:type="pct"/>
            <w:shd w:val="clear" w:color="auto" w:fill="auto"/>
            <w:vAlign w:val="center"/>
          </w:tcPr>
          <w:p w14:paraId="5AF4F6D7">
            <w:pPr>
              <w:adjustRightInd w:val="0"/>
              <w:snapToGrid w:val="0"/>
              <w:spacing w:line="240" w:lineRule="auto"/>
              <w:ind w:firstLine="0" w:firstLineChars="0"/>
              <w:jc w:val="center"/>
              <w:rPr>
                <w:sz w:val="21"/>
                <w:szCs w:val="21"/>
                <w:lang w:eastAsia="en-US"/>
              </w:rPr>
            </w:pPr>
          </w:p>
        </w:tc>
      </w:tr>
      <w:tr w14:paraId="4E0BF80E">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7EC34734">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F96A8F7">
            <w:pPr>
              <w:adjustRightInd w:val="0"/>
              <w:snapToGrid w:val="0"/>
              <w:spacing w:line="240" w:lineRule="auto"/>
              <w:ind w:firstLine="0" w:firstLineChars="0"/>
              <w:jc w:val="center"/>
              <w:rPr>
                <w:sz w:val="21"/>
                <w:szCs w:val="21"/>
              </w:rPr>
            </w:pPr>
            <w:r>
              <w:rPr>
                <w:sz w:val="21"/>
                <w:szCs w:val="21"/>
              </w:rPr>
              <w:t>克拉玛依苏通精细化工有限公司</w:t>
            </w:r>
          </w:p>
        </w:tc>
        <w:tc>
          <w:tcPr>
            <w:tcW w:w="300" w:type="pct"/>
            <w:shd w:val="clear" w:color="auto" w:fill="auto"/>
            <w:vAlign w:val="center"/>
          </w:tcPr>
          <w:p w14:paraId="563C041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0.24</w:t>
            </w:r>
          </w:p>
        </w:tc>
        <w:tc>
          <w:tcPr>
            <w:tcW w:w="300" w:type="pct"/>
            <w:shd w:val="clear" w:color="auto" w:fill="auto"/>
            <w:vAlign w:val="center"/>
          </w:tcPr>
          <w:p w14:paraId="3E7DC78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2.3</w:t>
            </w:r>
          </w:p>
        </w:tc>
        <w:tc>
          <w:tcPr>
            <w:tcW w:w="301" w:type="pct"/>
            <w:shd w:val="clear" w:color="auto" w:fill="auto"/>
            <w:vAlign w:val="center"/>
          </w:tcPr>
          <w:p w14:paraId="263D9102">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5E02188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3.2</w:t>
            </w:r>
          </w:p>
        </w:tc>
        <w:tc>
          <w:tcPr>
            <w:tcW w:w="301" w:type="pct"/>
            <w:shd w:val="clear" w:color="auto" w:fill="auto"/>
            <w:vAlign w:val="center"/>
          </w:tcPr>
          <w:p w14:paraId="29E9587F">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05CCA0B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300</w:t>
            </w:r>
          </w:p>
        </w:tc>
        <w:tc>
          <w:tcPr>
            <w:tcW w:w="366" w:type="pct"/>
            <w:shd w:val="clear" w:color="auto" w:fill="auto"/>
            <w:vAlign w:val="center"/>
          </w:tcPr>
          <w:p w14:paraId="6DD0165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14.42</w:t>
            </w:r>
          </w:p>
        </w:tc>
        <w:tc>
          <w:tcPr>
            <w:tcW w:w="367" w:type="pct"/>
            <w:shd w:val="clear" w:color="auto" w:fill="auto"/>
            <w:vAlign w:val="center"/>
          </w:tcPr>
          <w:p w14:paraId="39353F3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0.04</w:t>
            </w:r>
          </w:p>
        </w:tc>
        <w:tc>
          <w:tcPr>
            <w:tcW w:w="461" w:type="pct"/>
            <w:shd w:val="clear" w:color="auto" w:fill="auto"/>
            <w:vAlign w:val="center"/>
          </w:tcPr>
          <w:p w14:paraId="5ED7FFD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30</w:t>
            </w:r>
          </w:p>
        </w:tc>
        <w:tc>
          <w:tcPr>
            <w:tcW w:w="462" w:type="pct"/>
            <w:shd w:val="clear" w:color="auto" w:fill="auto"/>
            <w:vAlign w:val="center"/>
          </w:tcPr>
          <w:p w14:paraId="448F89B4">
            <w:pPr>
              <w:adjustRightInd w:val="0"/>
              <w:snapToGrid w:val="0"/>
              <w:spacing w:line="240" w:lineRule="auto"/>
              <w:ind w:firstLine="0" w:firstLineChars="0"/>
              <w:jc w:val="center"/>
              <w:rPr>
                <w:sz w:val="21"/>
                <w:szCs w:val="21"/>
                <w:lang w:eastAsia="en-US"/>
              </w:rPr>
            </w:pPr>
          </w:p>
        </w:tc>
      </w:tr>
      <w:tr w14:paraId="1328A2F0">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76B009AE">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0958B417">
            <w:pPr>
              <w:adjustRightInd w:val="0"/>
              <w:snapToGrid w:val="0"/>
              <w:spacing w:line="240" w:lineRule="auto"/>
              <w:ind w:firstLine="0" w:firstLineChars="0"/>
              <w:jc w:val="center"/>
              <w:rPr>
                <w:sz w:val="21"/>
                <w:szCs w:val="21"/>
                <w:lang w:eastAsia="en-US"/>
              </w:rPr>
            </w:pPr>
            <w:r>
              <w:rPr>
                <w:sz w:val="21"/>
                <w:szCs w:val="21"/>
                <w:lang w:eastAsia="en-US"/>
              </w:rPr>
              <w:t>新疆格瑞汀新材料科技有限公司</w:t>
            </w:r>
          </w:p>
        </w:tc>
        <w:tc>
          <w:tcPr>
            <w:tcW w:w="300" w:type="pct"/>
            <w:shd w:val="clear" w:color="auto" w:fill="auto"/>
            <w:vAlign w:val="center"/>
          </w:tcPr>
          <w:p w14:paraId="5ED5262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12.16</w:t>
            </w:r>
          </w:p>
        </w:tc>
        <w:tc>
          <w:tcPr>
            <w:tcW w:w="300" w:type="pct"/>
            <w:shd w:val="clear" w:color="auto" w:fill="auto"/>
            <w:vAlign w:val="center"/>
          </w:tcPr>
          <w:p w14:paraId="3D3E049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4.6</w:t>
            </w:r>
          </w:p>
        </w:tc>
        <w:tc>
          <w:tcPr>
            <w:tcW w:w="301" w:type="pct"/>
            <w:shd w:val="clear" w:color="auto" w:fill="auto"/>
            <w:vAlign w:val="center"/>
          </w:tcPr>
          <w:p w14:paraId="2405548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2.54</w:t>
            </w:r>
          </w:p>
        </w:tc>
        <w:tc>
          <w:tcPr>
            <w:tcW w:w="300" w:type="pct"/>
            <w:shd w:val="clear" w:color="auto" w:fill="auto"/>
            <w:vAlign w:val="center"/>
          </w:tcPr>
          <w:p w14:paraId="67CCC6C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9.9</w:t>
            </w:r>
          </w:p>
        </w:tc>
        <w:tc>
          <w:tcPr>
            <w:tcW w:w="301" w:type="pct"/>
            <w:shd w:val="clear" w:color="auto" w:fill="auto"/>
            <w:vAlign w:val="center"/>
          </w:tcPr>
          <w:p w14:paraId="3852A140">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4D757AE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w:t>
            </w:r>
          </w:p>
        </w:tc>
        <w:tc>
          <w:tcPr>
            <w:tcW w:w="366" w:type="pct"/>
            <w:shd w:val="clear" w:color="auto" w:fill="auto"/>
            <w:vAlign w:val="center"/>
          </w:tcPr>
          <w:p w14:paraId="5AE12697">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5B894960">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62EF959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w:t>
            </w:r>
          </w:p>
        </w:tc>
        <w:tc>
          <w:tcPr>
            <w:tcW w:w="462" w:type="pct"/>
            <w:shd w:val="clear" w:color="auto" w:fill="auto"/>
            <w:vAlign w:val="center"/>
          </w:tcPr>
          <w:p w14:paraId="7AB34FEC">
            <w:pPr>
              <w:adjustRightInd w:val="0"/>
              <w:snapToGrid w:val="0"/>
              <w:spacing w:line="240" w:lineRule="auto"/>
              <w:ind w:firstLine="0" w:firstLineChars="0"/>
              <w:jc w:val="center"/>
              <w:rPr>
                <w:sz w:val="21"/>
                <w:szCs w:val="21"/>
                <w:lang w:eastAsia="en-US"/>
              </w:rPr>
            </w:pPr>
          </w:p>
        </w:tc>
      </w:tr>
      <w:tr w14:paraId="690998EE">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0D71BB92">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77952F2A">
            <w:pPr>
              <w:adjustRightInd w:val="0"/>
              <w:snapToGrid w:val="0"/>
              <w:spacing w:line="240" w:lineRule="auto"/>
              <w:ind w:firstLine="0" w:firstLineChars="0"/>
              <w:jc w:val="center"/>
              <w:rPr>
                <w:sz w:val="21"/>
                <w:szCs w:val="21"/>
              </w:rPr>
            </w:pPr>
            <w:r>
              <w:rPr>
                <w:sz w:val="21"/>
                <w:szCs w:val="21"/>
              </w:rPr>
              <w:t>新疆绿源新建材有限责任公司</w:t>
            </w:r>
          </w:p>
        </w:tc>
        <w:tc>
          <w:tcPr>
            <w:tcW w:w="300" w:type="pct"/>
            <w:shd w:val="clear" w:color="auto" w:fill="auto"/>
            <w:vAlign w:val="center"/>
          </w:tcPr>
          <w:p w14:paraId="48DD7D12">
            <w:pPr>
              <w:adjustRightInd w:val="0"/>
              <w:snapToGrid w:val="0"/>
              <w:spacing w:line="240" w:lineRule="auto"/>
              <w:ind w:firstLine="0" w:firstLineChars="0"/>
              <w:jc w:val="center"/>
              <w:rPr>
                <w:sz w:val="21"/>
                <w:szCs w:val="21"/>
              </w:rPr>
            </w:pPr>
          </w:p>
        </w:tc>
        <w:tc>
          <w:tcPr>
            <w:tcW w:w="300" w:type="pct"/>
            <w:shd w:val="clear" w:color="auto" w:fill="auto"/>
            <w:vAlign w:val="center"/>
          </w:tcPr>
          <w:p w14:paraId="7687709A">
            <w:pPr>
              <w:adjustRightInd w:val="0"/>
              <w:snapToGrid w:val="0"/>
              <w:spacing w:line="240" w:lineRule="auto"/>
              <w:ind w:firstLine="0" w:firstLineChars="0"/>
              <w:jc w:val="center"/>
              <w:rPr>
                <w:sz w:val="21"/>
                <w:szCs w:val="21"/>
              </w:rPr>
            </w:pPr>
          </w:p>
        </w:tc>
        <w:tc>
          <w:tcPr>
            <w:tcW w:w="301" w:type="pct"/>
            <w:shd w:val="clear" w:color="auto" w:fill="auto"/>
            <w:vAlign w:val="center"/>
          </w:tcPr>
          <w:p w14:paraId="51C17262">
            <w:pPr>
              <w:adjustRightInd w:val="0"/>
              <w:snapToGrid w:val="0"/>
              <w:spacing w:line="240" w:lineRule="auto"/>
              <w:ind w:firstLine="0" w:firstLineChars="0"/>
              <w:jc w:val="center"/>
              <w:rPr>
                <w:sz w:val="21"/>
                <w:szCs w:val="21"/>
              </w:rPr>
            </w:pPr>
          </w:p>
        </w:tc>
        <w:tc>
          <w:tcPr>
            <w:tcW w:w="300" w:type="pct"/>
            <w:shd w:val="clear" w:color="auto" w:fill="auto"/>
            <w:vAlign w:val="center"/>
          </w:tcPr>
          <w:p w14:paraId="2DDDD3F7">
            <w:pPr>
              <w:adjustRightInd w:val="0"/>
              <w:snapToGrid w:val="0"/>
              <w:spacing w:line="240" w:lineRule="auto"/>
              <w:ind w:firstLine="0" w:firstLineChars="0"/>
              <w:jc w:val="center"/>
              <w:rPr>
                <w:sz w:val="21"/>
                <w:szCs w:val="21"/>
              </w:rPr>
            </w:pPr>
          </w:p>
        </w:tc>
        <w:tc>
          <w:tcPr>
            <w:tcW w:w="301" w:type="pct"/>
            <w:shd w:val="clear" w:color="auto" w:fill="auto"/>
            <w:vAlign w:val="center"/>
          </w:tcPr>
          <w:p w14:paraId="7B26CC0C">
            <w:pPr>
              <w:adjustRightInd w:val="0"/>
              <w:snapToGrid w:val="0"/>
              <w:spacing w:line="240" w:lineRule="auto"/>
              <w:ind w:firstLine="0" w:firstLineChars="0"/>
              <w:jc w:val="center"/>
              <w:rPr>
                <w:sz w:val="21"/>
                <w:szCs w:val="21"/>
              </w:rPr>
            </w:pPr>
          </w:p>
        </w:tc>
        <w:tc>
          <w:tcPr>
            <w:tcW w:w="366" w:type="pct"/>
            <w:shd w:val="clear" w:color="auto" w:fill="auto"/>
            <w:vAlign w:val="center"/>
          </w:tcPr>
          <w:p w14:paraId="012686D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w:t>
            </w:r>
          </w:p>
        </w:tc>
        <w:tc>
          <w:tcPr>
            <w:tcW w:w="366" w:type="pct"/>
            <w:shd w:val="clear" w:color="auto" w:fill="auto"/>
            <w:vAlign w:val="center"/>
          </w:tcPr>
          <w:p w14:paraId="65564C3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0.442</w:t>
            </w:r>
          </w:p>
        </w:tc>
        <w:tc>
          <w:tcPr>
            <w:tcW w:w="367" w:type="pct"/>
            <w:shd w:val="clear" w:color="auto" w:fill="auto"/>
            <w:vAlign w:val="center"/>
          </w:tcPr>
          <w:p w14:paraId="4284111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0.028</w:t>
            </w:r>
          </w:p>
        </w:tc>
        <w:tc>
          <w:tcPr>
            <w:tcW w:w="461" w:type="pct"/>
            <w:shd w:val="clear" w:color="auto" w:fill="auto"/>
            <w:vAlign w:val="center"/>
          </w:tcPr>
          <w:p w14:paraId="45F495FE">
            <w:pPr>
              <w:adjustRightInd w:val="0"/>
              <w:snapToGrid w:val="0"/>
              <w:spacing w:line="240" w:lineRule="auto"/>
              <w:ind w:firstLine="0" w:firstLineChars="0"/>
              <w:jc w:val="center"/>
              <w:rPr>
                <w:sz w:val="21"/>
                <w:szCs w:val="21"/>
                <w:lang w:eastAsia="en-US"/>
              </w:rPr>
            </w:pPr>
          </w:p>
        </w:tc>
        <w:tc>
          <w:tcPr>
            <w:tcW w:w="462" w:type="pct"/>
            <w:shd w:val="clear" w:color="auto" w:fill="auto"/>
            <w:vAlign w:val="center"/>
          </w:tcPr>
          <w:p w14:paraId="51DA5A69">
            <w:pPr>
              <w:adjustRightInd w:val="0"/>
              <w:snapToGrid w:val="0"/>
              <w:spacing w:line="240" w:lineRule="auto"/>
              <w:ind w:firstLine="0" w:firstLineChars="0"/>
              <w:jc w:val="center"/>
              <w:rPr>
                <w:sz w:val="21"/>
                <w:szCs w:val="21"/>
                <w:lang w:eastAsia="en-US"/>
              </w:rPr>
            </w:pPr>
          </w:p>
        </w:tc>
      </w:tr>
      <w:tr w14:paraId="01B4564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76E82452">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2C395A33">
            <w:pPr>
              <w:adjustRightInd w:val="0"/>
              <w:snapToGrid w:val="0"/>
              <w:spacing w:line="240" w:lineRule="auto"/>
              <w:ind w:firstLine="0" w:firstLineChars="0"/>
              <w:jc w:val="center"/>
              <w:rPr>
                <w:sz w:val="21"/>
                <w:szCs w:val="21"/>
              </w:rPr>
            </w:pPr>
            <w:r>
              <w:rPr>
                <w:sz w:val="21"/>
                <w:szCs w:val="21"/>
              </w:rPr>
              <w:t>克拉玛依玖虹水泥有限责任公司</w:t>
            </w:r>
          </w:p>
        </w:tc>
        <w:tc>
          <w:tcPr>
            <w:tcW w:w="300" w:type="pct"/>
            <w:shd w:val="clear" w:color="auto" w:fill="auto"/>
            <w:vAlign w:val="center"/>
          </w:tcPr>
          <w:p w14:paraId="5D60536D">
            <w:pPr>
              <w:adjustRightInd w:val="0"/>
              <w:snapToGrid w:val="0"/>
              <w:spacing w:line="240" w:lineRule="auto"/>
              <w:ind w:firstLine="0" w:firstLineChars="0"/>
              <w:jc w:val="center"/>
              <w:rPr>
                <w:sz w:val="21"/>
                <w:szCs w:val="21"/>
              </w:rPr>
            </w:pPr>
          </w:p>
        </w:tc>
        <w:tc>
          <w:tcPr>
            <w:tcW w:w="300" w:type="pct"/>
            <w:shd w:val="clear" w:color="auto" w:fill="auto"/>
            <w:vAlign w:val="center"/>
          </w:tcPr>
          <w:p w14:paraId="03DE1C4E">
            <w:pPr>
              <w:adjustRightInd w:val="0"/>
              <w:snapToGrid w:val="0"/>
              <w:spacing w:line="240" w:lineRule="auto"/>
              <w:ind w:firstLine="0" w:firstLineChars="0"/>
              <w:jc w:val="center"/>
              <w:rPr>
                <w:sz w:val="21"/>
                <w:szCs w:val="21"/>
              </w:rPr>
            </w:pPr>
          </w:p>
        </w:tc>
        <w:tc>
          <w:tcPr>
            <w:tcW w:w="301" w:type="pct"/>
            <w:shd w:val="clear" w:color="auto" w:fill="auto"/>
            <w:vAlign w:val="center"/>
          </w:tcPr>
          <w:p w14:paraId="0736C86A">
            <w:pPr>
              <w:adjustRightInd w:val="0"/>
              <w:snapToGrid w:val="0"/>
              <w:spacing w:line="240" w:lineRule="auto"/>
              <w:ind w:firstLine="0" w:firstLineChars="0"/>
              <w:jc w:val="center"/>
              <w:rPr>
                <w:sz w:val="21"/>
                <w:szCs w:val="21"/>
              </w:rPr>
            </w:pPr>
          </w:p>
        </w:tc>
        <w:tc>
          <w:tcPr>
            <w:tcW w:w="300" w:type="pct"/>
            <w:shd w:val="clear" w:color="auto" w:fill="auto"/>
            <w:vAlign w:val="center"/>
          </w:tcPr>
          <w:p w14:paraId="5CA0FD79">
            <w:pPr>
              <w:adjustRightInd w:val="0"/>
              <w:snapToGrid w:val="0"/>
              <w:spacing w:line="240" w:lineRule="auto"/>
              <w:ind w:firstLine="0" w:firstLineChars="0"/>
              <w:jc w:val="center"/>
              <w:rPr>
                <w:sz w:val="21"/>
                <w:szCs w:val="21"/>
              </w:rPr>
            </w:pPr>
          </w:p>
        </w:tc>
        <w:tc>
          <w:tcPr>
            <w:tcW w:w="301" w:type="pct"/>
            <w:shd w:val="clear" w:color="auto" w:fill="auto"/>
            <w:vAlign w:val="center"/>
          </w:tcPr>
          <w:p w14:paraId="7D87A3AB">
            <w:pPr>
              <w:adjustRightInd w:val="0"/>
              <w:snapToGrid w:val="0"/>
              <w:spacing w:line="240" w:lineRule="auto"/>
              <w:ind w:firstLine="0" w:firstLineChars="0"/>
              <w:jc w:val="center"/>
              <w:rPr>
                <w:sz w:val="21"/>
                <w:szCs w:val="21"/>
              </w:rPr>
            </w:pPr>
          </w:p>
        </w:tc>
        <w:tc>
          <w:tcPr>
            <w:tcW w:w="366" w:type="pct"/>
            <w:shd w:val="clear" w:color="auto" w:fill="auto"/>
            <w:vAlign w:val="center"/>
          </w:tcPr>
          <w:p w14:paraId="0BC0770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2FAD14C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0.23</w:t>
            </w:r>
          </w:p>
        </w:tc>
        <w:tc>
          <w:tcPr>
            <w:tcW w:w="367" w:type="pct"/>
            <w:shd w:val="clear" w:color="auto" w:fill="auto"/>
            <w:vAlign w:val="center"/>
          </w:tcPr>
          <w:p w14:paraId="008081EB">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31334CA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3981.6</w:t>
            </w:r>
          </w:p>
        </w:tc>
        <w:tc>
          <w:tcPr>
            <w:tcW w:w="462" w:type="pct"/>
            <w:shd w:val="clear" w:color="auto" w:fill="auto"/>
            <w:vAlign w:val="center"/>
          </w:tcPr>
          <w:p w14:paraId="688CA6EE">
            <w:pPr>
              <w:adjustRightInd w:val="0"/>
              <w:snapToGrid w:val="0"/>
              <w:spacing w:line="240" w:lineRule="auto"/>
              <w:ind w:firstLine="0" w:firstLineChars="0"/>
              <w:jc w:val="center"/>
              <w:rPr>
                <w:sz w:val="21"/>
                <w:szCs w:val="21"/>
                <w:lang w:eastAsia="en-US"/>
              </w:rPr>
            </w:pPr>
          </w:p>
        </w:tc>
      </w:tr>
      <w:tr w14:paraId="5306B2EA">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750890A9">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06B66A94">
            <w:pPr>
              <w:adjustRightInd w:val="0"/>
              <w:snapToGrid w:val="0"/>
              <w:spacing w:line="240" w:lineRule="auto"/>
              <w:ind w:firstLine="0" w:firstLineChars="0"/>
              <w:jc w:val="center"/>
              <w:rPr>
                <w:sz w:val="21"/>
                <w:szCs w:val="21"/>
              </w:rPr>
            </w:pPr>
            <w:r>
              <w:rPr>
                <w:sz w:val="21"/>
                <w:szCs w:val="21"/>
              </w:rPr>
              <w:t>克拉玛依天钜塑业科技有限公司</w:t>
            </w:r>
          </w:p>
        </w:tc>
        <w:tc>
          <w:tcPr>
            <w:tcW w:w="300" w:type="pct"/>
            <w:shd w:val="clear" w:color="auto" w:fill="auto"/>
            <w:vAlign w:val="center"/>
          </w:tcPr>
          <w:p w14:paraId="45F71636">
            <w:pPr>
              <w:adjustRightInd w:val="0"/>
              <w:snapToGrid w:val="0"/>
              <w:spacing w:line="240" w:lineRule="auto"/>
              <w:ind w:firstLine="0" w:firstLineChars="0"/>
              <w:jc w:val="center"/>
              <w:rPr>
                <w:sz w:val="21"/>
                <w:szCs w:val="21"/>
              </w:rPr>
            </w:pPr>
          </w:p>
        </w:tc>
        <w:tc>
          <w:tcPr>
            <w:tcW w:w="300" w:type="pct"/>
            <w:shd w:val="clear" w:color="auto" w:fill="auto"/>
            <w:vAlign w:val="center"/>
          </w:tcPr>
          <w:p w14:paraId="6F1C5EBE">
            <w:pPr>
              <w:adjustRightInd w:val="0"/>
              <w:snapToGrid w:val="0"/>
              <w:spacing w:line="240" w:lineRule="auto"/>
              <w:ind w:firstLine="0" w:firstLineChars="0"/>
              <w:jc w:val="center"/>
              <w:rPr>
                <w:sz w:val="21"/>
                <w:szCs w:val="21"/>
              </w:rPr>
            </w:pPr>
          </w:p>
        </w:tc>
        <w:tc>
          <w:tcPr>
            <w:tcW w:w="301" w:type="pct"/>
            <w:shd w:val="clear" w:color="auto" w:fill="auto"/>
            <w:vAlign w:val="center"/>
          </w:tcPr>
          <w:p w14:paraId="520F199D">
            <w:pPr>
              <w:adjustRightInd w:val="0"/>
              <w:snapToGrid w:val="0"/>
              <w:spacing w:line="240" w:lineRule="auto"/>
              <w:ind w:firstLine="0" w:firstLineChars="0"/>
              <w:jc w:val="center"/>
              <w:rPr>
                <w:sz w:val="21"/>
                <w:szCs w:val="21"/>
              </w:rPr>
            </w:pPr>
          </w:p>
        </w:tc>
        <w:tc>
          <w:tcPr>
            <w:tcW w:w="300" w:type="pct"/>
            <w:shd w:val="clear" w:color="auto" w:fill="auto"/>
            <w:vAlign w:val="center"/>
          </w:tcPr>
          <w:p w14:paraId="7D401FEE">
            <w:pPr>
              <w:adjustRightInd w:val="0"/>
              <w:snapToGrid w:val="0"/>
              <w:spacing w:line="240" w:lineRule="auto"/>
              <w:ind w:firstLine="0" w:firstLineChars="0"/>
              <w:jc w:val="center"/>
              <w:rPr>
                <w:sz w:val="21"/>
                <w:szCs w:val="21"/>
              </w:rPr>
            </w:pPr>
          </w:p>
        </w:tc>
        <w:tc>
          <w:tcPr>
            <w:tcW w:w="301" w:type="pct"/>
            <w:shd w:val="clear" w:color="auto" w:fill="auto"/>
            <w:vAlign w:val="center"/>
          </w:tcPr>
          <w:p w14:paraId="69220272">
            <w:pPr>
              <w:adjustRightInd w:val="0"/>
              <w:snapToGrid w:val="0"/>
              <w:spacing w:line="240" w:lineRule="auto"/>
              <w:ind w:firstLine="0" w:firstLineChars="0"/>
              <w:jc w:val="center"/>
              <w:rPr>
                <w:sz w:val="21"/>
                <w:szCs w:val="21"/>
              </w:rPr>
            </w:pPr>
          </w:p>
        </w:tc>
        <w:tc>
          <w:tcPr>
            <w:tcW w:w="366" w:type="pct"/>
            <w:shd w:val="clear" w:color="auto" w:fill="auto"/>
            <w:vAlign w:val="center"/>
          </w:tcPr>
          <w:p w14:paraId="5DDCD18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25</w:t>
            </w:r>
          </w:p>
        </w:tc>
        <w:tc>
          <w:tcPr>
            <w:tcW w:w="366" w:type="pct"/>
            <w:shd w:val="clear" w:color="auto" w:fill="auto"/>
            <w:vAlign w:val="center"/>
          </w:tcPr>
          <w:p w14:paraId="413744B7">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1579438D">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18C72DB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w:t>
            </w:r>
          </w:p>
        </w:tc>
        <w:tc>
          <w:tcPr>
            <w:tcW w:w="462" w:type="pct"/>
            <w:shd w:val="clear" w:color="auto" w:fill="auto"/>
            <w:vAlign w:val="center"/>
          </w:tcPr>
          <w:p w14:paraId="0DD9EA15">
            <w:pPr>
              <w:adjustRightInd w:val="0"/>
              <w:snapToGrid w:val="0"/>
              <w:spacing w:line="240" w:lineRule="auto"/>
              <w:ind w:firstLine="0" w:firstLineChars="0"/>
              <w:jc w:val="center"/>
              <w:rPr>
                <w:sz w:val="21"/>
                <w:szCs w:val="21"/>
                <w:lang w:eastAsia="en-US"/>
              </w:rPr>
            </w:pPr>
          </w:p>
        </w:tc>
      </w:tr>
      <w:tr w14:paraId="6747D345">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0B182B64">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654B0103">
            <w:pPr>
              <w:adjustRightInd w:val="0"/>
              <w:snapToGrid w:val="0"/>
              <w:spacing w:line="240" w:lineRule="auto"/>
              <w:ind w:firstLine="0" w:firstLineChars="0"/>
              <w:jc w:val="center"/>
              <w:rPr>
                <w:sz w:val="21"/>
                <w:szCs w:val="21"/>
              </w:rPr>
            </w:pPr>
            <w:r>
              <w:rPr>
                <w:sz w:val="21"/>
                <w:szCs w:val="21"/>
              </w:rPr>
              <w:t>新疆胜沃能源开发有限公司</w:t>
            </w:r>
          </w:p>
        </w:tc>
        <w:tc>
          <w:tcPr>
            <w:tcW w:w="300" w:type="pct"/>
            <w:shd w:val="clear" w:color="auto" w:fill="auto"/>
            <w:vAlign w:val="center"/>
          </w:tcPr>
          <w:p w14:paraId="13B0A4F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27.3</w:t>
            </w:r>
          </w:p>
        </w:tc>
        <w:tc>
          <w:tcPr>
            <w:tcW w:w="300" w:type="pct"/>
            <w:shd w:val="clear" w:color="auto" w:fill="auto"/>
            <w:vAlign w:val="center"/>
          </w:tcPr>
          <w:p w14:paraId="2FE0FF3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13.7</w:t>
            </w:r>
          </w:p>
        </w:tc>
        <w:tc>
          <w:tcPr>
            <w:tcW w:w="301" w:type="pct"/>
            <w:shd w:val="clear" w:color="auto" w:fill="auto"/>
            <w:vAlign w:val="center"/>
          </w:tcPr>
          <w:p w14:paraId="1378722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53.7</w:t>
            </w:r>
          </w:p>
        </w:tc>
        <w:tc>
          <w:tcPr>
            <w:tcW w:w="300" w:type="pct"/>
            <w:shd w:val="clear" w:color="auto" w:fill="auto"/>
            <w:vAlign w:val="center"/>
          </w:tcPr>
          <w:p w14:paraId="09CB78D4">
            <w:pPr>
              <w:adjustRightInd w:val="0"/>
              <w:snapToGrid w:val="0"/>
              <w:spacing w:line="240" w:lineRule="auto"/>
              <w:ind w:firstLine="0" w:firstLineChars="0"/>
              <w:jc w:val="center"/>
              <w:rPr>
                <w:sz w:val="21"/>
                <w:szCs w:val="21"/>
                <w:lang w:eastAsia="en-US"/>
              </w:rPr>
            </w:pPr>
          </w:p>
        </w:tc>
        <w:tc>
          <w:tcPr>
            <w:tcW w:w="301" w:type="pct"/>
            <w:shd w:val="clear" w:color="auto" w:fill="auto"/>
            <w:vAlign w:val="center"/>
          </w:tcPr>
          <w:p w14:paraId="218BD00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3.5</w:t>
            </w:r>
          </w:p>
        </w:tc>
        <w:tc>
          <w:tcPr>
            <w:tcW w:w="366" w:type="pct"/>
            <w:shd w:val="clear" w:color="auto" w:fill="auto"/>
            <w:vAlign w:val="center"/>
          </w:tcPr>
          <w:p w14:paraId="7F5FC1A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600</w:t>
            </w:r>
          </w:p>
        </w:tc>
        <w:tc>
          <w:tcPr>
            <w:tcW w:w="366" w:type="pct"/>
            <w:shd w:val="clear" w:color="auto" w:fill="auto"/>
            <w:vAlign w:val="center"/>
          </w:tcPr>
          <w:p w14:paraId="44C3C57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97.2</w:t>
            </w:r>
          </w:p>
        </w:tc>
        <w:tc>
          <w:tcPr>
            <w:tcW w:w="367" w:type="pct"/>
            <w:shd w:val="clear" w:color="auto" w:fill="auto"/>
            <w:vAlign w:val="center"/>
          </w:tcPr>
          <w:p w14:paraId="432475A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15.64</w:t>
            </w:r>
          </w:p>
        </w:tc>
        <w:tc>
          <w:tcPr>
            <w:tcW w:w="461" w:type="pct"/>
            <w:shd w:val="clear" w:color="auto" w:fill="auto"/>
            <w:vAlign w:val="center"/>
          </w:tcPr>
          <w:p w14:paraId="55B79A6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660</w:t>
            </w:r>
          </w:p>
        </w:tc>
        <w:tc>
          <w:tcPr>
            <w:tcW w:w="462" w:type="pct"/>
            <w:shd w:val="clear" w:color="auto" w:fill="auto"/>
            <w:vAlign w:val="center"/>
          </w:tcPr>
          <w:p w14:paraId="237AF40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1488</w:t>
            </w:r>
          </w:p>
        </w:tc>
      </w:tr>
      <w:tr w14:paraId="2E8838D7">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1CAF6428">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121C4F0E">
            <w:pPr>
              <w:adjustRightInd w:val="0"/>
              <w:snapToGrid w:val="0"/>
              <w:spacing w:line="240" w:lineRule="auto"/>
              <w:ind w:firstLine="0" w:firstLineChars="0"/>
              <w:jc w:val="center"/>
              <w:rPr>
                <w:sz w:val="21"/>
                <w:szCs w:val="21"/>
              </w:rPr>
            </w:pPr>
            <w:r>
              <w:rPr>
                <w:sz w:val="21"/>
                <w:szCs w:val="21"/>
              </w:rPr>
              <w:t>晨光生物科技集团股份有限公司</w:t>
            </w:r>
          </w:p>
        </w:tc>
        <w:tc>
          <w:tcPr>
            <w:tcW w:w="300" w:type="pct"/>
            <w:shd w:val="clear" w:color="auto" w:fill="auto"/>
            <w:vAlign w:val="center"/>
          </w:tcPr>
          <w:p w14:paraId="667E89A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1.04</w:t>
            </w:r>
          </w:p>
        </w:tc>
        <w:tc>
          <w:tcPr>
            <w:tcW w:w="300" w:type="pct"/>
            <w:shd w:val="clear" w:color="auto" w:fill="auto"/>
            <w:vAlign w:val="center"/>
          </w:tcPr>
          <w:p w14:paraId="2F1F128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1.41</w:t>
            </w:r>
          </w:p>
        </w:tc>
        <w:tc>
          <w:tcPr>
            <w:tcW w:w="301" w:type="pct"/>
            <w:shd w:val="clear" w:color="auto" w:fill="auto"/>
            <w:vAlign w:val="center"/>
          </w:tcPr>
          <w:p w14:paraId="032AA1EA">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1379CC5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1.13</w:t>
            </w:r>
          </w:p>
        </w:tc>
        <w:tc>
          <w:tcPr>
            <w:tcW w:w="301" w:type="pct"/>
            <w:shd w:val="clear" w:color="auto" w:fill="auto"/>
            <w:vAlign w:val="center"/>
          </w:tcPr>
          <w:p w14:paraId="1C0ECC37">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43CCC3B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100</w:t>
            </w:r>
          </w:p>
        </w:tc>
        <w:tc>
          <w:tcPr>
            <w:tcW w:w="366" w:type="pct"/>
            <w:shd w:val="clear" w:color="auto" w:fill="auto"/>
            <w:vAlign w:val="center"/>
          </w:tcPr>
          <w:p w14:paraId="1E7E1C4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0.76</w:t>
            </w:r>
          </w:p>
        </w:tc>
        <w:tc>
          <w:tcPr>
            <w:tcW w:w="367" w:type="pct"/>
            <w:shd w:val="clear" w:color="auto" w:fill="auto"/>
            <w:vAlign w:val="center"/>
          </w:tcPr>
          <w:p w14:paraId="360C7DC2">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3C91796F">
            <w:pPr>
              <w:adjustRightInd w:val="0"/>
              <w:snapToGrid w:val="0"/>
              <w:spacing w:line="240" w:lineRule="auto"/>
              <w:ind w:firstLine="0" w:firstLineChars="0"/>
              <w:jc w:val="center"/>
              <w:rPr>
                <w:sz w:val="21"/>
                <w:szCs w:val="21"/>
                <w:lang w:eastAsia="en-US"/>
              </w:rPr>
            </w:pPr>
          </w:p>
        </w:tc>
        <w:tc>
          <w:tcPr>
            <w:tcW w:w="462" w:type="pct"/>
            <w:shd w:val="clear" w:color="auto" w:fill="auto"/>
            <w:vAlign w:val="center"/>
          </w:tcPr>
          <w:p w14:paraId="29E903E6">
            <w:pPr>
              <w:adjustRightInd w:val="0"/>
              <w:snapToGrid w:val="0"/>
              <w:spacing w:line="240" w:lineRule="auto"/>
              <w:ind w:firstLine="0" w:firstLineChars="0"/>
              <w:jc w:val="center"/>
              <w:rPr>
                <w:sz w:val="21"/>
                <w:szCs w:val="21"/>
                <w:lang w:eastAsia="en-US"/>
              </w:rPr>
            </w:pPr>
          </w:p>
        </w:tc>
      </w:tr>
      <w:tr w14:paraId="0E72C658">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03EBEFB5">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7572E2B9">
            <w:pPr>
              <w:adjustRightInd w:val="0"/>
              <w:snapToGrid w:val="0"/>
              <w:spacing w:line="240" w:lineRule="auto"/>
              <w:ind w:firstLine="0" w:firstLineChars="0"/>
              <w:jc w:val="center"/>
              <w:rPr>
                <w:sz w:val="21"/>
                <w:szCs w:val="21"/>
              </w:rPr>
            </w:pPr>
            <w:r>
              <w:rPr>
                <w:sz w:val="21"/>
                <w:szCs w:val="21"/>
              </w:rPr>
              <w:t>克拉玛依加荣化工有限公司</w:t>
            </w:r>
          </w:p>
        </w:tc>
        <w:tc>
          <w:tcPr>
            <w:tcW w:w="300" w:type="pct"/>
            <w:shd w:val="clear" w:color="auto" w:fill="auto"/>
            <w:vAlign w:val="center"/>
          </w:tcPr>
          <w:p w14:paraId="43041585">
            <w:pPr>
              <w:adjustRightInd w:val="0"/>
              <w:snapToGrid w:val="0"/>
              <w:spacing w:line="240" w:lineRule="auto"/>
              <w:ind w:firstLine="0" w:firstLineChars="0"/>
              <w:jc w:val="center"/>
              <w:rPr>
                <w:sz w:val="21"/>
                <w:szCs w:val="21"/>
              </w:rPr>
            </w:pPr>
          </w:p>
        </w:tc>
        <w:tc>
          <w:tcPr>
            <w:tcW w:w="300" w:type="pct"/>
            <w:shd w:val="clear" w:color="auto" w:fill="auto"/>
            <w:vAlign w:val="center"/>
          </w:tcPr>
          <w:p w14:paraId="5C22518C">
            <w:pPr>
              <w:adjustRightInd w:val="0"/>
              <w:snapToGrid w:val="0"/>
              <w:spacing w:line="240" w:lineRule="auto"/>
              <w:ind w:firstLine="0" w:firstLineChars="0"/>
              <w:jc w:val="center"/>
              <w:rPr>
                <w:sz w:val="21"/>
                <w:szCs w:val="21"/>
              </w:rPr>
            </w:pPr>
          </w:p>
        </w:tc>
        <w:tc>
          <w:tcPr>
            <w:tcW w:w="301" w:type="pct"/>
            <w:shd w:val="clear" w:color="auto" w:fill="auto"/>
            <w:vAlign w:val="center"/>
          </w:tcPr>
          <w:p w14:paraId="72203B0A">
            <w:pPr>
              <w:adjustRightInd w:val="0"/>
              <w:snapToGrid w:val="0"/>
              <w:spacing w:line="240" w:lineRule="auto"/>
              <w:ind w:firstLine="0" w:firstLineChars="0"/>
              <w:jc w:val="center"/>
              <w:rPr>
                <w:sz w:val="21"/>
                <w:szCs w:val="21"/>
              </w:rPr>
            </w:pPr>
          </w:p>
        </w:tc>
        <w:tc>
          <w:tcPr>
            <w:tcW w:w="300" w:type="pct"/>
            <w:shd w:val="clear" w:color="auto" w:fill="auto"/>
            <w:vAlign w:val="center"/>
          </w:tcPr>
          <w:p w14:paraId="3C1A535A">
            <w:pPr>
              <w:adjustRightInd w:val="0"/>
              <w:snapToGrid w:val="0"/>
              <w:spacing w:line="240" w:lineRule="auto"/>
              <w:ind w:firstLine="0" w:firstLineChars="0"/>
              <w:jc w:val="center"/>
              <w:rPr>
                <w:sz w:val="21"/>
                <w:szCs w:val="21"/>
              </w:rPr>
            </w:pPr>
          </w:p>
        </w:tc>
        <w:tc>
          <w:tcPr>
            <w:tcW w:w="301" w:type="pct"/>
            <w:shd w:val="clear" w:color="auto" w:fill="auto"/>
            <w:vAlign w:val="center"/>
          </w:tcPr>
          <w:p w14:paraId="69CCE03A">
            <w:pPr>
              <w:adjustRightInd w:val="0"/>
              <w:snapToGrid w:val="0"/>
              <w:spacing w:line="240" w:lineRule="auto"/>
              <w:ind w:firstLine="0" w:firstLineChars="0"/>
              <w:jc w:val="center"/>
              <w:rPr>
                <w:sz w:val="21"/>
                <w:szCs w:val="21"/>
              </w:rPr>
            </w:pPr>
          </w:p>
        </w:tc>
        <w:tc>
          <w:tcPr>
            <w:tcW w:w="366" w:type="pct"/>
            <w:shd w:val="clear" w:color="auto" w:fill="auto"/>
            <w:vAlign w:val="center"/>
          </w:tcPr>
          <w:p w14:paraId="4122124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w:t>
            </w:r>
          </w:p>
        </w:tc>
        <w:tc>
          <w:tcPr>
            <w:tcW w:w="366" w:type="pct"/>
            <w:shd w:val="clear" w:color="auto" w:fill="auto"/>
            <w:vAlign w:val="center"/>
          </w:tcPr>
          <w:p w14:paraId="63206346">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4A4335CB">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23DBAC8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331</w:t>
            </w:r>
          </w:p>
        </w:tc>
        <w:tc>
          <w:tcPr>
            <w:tcW w:w="462" w:type="pct"/>
            <w:shd w:val="clear" w:color="auto" w:fill="auto"/>
            <w:vAlign w:val="center"/>
          </w:tcPr>
          <w:p w14:paraId="625657D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2782.7</w:t>
            </w:r>
          </w:p>
        </w:tc>
      </w:tr>
      <w:tr w14:paraId="0AFE7EA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69BE8075">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24F35CA6">
            <w:pPr>
              <w:adjustRightInd w:val="0"/>
              <w:snapToGrid w:val="0"/>
              <w:spacing w:line="240" w:lineRule="auto"/>
              <w:ind w:firstLine="0" w:firstLineChars="0"/>
              <w:jc w:val="center"/>
              <w:rPr>
                <w:sz w:val="21"/>
                <w:szCs w:val="21"/>
              </w:rPr>
            </w:pPr>
            <w:r>
              <w:rPr>
                <w:sz w:val="21"/>
                <w:szCs w:val="21"/>
              </w:rPr>
              <w:t>新疆奥凡铁合金有限公司</w:t>
            </w:r>
          </w:p>
        </w:tc>
        <w:tc>
          <w:tcPr>
            <w:tcW w:w="300" w:type="pct"/>
            <w:shd w:val="clear" w:color="auto" w:fill="auto"/>
            <w:vAlign w:val="center"/>
          </w:tcPr>
          <w:p w14:paraId="692989F0">
            <w:pPr>
              <w:adjustRightInd w:val="0"/>
              <w:snapToGrid w:val="0"/>
              <w:spacing w:line="240" w:lineRule="auto"/>
              <w:ind w:firstLine="0" w:firstLineChars="0"/>
              <w:jc w:val="center"/>
              <w:rPr>
                <w:sz w:val="21"/>
                <w:szCs w:val="21"/>
              </w:rPr>
            </w:pPr>
          </w:p>
        </w:tc>
        <w:tc>
          <w:tcPr>
            <w:tcW w:w="300" w:type="pct"/>
            <w:shd w:val="clear" w:color="auto" w:fill="auto"/>
            <w:vAlign w:val="center"/>
          </w:tcPr>
          <w:p w14:paraId="4D04DE86">
            <w:pPr>
              <w:adjustRightInd w:val="0"/>
              <w:snapToGrid w:val="0"/>
              <w:spacing w:line="240" w:lineRule="auto"/>
              <w:ind w:firstLine="0" w:firstLineChars="0"/>
              <w:jc w:val="center"/>
              <w:rPr>
                <w:sz w:val="21"/>
                <w:szCs w:val="21"/>
              </w:rPr>
            </w:pPr>
          </w:p>
        </w:tc>
        <w:tc>
          <w:tcPr>
            <w:tcW w:w="301" w:type="pct"/>
            <w:shd w:val="clear" w:color="auto" w:fill="auto"/>
            <w:vAlign w:val="center"/>
          </w:tcPr>
          <w:p w14:paraId="7E927D99">
            <w:pPr>
              <w:adjustRightInd w:val="0"/>
              <w:snapToGrid w:val="0"/>
              <w:spacing w:line="240" w:lineRule="auto"/>
              <w:ind w:firstLine="0" w:firstLineChars="0"/>
              <w:jc w:val="center"/>
              <w:rPr>
                <w:sz w:val="21"/>
                <w:szCs w:val="21"/>
              </w:rPr>
            </w:pPr>
          </w:p>
        </w:tc>
        <w:tc>
          <w:tcPr>
            <w:tcW w:w="300" w:type="pct"/>
            <w:shd w:val="clear" w:color="auto" w:fill="auto"/>
            <w:vAlign w:val="center"/>
          </w:tcPr>
          <w:p w14:paraId="02AE0A14">
            <w:pPr>
              <w:adjustRightInd w:val="0"/>
              <w:snapToGrid w:val="0"/>
              <w:spacing w:line="240" w:lineRule="auto"/>
              <w:ind w:firstLine="0" w:firstLineChars="0"/>
              <w:jc w:val="center"/>
              <w:rPr>
                <w:sz w:val="21"/>
                <w:szCs w:val="21"/>
              </w:rPr>
            </w:pPr>
          </w:p>
        </w:tc>
        <w:tc>
          <w:tcPr>
            <w:tcW w:w="301" w:type="pct"/>
            <w:shd w:val="clear" w:color="auto" w:fill="auto"/>
            <w:vAlign w:val="center"/>
          </w:tcPr>
          <w:p w14:paraId="3FB941A6">
            <w:pPr>
              <w:adjustRightInd w:val="0"/>
              <w:snapToGrid w:val="0"/>
              <w:spacing w:line="240" w:lineRule="auto"/>
              <w:ind w:firstLine="0" w:firstLineChars="0"/>
              <w:jc w:val="center"/>
              <w:rPr>
                <w:sz w:val="21"/>
                <w:szCs w:val="21"/>
              </w:rPr>
            </w:pPr>
          </w:p>
        </w:tc>
        <w:tc>
          <w:tcPr>
            <w:tcW w:w="366" w:type="pct"/>
            <w:shd w:val="clear" w:color="auto" w:fill="auto"/>
            <w:vAlign w:val="center"/>
          </w:tcPr>
          <w:p w14:paraId="54CBA96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w:t>
            </w:r>
          </w:p>
        </w:tc>
        <w:tc>
          <w:tcPr>
            <w:tcW w:w="366" w:type="pct"/>
            <w:shd w:val="clear" w:color="auto" w:fill="auto"/>
            <w:vAlign w:val="center"/>
          </w:tcPr>
          <w:p w14:paraId="679642D0">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3771BFA9">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7D725C8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9392</w:t>
            </w:r>
          </w:p>
        </w:tc>
        <w:tc>
          <w:tcPr>
            <w:tcW w:w="462" w:type="pct"/>
            <w:shd w:val="clear" w:color="auto" w:fill="auto"/>
            <w:vAlign w:val="center"/>
          </w:tcPr>
          <w:p w14:paraId="2DE9079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111795</w:t>
            </w:r>
          </w:p>
        </w:tc>
      </w:tr>
      <w:tr w14:paraId="3C4AF602">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0221E386">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A1D3B80">
            <w:pPr>
              <w:adjustRightInd w:val="0"/>
              <w:snapToGrid w:val="0"/>
              <w:spacing w:line="240" w:lineRule="auto"/>
              <w:ind w:firstLine="0" w:firstLineChars="0"/>
              <w:jc w:val="center"/>
              <w:rPr>
                <w:sz w:val="21"/>
                <w:szCs w:val="21"/>
              </w:rPr>
            </w:pPr>
            <w:r>
              <w:rPr>
                <w:sz w:val="21"/>
                <w:szCs w:val="21"/>
              </w:rPr>
              <w:t>奎屯广合商品混凝土有限责任公司</w:t>
            </w:r>
          </w:p>
        </w:tc>
        <w:tc>
          <w:tcPr>
            <w:tcW w:w="300" w:type="pct"/>
            <w:shd w:val="clear" w:color="auto" w:fill="auto"/>
            <w:vAlign w:val="center"/>
          </w:tcPr>
          <w:p w14:paraId="1A7346A5">
            <w:pPr>
              <w:adjustRightInd w:val="0"/>
              <w:snapToGrid w:val="0"/>
              <w:spacing w:line="240" w:lineRule="auto"/>
              <w:ind w:firstLine="0" w:firstLineChars="0"/>
              <w:jc w:val="center"/>
              <w:rPr>
                <w:sz w:val="21"/>
                <w:szCs w:val="21"/>
              </w:rPr>
            </w:pPr>
          </w:p>
        </w:tc>
        <w:tc>
          <w:tcPr>
            <w:tcW w:w="300" w:type="pct"/>
            <w:shd w:val="clear" w:color="auto" w:fill="auto"/>
            <w:vAlign w:val="center"/>
          </w:tcPr>
          <w:p w14:paraId="4A2A45AB">
            <w:pPr>
              <w:adjustRightInd w:val="0"/>
              <w:snapToGrid w:val="0"/>
              <w:spacing w:line="240" w:lineRule="auto"/>
              <w:ind w:firstLine="0" w:firstLineChars="0"/>
              <w:jc w:val="center"/>
              <w:rPr>
                <w:sz w:val="21"/>
                <w:szCs w:val="21"/>
              </w:rPr>
            </w:pPr>
          </w:p>
        </w:tc>
        <w:tc>
          <w:tcPr>
            <w:tcW w:w="301" w:type="pct"/>
            <w:shd w:val="clear" w:color="auto" w:fill="auto"/>
            <w:vAlign w:val="center"/>
          </w:tcPr>
          <w:p w14:paraId="0A172053">
            <w:pPr>
              <w:adjustRightInd w:val="0"/>
              <w:snapToGrid w:val="0"/>
              <w:spacing w:line="240" w:lineRule="auto"/>
              <w:ind w:firstLine="0" w:firstLineChars="0"/>
              <w:jc w:val="center"/>
              <w:rPr>
                <w:sz w:val="21"/>
                <w:szCs w:val="21"/>
              </w:rPr>
            </w:pPr>
          </w:p>
        </w:tc>
        <w:tc>
          <w:tcPr>
            <w:tcW w:w="300" w:type="pct"/>
            <w:shd w:val="clear" w:color="auto" w:fill="auto"/>
            <w:vAlign w:val="center"/>
          </w:tcPr>
          <w:p w14:paraId="3C19303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1.33</w:t>
            </w:r>
          </w:p>
        </w:tc>
        <w:tc>
          <w:tcPr>
            <w:tcW w:w="301" w:type="pct"/>
            <w:shd w:val="clear" w:color="auto" w:fill="auto"/>
            <w:vAlign w:val="center"/>
          </w:tcPr>
          <w:p w14:paraId="7CEE107B">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0E15E80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w:t>
            </w:r>
          </w:p>
        </w:tc>
        <w:tc>
          <w:tcPr>
            <w:tcW w:w="366" w:type="pct"/>
            <w:shd w:val="clear" w:color="auto" w:fill="auto"/>
            <w:vAlign w:val="center"/>
          </w:tcPr>
          <w:p w14:paraId="2844B4C1">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0A68809F">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6E365FD2">
            <w:pPr>
              <w:adjustRightInd w:val="0"/>
              <w:snapToGrid w:val="0"/>
              <w:spacing w:line="240" w:lineRule="auto"/>
              <w:ind w:firstLine="0" w:firstLineChars="0"/>
              <w:jc w:val="center"/>
              <w:rPr>
                <w:sz w:val="21"/>
                <w:szCs w:val="21"/>
                <w:lang w:eastAsia="en-US"/>
              </w:rPr>
            </w:pPr>
          </w:p>
        </w:tc>
        <w:tc>
          <w:tcPr>
            <w:tcW w:w="462" w:type="pct"/>
            <w:shd w:val="clear" w:color="auto" w:fill="auto"/>
            <w:vAlign w:val="center"/>
          </w:tcPr>
          <w:p w14:paraId="0366C46F">
            <w:pPr>
              <w:adjustRightInd w:val="0"/>
              <w:snapToGrid w:val="0"/>
              <w:spacing w:line="240" w:lineRule="auto"/>
              <w:ind w:firstLine="0" w:firstLineChars="0"/>
              <w:jc w:val="center"/>
              <w:rPr>
                <w:sz w:val="21"/>
                <w:szCs w:val="21"/>
                <w:lang w:eastAsia="en-US"/>
              </w:rPr>
            </w:pPr>
          </w:p>
        </w:tc>
      </w:tr>
      <w:tr w14:paraId="4826E1D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1F6D3DD1">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23ADBF89">
            <w:pPr>
              <w:adjustRightInd w:val="0"/>
              <w:snapToGrid w:val="0"/>
              <w:spacing w:line="240" w:lineRule="auto"/>
              <w:ind w:firstLine="0" w:firstLineChars="0"/>
              <w:jc w:val="center"/>
              <w:rPr>
                <w:sz w:val="21"/>
                <w:szCs w:val="21"/>
              </w:rPr>
            </w:pPr>
            <w:r>
              <w:rPr>
                <w:sz w:val="21"/>
                <w:szCs w:val="21"/>
              </w:rPr>
              <w:t>克拉玛依市和新康石油化工有限公司</w:t>
            </w:r>
          </w:p>
        </w:tc>
        <w:tc>
          <w:tcPr>
            <w:tcW w:w="300" w:type="pct"/>
            <w:shd w:val="clear" w:color="auto" w:fill="auto"/>
            <w:vAlign w:val="center"/>
          </w:tcPr>
          <w:p w14:paraId="774E1F52">
            <w:pPr>
              <w:adjustRightInd w:val="0"/>
              <w:snapToGrid w:val="0"/>
              <w:spacing w:line="240" w:lineRule="auto"/>
              <w:ind w:firstLine="0" w:firstLineChars="0"/>
              <w:jc w:val="center"/>
              <w:rPr>
                <w:sz w:val="21"/>
                <w:szCs w:val="21"/>
              </w:rPr>
            </w:pPr>
          </w:p>
        </w:tc>
        <w:tc>
          <w:tcPr>
            <w:tcW w:w="300" w:type="pct"/>
            <w:shd w:val="clear" w:color="auto" w:fill="auto"/>
            <w:vAlign w:val="center"/>
          </w:tcPr>
          <w:p w14:paraId="7AF384A8">
            <w:pPr>
              <w:adjustRightInd w:val="0"/>
              <w:snapToGrid w:val="0"/>
              <w:spacing w:line="240" w:lineRule="auto"/>
              <w:ind w:firstLine="0" w:firstLineChars="0"/>
              <w:jc w:val="center"/>
              <w:rPr>
                <w:sz w:val="21"/>
                <w:szCs w:val="21"/>
              </w:rPr>
            </w:pPr>
          </w:p>
        </w:tc>
        <w:tc>
          <w:tcPr>
            <w:tcW w:w="301" w:type="pct"/>
            <w:shd w:val="clear" w:color="auto" w:fill="auto"/>
            <w:vAlign w:val="center"/>
          </w:tcPr>
          <w:p w14:paraId="5D5ACD83">
            <w:pPr>
              <w:adjustRightInd w:val="0"/>
              <w:snapToGrid w:val="0"/>
              <w:spacing w:line="240" w:lineRule="auto"/>
              <w:ind w:firstLine="0" w:firstLineChars="0"/>
              <w:jc w:val="center"/>
              <w:rPr>
                <w:sz w:val="21"/>
                <w:szCs w:val="21"/>
              </w:rPr>
            </w:pPr>
          </w:p>
        </w:tc>
        <w:tc>
          <w:tcPr>
            <w:tcW w:w="300" w:type="pct"/>
            <w:shd w:val="clear" w:color="auto" w:fill="auto"/>
            <w:vAlign w:val="center"/>
          </w:tcPr>
          <w:p w14:paraId="5ECF6512">
            <w:pPr>
              <w:adjustRightInd w:val="0"/>
              <w:snapToGrid w:val="0"/>
              <w:spacing w:line="240" w:lineRule="auto"/>
              <w:ind w:firstLine="0" w:firstLineChars="0"/>
              <w:jc w:val="center"/>
              <w:rPr>
                <w:sz w:val="21"/>
                <w:szCs w:val="21"/>
              </w:rPr>
            </w:pPr>
          </w:p>
        </w:tc>
        <w:tc>
          <w:tcPr>
            <w:tcW w:w="301" w:type="pct"/>
            <w:shd w:val="clear" w:color="auto" w:fill="auto"/>
            <w:vAlign w:val="center"/>
          </w:tcPr>
          <w:p w14:paraId="771BCACD">
            <w:pPr>
              <w:adjustRightInd w:val="0"/>
              <w:snapToGrid w:val="0"/>
              <w:spacing w:line="240" w:lineRule="auto"/>
              <w:ind w:firstLine="0" w:firstLineChars="0"/>
              <w:jc w:val="center"/>
              <w:rPr>
                <w:sz w:val="21"/>
                <w:szCs w:val="21"/>
              </w:rPr>
            </w:pPr>
          </w:p>
        </w:tc>
        <w:tc>
          <w:tcPr>
            <w:tcW w:w="366" w:type="pct"/>
            <w:shd w:val="clear" w:color="auto" w:fill="auto"/>
            <w:vAlign w:val="center"/>
          </w:tcPr>
          <w:p w14:paraId="087F8DC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3339B54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0.17</w:t>
            </w:r>
          </w:p>
        </w:tc>
        <w:tc>
          <w:tcPr>
            <w:tcW w:w="367" w:type="pct"/>
            <w:shd w:val="clear" w:color="auto" w:fill="auto"/>
            <w:vAlign w:val="center"/>
          </w:tcPr>
          <w:p w14:paraId="4FD4DEC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0.02</w:t>
            </w:r>
          </w:p>
        </w:tc>
        <w:tc>
          <w:tcPr>
            <w:tcW w:w="461" w:type="pct"/>
            <w:shd w:val="clear" w:color="auto" w:fill="auto"/>
            <w:vAlign w:val="center"/>
          </w:tcPr>
          <w:p w14:paraId="6E39C87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66</w:t>
            </w:r>
          </w:p>
        </w:tc>
        <w:tc>
          <w:tcPr>
            <w:tcW w:w="462" w:type="pct"/>
            <w:shd w:val="clear" w:color="auto" w:fill="auto"/>
            <w:vAlign w:val="center"/>
          </w:tcPr>
          <w:p w14:paraId="2B58750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316.1</w:t>
            </w:r>
          </w:p>
        </w:tc>
      </w:tr>
      <w:tr w14:paraId="3AADB0F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131C99F">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26C1BEB7">
            <w:pPr>
              <w:adjustRightInd w:val="0"/>
              <w:snapToGrid w:val="0"/>
              <w:spacing w:line="240" w:lineRule="auto"/>
              <w:ind w:firstLine="0" w:firstLineChars="0"/>
              <w:jc w:val="center"/>
              <w:rPr>
                <w:sz w:val="21"/>
                <w:szCs w:val="21"/>
                <w:lang w:eastAsia="en-US"/>
              </w:rPr>
            </w:pPr>
            <w:r>
              <w:rPr>
                <w:sz w:val="21"/>
                <w:szCs w:val="21"/>
                <w:lang w:eastAsia="en-US"/>
              </w:rPr>
              <w:t>新疆佳宇恒能源科技有限公司</w:t>
            </w:r>
          </w:p>
        </w:tc>
        <w:tc>
          <w:tcPr>
            <w:tcW w:w="300" w:type="pct"/>
            <w:shd w:val="clear" w:color="auto" w:fill="auto"/>
            <w:vAlign w:val="center"/>
          </w:tcPr>
          <w:p w14:paraId="642F090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9.84</w:t>
            </w:r>
          </w:p>
        </w:tc>
        <w:tc>
          <w:tcPr>
            <w:tcW w:w="300" w:type="pct"/>
            <w:shd w:val="clear" w:color="auto" w:fill="auto"/>
            <w:vAlign w:val="center"/>
          </w:tcPr>
          <w:p w14:paraId="3E5D58F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8.15</w:t>
            </w:r>
          </w:p>
        </w:tc>
        <w:tc>
          <w:tcPr>
            <w:tcW w:w="301" w:type="pct"/>
            <w:shd w:val="clear" w:color="auto" w:fill="auto"/>
            <w:vAlign w:val="center"/>
          </w:tcPr>
          <w:p w14:paraId="11F8AC18">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37E5A299">
            <w:pPr>
              <w:adjustRightInd w:val="0"/>
              <w:snapToGrid w:val="0"/>
              <w:spacing w:line="240" w:lineRule="auto"/>
              <w:ind w:firstLine="0" w:firstLineChars="0"/>
              <w:jc w:val="center"/>
              <w:rPr>
                <w:sz w:val="21"/>
                <w:szCs w:val="21"/>
                <w:lang w:eastAsia="en-US"/>
              </w:rPr>
            </w:pPr>
          </w:p>
        </w:tc>
        <w:tc>
          <w:tcPr>
            <w:tcW w:w="301" w:type="pct"/>
            <w:shd w:val="clear" w:color="auto" w:fill="auto"/>
            <w:vAlign w:val="center"/>
          </w:tcPr>
          <w:p w14:paraId="1081683B">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7AD14BD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w:t>
            </w:r>
          </w:p>
        </w:tc>
        <w:tc>
          <w:tcPr>
            <w:tcW w:w="366" w:type="pct"/>
            <w:shd w:val="clear" w:color="auto" w:fill="auto"/>
            <w:vAlign w:val="center"/>
          </w:tcPr>
          <w:p w14:paraId="028E720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11.64</w:t>
            </w:r>
          </w:p>
        </w:tc>
        <w:tc>
          <w:tcPr>
            <w:tcW w:w="367" w:type="pct"/>
            <w:shd w:val="clear" w:color="auto" w:fill="auto"/>
            <w:vAlign w:val="center"/>
          </w:tcPr>
          <w:p w14:paraId="1823CD8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4.85</w:t>
            </w:r>
          </w:p>
        </w:tc>
        <w:tc>
          <w:tcPr>
            <w:tcW w:w="461" w:type="pct"/>
            <w:shd w:val="clear" w:color="auto" w:fill="auto"/>
            <w:vAlign w:val="center"/>
          </w:tcPr>
          <w:p w14:paraId="3EB781A7">
            <w:pPr>
              <w:adjustRightInd w:val="0"/>
              <w:snapToGrid w:val="0"/>
              <w:spacing w:line="240" w:lineRule="auto"/>
              <w:ind w:firstLine="0" w:firstLineChars="0"/>
              <w:jc w:val="center"/>
              <w:rPr>
                <w:sz w:val="21"/>
                <w:szCs w:val="21"/>
                <w:lang w:eastAsia="en-US"/>
              </w:rPr>
            </w:pPr>
          </w:p>
        </w:tc>
        <w:tc>
          <w:tcPr>
            <w:tcW w:w="462" w:type="pct"/>
            <w:shd w:val="clear" w:color="auto" w:fill="auto"/>
            <w:vAlign w:val="center"/>
          </w:tcPr>
          <w:p w14:paraId="76358E72">
            <w:pPr>
              <w:adjustRightInd w:val="0"/>
              <w:snapToGrid w:val="0"/>
              <w:spacing w:line="240" w:lineRule="auto"/>
              <w:ind w:firstLine="0" w:firstLineChars="0"/>
              <w:jc w:val="center"/>
              <w:rPr>
                <w:sz w:val="21"/>
                <w:szCs w:val="21"/>
                <w:lang w:eastAsia="en-US"/>
              </w:rPr>
            </w:pPr>
          </w:p>
        </w:tc>
      </w:tr>
      <w:tr w14:paraId="279FDB34">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7D88981">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1D865BC">
            <w:pPr>
              <w:adjustRightInd w:val="0"/>
              <w:snapToGrid w:val="0"/>
              <w:spacing w:line="240" w:lineRule="auto"/>
              <w:ind w:firstLine="0" w:firstLineChars="0"/>
              <w:jc w:val="center"/>
              <w:rPr>
                <w:sz w:val="21"/>
                <w:szCs w:val="21"/>
                <w:lang w:eastAsia="en-US"/>
              </w:rPr>
            </w:pPr>
            <w:r>
              <w:rPr>
                <w:sz w:val="21"/>
                <w:szCs w:val="21"/>
                <w:lang w:eastAsia="en-US"/>
              </w:rPr>
              <w:t>新疆新港金源肥料科技有限公司</w:t>
            </w:r>
          </w:p>
        </w:tc>
        <w:tc>
          <w:tcPr>
            <w:tcW w:w="300" w:type="pct"/>
            <w:shd w:val="clear" w:color="auto" w:fill="auto"/>
            <w:vAlign w:val="center"/>
          </w:tcPr>
          <w:p w14:paraId="0253A301">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00175010">
            <w:pPr>
              <w:adjustRightInd w:val="0"/>
              <w:snapToGrid w:val="0"/>
              <w:spacing w:line="240" w:lineRule="auto"/>
              <w:ind w:firstLine="0" w:firstLineChars="0"/>
              <w:jc w:val="center"/>
              <w:rPr>
                <w:sz w:val="21"/>
                <w:szCs w:val="21"/>
                <w:lang w:eastAsia="en-US"/>
              </w:rPr>
            </w:pPr>
          </w:p>
        </w:tc>
        <w:tc>
          <w:tcPr>
            <w:tcW w:w="301" w:type="pct"/>
            <w:shd w:val="clear" w:color="auto" w:fill="auto"/>
            <w:vAlign w:val="center"/>
          </w:tcPr>
          <w:p w14:paraId="32B8AD22">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52308B7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1.15</w:t>
            </w:r>
          </w:p>
        </w:tc>
        <w:tc>
          <w:tcPr>
            <w:tcW w:w="301" w:type="pct"/>
            <w:shd w:val="clear" w:color="auto" w:fill="auto"/>
            <w:vAlign w:val="center"/>
          </w:tcPr>
          <w:p w14:paraId="4794C7A8">
            <w:pPr>
              <w:adjustRightInd w:val="0"/>
              <w:snapToGrid w:val="0"/>
              <w:spacing w:line="240" w:lineRule="auto"/>
              <w:ind w:firstLine="0" w:firstLineChars="0"/>
              <w:jc w:val="center"/>
              <w:rPr>
                <w:sz w:val="21"/>
                <w:szCs w:val="21"/>
                <w:lang w:eastAsia="en-US"/>
              </w:rPr>
            </w:pPr>
          </w:p>
        </w:tc>
        <w:tc>
          <w:tcPr>
            <w:tcW w:w="366" w:type="pct"/>
            <w:shd w:val="clear" w:color="auto" w:fill="auto"/>
            <w:vAlign w:val="center"/>
          </w:tcPr>
          <w:p w14:paraId="3C9D583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w:t>
            </w:r>
          </w:p>
        </w:tc>
        <w:tc>
          <w:tcPr>
            <w:tcW w:w="366" w:type="pct"/>
            <w:shd w:val="clear" w:color="auto" w:fill="auto"/>
            <w:vAlign w:val="center"/>
          </w:tcPr>
          <w:p w14:paraId="5C918A0C">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735510B4">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71E1B66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100</w:t>
            </w:r>
          </w:p>
        </w:tc>
        <w:tc>
          <w:tcPr>
            <w:tcW w:w="462" w:type="pct"/>
            <w:shd w:val="clear" w:color="auto" w:fill="auto"/>
            <w:vAlign w:val="center"/>
          </w:tcPr>
          <w:p w14:paraId="72B858EC">
            <w:pPr>
              <w:adjustRightInd w:val="0"/>
              <w:snapToGrid w:val="0"/>
              <w:spacing w:line="240" w:lineRule="auto"/>
              <w:ind w:firstLine="0" w:firstLineChars="0"/>
              <w:jc w:val="center"/>
              <w:rPr>
                <w:sz w:val="21"/>
                <w:szCs w:val="21"/>
                <w:lang w:eastAsia="en-US"/>
              </w:rPr>
            </w:pPr>
          </w:p>
        </w:tc>
      </w:tr>
      <w:tr w14:paraId="2ADB8343">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7CD4C17">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1015A422">
            <w:pPr>
              <w:adjustRightInd w:val="0"/>
              <w:snapToGrid w:val="0"/>
              <w:spacing w:line="240" w:lineRule="auto"/>
              <w:ind w:firstLine="0" w:firstLineChars="0"/>
              <w:jc w:val="center"/>
              <w:rPr>
                <w:sz w:val="21"/>
                <w:szCs w:val="21"/>
              </w:rPr>
            </w:pPr>
            <w:r>
              <w:rPr>
                <w:sz w:val="21"/>
                <w:szCs w:val="21"/>
              </w:rPr>
              <w:t>克拉玛依宝鼎能源有限公司</w:t>
            </w:r>
          </w:p>
        </w:tc>
        <w:tc>
          <w:tcPr>
            <w:tcW w:w="300" w:type="pct"/>
            <w:shd w:val="clear" w:color="auto" w:fill="auto"/>
            <w:vAlign w:val="center"/>
          </w:tcPr>
          <w:p w14:paraId="71816387">
            <w:pPr>
              <w:adjustRightInd w:val="0"/>
              <w:snapToGrid w:val="0"/>
              <w:spacing w:line="240" w:lineRule="auto"/>
              <w:ind w:firstLine="0" w:firstLineChars="0"/>
              <w:jc w:val="center"/>
              <w:rPr>
                <w:sz w:val="21"/>
                <w:szCs w:val="21"/>
              </w:rPr>
            </w:pPr>
          </w:p>
        </w:tc>
        <w:tc>
          <w:tcPr>
            <w:tcW w:w="300" w:type="pct"/>
            <w:shd w:val="clear" w:color="auto" w:fill="auto"/>
            <w:vAlign w:val="center"/>
          </w:tcPr>
          <w:p w14:paraId="1C8E6597">
            <w:pPr>
              <w:adjustRightInd w:val="0"/>
              <w:snapToGrid w:val="0"/>
              <w:spacing w:line="240" w:lineRule="auto"/>
              <w:ind w:firstLine="0" w:firstLineChars="0"/>
              <w:jc w:val="center"/>
              <w:rPr>
                <w:sz w:val="21"/>
                <w:szCs w:val="21"/>
              </w:rPr>
            </w:pPr>
          </w:p>
        </w:tc>
        <w:tc>
          <w:tcPr>
            <w:tcW w:w="301" w:type="pct"/>
            <w:shd w:val="clear" w:color="auto" w:fill="auto"/>
            <w:vAlign w:val="center"/>
          </w:tcPr>
          <w:p w14:paraId="0412AEA2">
            <w:pPr>
              <w:adjustRightInd w:val="0"/>
              <w:snapToGrid w:val="0"/>
              <w:spacing w:line="240" w:lineRule="auto"/>
              <w:ind w:firstLine="0" w:firstLineChars="0"/>
              <w:jc w:val="center"/>
              <w:rPr>
                <w:sz w:val="21"/>
                <w:szCs w:val="21"/>
              </w:rPr>
            </w:pPr>
          </w:p>
        </w:tc>
        <w:tc>
          <w:tcPr>
            <w:tcW w:w="300" w:type="pct"/>
            <w:shd w:val="clear" w:color="auto" w:fill="auto"/>
            <w:vAlign w:val="center"/>
          </w:tcPr>
          <w:p w14:paraId="06F50D4C">
            <w:pPr>
              <w:adjustRightInd w:val="0"/>
              <w:snapToGrid w:val="0"/>
              <w:spacing w:line="240" w:lineRule="auto"/>
              <w:ind w:firstLine="0" w:firstLineChars="0"/>
              <w:jc w:val="center"/>
              <w:rPr>
                <w:sz w:val="21"/>
                <w:szCs w:val="21"/>
              </w:rPr>
            </w:pPr>
          </w:p>
        </w:tc>
        <w:tc>
          <w:tcPr>
            <w:tcW w:w="301" w:type="pct"/>
            <w:shd w:val="clear" w:color="auto" w:fill="auto"/>
            <w:vAlign w:val="center"/>
          </w:tcPr>
          <w:p w14:paraId="40D7E22F">
            <w:pPr>
              <w:adjustRightInd w:val="0"/>
              <w:snapToGrid w:val="0"/>
              <w:spacing w:line="240" w:lineRule="auto"/>
              <w:ind w:firstLine="0" w:firstLineChars="0"/>
              <w:jc w:val="center"/>
              <w:rPr>
                <w:sz w:val="21"/>
                <w:szCs w:val="21"/>
              </w:rPr>
            </w:pPr>
          </w:p>
        </w:tc>
        <w:tc>
          <w:tcPr>
            <w:tcW w:w="366" w:type="pct"/>
            <w:shd w:val="clear" w:color="auto" w:fill="auto"/>
            <w:vAlign w:val="center"/>
          </w:tcPr>
          <w:p w14:paraId="031EA3A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7AF9CE35">
            <w:pPr>
              <w:adjustRightInd w:val="0"/>
              <w:snapToGrid w:val="0"/>
              <w:spacing w:line="240" w:lineRule="auto"/>
              <w:ind w:firstLine="0" w:firstLineChars="0"/>
              <w:jc w:val="center"/>
              <w:rPr>
                <w:sz w:val="21"/>
                <w:szCs w:val="21"/>
                <w:lang w:eastAsia="en-US"/>
              </w:rPr>
            </w:pPr>
          </w:p>
        </w:tc>
        <w:tc>
          <w:tcPr>
            <w:tcW w:w="367" w:type="pct"/>
            <w:shd w:val="clear" w:color="auto" w:fill="auto"/>
            <w:vAlign w:val="center"/>
          </w:tcPr>
          <w:p w14:paraId="40384B54">
            <w:pPr>
              <w:adjustRightInd w:val="0"/>
              <w:snapToGrid w:val="0"/>
              <w:spacing w:line="240" w:lineRule="auto"/>
              <w:ind w:firstLine="0" w:firstLineChars="0"/>
              <w:jc w:val="center"/>
              <w:rPr>
                <w:sz w:val="21"/>
                <w:szCs w:val="21"/>
                <w:lang w:eastAsia="en-US"/>
              </w:rPr>
            </w:pPr>
          </w:p>
        </w:tc>
        <w:tc>
          <w:tcPr>
            <w:tcW w:w="461" w:type="pct"/>
            <w:shd w:val="clear" w:color="auto" w:fill="auto"/>
            <w:vAlign w:val="center"/>
          </w:tcPr>
          <w:p w14:paraId="3A05650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184</w:t>
            </w:r>
          </w:p>
        </w:tc>
        <w:tc>
          <w:tcPr>
            <w:tcW w:w="462" w:type="pct"/>
            <w:shd w:val="clear" w:color="auto" w:fill="auto"/>
            <w:vAlign w:val="center"/>
          </w:tcPr>
          <w:p w14:paraId="78DD2DE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0.76</w:t>
            </w:r>
          </w:p>
        </w:tc>
      </w:tr>
      <w:tr w14:paraId="0B53DD46">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05E510F">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185671E">
            <w:pPr>
              <w:adjustRightInd w:val="0"/>
              <w:snapToGrid w:val="0"/>
              <w:spacing w:line="240" w:lineRule="auto"/>
              <w:ind w:firstLine="0" w:firstLineChars="0"/>
              <w:jc w:val="center"/>
              <w:rPr>
                <w:sz w:val="21"/>
                <w:szCs w:val="21"/>
              </w:rPr>
            </w:pPr>
            <w:r>
              <w:rPr>
                <w:sz w:val="21"/>
                <w:szCs w:val="21"/>
              </w:rPr>
              <w:t>克拉玛依路博化工有限公司</w:t>
            </w:r>
          </w:p>
        </w:tc>
        <w:tc>
          <w:tcPr>
            <w:tcW w:w="300" w:type="pct"/>
            <w:shd w:val="clear" w:color="auto" w:fill="auto"/>
            <w:vAlign w:val="center"/>
          </w:tcPr>
          <w:p w14:paraId="53E0AFF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3.26</w:t>
            </w:r>
          </w:p>
        </w:tc>
        <w:tc>
          <w:tcPr>
            <w:tcW w:w="300" w:type="pct"/>
            <w:shd w:val="clear" w:color="auto" w:fill="auto"/>
            <w:vAlign w:val="center"/>
          </w:tcPr>
          <w:p w14:paraId="324982C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1.02</w:t>
            </w:r>
          </w:p>
        </w:tc>
        <w:tc>
          <w:tcPr>
            <w:tcW w:w="301" w:type="pct"/>
            <w:shd w:val="clear" w:color="auto" w:fill="auto"/>
            <w:vAlign w:val="center"/>
          </w:tcPr>
          <w:p w14:paraId="5BBB2CAE">
            <w:pPr>
              <w:adjustRightInd w:val="0"/>
              <w:snapToGrid w:val="0"/>
              <w:spacing w:line="240" w:lineRule="auto"/>
              <w:ind w:firstLine="0" w:firstLineChars="0"/>
              <w:jc w:val="center"/>
              <w:rPr>
                <w:sz w:val="21"/>
                <w:szCs w:val="21"/>
                <w:lang w:eastAsia="en-US"/>
              </w:rPr>
            </w:pPr>
          </w:p>
        </w:tc>
        <w:tc>
          <w:tcPr>
            <w:tcW w:w="300" w:type="pct"/>
            <w:shd w:val="clear" w:color="auto" w:fill="auto"/>
            <w:vAlign w:val="center"/>
          </w:tcPr>
          <w:p w14:paraId="5618BBF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2.28</w:t>
            </w:r>
          </w:p>
        </w:tc>
        <w:tc>
          <w:tcPr>
            <w:tcW w:w="301" w:type="pct"/>
            <w:shd w:val="clear" w:color="auto" w:fill="auto"/>
            <w:vAlign w:val="center"/>
          </w:tcPr>
          <w:p w14:paraId="2040DBC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6.32</w:t>
            </w:r>
          </w:p>
        </w:tc>
        <w:tc>
          <w:tcPr>
            <w:tcW w:w="366" w:type="pct"/>
            <w:shd w:val="clear" w:color="auto" w:fill="auto"/>
            <w:vAlign w:val="center"/>
          </w:tcPr>
          <w:p w14:paraId="6418A29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w:t>
            </w:r>
          </w:p>
        </w:tc>
        <w:tc>
          <w:tcPr>
            <w:tcW w:w="366" w:type="pct"/>
            <w:shd w:val="clear" w:color="auto" w:fill="auto"/>
            <w:vAlign w:val="center"/>
          </w:tcPr>
          <w:p w14:paraId="6620829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1.9</w:t>
            </w:r>
          </w:p>
        </w:tc>
        <w:tc>
          <w:tcPr>
            <w:tcW w:w="367" w:type="pct"/>
            <w:shd w:val="clear" w:color="auto" w:fill="auto"/>
            <w:vAlign w:val="center"/>
          </w:tcPr>
          <w:p w14:paraId="71B0B08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0.38</w:t>
            </w:r>
          </w:p>
        </w:tc>
        <w:tc>
          <w:tcPr>
            <w:tcW w:w="461" w:type="pct"/>
            <w:shd w:val="clear" w:color="auto" w:fill="auto"/>
            <w:vAlign w:val="center"/>
          </w:tcPr>
          <w:p w14:paraId="40366D8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3.13</w:t>
            </w:r>
          </w:p>
        </w:tc>
        <w:tc>
          <w:tcPr>
            <w:tcW w:w="462" w:type="pct"/>
            <w:shd w:val="clear" w:color="auto" w:fill="auto"/>
            <w:vAlign w:val="center"/>
          </w:tcPr>
          <w:p w14:paraId="637F5AB1">
            <w:pPr>
              <w:adjustRightInd w:val="0"/>
              <w:snapToGrid w:val="0"/>
              <w:spacing w:line="240" w:lineRule="auto"/>
              <w:ind w:firstLine="0" w:firstLineChars="0"/>
              <w:jc w:val="center"/>
              <w:rPr>
                <w:sz w:val="21"/>
                <w:szCs w:val="21"/>
                <w:lang w:eastAsia="en-US"/>
              </w:rPr>
            </w:pPr>
          </w:p>
        </w:tc>
      </w:tr>
      <w:tr w14:paraId="0B03805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442077F8">
            <w:pPr>
              <w:numPr>
                <w:ilvl w:val="0"/>
                <w:numId w:val="21"/>
              </w:numPr>
              <w:adjustRightInd w:val="0"/>
              <w:snapToGrid w:val="0"/>
              <w:spacing w:line="240" w:lineRule="auto"/>
              <w:ind w:firstLineChars="0"/>
              <w:jc w:val="center"/>
              <w:rPr>
                <w:rFonts w:eastAsia="Times New Roman"/>
                <w:sz w:val="21"/>
                <w:szCs w:val="21"/>
                <w:lang w:eastAsia="en-US"/>
              </w:rPr>
            </w:pPr>
          </w:p>
        </w:tc>
        <w:tc>
          <w:tcPr>
            <w:tcW w:w="1285" w:type="pct"/>
            <w:shd w:val="clear" w:color="auto" w:fill="auto"/>
            <w:vAlign w:val="center"/>
          </w:tcPr>
          <w:p w14:paraId="4EECC09E">
            <w:pPr>
              <w:adjustRightInd w:val="0"/>
              <w:snapToGrid w:val="0"/>
              <w:spacing w:line="240" w:lineRule="auto"/>
              <w:ind w:firstLine="0" w:firstLineChars="0"/>
              <w:jc w:val="center"/>
              <w:rPr>
                <w:sz w:val="21"/>
                <w:szCs w:val="21"/>
              </w:rPr>
            </w:pPr>
            <w:r>
              <w:rPr>
                <w:sz w:val="21"/>
                <w:szCs w:val="21"/>
              </w:rPr>
              <w:t>克拉玛依科堡润滑油有限公司</w:t>
            </w:r>
          </w:p>
        </w:tc>
        <w:tc>
          <w:tcPr>
            <w:tcW w:w="300" w:type="pct"/>
            <w:shd w:val="clear" w:color="auto" w:fill="auto"/>
            <w:vAlign w:val="center"/>
          </w:tcPr>
          <w:p w14:paraId="315CBD7B">
            <w:pPr>
              <w:adjustRightInd w:val="0"/>
              <w:snapToGrid w:val="0"/>
              <w:spacing w:line="240" w:lineRule="auto"/>
              <w:ind w:firstLine="0" w:firstLineChars="0"/>
              <w:jc w:val="center"/>
              <w:rPr>
                <w:sz w:val="21"/>
                <w:szCs w:val="21"/>
              </w:rPr>
            </w:pPr>
          </w:p>
        </w:tc>
        <w:tc>
          <w:tcPr>
            <w:tcW w:w="300" w:type="pct"/>
            <w:shd w:val="clear" w:color="auto" w:fill="auto"/>
            <w:vAlign w:val="center"/>
          </w:tcPr>
          <w:p w14:paraId="139F7F6E">
            <w:pPr>
              <w:adjustRightInd w:val="0"/>
              <w:snapToGrid w:val="0"/>
              <w:spacing w:line="240" w:lineRule="auto"/>
              <w:ind w:firstLine="0" w:firstLineChars="0"/>
              <w:jc w:val="center"/>
              <w:rPr>
                <w:sz w:val="21"/>
                <w:szCs w:val="21"/>
              </w:rPr>
            </w:pPr>
          </w:p>
        </w:tc>
        <w:tc>
          <w:tcPr>
            <w:tcW w:w="301" w:type="pct"/>
            <w:shd w:val="clear" w:color="auto" w:fill="auto"/>
            <w:vAlign w:val="center"/>
          </w:tcPr>
          <w:p w14:paraId="40D380E1">
            <w:pPr>
              <w:adjustRightInd w:val="0"/>
              <w:snapToGrid w:val="0"/>
              <w:spacing w:line="240" w:lineRule="auto"/>
              <w:ind w:firstLine="0" w:firstLineChars="0"/>
              <w:jc w:val="center"/>
              <w:rPr>
                <w:sz w:val="21"/>
                <w:szCs w:val="21"/>
              </w:rPr>
            </w:pPr>
          </w:p>
        </w:tc>
        <w:tc>
          <w:tcPr>
            <w:tcW w:w="300" w:type="pct"/>
            <w:shd w:val="clear" w:color="auto" w:fill="auto"/>
            <w:vAlign w:val="center"/>
          </w:tcPr>
          <w:p w14:paraId="55220CB7">
            <w:pPr>
              <w:adjustRightInd w:val="0"/>
              <w:snapToGrid w:val="0"/>
              <w:spacing w:line="240" w:lineRule="auto"/>
              <w:ind w:firstLine="0" w:firstLineChars="0"/>
              <w:jc w:val="center"/>
              <w:rPr>
                <w:sz w:val="21"/>
                <w:szCs w:val="21"/>
              </w:rPr>
            </w:pPr>
          </w:p>
        </w:tc>
        <w:tc>
          <w:tcPr>
            <w:tcW w:w="301" w:type="pct"/>
            <w:shd w:val="clear" w:color="auto" w:fill="auto"/>
            <w:vAlign w:val="center"/>
          </w:tcPr>
          <w:p w14:paraId="0E2B075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0.18</w:t>
            </w:r>
          </w:p>
        </w:tc>
        <w:tc>
          <w:tcPr>
            <w:tcW w:w="366" w:type="pct"/>
            <w:shd w:val="clear" w:color="auto" w:fill="auto"/>
            <w:vAlign w:val="center"/>
          </w:tcPr>
          <w:p w14:paraId="54FF462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66" w:type="pct"/>
            <w:shd w:val="clear" w:color="auto" w:fill="auto"/>
            <w:vAlign w:val="center"/>
          </w:tcPr>
          <w:p w14:paraId="4545279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2.08</w:t>
            </w:r>
          </w:p>
        </w:tc>
        <w:tc>
          <w:tcPr>
            <w:tcW w:w="367" w:type="pct"/>
            <w:shd w:val="clear" w:color="auto" w:fill="auto"/>
            <w:vAlign w:val="center"/>
          </w:tcPr>
          <w:p w14:paraId="69DE07A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0.41</w:t>
            </w:r>
          </w:p>
        </w:tc>
        <w:tc>
          <w:tcPr>
            <w:tcW w:w="461" w:type="pct"/>
            <w:shd w:val="clear" w:color="auto" w:fill="auto"/>
            <w:vAlign w:val="center"/>
          </w:tcPr>
          <w:p w14:paraId="68F72BE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1.75</w:t>
            </w:r>
          </w:p>
        </w:tc>
        <w:tc>
          <w:tcPr>
            <w:tcW w:w="462" w:type="pct"/>
            <w:shd w:val="clear" w:color="auto" w:fill="auto"/>
            <w:vAlign w:val="center"/>
          </w:tcPr>
          <w:p w14:paraId="6E313BA2">
            <w:pPr>
              <w:adjustRightInd w:val="0"/>
              <w:snapToGrid w:val="0"/>
              <w:spacing w:line="240" w:lineRule="auto"/>
              <w:ind w:firstLine="0" w:firstLineChars="0"/>
              <w:jc w:val="center"/>
              <w:rPr>
                <w:sz w:val="21"/>
                <w:szCs w:val="21"/>
                <w:lang w:eastAsia="en-US"/>
              </w:rPr>
            </w:pPr>
          </w:p>
        </w:tc>
      </w:tr>
      <w:tr w14:paraId="3FDB8EA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D226EB9">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1257610F">
            <w:pPr>
              <w:pStyle w:val="58"/>
              <w:adjustRightInd w:val="0"/>
              <w:snapToGrid w:val="0"/>
              <w:jc w:val="center"/>
              <w:rPr>
                <w:rFonts w:ascii="宋体" w:hAnsi="宋体" w:cs="宋体"/>
                <w:sz w:val="21"/>
                <w:szCs w:val="21"/>
                <w:lang w:eastAsia="zh-CN"/>
              </w:rPr>
            </w:pPr>
            <w:r>
              <w:rPr>
                <w:rFonts w:ascii="宋体" w:hAnsi="宋体" w:cs="宋体"/>
                <w:sz w:val="21"/>
                <w:szCs w:val="21"/>
                <w:lang w:eastAsia="zh-CN"/>
              </w:rPr>
              <w:t>新疆锦贸鑫能源有限公司</w:t>
            </w:r>
          </w:p>
        </w:tc>
        <w:tc>
          <w:tcPr>
            <w:tcW w:w="300" w:type="pct"/>
            <w:shd w:val="clear" w:color="auto" w:fill="auto"/>
            <w:vAlign w:val="center"/>
          </w:tcPr>
          <w:p w14:paraId="5FCA9B17">
            <w:pPr>
              <w:pStyle w:val="58"/>
              <w:adjustRightInd w:val="0"/>
              <w:snapToGrid w:val="0"/>
              <w:jc w:val="center"/>
              <w:rPr>
                <w:rFonts w:ascii="Times New Roman" w:hAnsi="Times New Roman" w:eastAsia="Times New Roman"/>
                <w:sz w:val="21"/>
                <w:szCs w:val="21"/>
              </w:rPr>
            </w:pPr>
            <w:r>
              <w:rPr>
                <w:rFonts w:ascii="Times New Roman"/>
                <w:sz w:val="21"/>
                <w:szCs w:val="21"/>
              </w:rPr>
              <w:t>20.1</w:t>
            </w:r>
          </w:p>
        </w:tc>
        <w:tc>
          <w:tcPr>
            <w:tcW w:w="300" w:type="pct"/>
            <w:shd w:val="clear" w:color="auto" w:fill="auto"/>
            <w:vAlign w:val="center"/>
          </w:tcPr>
          <w:p w14:paraId="1F6D1F0C">
            <w:pPr>
              <w:pStyle w:val="58"/>
              <w:adjustRightInd w:val="0"/>
              <w:snapToGrid w:val="0"/>
              <w:jc w:val="center"/>
              <w:rPr>
                <w:rFonts w:ascii="Times New Roman" w:hAnsi="Times New Roman" w:eastAsia="Times New Roman"/>
                <w:sz w:val="21"/>
                <w:szCs w:val="21"/>
              </w:rPr>
            </w:pPr>
            <w:r>
              <w:rPr>
                <w:rFonts w:ascii="Times New Roman"/>
                <w:sz w:val="21"/>
                <w:szCs w:val="21"/>
              </w:rPr>
              <w:t>10.8</w:t>
            </w:r>
          </w:p>
        </w:tc>
        <w:tc>
          <w:tcPr>
            <w:tcW w:w="301" w:type="pct"/>
            <w:shd w:val="clear" w:color="auto" w:fill="auto"/>
            <w:vAlign w:val="center"/>
          </w:tcPr>
          <w:p w14:paraId="25E7216A">
            <w:pPr>
              <w:pStyle w:val="58"/>
              <w:adjustRightInd w:val="0"/>
              <w:snapToGrid w:val="0"/>
              <w:jc w:val="center"/>
              <w:rPr>
                <w:rFonts w:ascii="宋体" w:hAnsi="宋体" w:cs="宋体"/>
                <w:sz w:val="21"/>
                <w:szCs w:val="21"/>
              </w:rPr>
            </w:pPr>
          </w:p>
        </w:tc>
        <w:tc>
          <w:tcPr>
            <w:tcW w:w="300" w:type="pct"/>
            <w:shd w:val="clear" w:color="auto" w:fill="auto"/>
            <w:vAlign w:val="center"/>
          </w:tcPr>
          <w:p w14:paraId="2A611128">
            <w:pPr>
              <w:pStyle w:val="58"/>
              <w:adjustRightInd w:val="0"/>
              <w:snapToGrid w:val="0"/>
              <w:jc w:val="center"/>
              <w:rPr>
                <w:rFonts w:ascii="Times New Roman" w:hAnsi="Times New Roman" w:eastAsia="Times New Roman"/>
                <w:sz w:val="21"/>
                <w:szCs w:val="21"/>
              </w:rPr>
            </w:pPr>
            <w:r>
              <w:rPr>
                <w:rFonts w:ascii="Times New Roman"/>
                <w:sz w:val="21"/>
                <w:szCs w:val="21"/>
              </w:rPr>
              <w:t>9.13</w:t>
            </w:r>
          </w:p>
        </w:tc>
        <w:tc>
          <w:tcPr>
            <w:tcW w:w="301" w:type="pct"/>
            <w:shd w:val="clear" w:color="auto" w:fill="auto"/>
            <w:vAlign w:val="center"/>
          </w:tcPr>
          <w:p w14:paraId="2BE75847">
            <w:pPr>
              <w:pStyle w:val="58"/>
              <w:adjustRightInd w:val="0"/>
              <w:snapToGrid w:val="0"/>
              <w:jc w:val="center"/>
              <w:rPr>
                <w:rFonts w:ascii="Times New Roman" w:hAnsi="Times New Roman" w:eastAsia="Times New Roman"/>
                <w:sz w:val="21"/>
                <w:szCs w:val="21"/>
              </w:rPr>
            </w:pPr>
            <w:r>
              <w:rPr>
                <w:rFonts w:ascii="Times New Roman"/>
                <w:sz w:val="21"/>
                <w:szCs w:val="21"/>
              </w:rPr>
              <w:t>3.26</w:t>
            </w:r>
          </w:p>
        </w:tc>
        <w:tc>
          <w:tcPr>
            <w:tcW w:w="366" w:type="pct"/>
            <w:shd w:val="clear" w:color="auto" w:fill="auto"/>
            <w:vAlign w:val="center"/>
          </w:tcPr>
          <w:p w14:paraId="563395D4">
            <w:pPr>
              <w:pStyle w:val="58"/>
              <w:adjustRightInd w:val="0"/>
              <w:snapToGrid w:val="0"/>
              <w:jc w:val="center"/>
              <w:rPr>
                <w:rFonts w:ascii="Times New Roman" w:hAnsi="Times New Roman" w:eastAsia="Times New Roman"/>
                <w:sz w:val="21"/>
                <w:szCs w:val="21"/>
              </w:rPr>
            </w:pPr>
            <w:r>
              <w:rPr>
                <w:rFonts w:ascii="Times New Roman"/>
                <w:sz w:val="21"/>
                <w:szCs w:val="21"/>
              </w:rPr>
              <w:t>500</w:t>
            </w:r>
          </w:p>
        </w:tc>
        <w:tc>
          <w:tcPr>
            <w:tcW w:w="366" w:type="pct"/>
            <w:shd w:val="clear" w:color="auto" w:fill="auto"/>
            <w:vAlign w:val="center"/>
          </w:tcPr>
          <w:p w14:paraId="2A618063">
            <w:pPr>
              <w:pStyle w:val="58"/>
              <w:adjustRightInd w:val="0"/>
              <w:snapToGrid w:val="0"/>
              <w:jc w:val="center"/>
              <w:rPr>
                <w:rFonts w:ascii="Times New Roman" w:hAnsi="Times New Roman" w:eastAsia="Times New Roman"/>
                <w:sz w:val="21"/>
                <w:szCs w:val="21"/>
              </w:rPr>
            </w:pPr>
            <w:r>
              <w:rPr>
                <w:rFonts w:ascii="Times New Roman"/>
                <w:sz w:val="21"/>
                <w:szCs w:val="21"/>
              </w:rPr>
              <w:t>20.08</w:t>
            </w:r>
          </w:p>
        </w:tc>
        <w:tc>
          <w:tcPr>
            <w:tcW w:w="367" w:type="pct"/>
            <w:shd w:val="clear" w:color="auto" w:fill="auto"/>
            <w:vAlign w:val="center"/>
          </w:tcPr>
          <w:p w14:paraId="3561B361">
            <w:pPr>
              <w:pStyle w:val="58"/>
              <w:adjustRightInd w:val="0"/>
              <w:snapToGrid w:val="0"/>
              <w:jc w:val="center"/>
              <w:rPr>
                <w:rFonts w:ascii="Times New Roman" w:hAnsi="Times New Roman" w:eastAsia="Times New Roman"/>
                <w:sz w:val="21"/>
                <w:szCs w:val="21"/>
              </w:rPr>
            </w:pPr>
            <w:r>
              <w:rPr>
                <w:rFonts w:ascii="Times New Roman"/>
                <w:sz w:val="21"/>
                <w:szCs w:val="21"/>
              </w:rPr>
              <w:t>3.35</w:t>
            </w:r>
          </w:p>
        </w:tc>
        <w:tc>
          <w:tcPr>
            <w:tcW w:w="461" w:type="pct"/>
            <w:shd w:val="clear" w:color="auto" w:fill="auto"/>
            <w:vAlign w:val="center"/>
          </w:tcPr>
          <w:p w14:paraId="3E572480">
            <w:pPr>
              <w:pStyle w:val="58"/>
              <w:adjustRightInd w:val="0"/>
              <w:snapToGrid w:val="0"/>
              <w:jc w:val="center"/>
              <w:rPr>
                <w:rFonts w:ascii="Times New Roman" w:hAnsi="Times New Roman" w:eastAsia="Times New Roman"/>
                <w:sz w:val="21"/>
                <w:szCs w:val="21"/>
              </w:rPr>
            </w:pPr>
            <w:r>
              <w:rPr>
                <w:rFonts w:ascii="Times New Roman"/>
                <w:sz w:val="21"/>
                <w:szCs w:val="21"/>
              </w:rPr>
              <w:t>68.32</w:t>
            </w:r>
          </w:p>
        </w:tc>
        <w:tc>
          <w:tcPr>
            <w:tcW w:w="462" w:type="pct"/>
            <w:shd w:val="clear" w:color="auto" w:fill="auto"/>
            <w:vAlign w:val="center"/>
          </w:tcPr>
          <w:p w14:paraId="49034B67">
            <w:pPr>
              <w:pStyle w:val="58"/>
              <w:adjustRightInd w:val="0"/>
              <w:snapToGrid w:val="0"/>
              <w:jc w:val="center"/>
              <w:rPr>
                <w:rFonts w:ascii="宋体" w:hAnsi="宋体" w:cs="宋体"/>
                <w:sz w:val="21"/>
                <w:szCs w:val="21"/>
              </w:rPr>
            </w:pPr>
          </w:p>
        </w:tc>
      </w:tr>
      <w:tr w14:paraId="1E8601B7">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5EC84759">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33122587">
            <w:pPr>
              <w:pStyle w:val="58"/>
              <w:adjustRightInd w:val="0"/>
              <w:snapToGrid w:val="0"/>
              <w:jc w:val="center"/>
              <w:rPr>
                <w:rFonts w:ascii="宋体" w:hAnsi="宋体" w:cs="宋体"/>
                <w:sz w:val="21"/>
                <w:szCs w:val="21"/>
              </w:rPr>
            </w:pPr>
            <w:r>
              <w:rPr>
                <w:rFonts w:ascii="宋体" w:hAnsi="宋体" w:cs="宋体"/>
                <w:sz w:val="21"/>
                <w:szCs w:val="21"/>
              </w:rPr>
              <w:t>新疆邦德生物科技有限公司</w:t>
            </w:r>
          </w:p>
        </w:tc>
        <w:tc>
          <w:tcPr>
            <w:tcW w:w="300" w:type="pct"/>
            <w:shd w:val="clear" w:color="auto" w:fill="auto"/>
            <w:vAlign w:val="center"/>
          </w:tcPr>
          <w:p w14:paraId="6B9F2F7B">
            <w:pPr>
              <w:pStyle w:val="58"/>
              <w:adjustRightInd w:val="0"/>
              <w:snapToGrid w:val="0"/>
              <w:jc w:val="center"/>
              <w:rPr>
                <w:rFonts w:ascii="Times New Roman" w:hAnsi="Times New Roman" w:eastAsia="Times New Roman"/>
                <w:sz w:val="21"/>
                <w:szCs w:val="21"/>
              </w:rPr>
            </w:pPr>
            <w:r>
              <w:rPr>
                <w:rFonts w:ascii="Times New Roman"/>
                <w:sz w:val="21"/>
                <w:szCs w:val="21"/>
              </w:rPr>
              <w:t>0.29</w:t>
            </w:r>
          </w:p>
        </w:tc>
        <w:tc>
          <w:tcPr>
            <w:tcW w:w="300" w:type="pct"/>
            <w:shd w:val="clear" w:color="auto" w:fill="auto"/>
            <w:vAlign w:val="center"/>
          </w:tcPr>
          <w:p w14:paraId="34F285D6">
            <w:pPr>
              <w:pStyle w:val="58"/>
              <w:adjustRightInd w:val="0"/>
              <w:snapToGrid w:val="0"/>
              <w:jc w:val="center"/>
              <w:rPr>
                <w:rFonts w:ascii="Times New Roman" w:hAnsi="Times New Roman" w:eastAsia="Times New Roman"/>
                <w:sz w:val="21"/>
                <w:szCs w:val="21"/>
              </w:rPr>
            </w:pPr>
            <w:r>
              <w:rPr>
                <w:rFonts w:ascii="Times New Roman"/>
                <w:sz w:val="21"/>
                <w:szCs w:val="21"/>
              </w:rPr>
              <w:t>1.3</w:t>
            </w:r>
          </w:p>
        </w:tc>
        <w:tc>
          <w:tcPr>
            <w:tcW w:w="301" w:type="pct"/>
            <w:shd w:val="clear" w:color="auto" w:fill="auto"/>
            <w:vAlign w:val="center"/>
          </w:tcPr>
          <w:p w14:paraId="07A57BF0">
            <w:pPr>
              <w:pStyle w:val="58"/>
              <w:adjustRightInd w:val="0"/>
              <w:snapToGrid w:val="0"/>
              <w:jc w:val="center"/>
              <w:rPr>
                <w:rFonts w:ascii="宋体" w:hAnsi="宋体" w:cs="宋体"/>
                <w:sz w:val="21"/>
                <w:szCs w:val="21"/>
              </w:rPr>
            </w:pPr>
          </w:p>
        </w:tc>
        <w:tc>
          <w:tcPr>
            <w:tcW w:w="300" w:type="pct"/>
            <w:shd w:val="clear" w:color="auto" w:fill="auto"/>
            <w:vAlign w:val="center"/>
          </w:tcPr>
          <w:p w14:paraId="3C0AF605">
            <w:pPr>
              <w:pStyle w:val="58"/>
              <w:adjustRightInd w:val="0"/>
              <w:snapToGrid w:val="0"/>
              <w:jc w:val="center"/>
              <w:rPr>
                <w:rFonts w:ascii="Times New Roman" w:hAnsi="Times New Roman" w:eastAsia="Times New Roman"/>
                <w:sz w:val="21"/>
                <w:szCs w:val="21"/>
              </w:rPr>
            </w:pPr>
            <w:r>
              <w:rPr>
                <w:rFonts w:ascii="Times New Roman"/>
                <w:sz w:val="21"/>
                <w:szCs w:val="21"/>
              </w:rPr>
              <w:t>0.14</w:t>
            </w:r>
          </w:p>
        </w:tc>
        <w:tc>
          <w:tcPr>
            <w:tcW w:w="301" w:type="pct"/>
            <w:shd w:val="clear" w:color="auto" w:fill="auto"/>
            <w:vAlign w:val="center"/>
          </w:tcPr>
          <w:p w14:paraId="37C01E7E">
            <w:pPr>
              <w:pStyle w:val="58"/>
              <w:adjustRightInd w:val="0"/>
              <w:snapToGrid w:val="0"/>
              <w:jc w:val="center"/>
              <w:rPr>
                <w:rFonts w:ascii="Times New Roman" w:hAnsi="Times New Roman" w:eastAsia="Times New Roman"/>
                <w:sz w:val="21"/>
                <w:szCs w:val="21"/>
              </w:rPr>
            </w:pPr>
            <w:r>
              <w:rPr>
                <w:rFonts w:ascii="Times New Roman"/>
                <w:sz w:val="21"/>
                <w:szCs w:val="21"/>
              </w:rPr>
              <w:t>6.02</w:t>
            </w:r>
          </w:p>
        </w:tc>
        <w:tc>
          <w:tcPr>
            <w:tcW w:w="366" w:type="pct"/>
            <w:shd w:val="clear" w:color="auto" w:fill="auto"/>
            <w:vAlign w:val="center"/>
          </w:tcPr>
          <w:p w14:paraId="2D7EAE7E">
            <w:pPr>
              <w:pStyle w:val="58"/>
              <w:adjustRightInd w:val="0"/>
              <w:snapToGrid w:val="0"/>
              <w:jc w:val="center"/>
              <w:rPr>
                <w:rFonts w:ascii="Times New Roman" w:hAnsi="Times New Roman" w:eastAsia="Times New Roman"/>
                <w:sz w:val="21"/>
                <w:szCs w:val="21"/>
              </w:rPr>
            </w:pPr>
            <w:r>
              <w:rPr>
                <w:rFonts w:ascii="Times New Roman"/>
                <w:sz w:val="21"/>
                <w:szCs w:val="21"/>
              </w:rPr>
              <w:t>50</w:t>
            </w:r>
          </w:p>
        </w:tc>
        <w:tc>
          <w:tcPr>
            <w:tcW w:w="366" w:type="pct"/>
            <w:shd w:val="clear" w:color="auto" w:fill="auto"/>
            <w:vAlign w:val="center"/>
          </w:tcPr>
          <w:p w14:paraId="475A43E9">
            <w:pPr>
              <w:pStyle w:val="58"/>
              <w:adjustRightInd w:val="0"/>
              <w:snapToGrid w:val="0"/>
              <w:jc w:val="center"/>
              <w:rPr>
                <w:rFonts w:ascii="Times New Roman" w:hAnsi="Times New Roman" w:eastAsia="Times New Roman"/>
                <w:sz w:val="21"/>
                <w:szCs w:val="21"/>
              </w:rPr>
            </w:pPr>
            <w:r>
              <w:rPr>
                <w:rFonts w:ascii="Times New Roman"/>
                <w:sz w:val="21"/>
                <w:szCs w:val="21"/>
              </w:rPr>
              <w:t>1.43</w:t>
            </w:r>
          </w:p>
        </w:tc>
        <w:tc>
          <w:tcPr>
            <w:tcW w:w="367" w:type="pct"/>
            <w:shd w:val="clear" w:color="auto" w:fill="auto"/>
            <w:vAlign w:val="center"/>
          </w:tcPr>
          <w:p w14:paraId="3D8DFDC0">
            <w:pPr>
              <w:pStyle w:val="58"/>
              <w:adjustRightInd w:val="0"/>
              <w:snapToGrid w:val="0"/>
              <w:jc w:val="center"/>
              <w:rPr>
                <w:rFonts w:ascii="Times New Roman" w:hAnsi="Times New Roman" w:eastAsia="Times New Roman"/>
                <w:sz w:val="21"/>
                <w:szCs w:val="21"/>
              </w:rPr>
            </w:pPr>
            <w:r>
              <w:rPr>
                <w:rFonts w:ascii="Times New Roman"/>
                <w:sz w:val="21"/>
                <w:szCs w:val="21"/>
              </w:rPr>
              <w:t>0.01</w:t>
            </w:r>
          </w:p>
        </w:tc>
        <w:tc>
          <w:tcPr>
            <w:tcW w:w="461" w:type="pct"/>
            <w:shd w:val="clear" w:color="auto" w:fill="auto"/>
            <w:vAlign w:val="center"/>
          </w:tcPr>
          <w:p w14:paraId="32307736">
            <w:pPr>
              <w:pStyle w:val="58"/>
              <w:adjustRightInd w:val="0"/>
              <w:snapToGrid w:val="0"/>
              <w:jc w:val="center"/>
              <w:rPr>
                <w:rFonts w:ascii="Times New Roman" w:hAnsi="Times New Roman" w:eastAsia="Times New Roman"/>
                <w:sz w:val="21"/>
                <w:szCs w:val="21"/>
              </w:rPr>
            </w:pPr>
            <w:r>
              <w:rPr>
                <w:rFonts w:ascii="Times New Roman"/>
                <w:sz w:val="21"/>
                <w:szCs w:val="21"/>
              </w:rPr>
              <w:t>9</w:t>
            </w:r>
          </w:p>
        </w:tc>
        <w:tc>
          <w:tcPr>
            <w:tcW w:w="462" w:type="pct"/>
            <w:shd w:val="clear" w:color="auto" w:fill="auto"/>
            <w:vAlign w:val="center"/>
          </w:tcPr>
          <w:p w14:paraId="0FFF3B5A">
            <w:pPr>
              <w:pStyle w:val="58"/>
              <w:adjustRightInd w:val="0"/>
              <w:snapToGrid w:val="0"/>
              <w:jc w:val="center"/>
              <w:rPr>
                <w:rFonts w:ascii="宋体" w:hAnsi="宋体" w:cs="宋体"/>
                <w:sz w:val="21"/>
                <w:szCs w:val="21"/>
              </w:rPr>
            </w:pPr>
          </w:p>
        </w:tc>
      </w:tr>
      <w:tr w14:paraId="79DDFA80">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10F8209">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19A0F5B1">
            <w:pPr>
              <w:pStyle w:val="58"/>
              <w:adjustRightInd w:val="0"/>
              <w:snapToGrid w:val="0"/>
              <w:jc w:val="center"/>
              <w:rPr>
                <w:rFonts w:ascii="宋体" w:hAnsi="宋体" w:cs="宋体"/>
                <w:sz w:val="21"/>
                <w:szCs w:val="21"/>
                <w:lang w:eastAsia="zh-CN"/>
              </w:rPr>
            </w:pPr>
            <w:r>
              <w:rPr>
                <w:rFonts w:ascii="宋体" w:hAnsi="宋体" w:cs="宋体"/>
                <w:sz w:val="21"/>
                <w:szCs w:val="21"/>
                <w:lang w:eastAsia="zh-CN"/>
              </w:rPr>
              <w:t>新疆金派危险废物综合处置中心项目</w:t>
            </w:r>
          </w:p>
        </w:tc>
        <w:tc>
          <w:tcPr>
            <w:tcW w:w="300" w:type="pct"/>
            <w:shd w:val="clear" w:color="auto" w:fill="auto"/>
            <w:vAlign w:val="center"/>
          </w:tcPr>
          <w:p w14:paraId="504ECBCE">
            <w:pPr>
              <w:pStyle w:val="58"/>
              <w:adjustRightInd w:val="0"/>
              <w:snapToGrid w:val="0"/>
              <w:jc w:val="center"/>
              <w:rPr>
                <w:rFonts w:ascii="Times New Roman" w:hAnsi="Times New Roman" w:eastAsia="Times New Roman"/>
                <w:sz w:val="21"/>
                <w:szCs w:val="21"/>
              </w:rPr>
            </w:pPr>
            <w:r>
              <w:rPr>
                <w:rFonts w:ascii="Times New Roman"/>
                <w:sz w:val="21"/>
                <w:szCs w:val="21"/>
              </w:rPr>
              <w:t>5.01</w:t>
            </w:r>
          </w:p>
        </w:tc>
        <w:tc>
          <w:tcPr>
            <w:tcW w:w="300" w:type="pct"/>
            <w:shd w:val="clear" w:color="auto" w:fill="auto"/>
            <w:vAlign w:val="center"/>
          </w:tcPr>
          <w:p w14:paraId="4CC67885">
            <w:pPr>
              <w:pStyle w:val="58"/>
              <w:adjustRightInd w:val="0"/>
              <w:snapToGrid w:val="0"/>
              <w:jc w:val="center"/>
              <w:rPr>
                <w:rFonts w:ascii="Times New Roman" w:hAnsi="Times New Roman" w:eastAsia="Times New Roman"/>
                <w:sz w:val="21"/>
                <w:szCs w:val="21"/>
              </w:rPr>
            </w:pPr>
            <w:r>
              <w:rPr>
                <w:rFonts w:ascii="Times New Roman"/>
                <w:sz w:val="21"/>
                <w:szCs w:val="21"/>
              </w:rPr>
              <w:t>9.5</w:t>
            </w:r>
          </w:p>
        </w:tc>
        <w:tc>
          <w:tcPr>
            <w:tcW w:w="301" w:type="pct"/>
            <w:shd w:val="clear" w:color="auto" w:fill="auto"/>
            <w:vAlign w:val="center"/>
          </w:tcPr>
          <w:p w14:paraId="0637EA63">
            <w:pPr>
              <w:pStyle w:val="58"/>
              <w:adjustRightInd w:val="0"/>
              <w:snapToGrid w:val="0"/>
              <w:jc w:val="center"/>
              <w:rPr>
                <w:rFonts w:ascii="Times New Roman" w:hAnsi="Times New Roman" w:eastAsia="Times New Roman"/>
                <w:sz w:val="21"/>
                <w:szCs w:val="21"/>
              </w:rPr>
            </w:pPr>
            <w:r>
              <w:rPr>
                <w:rFonts w:ascii="Times New Roman"/>
                <w:sz w:val="21"/>
                <w:szCs w:val="21"/>
              </w:rPr>
              <w:t>74.5</w:t>
            </w:r>
          </w:p>
        </w:tc>
        <w:tc>
          <w:tcPr>
            <w:tcW w:w="300" w:type="pct"/>
            <w:shd w:val="clear" w:color="auto" w:fill="auto"/>
            <w:vAlign w:val="center"/>
          </w:tcPr>
          <w:p w14:paraId="69D5C7A9">
            <w:pPr>
              <w:pStyle w:val="58"/>
              <w:adjustRightInd w:val="0"/>
              <w:snapToGrid w:val="0"/>
              <w:jc w:val="center"/>
              <w:rPr>
                <w:rFonts w:ascii="宋体" w:hAnsi="宋体" w:cs="宋体"/>
                <w:sz w:val="21"/>
                <w:szCs w:val="21"/>
              </w:rPr>
            </w:pPr>
          </w:p>
        </w:tc>
        <w:tc>
          <w:tcPr>
            <w:tcW w:w="301" w:type="pct"/>
            <w:shd w:val="clear" w:color="auto" w:fill="auto"/>
            <w:vAlign w:val="center"/>
          </w:tcPr>
          <w:p w14:paraId="4CBACC65">
            <w:pPr>
              <w:pStyle w:val="58"/>
              <w:adjustRightInd w:val="0"/>
              <w:snapToGrid w:val="0"/>
              <w:jc w:val="center"/>
              <w:rPr>
                <w:rFonts w:ascii="Times New Roman" w:hAnsi="Times New Roman" w:eastAsia="Times New Roman"/>
                <w:sz w:val="21"/>
                <w:szCs w:val="21"/>
              </w:rPr>
            </w:pPr>
            <w:r>
              <w:rPr>
                <w:rFonts w:ascii="Times New Roman"/>
                <w:sz w:val="21"/>
                <w:szCs w:val="21"/>
              </w:rPr>
              <w:t>9.68</w:t>
            </w:r>
          </w:p>
        </w:tc>
        <w:tc>
          <w:tcPr>
            <w:tcW w:w="366" w:type="pct"/>
            <w:shd w:val="clear" w:color="auto" w:fill="auto"/>
            <w:vAlign w:val="center"/>
          </w:tcPr>
          <w:p w14:paraId="36B5C690">
            <w:pPr>
              <w:pStyle w:val="58"/>
              <w:adjustRightInd w:val="0"/>
              <w:snapToGrid w:val="0"/>
              <w:jc w:val="center"/>
              <w:rPr>
                <w:rFonts w:ascii="Times New Roman" w:hAnsi="Times New Roman" w:eastAsia="Times New Roman"/>
                <w:sz w:val="21"/>
                <w:szCs w:val="21"/>
              </w:rPr>
            </w:pPr>
            <w:r>
              <w:rPr>
                <w:rFonts w:ascii="Times New Roman"/>
                <w:sz w:val="21"/>
                <w:szCs w:val="21"/>
              </w:rPr>
              <w:t>30</w:t>
            </w:r>
          </w:p>
        </w:tc>
        <w:tc>
          <w:tcPr>
            <w:tcW w:w="366" w:type="pct"/>
            <w:shd w:val="clear" w:color="auto" w:fill="auto"/>
            <w:vAlign w:val="center"/>
          </w:tcPr>
          <w:p w14:paraId="21DD764D">
            <w:pPr>
              <w:pStyle w:val="58"/>
              <w:adjustRightInd w:val="0"/>
              <w:snapToGrid w:val="0"/>
              <w:jc w:val="center"/>
              <w:rPr>
                <w:rFonts w:ascii="Times New Roman" w:hAnsi="Times New Roman" w:eastAsia="Times New Roman"/>
                <w:sz w:val="21"/>
                <w:szCs w:val="21"/>
              </w:rPr>
            </w:pPr>
            <w:r>
              <w:rPr>
                <w:rFonts w:ascii="Times New Roman"/>
                <w:sz w:val="21"/>
                <w:szCs w:val="21"/>
              </w:rPr>
              <w:t>3.14</w:t>
            </w:r>
          </w:p>
        </w:tc>
        <w:tc>
          <w:tcPr>
            <w:tcW w:w="367" w:type="pct"/>
            <w:shd w:val="clear" w:color="auto" w:fill="auto"/>
            <w:vAlign w:val="center"/>
          </w:tcPr>
          <w:p w14:paraId="1DEE3647">
            <w:pPr>
              <w:pStyle w:val="58"/>
              <w:adjustRightInd w:val="0"/>
              <w:snapToGrid w:val="0"/>
              <w:jc w:val="center"/>
              <w:rPr>
                <w:rFonts w:ascii="Times New Roman" w:hAnsi="Times New Roman" w:eastAsia="Times New Roman"/>
                <w:sz w:val="21"/>
                <w:szCs w:val="21"/>
              </w:rPr>
            </w:pPr>
            <w:r>
              <w:rPr>
                <w:rFonts w:ascii="Times New Roman"/>
                <w:sz w:val="21"/>
                <w:szCs w:val="21"/>
              </w:rPr>
              <w:t>0.03</w:t>
            </w:r>
          </w:p>
        </w:tc>
        <w:tc>
          <w:tcPr>
            <w:tcW w:w="461" w:type="pct"/>
            <w:shd w:val="clear" w:color="auto" w:fill="auto"/>
            <w:vAlign w:val="center"/>
          </w:tcPr>
          <w:p w14:paraId="0BEC5D21">
            <w:pPr>
              <w:pStyle w:val="58"/>
              <w:adjustRightInd w:val="0"/>
              <w:snapToGrid w:val="0"/>
              <w:jc w:val="center"/>
              <w:rPr>
                <w:rFonts w:ascii="宋体" w:hAnsi="宋体" w:cs="宋体"/>
                <w:sz w:val="21"/>
                <w:szCs w:val="21"/>
              </w:rPr>
            </w:pPr>
          </w:p>
        </w:tc>
        <w:tc>
          <w:tcPr>
            <w:tcW w:w="462" w:type="pct"/>
            <w:shd w:val="clear" w:color="auto" w:fill="auto"/>
            <w:vAlign w:val="center"/>
          </w:tcPr>
          <w:p w14:paraId="2C593DEC">
            <w:pPr>
              <w:pStyle w:val="58"/>
              <w:adjustRightInd w:val="0"/>
              <w:snapToGrid w:val="0"/>
              <w:jc w:val="center"/>
              <w:rPr>
                <w:rFonts w:ascii="宋体" w:hAnsi="宋体" w:cs="宋体"/>
                <w:sz w:val="21"/>
                <w:szCs w:val="21"/>
              </w:rPr>
            </w:pPr>
          </w:p>
        </w:tc>
      </w:tr>
      <w:tr w14:paraId="5BC32CF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6F660DC6">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58120BEB">
            <w:pPr>
              <w:pStyle w:val="58"/>
              <w:adjustRightInd w:val="0"/>
              <w:snapToGrid w:val="0"/>
              <w:jc w:val="center"/>
              <w:rPr>
                <w:rFonts w:ascii="宋体" w:hAnsi="宋体" w:cs="宋体"/>
                <w:sz w:val="21"/>
                <w:szCs w:val="21"/>
              </w:rPr>
            </w:pPr>
            <w:r>
              <w:rPr>
                <w:rFonts w:ascii="宋体" w:hAnsi="宋体" w:cs="宋体"/>
                <w:sz w:val="21"/>
                <w:szCs w:val="21"/>
              </w:rPr>
              <w:t>阳光一诺</w:t>
            </w:r>
          </w:p>
        </w:tc>
        <w:tc>
          <w:tcPr>
            <w:tcW w:w="300" w:type="pct"/>
            <w:shd w:val="clear" w:color="auto" w:fill="auto"/>
            <w:vAlign w:val="center"/>
          </w:tcPr>
          <w:p w14:paraId="67E9EB8F">
            <w:pPr>
              <w:pStyle w:val="58"/>
              <w:adjustRightInd w:val="0"/>
              <w:snapToGrid w:val="0"/>
              <w:jc w:val="center"/>
              <w:rPr>
                <w:rFonts w:ascii="宋体" w:hAnsi="宋体" w:cs="宋体"/>
                <w:sz w:val="21"/>
                <w:szCs w:val="21"/>
              </w:rPr>
            </w:pPr>
          </w:p>
        </w:tc>
        <w:tc>
          <w:tcPr>
            <w:tcW w:w="300" w:type="pct"/>
            <w:shd w:val="clear" w:color="auto" w:fill="auto"/>
            <w:vAlign w:val="center"/>
          </w:tcPr>
          <w:p w14:paraId="0882AF48">
            <w:pPr>
              <w:pStyle w:val="58"/>
              <w:adjustRightInd w:val="0"/>
              <w:snapToGrid w:val="0"/>
              <w:jc w:val="center"/>
              <w:rPr>
                <w:rFonts w:ascii="宋体" w:hAnsi="宋体" w:cs="宋体"/>
                <w:sz w:val="21"/>
                <w:szCs w:val="21"/>
              </w:rPr>
            </w:pPr>
          </w:p>
        </w:tc>
        <w:tc>
          <w:tcPr>
            <w:tcW w:w="301" w:type="pct"/>
            <w:shd w:val="clear" w:color="auto" w:fill="auto"/>
            <w:vAlign w:val="center"/>
          </w:tcPr>
          <w:p w14:paraId="0879A193">
            <w:pPr>
              <w:pStyle w:val="58"/>
              <w:adjustRightInd w:val="0"/>
              <w:snapToGrid w:val="0"/>
              <w:jc w:val="center"/>
              <w:rPr>
                <w:rFonts w:ascii="宋体" w:hAnsi="宋体" w:cs="宋体"/>
                <w:sz w:val="21"/>
                <w:szCs w:val="21"/>
              </w:rPr>
            </w:pPr>
          </w:p>
        </w:tc>
        <w:tc>
          <w:tcPr>
            <w:tcW w:w="300" w:type="pct"/>
            <w:shd w:val="clear" w:color="auto" w:fill="auto"/>
            <w:vAlign w:val="center"/>
          </w:tcPr>
          <w:p w14:paraId="04D4A5CB">
            <w:pPr>
              <w:pStyle w:val="58"/>
              <w:adjustRightInd w:val="0"/>
              <w:snapToGrid w:val="0"/>
              <w:jc w:val="center"/>
              <w:rPr>
                <w:rFonts w:ascii="宋体" w:hAnsi="宋体" w:cs="宋体"/>
                <w:sz w:val="21"/>
                <w:szCs w:val="21"/>
              </w:rPr>
            </w:pPr>
          </w:p>
        </w:tc>
        <w:tc>
          <w:tcPr>
            <w:tcW w:w="301" w:type="pct"/>
            <w:shd w:val="clear" w:color="auto" w:fill="auto"/>
            <w:vAlign w:val="center"/>
          </w:tcPr>
          <w:p w14:paraId="23D4C437">
            <w:pPr>
              <w:pStyle w:val="58"/>
              <w:adjustRightInd w:val="0"/>
              <w:snapToGrid w:val="0"/>
              <w:jc w:val="center"/>
              <w:rPr>
                <w:rFonts w:ascii="宋体" w:hAnsi="宋体" w:cs="宋体"/>
                <w:sz w:val="21"/>
                <w:szCs w:val="21"/>
              </w:rPr>
            </w:pPr>
          </w:p>
        </w:tc>
        <w:tc>
          <w:tcPr>
            <w:tcW w:w="366" w:type="pct"/>
            <w:shd w:val="clear" w:color="auto" w:fill="auto"/>
            <w:vAlign w:val="center"/>
          </w:tcPr>
          <w:p w14:paraId="7E03AD4D">
            <w:pPr>
              <w:pStyle w:val="58"/>
              <w:adjustRightInd w:val="0"/>
              <w:snapToGrid w:val="0"/>
              <w:jc w:val="center"/>
              <w:rPr>
                <w:rFonts w:ascii="Times New Roman" w:hAnsi="Times New Roman" w:eastAsia="Times New Roman"/>
                <w:sz w:val="21"/>
                <w:szCs w:val="21"/>
              </w:rPr>
            </w:pPr>
            <w:r>
              <w:rPr>
                <w:rFonts w:ascii="Times New Roman"/>
                <w:sz w:val="21"/>
                <w:szCs w:val="21"/>
              </w:rPr>
              <w:t>20</w:t>
            </w:r>
          </w:p>
        </w:tc>
        <w:tc>
          <w:tcPr>
            <w:tcW w:w="366" w:type="pct"/>
            <w:shd w:val="clear" w:color="auto" w:fill="auto"/>
            <w:vAlign w:val="center"/>
          </w:tcPr>
          <w:p w14:paraId="1E7AA40B">
            <w:pPr>
              <w:pStyle w:val="58"/>
              <w:adjustRightInd w:val="0"/>
              <w:snapToGrid w:val="0"/>
              <w:jc w:val="center"/>
              <w:rPr>
                <w:rFonts w:ascii="宋体" w:hAnsi="宋体" w:cs="宋体"/>
                <w:sz w:val="21"/>
                <w:szCs w:val="21"/>
              </w:rPr>
            </w:pPr>
          </w:p>
        </w:tc>
        <w:tc>
          <w:tcPr>
            <w:tcW w:w="367" w:type="pct"/>
            <w:shd w:val="clear" w:color="auto" w:fill="auto"/>
            <w:vAlign w:val="center"/>
          </w:tcPr>
          <w:p w14:paraId="4C936063">
            <w:pPr>
              <w:pStyle w:val="58"/>
              <w:adjustRightInd w:val="0"/>
              <w:snapToGrid w:val="0"/>
              <w:jc w:val="center"/>
              <w:rPr>
                <w:rFonts w:ascii="宋体" w:hAnsi="宋体" w:cs="宋体"/>
                <w:sz w:val="21"/>
                <w:szCs w:val="21"/>
              </w:rPr>
            </w:pPr>
          </w:p>
        </w:tc>
        <w:tc>
          <w:tcPr>
            <w:tcW w:w="461" w:type="pct"/>
            <w:shd w:val="clear" w:color="auto" w:fill="auto"/>
            <w:vAlign w:val="center"/>
          </w:tcPr>
          <w:p w14:paraId="10B699AF">
            <w:pPr>
              <w:pStyle w:val="58"/>
              <w:adjustRightInd w:val="0"/>
              <w:snapToGrid w:val="0"/>
              <w:jc w:val="center"/>
              <w:rPr>
                <w:rFonts w:ascii="宋体" w:hAnsi="宋体" w:cs="宋体"/>
                <w:sz w:val="21"/>
                <w:szCs w:val="21"/>
              </w:rPr>
            </w:pPr>
          </w:p>
        </w:tc>
        <w:tc>
          <w:tcPr>
            <w:tcW w:w="462" w:type="pct"/>
            <w:shd w:val="clear" w:color="auto" w:fill="auto"/>
            <w:vAlign w:val="center"/>
          </w:tcPr>
          <w:p w14:paraId="06E37C67">
            <w:pPr>
              <w:pStyle w:val="58"/>
              <w:adjustRightInd w:val="0"/>
              <w:snapToGrid w:val="0"/>
              <w:jc w:val="center"/>
              <w:rPr>
                <w:rFonts w:ascii="宋体" w:hAnsi="宋体" w:cs="宋体"/>
                <w:sz w:val="21"/>
                <w:szCs w:val="21"/>
              </w:rPr>
            </w:pPr>
          </w:p>
        </w:tc>
      </w:tr>
      <w:tr w14:paraId="404145E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7D4F9ACA">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63C2DF6D">
            <w:pPr>
              <w:pStyle w:val="58"/>
              <w:adjustRightInd w:val="0"/>
              <w:snapToGrid w:val="0"/>
              <w:jc w:val="center"/>
              <w:rPr>
                <w:rFonts w:ascii="宋体" w:hAnsi="宋体" w:cs="宋体"/>
                <w:sz w:val="21"/>
                <w:szCs w:val="21"/>
              </w:rPr>
            </w:pPr>
            <w:r>
              <w:rPr>
                <w:rFonts w:ascii="宋体" w:hAnsi="宋体" w:cs="宋体"/>
                <w:sz w:val="21"/>
                <w:szCs w:val="21"/>
              </w:rPr>
              <w:t>锦龙神雾热电厂</w:t>
            </w:r>
          </w:p>
        </w:tc>
        <w:tc>
          <w:tcPr>
            <w:tcW w:w="300" w:type="pct"/>
            <w:shd w:val="clear" w:color="auto" w:fill="auto"/>
            <w:vAlign w:val="center"/>
          </w:tcPr>
          <w:p w14:paraId="44194ED9">
            <w:pPr>
              <w:pStyle w:val="58"/>
              <w:adjustRightInd w:val="0"/>
              <w:snapToGrid w:val="0"/>
              <w:jc w:val="center"/>
              <w:rPr>
                <w:rFonts w:ascii="Times New Roman" w:hAnsi="Times New Roman" w:eastAsia="Times New Roman"/>
                <w:sz w:val="21"/>
                <w:szCs w:val="21"/>
              </w:rPr>
            </w:pPr>
            <w:r>
              <w:rPr>
                <w:rFonts w:ascii="Times New Roman"/>
                <w:sz w:val="21"/>
                <w:szCs w:val="21"/>
              </w:rPr>
              <w:t>213.1</w:t>
            </w:r>
          </w:p>
        </w:tc>
        <w:tc>
          <w:tcPr>
            <w:tcW w:w="300" w:type="pct"/>
            <w:shd w:val="clear" w:color="auto" w:fill="auto"/>
            <w:vAlign w:val="center"/>
          </w:tcPr>
          <w:p w14:paraId="131376A6">
            <w:pPr>
              <w:pStyle w:val="58"/>
              <w:adjustRightInd w:val="0"/>
              <w:snapToGrid w:val="0"/>
              <w:jc w:val="center"/>
              <w:rPr>
                <w:rFonts w:ascii="Times New Roman" w:hAnsi="Times New Roman" w:eastAsia="Times New Roman"/>
                <w:sz w:val="21"/>
                <w:szCs w:val="21"/>
              </w:rPr>
            </w:pPr>
            <w:r>
              <w:rPr>
                <w:rFonts w:ascii="Times New Roman"/>
                <w:sz w:val="21"/>
                <w:szCs w:val="21"/>
              </w:rPr>
              <w:t>37.1</w:t>
            </w:r>
          </w:p>
        </w:tc>
        <w:tc>
          <w:tcPr>
            <w:tcW w:w="301" w:type="pct"/>
            <w:shd w:val="clear" w:color="auto" w:fill="auto"/>
            <w:vAlign w:val="center"/>
          </w:tcPr>
          <w:p w14:paraId="1BD982D3">
            <w:pPr>
              <w:pStyle w:val="58"/>
              <w:adjustRightInd w:val="0"/>
              <w:snapToGrid w:val="0"/>
              <w:jc w:val="center"/>
              <w:rPr>
                <w:rFonts w:ascii="Times New Roman" w:hAnsi="Times New Roman" w:eastAsia="Times New Roman"/>
                <w:sz w:val="21"/>
                <w:szCs w:val="21"/>
              </w:rPr>
            </w:pPr>
            <w:r>
              <w:rPr>
                <w:rFonts w:ascii="Times New Roman"/>
                <w:sz w:val="21"/>
                <w:szCs w:val="21"/>
              </w:rPr>
              <w:t>30.4</w:t>
            </w:r>
          </w:p>
        </w:tc>
        <w:tc>
          <w:tcPr>
            <w:tcW w:w="300" w:type="pct"/>
            <w:shd w:val="clear" w:color="auto" w:fill="auto"/>
            <w:vAlign w:val="center"/>
          </w:tcPr>
          <w:p w14:paraId="0068AD6F">
            <w:pPr>
              <w:pStyle w:val="58"/>
              <w:adjustRightInd w:val="0"/>
              <w:snapToGrid w:val="0"/>
              <w:jc w:val="center"/>
              <w:rPr>
                <w:rFonts w:ascii="宋体" w:hAnsi="宋体" w:cs="宋体"/>
                <w:sz w:val="21"/>
                <w:szCs w:val="21"/>
              </w:rPr>
            </w:pPr>
          </w:p>
        </w:tc>
        <w:tc>
          <w:tcPr>
            <w:tcW w:w="301" w:type="pct"/>
            <w:shd w:val="clear" w:color="auto" w:fill="auto"/>
            <w:vAlign w:val="center"/>
          </w:tcPr>
          <w:p w14:paraId="413077B3">
            <w:pPr>
              <w:pStyle w:val="58"/>
              <w:adjustRightInd w:val="0"/>
              <w:snapToGrid w:val="0"/>
              <w:jc w:val="center"/>
              <w:rPr>
                <w:rFonts w:ascii="宋体" w:hAnsi="宋体" w:cs="宋体"/>
                <w:sz w:val="21"/>
                <w:szCs w:val="21"/>
              </w:rPr>
            </w:pPr>
          </w:p>
        </w:tc>
        <w:tc>
          <w:tcPr>
            <w:tcW w:w="366" w:type="pct"/>
            <w:shd w:val="clear" w:color="auto" w:fill="auto"/>
            <w:vAlign w:val="center"/>
          </w:tcPr>
          <w:p w14:paraId="16755075">
            <w:pPr>
              <w:pStyle w:val="58"/>
              <w:adjustRightInd w:val="0"/>
              <w:snapToGrid w:val="0"/>
              <w:jc w:val="center"/>
              <w:rPr>
                <w:rFonts w:ascii="Times New Roman" w:hAnsi="Times New Roman" w:eastAsia="Times New Roman"/>
                <w:sz w:val="21"/>
                <w:szCs w:val="21"/>
              </w:rPr>
            </w:pPr>
            <w:r>
              <w:rPr>
                <w:rFonts w:ascii="Times New Roman"/>
                <w:sz w:val="21"/>
                <w:szCs w:val="21"/>
              </w:rPr>
              <w:t>300</w:t>
            </w:r>
          </w:p>
        </w:tc>
        <w:tc>
          <w:tcPr>
            <w:tcW w:w="366" w:type="pct"/>
            <w:shd w:val="clear" w:color="auto" w:fill="auto"/>
            <w:vAlign w:val="center"/>
          </w:tcPr>
          <w:p w14:paraId="730BD8D9">
            <w:pPr>
              <w:pStyle w:val="58"/>
              <w:adjustRightInd w:val="0"/>
              <w:snapToGrid w:val="0"/>
              <w:jc w:val="center"/>
              <w:rPr>
                <w:rFonts w:ascii="宋体" w:hAnsi="宋体" w:cs="宋体"/>
                <w:sz w:val="21"/>
                <w:szCs w:val="21"/>
              </w:rPr>
            </w:pPr>
          </w:p>
        </w:tc>
        <w:tc>
          <w:tcPr>
            <w:tcW w:w="367" w:type="pct"/>
            <w:shd w:val="clear" w:color="auto" w:fill="auto"/>
            <w:vAlign w:val="center"/>
          </w:tcPr>
          <w:p w14:paraId="60058AA0">
            <w:pPr>
              <w:pStyle w:val="58"/>
              <w:adjustRightInd w:val="0"/>
              <w:snapToGrid w:val="0"/>
              <w:jc w:val="center"/>
              <w:rPr>
                <w:rFonts w:ascii="宋体" w:hAnsi="宋体" w:cs="宋体"/>
                <w:sz w:val="21"/>
                <w:szCs w:val="21"/>
              </w:rPr>
            </w:pPr>
          </w:p>
        </w:tc>
        <w:tc>
          <w:tcPr>
            <w:tcW w:w="461" w:type="pct"/>
            <w:shd w:val="clear" w:color="auto" w:fill="auto"/>
            <w:vAlign w:val="center"/>
          </w:tcPr>
          <w:p w14:paraId="4F36A5C3">
            <w:pPr>
              <w:pStyle w:val="58"/>
              <w:adjustRightInd w:val="0"/>
              <w:snapToGrid w:val="0"/>
              <w:jc w:val="center"/>
              <w:rPr>
                <w:rFonts w:ascii="Times New Roman" w:hAnsi="Times New Roman" w:eastAsia="Times New Roman"/>
                <w:sz w:val="21"/>
                <w:szCs w:val="21"/>
              </w:rPr>
            </w:pPr>
            <w:r>
              <w:rPr>
                <w:rFonts w:ascii="Times New Roman"/>
                <w:sz w:val="21"/>
                <w:szCs w:val="21"/>
              </w:rPr>
              <w:t>129146</w:t>
            </w:r>
          </w:p>
        </w:tc>
        <w:tc>
          <w:tcPr>
            <w:tcW w:w="462" w:type="pct"/>
            <w:shd w:val="clear" w:color="auto" w:fill="auto"/>
            <w:vAlign w:val="center"/>
          </w:tcPr>
          <w:p w14:paraId="6E078B01">
            <w:pPr>
              <w:pStyle w:val="58"/>
              <w:adjustRightInd w:val="0"/>
              <w:snapToGrid w:val="0"/>
              <w:jc w:val="center"/>
              <w:rPr>
                <w:rFonts w:ascii="宋体" w:hAnsi="宋体" w:cs="宋体"/>
                <w:sz w:val="21"/>
                <w:szCs w:val="21"/>
              </w:rPr>
            </w:pPr>
          </w:p>
        </w:tc>
      </w:tr>
      <w:tr w14:paraId="3C136CAE">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19686A6F">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631F0E63">
            <w:pPr>
              <w:pStyle w:val="58"/>
              <w:adjustRightInd w:val="0"/>
              <w:snapToGrid w:val="0"/>
              <w:jc w:val="center"/>
              <w:rPr>
                <w:rFonts w:ascii="宋体" w:hAnsi="宋体" w:cs="宋体"/>
                <w:sz w:val="21"/>
                <w:szCs w:val="21"/>
              </w:rPr>
            </w:pPr>
            <w:r>
              <w:rPr>
                <w:rFonts w:ascii="宋体" w:hAnsi="宋体" w:cs="宋体"/>
                <w:sz w:val="21"/>
                <w:szCs w:val="21"/>
              </w:rPr>
              <w:t>璟泰丰</w:t>
            </w:r>
          </w:p>
        </w:tc>
        <w:tc>
          <w:tcPr>
            <w:tcW w:w="300" w:type="pct"/>
            <w:shd w:val="clear" w:color="auto" w:fill="auto"/>
            <w:vAlign w:val="center"/>
          </w:tcPr>
          <w:p w14:paraId="48DBA888">
            <w:pPr>
              <w:pStyle w:val="58"/>
              <w:adjustRightInd w:val="0"/>
              <w:snapToGrid w:val="0"/>
              <w:jc w:val="center"/>
              <w:rPr>
                <w:rFonts w:ascii="宋体" w:hAnsi="宋体" w:cs="宋体"/>
                <w:sz w:val="21"/>
                <w:szCs w:val="21"/>
              </w:rPr>
            </w:pPr>
          </w:p>
        </w:tc>
        <w:tc>
          <w:tcPr>
            <w:tcW w:w="300" w:type="pct"/>
            <w:shd w:val="clear" w:color="auto" w:fill="auto"/>
            <w:vAlign w:val="center"/>
          </w:tcPr>
          <w:p w14:paraId="3734F843">
            <w:pPr>
              <w:pStyle w:val="58"/>
              <w:adjustRightInd w:val="0"/>
              <w:snapToGrid w:val="0"/>
              <w:jc w:val="center"/>
              <w:rPr>
                <w:rFonts w:ascii="宋体" w:hAnsi="宋体" w:cs="宋体"/>
                <w:sz w:val="21"/>
                <w:szCs w:val="21"/>
              </w:rPr>
            </w:pPr>
          </w:p>
        </w:tc>
        <w:tc>
          <w:tcPr>
            <w:tcW w:w="301" w:type="pct"/>
            <w:shd w:val="clear" w:color="auto" w:fill="auto"/>
            <w:vAlign w:val="center"/>
          </w:tcPr>
          <w:p w14:paraId="68765564">
            <w:pPr>
              <w:pStyle w:val="58"/>
              <w:adjustRightInd w:val="0"/>
              <w:snapToGrid w:val="0"/>
              <w:jc w:val="center"/>
              <w:rPr>
                <w:rFonts w:ascii="宋体" w:hAnsi="宋体" w:cs="宋体"/>
                <w:sz w:val="21"/>
                <w:szCs w:val="21"/>
              </w:rPr>
            </w:pPr>
          </w:p>
        </w:tc>
        <w:tc>
          <w:tcPr>
            <w:tcW w:w="300" w:type="pct"/>
            <w:shd w:val="clear" w:color="auto" w:fill="auto"/>
            <w:vAlign w:val="center"/>
          </w:tcPr>
          <w:p w14:paraId="4B5FF13A">
            <w:pPr>
              <w:pStyle w:val="58"/>
              <w:adjustRightInd w:val="0"/>
              <w:snapToGrid w:val="0"/>
              <w:jc w:val="center"/>
              <w:rPr>
                <w:rFonts w:ascii="宋体" w:hAnsi="宋体" w:cs="宋体"/>
                <w:sz w:val="21"/>
                <w:szCs w:val="21"/>
              </w:rPr>
            </w:pPr>
          </w:p>
        </w:tc>
        <w:tc>
          <w:tcPr>
            <w:tcW w:w="301" w:type="pct"/>
            <w:shd w:val="clear" w:color="auto" w:fill="auto"/>
            <w:vAlign w:val="center"/>
          </w:tcPr>
          <w:p w14:paraId="0DF6E1D3">
            <w:pPr>
              <w:pStyle w:val="58"/>
              <w:adjustRightInd w:val="0"/>
              <w:snapToGrid w:val="0"/>
              <w:jc w:val="center"/>
              <w:rPr>
                <w:rFonts w:ascii="宋体" w:hAnsi="宋体" w:cs="宋体"/>
                <w:sz w:val="21"/>
                <w:szCs w:val="21"/>
              </w:rPr>
            </w:pPr>
          </w:p>
        </w:tc>
        <w:tc>
          <w:tcPr>
            <w:tcW w:w="366" w:type="pct"/>
            <w:shd w:val="clear" w:color="auto" w:fill="auto"/>
            <w:vAlign w:val="center"/>
          </w:tcPr>
          <w:p w14:paraId="21BC27A0">
            <w:pPr>
              <w:pStyle w:val="58"/>
              <w:adjustRightInd w:val="0"/>
              <w:snapToGrid w:val="0"/>
              <w:jc w:val="center"/>
              <w:rPr>
                <w:rFonts w:ascii="Times New Roman" w:hAnsi="Times New Roman" w:eastAsia="Times New Roman"/>
                <w:sz w:val="21"/>
                <w:szCs w:val="21"/>
              </w:rPr>
            </w:pPr>
            <w:r>
              <w:rPr>
                <w:rFonts w:ascii="Times New Roman"/>
                <w:sz w:val="21"/>
                <w:szCs w:val="21"/>
              </w:rPr>
              <w:t>10</w:t>
            </w:r>
          </w:p>
        </w:tc>
        <w:tc>
          <w:tcPr>
            <w:tcW w:w="366" w:type="pct"/>
            <w:shd w:val="clear" w:color="auto" w:fill="auto"/>
            <w:vAlign w:val="center"/>
          </w:tcPr>
          <w:p w14:paraId="4BE7D02B">
            <w:pPr>
              <w:pStyle w:val="58"/>
              <w:adjustRightInd w:val="0"/>
              <w:snapToGrid w:val="0"/>
              <w:jc w:val="center"/>
              <w:rPr>
                <w:rFonts w:ascii="宋体" w:hAnsi="宋体" w:cs="宋体"/>
                <w:sz w:val="21"/>
                <w:szCs w:val="21"/>
              </w:rPr>
            </w:pPr>
          </w:p>
        </w:tc>
        <w:tc>
          <w:tcPr>
            <w:tcW w:w="367" w:type="pct"/>
            <w:shd w:val="clear" w:color="auto" w:fill="auto"/>
            <w:vAlign w:val="center"/>
          </w:tcPr>
          <w:p w14:paraId="681CEE1C">
            <w:pPr>
              <w:pStyle w:val="58"/>
              <w:adjustRightInd w:val="0"/>
              <w:snapToGrid w:val="0"/>
              <w:jc w:val="center"/>
              <w:rPr>
                <w:rFonts w:ascii="宋体" w:hAnsi="宋体" w:cs="宋体"/>
                <w:sz w:val="21"/>
                <w:szCs w:val="21"/>
              </w:rPr>
            </w:pPr>
          </w:p>
        </w:tc>
        <w:tc>
          <w:tcPr>
            <w:tcW w:w="461" w:type="pct"/>
            <w:shd w:val="clear" w:color="auto" w:fill="auto"/>
            <w:vAlign w:val="center"/>
          </w:tcPr>
          <w:p w14:paraId="4C67EF0D">
            <w:pPr>
              <w:pStyle w:val="58"/>
              <w:adjustRightInd w:val="0"/>
              <w:snapToGrid w:val="0"/>
              <w:jc w:val="center"/>
              <w:rPr>
                <w:rFonts w:ascii="Times New Roman" w:hAnsi="Times New Roman" w:eastAsia="Times New Roman"/>
                <w:sz w:val="21"/>
                <w:szCs w:val="21"/>
              </w:rPr>
            </w:pPr>
            <w:r>
              <w:rPr>
                <w:rFonts w:ascii="Times New Roman"/>
                <w:sz w:val="21"/>
                <w:szCs w:val="21"/>
              </w:rPr>
              <w:t>9.84</w:t>
            </w:r>
          </w:p>
        </w:tc>
        <w:tc>
          <w:tcPr>
            <w:tcW w:w="462" w:type="pct"/>
            <w:shd w:val="clear" w:color="auto" w:fill="auto"/>
            <w:vAlign w:val="center"/>
          </w:tcPr>
          <w:p w14:paraId="3536FD9D">
            <w:pPr>
              <w:pStyle w:val="58"/>
              <w:adjustRightInd w:val="0"/>
              <w:snapToGrid w:val="0"/>
              <w:jc w:val="center"/>
              <w:rPr>
                <w:rFonts w:ascii="宋体" w:hAnsi="宋体" w:cs="宋体"/>
                <w:sz w:val="21"/>
                <w:szCs w:val="21"/>
              </w:rPr>
            </w:pPr>
          </w:p>
        </w:tc>
      </w:tr>
      <w:tr w14:paraId="6052157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7CC09782">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2403B031">
            <w:pPr>
              <w:pStyle w:val="58"/>
              <w:adjustRightInd w:val="0"/>
              <w:snapToGrid w:val="0"/>
              <w:jc w:val="center"/>
              <w:rPr>
                <w:rFonts w:ascii="宋体" w:hAnsi="宋体" w:cs="宋体"/>
                <w:sz w:val="21"/>
                <w:szCs w:val="21"/>
              </w:rPr>
            </w:pPr>
            <w:r>
              <w:rPr>
                <w:rFonts w:ascii="宋体" w:hAnsi="宋体" w:cs="宋体"/>
                <w:sz w:val="21"/>
                <w:szCs w:val="21"/>
              </w:rPr>
              <w:t>陆路顺</w:t>
            </w:r>
          </w:p>
        </w:tc>
        <w:tc>
          <w:tcPr>
            <w:tcW w:w="300" w:type="pct"/>
            <w:shd w:val="clear" w:color="auto" w:fill="auto"/>
            <w:vAlign w:val="center"/>
          </w:tcPr>
          <w:p w14:paraId="54A6A9FD">
            <w:pPr>
              <w:pStyle w:val="58"/>
              <w:adjustRightInd w:val="0"/>
              <w:snapToGrid w:val="0"/>
              <w:jc w:val="center"/>
              <w:rPr>
                <w:rFonts w:ascii="宋体" w:hAnsi="宋体" w:cs="宋体"/>
                <w:sz w:val="21"/>
                <w:szCs w:val="21"/>
              </w:rPr>
            </w:pPr>
          </w:p>
        </w:tc>
        <w:tc>
          <w:tcPr>
            <w:tcW w:w="300" w:type="pct"/>
            <w:shd w:val="clear" w:color="auto" w:fill="auto"/>
            <w:vAlign w:val="center"/>
          </w:tcPr>
          <w:p w14:paraId="73C17B96">
            <w:pPr>
              <w:pStyle w:val="58"/>
              <w:adjustRightInd w:val="0"/>
              <w:snapToGrid w:val="0"/>
              <w:jc w:val="center"/>
              <w:rPr>
                <w:rFonts w:ascii="宋体" w:hAnsi="宋体" w:cs="宋体"/>
                <w:sz w:val="21"/>
                <w:szCs w:val="21"/>
              </w:rPr>
            </w:pPr>
          </w:p>
        </w:tc>
        <w:tc>
          <w:tcPr>
            <w:tcW w:w="301" w:type="pct"/>
            <w:shd w:val="clear" w:color="auto" w:fill="auto"/>
            <w:vAlign w:val="center"/>
          </w:tcPr>
          <w:p w14:paraId="27F02C8C">
            <w:pPr>
              <w:pStyle w:val="58"/>
              <w:adjustRightInd w:val="0"/>
              <w:snapToGrid w:val="0"/>
              <w:jc w:val="center"/>
              <w:rPr>
                <w:rFonts w:ascii="宋体" w:hAnsi="宋体" w:cs="宋体"/>
                <w:sz w:val="21"/>
                <w:szCs w:val="21"/>
              </w:rPr>
            </w:pPr>
          </w:p>
        </w:tc>
        <w:tc>
          <w:tcPr>
            <w:tcW w:w="300" w:type="pct"/>
            <w:shd w:val="clear" w:color="auto" w:fill="auto"/>
            <w:vAlign w:val="center"/>
          </w:tcPr>
          <w:p w14:paraId="08261BF7">
            <w:pPr>
              <w:pStyle w:val="58"/>
              <w:adjustRightInd w:val="0"/>
              <w:snapToGrid w:val="0"/>
              <w:jc w:val="center"/>
              <w:rPr>
                <w:rFonts w:ascii="宋体" w:hAnsi="宋体" w:cs="宋体"/>
                <w:sz w:val="21"/>
                <w:szCs w:val="21"/>
              </w:rPr>
            </w:pPr>
          </w:p>
        </w:tc>
        <w:tc>
          <w:tcPr>
            <w:tcW w:w="301" w:type="pct"/>
            <w:shd w:val="clear" w:color="auto" w:fill="auto"/>
            <w:vAlign w:val="center"/>
          </w:tcPr>
          <w:p w14:paraId="643C92D9">
            <w:pPr>
              <w:pStyle w:val="58"/>
              <w:adjustRightInd w:val="0"/>
              <w:snapToGrid w:val="0"/>
              <w:jc w:val="center"/>
              <w:rPr>
                <w:rFonts w:ascii="宋体" w:hAnsi="宋体" w:cs="宋体"/>
                <w:sz w:val="21"/>
                <w:szCs w:val="21"/>
              </w:rPr>
            </w:pPr>
          </w:p>
        </w:tc>
        <w:tc>
          <w:tcPr>
            <w:tcW w:w="366" w:type="pct"/>
            <w:shd w:val="clear" w:color="auto" w:fill="auto"/>
            <w:vAlign w:val="center"/>
          </w:tcPr>
          <w:p w14:paraId="0D78C63F">
            <w:pPr>
              <w:pStyle w:val="58"/>
              <w:adjustRightInd w:val="0"/>
              <w:snapToGrid w:val="0"/>
              <w:jc w:val="center"/>
              <w:rPr>
                <w:rFonts w:ascii="Times New Roman" w:hAnsi="Times New Roman" w:eastAsia="Times New Roman"/>
                <w:sz w:val="21"/>
                <w:szCs w:val="21"/>
              </w:rPr>
            </w:pPr>
            <w:r>
              <w:rPr>
                <w:rFonts w:ascii="Times New Roman"/>
                <w:sz w:val="21"/>
                <w:szCs w:val="21"/>
              </w:rPr>
              <w:t>20</w:t>
            </w:r>
          </w:p>
        </w:tc>
        <w:tc>
          <w:tcPr>
            <w:tcW w:w="366" w:type="pct"/>
            <w:shd w:val="clear" w:color="auto" w:fill="auto"/>
            <w:vAlign w:val="center"/>
          </w:tcPr>
          <w:p w14:paraId="72B80AF7">
            <w:pPr>
              <w:pStyle w:val="58"/>
              <w:adjustRightInd w:val="0"/>
              <w:snapToGrid w:val="0"/>
              <w:jc w:val="center"/>
              <w:rPr>
                <w:rFonts w:ascii="宋体" w:hAnsi="宋体" w:cs="宋体"/>
                <w:sz w:val="21"/>
                <w:szCs w:val="21"/>
              </w:rPr>
            </w:pPr>
          </w:p>
        </w:tc>
        <w:tc>
          <w:tcPr>
            <w:tcW w:w="367" w:type="pct"/>
            <w:shd w:val="clear" w:color="auto" w:fill="auto"/>
            <w:vAlign w:val="center"/>
          </w:tcPr>
          <w:p w14:paraId="5B176601">
            <w:pPr>
              <w:pStyle w:val="58"/>
              <w:adjustRightInd w:val="0"/>
              <w:snapToGrid w:val="0"/>
              <w:jc w:val="center"/>
              <w:rPr>
                <w:rFonts w:ascii="宋体" w:hAnsi="宋体" w:cs="宋体"/>
                <w:sz w:val="21"/>
                <w:szCs w:val="21"/>
              </w:rPr>
            </w:pPr>
          </w:p>
        </w:tc>
        <w:tc>
          <w:tcPr>
            <w:tcW w:w="461" w:type="pct"/>
            <w:shd w:val="clear" w:color="auto" w:fill="auto"/>
            <w:vAlign w:val="center"/>
          </w:tcPr>
          <w:p w14:paraId="02620DE9">
            <w:pPr>
              <w:pStyle w:val="58"/>
              <w:adjustRightInd w:val="0"/>
              <w:snapToGrid w:val="0"/>
              <w:jc w:val="center"/>
              <w:rPr>
                <w:rFonts w:ascii="宋体" w:hAnsi="宋体" w:cs="宋体"/>
                <w:sz w:val="21"/>
                <w:szCs w:val="21"/>
              </w:rPr>
            </w:pPr>
          </w:p>
        </w:tc>
        <w:tc>
          <w:tcPr>
            <w:tcW w:w="462" w:type="pct"/>
            <w:shd w:val="clear" w:color="auto" w:fill="auto"/>
            <w:vAlign w:val="center"/>
          </w:tcPr>
          <w:p w14:paraId="297B242E">
            <w:pPr>
              <w:pStyle w:val="58"/>
              <w:adjustRightInd w:val="0"/>
              <w:snapToGrid w:val="0"/>
              <w:jc w:val="center"/>
              <w:rPr>
                <w:rFonts w:ascii="宋体" w:hAnsi="宋体" w:cs="宋体"/>
                <w:sz w:val="21"/>
                <w:szCs w:val="21"/>
              </w:rPr>
            </w:pPr>
          </w:p>
        </w:tc>
      </w:tr>
      <w:tr w14:paraId="7E00F3E5">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ADF46AE">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691FC988">
            <w:pPr>
              <w:pStyle w:val="58"/>
              <w:adjustRightInd w:val="0"/>
              <w:snapToGrid w:val="0"/>
              <w:jc w:val="center"/>
              <w:rPr>
                <w:rFonts w:ascii="宋体" w:hAnsi="宋体" w:cs="宋体"/>
                <w:sz w:val="21"/>
                <w:szCs w:val="21"/>
              </w:rPr>
            </w:pPr>
            <w:r>
              <w:rPr>
                <w:rFonts w:ascii="宋体" w:hAnsi="宋体" w:cs="宋体"/>
                <w:sz w:val="21"/>
                <w:szCs w:val="21"/>
              </w:rPr>
              <w:t>中科恒信</w:t>
            </w:r>
          </w:p>
        </w:tc>
        <w:tc>
          <w:tcPr>
            <w:tcW w:w="300" w:type="pct"/>
            <w:shd w:val="clear" w:color="auto" w:fill="auto"/>
            <w:vAlign w:val="center"/>
          </w:tcPr>
          <w:p w14:paraId="7F70C5B9">
            <w:pPr>
              <w:pStyle w:val="58"/>
              <w:adjustRightInd w:val="0"/>
              <w:snapToGrid w:val="0"/>
              <w:jc w:val="center"/>
              <w:rPr>
                <w:rFonts w:ascii="宋体" w:hAnsi="宋体" w:cs="宋体"/>
                <w:sz w:val="21"/>
                <w:szCs w:val="21"/>
              </w:rPr>
            </w:pPr>
          </w:p>
        </w:tc>
        <w:tc>
          <w:tcPr>
            <w:tcW w:w="300" w:type="pct"/>
            <w:shd w:val="clear" w:color="auto" w:fill="auto"/>
            <w:vAlign w:val="center"/>
          </w:tcPr>
          <w:p w14:paraId="770EE831">
            <w:pPr>
              <w:pStyle w:val="58"/>
              <w:adjustRightInd w:val="0"/>
              <w:snapToGrid w:val="0"/>
              <w:jc w:val="center"/>
              <w:rPr>
                <w:rFonts w:ascii="宋体" w:hAnsi="宋体" w:cs="宋体"/>
                <w:sz w:val="21"/>
                <w:szCs w:val="21"/>
              </w:rPr>
            </w:pPr>
          </w:p>
        </w:tc>
        <w:tc>
          <w:tcPr>
            <w:tcW w:w="301" w:type="pct"/>
            <w:shd w:val="clear" w:color="auto" w:fill="auto"/>
            <w:vAlign w:val="center"/>
          </w:tcPr>
          <w:p w14:paraId="7A184D01">
            <w:pPr>
              <w:pStyle w:val="58"/>
              <w:adjustRightInd w:val="0"/>
              <w:snapToGrid w:val="0"/>
              <w:jc w:val="center"/>
              <w:rPr>
                <w:rFonts w:ascii="宋体" w:hAnsi="宋体" w:cs="宋体"/>
                <w:sz w:val="21"/>
                <w:szCs w:val="21"/>
              </w:rPr>
            </w:pPr>
          </w:p>
        </w:tc>
        <w:tc>
          <w:tcPr>
            <w:tcW w:w="300" w:type="pct"/>
            <w:shd w:val="clear" w:color="auto" w:fill="auto"/>
            <w:vAlign w:val="center"/>
          </w:tcPr>
          <w:p w14:paraId="0EC211EC">
            <w:pPr>
              <w:pStyle w:val="58"/>
              <w:adjustRightInd w:val="0"/>
              <w:snapToGrid w:val="0"/>
              <w:jc w:val="center"/>
              <w:rPr>
                <w:rFonts w:ascii="宋体" w:hAnsi="宋体" w:cs="宋体"/>
                <w:sz w:val="21"/>
                <w:szCs w:val="21"/>
              </w:rPr>
            </w:pPr>
          </w:p>
        </w:tc>
        <w:tc>
          <w:tcPr>
            <w:tcW w:w="301" w:type="pct"/>
            <w:shd w:val="clear" w:color="auto" w:fill="auto"/>
            <w:vAlign w:val="center"/>
          </w:tcPr>
          <w:p w14:paraId="257CFF24">
            <w:pPr>
              <w:pStyle w:val="58"/>
              <w:adjustRightInd w:val="0"/>
              <w:snapToGrid w:val="0"/>
              <w:jc w:val="center"/>
              <w:rPr>
                <w:rFonts w:ascii="宋体" w:hAnsi="宋体" w:cs="宋体"/>
                <w:sz w:val="21"/>
                <w:szCs w:val="21"/>
              </w:rPr>
            </w:pPr>
          </w:p>
        </w:tc>
        <w:tc>
          <w:tcPr>
            <w:tcW w:w="366" w:type="pct"/>
            <w:shd w:val="clear" w:color="auto" w:fill="auto"/>
            <w:vAlign w:val="center"/>
          </w:tcPr>
          <w:p w14:paraId="468979A9">
            <w:pPr>
              <w:pStyle w:val="58"/>
              <w:adjustRightInd w:val="0"/>
              <w:snapToGrid w:val="0"/>
              <w:jc w:val="center"/>
              <w:rPr>
                <w:rFonts w:ascii="Times New Roman" w:hAnsi="Times New Roman" w:eastAsia="Times New Roman"/>
                <w:sz w:val="21"/>
                <w:szCs w:val="21"/>
              </w:rPr>
            </w:pPr>
            <w:r>
              <w:rPr>
                <w:rFonts w:ascii="Times New Roman"/>
                <w:sz w:val="21"/>
                <w:szCs w:val="21"/>
              </w:rPr>
              <w:t>6</w:t>
            </w:r>
          </w:p>
        </w:tc>
        <w:tc>
          <w:tcPr>
            <w:tcW w:w="366" w:type="pct"/>
            <w:shd w:val="clear" w:color="auto" w:fill="auto"/>
            <w:vAlign w:val="center"/>
          </w:tcPr>
          <w:p w14:paraId="14BC1517">
            <w:pPr>
              <w:pStyle w:val="58"/>
              <w:adjustRightInd w:val="0"/>
              <w:snapToGrid w:val="0"/>
              <w:jc w:val="center"/>
              <w:rPr>
                <w:rFonts w:ascii="宋体" w:hAnsi="宋体" w:cs="宋体"/>
                <w:sz w:val="21"/>
                <w:szCs w:val="21"/>
              </w:rPr>
            </w:pPr>
          </w:p>
        </w:tc>
        <w:tc>
          <w:tcPr>
            <w:tcW w:w="367" w:type="pct"/>
            <w:shd w:val="clear" w:color="auto" w:fill="auto"/>
            <w:vAlign w:val="center"/>
          </w:tcPr>
          <w:p w14:paraId="78231FBD">
            <w:pPr>
              <w:pStyle w:val="58"/>
              <w:adjustRightInd w:val="0"/>
              <w:snapToGrid w:val="0"/>
              <w:jc w:val="center"/>
              <w:rPr>
                <w:rFonts w:ascii="宋体" w:hAnsi="宋体" w:cs="宋体"/>
                <w:sz w:val="21"/>
                <w:szCs w:val="21"/>
              </w:rPr>
            </w:pPr>
          </w:p>
        </w:tc>
        <w:tc>
          <w:tcPr>
            <w:tcW w:w="461" w:type="pct"/>
            <w:shd w:val="clear" w:color="auto" w:fill="auto"/>
            <w:vAlign w:val="center"/>
          </w:tcPr>
          <w:p w14:paraId="604A1C4C">
            <w:pPr>
              <w:pStyle w:val="58"/>
              <w:adjustRightInd w:val="0"/>
              <w:snapToGrid w:val="0"/>
              <w:jc w:val="center"/>
              <w:rPr>
                <w:rFonts w:ascii="Times New Roman" w:hAnsi="Times New Roman" w:eastAsia="Times New Roman"/>
                <w:sz w:val="21"/>
                <w:szCs w:val="21"/>
              </w:rPr>
            </w:pPr>
            <w:r>
              <w:rPr>
                <w:rFonts w:ascii="Times New Roman"/>
                <w:sz w:val="21"/>
                <w:szCs w:val="21"/>
              </w:rPr>
              <w:t>7.2</w:t>
            </w:r>
          </w:p>
        </w:tc>
        <w:tc>
          <w:tcPr>
            <w:tcW w:w="462" w:type="pct"/>
            <w:shd w:val="clear" w:color="auto" w:fill="auto"/>
            <w:vAlign w:val="center"/>
          </w:tcPr>
          <w:p w14:paraId="7CB111A5">
            <w:pPr>
              <w:pStyle w:val="58"/>
              <w:adjustRightInd w:val="0"/>
              <w:snapToGrid w:val="0"/>
              <w:jc w:val="center"/>
              <w:rPr>
                <w:rFonts w:ascii="宋体" w:hAnsi="宋体" w:cs="宋体"/>
                <w:sz w:val="21"/>
                <w:szCs w:val="21"/>
              </w:rPr>
            </w:pPr>
          </w:p>
        </w:tc>
      </w:tr>
      <w:tr w14:paraId="0033F53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0D2FB243">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67BD8243">
            <w:pPr>
              <w:pStyle w:val="58"/>
              <w:adjustRightInd w:val="0"/>
              <w:snapToGrid w:val="0"/>
              <w:jc w:val="center"/>
              <w:rPr>
                <w:rFonts w:ascii="宋体" w:hAnsi="宋体" w:cs="宋体"/>
                <w:sz w:val="21"/>
                <w:szCs w:val="21"/>
              </w:rPr>
            </w:pPr>
            <w:r>
              <w:rPr>
                <w:rFonts w:ascii="宋体" w:hAnsi="宋体" w:cs="宋体"/>
                <w:sz w:val="21"/>
                <w:szCs w:val="21"/>
              </w:rPr>
              <w:t>世益石化</w:t>
            </w:r>
          </w:p>
        </w:tc>
        <w:tc>
          <w:tcPr>
            <w:tcW w:w="300" w:type="pct"/>
            <w:shd w:val="clear" w:color="auto" w:fill="auto"/>
            <w:vAlign w:val="center"/>
          </w:tcPr>
          <w:p w14:paraId="65F46087">
            <w:pPr>
              <w:pStyle w:val="58"/>
              <w:adjustRightInd w:val="0"/>
              <w:snapToGrid w:val="0"/>
              <w:jc w:val="center"/>
              <w:rPr>
                <w:rFonts w:ascii="Times New Roman" w:hAnsi="Times New Roman" w:eastAsia="Times New Roman"/>
                <w:sz w:val="21"/>
                <w:szCs w:val="21"/>
              </w:rPr>
            </w:pPr>
            <w:r>
              <w:rPr>
                <w:rFonts w:ascii="Times New Roman"/>
                <w:sz w:val="21"/>
                <w:szCs w:val="21"/>
              </w:rPr>
              <w:t>0.256</w:t>
            </w:r>
          </w:p>
        </w:tc>
        <w:tc>
          <w:tcPr>
            <w:tcW w:w="300" w:type="pct"/>
            <w:shd w:val="clear" w:color="auto" w:fill="auto"/>
            <w:vAlign w:val="center"/>
          </w:tcPr>
          <w:p w14:paraId="6B951426">
            <w:pPr>
              <w:pStyle w:val="58"/>
              <w:adjustRightInd w:val="0"/>
              <w:snapToGrid w:val="0"/>
              <w:jc w:val="center"/>
              <w:rPr>
                <w:rFonts w:ascii="Times New Roman" w:hAnsi="Times New Roman" w:eastAsia="Times New Roman"/>
                <w:sz w:val="21"/>
                <w:szCs w:val="21"/>
              </w:rPr>
            </w:pPr>
            <w:r>
              <w:rPr>
                <w:rFonts w:ascii="Times New Roman"/>
                <w:sz w:val="21"/>
                <w:szCs w:val="21"/>
              </w:rPr>
              <w:t>0.5</w:t>
            </w:r>
          </w:p>
        </w:tc>
        <w:tc>
          <w:tcPr>
            <w:tcW w:w="301" w:type="pct"/>
            <w:shd w:val="clear" w:color="auto" w:fill="auto"/>
            <w:vAlign w:val="center"/>
          </w:tcPr>
          <w:p w14:paraId="2BE44D41">
            <w:pPr>
              <w:pStyle w:val="58"/>
              <w:adjustRightInd w:val="0"/>
              <w:snapToGrid w:val="0"/>
              <w:jc w:val="center"/>
              <w:rPr>
                <w:rFonts w:ascii="Times New Roman" w:hAnsi="Times New Roman" w:eastAsia="Times New Roman"/>
                <w:sz w:val="21"/>
                <w:szCs w:val="21"/>
              </w:rPr>
            </w:pPr>
            <w:r>
              <w:rPr>
                <w:rFonts w:ascii="Times New Roman"/>
                <w:sz w:val="21"/>
                <w:szCs w:val="21"/>
              </w:rPr>
              <w:t>0.61</w:t>
            </w:r>
          </w:p>
        </w:tc>
        <w:tc>
          <w:tcPr>
            <w:tcW w:w="300" w:type="pct"/>
            <w:shd w:val="clear" w:color="auto" w:fill="auto"/>
            <w:vAlign w:val="center"/>
          </w:tcPr>
          <w:p w14:paraId="6BCEFA3D">
            <w:pPr>
              <w:pStyle w:val="58"/>
              <w:adjustRightInd w:val="0"/>
              <w:snapToGrid w:val="0"/>
              <w:jc w:val="center"/>
              <w:rPr>
                <w:rFonts w:ascii="Times New Roman" w:hAnsi="Times New Roman" w:eastAsia="Times New Roman"/>
                <w:sz w:val="21"/>
                <w:szCs w:val="21"/>
              </w:rPr>
            </w:pPr>
            <w:r>
              <w:rPr>
                <w:rFonts w:ascii="Times New Roman"/>
                <w:sz w:val="21"/>
                <w:szCs w:val="21"/>
              </w:rPr>
              <w:t>4.8</w:t>
            </w:r>
          </w:p>
        </w:tc>
        <w:tc>
          <w:tcPr>
            <w:tcW w:w="301" w:type="pct"/>
            <w:shd w:val="clear" w:color="auto" w:fill="auto"/>
            <w:vAlign w:val="center"/>
          </w:tcPr>
          <w:p w14:paraId="6178E692">
            <w:pPr>
              <w:pStyle w:val="58"/>
              <w:adjustRightInd w:val="0"/>
              <w:snapToGrid w:val="0"/>
              <w:jc w:val="center"/>
              <w:rPr>
                <w:rFonts w:ascii="Times New Roman" w:hAnsi="Times New Roman" w:eastAsia="Times New Roman"/>
                <w:sz w:val="21"/>
                <w:szCs w:val="21"/>
              </w:rPr>
            </w:pPr>
            <w:r>
              <w:rPr>
                <w:rFonts w:ascii="Times New Roman"/>
                <w:sz w:val="21"/>
                <w:szCs w:val="21"/>
              </w:rPr>
              <w:t>0.009</w:t>
            </w:r>
          </w:p>
        </w:tc>
        <w:tc>
          <w:tcPr>
            <w:tcW w:w="366" w:type="pct"/>
            <w:shd w:val="clear" w:color="auto" w:fill="auto"/>
            <w:vAlign w:val="center"/>
          </w:tcPr>
          <w:p w14:paraId="518D14B5">
            <w:pPr>
              <w:pStyle w:val="58"/>
              <w:adjustRightInd w:val="0"/>
              <w:snapToGrid w:val="0"/>
              <w:jc w:val="center"/>
              <w:rPr>
                <w:rFonts w:ascii="Times New Roman" w:hAnsi="Times New Roman" w:eastAsia="Times New Roman"/>
                <w:sz w:val="21"/>
                <w:szCs w:val="21"/>
              </w:rPr>
            </w:pPr>
            <w:r>
              <w:rPr>
                <w:rFonts w:ascii="Times New Roman"/>
                <w:sz w:val="21"/>
                <w:szCs w:val="21"/>
              </w:rPr>
              <w:t>50</w:t>
            </w:r>
          </w:p>
        </w:tc>
        <w:tc>
          <w:tcPr>
            <w:tcW w:w="366" w:type="pct"/>
            <w:shd w:val="clear" w:color="auto" w:fill="auto"/>
            <w:vAlign w:val="center"/>
          </w:tcPr>
          <w:p w14:paraId="29849E2A">
            <w:pPr>
              <w:pStyle w:val="58"/>
              <w:adjustRightInd w:val="0"/>
              <w:snapToGrid w:val="0"/>
              <w:jc w:val="center"/>
              <w:rPr>
                <w:rFonts w:ascii="Times New Roman" w:hAnsi="Times New Roman" w:eastAsia="Times New Roman"/>
                <w:sz w:val="21"/>
                <w:szCs w:val="21"/>
              </w:rPr>
            </w:pPr>
            <w:r>
              <w:rPr>
                <w:rFonts w:ascii="Times New Roman"/>
                <w:sz w:val="21"/>
                <w:szCs w:val="21"/>
              </w:rPr>
              <w:t>0.64</w:t>
            </w:r>
          </w:p>
        </w:tc>
        <w:tc>
          <w:tcPr>
            <w:tcW w:w="367" w:type="pct"/>
            <w:shd w:val="clear" w:color="auto" w:fill="auto"/>
            <w:vAlign w:val="center"/>
          </w:tcPr>
          <w:p w14:paraId="7A80B3B0">
            <w:pPr>
              <w:pStyle w:val="58"/>
              <w:adjustRightInd w:val="0"/>
              <w:snapToGrid w:val="0"/>
              <w:jc w:val="center"/>
              <w:rPr>
                <w:rFonts w:ascii="Times New Roman" w:hAnsi="Times New Roman" w:eastAsia="Times New Roman"/>
                <w:sz w:val="21"/>
                <w:szCs w:val="21"/>
              </w:rPr>
            </w:pPr>
            <w:r>
              <w:rPr>
                <w:rFonts w:ascii="Times New Roman"/>
                <w:sz w:val="21"/>
                <w:szCs w:val="21"/>
              </w:rPr>
              <w:t>0.064</w:t>
            </w:r>
          </w:p>
        </w:tc>
        <w:tc>
          <w:tcPr>
            <w:tcW w:w="461" w:type="pct"/>
            <w:shd w:val="clear" w:color="auto" w:fill="auto"/>
            <w:vAlign w:val="center"/>
          </w:tcPr>
          <w:p w14:paraId="5F2C528E">
            <w:pPr>
              <w:pStyle w:val="58"/>
              <w:adjustRightInd w:val="0"/>
              <w:snapToGrid w:val="0"/>
              <w:jc w:val="center"/>
              <w:rPr>
                <w:rFonts w:ascii="Times New Roman" w:hAnsi="Times New Roman" w:eastAsia="Times New Roman"/>
                <w:sz w:val="21"/>
                <w:szCs w:val="21"/>
              </w:rPr>
            </w:pPr>
            <w:r>
              <w:rPr>
                <w:rFonts w:ascii="Times New Roman"/>
                <w:sz w:val="21"/>
                <w:szCs w:val="21"/>
              </w:rPr>
              <w:t>6.1</w:t>
            </w:r>
          </w:p>
        </w:tc>
        <w:tc>
          <w:tcPr>
            <w:tcW w:w="462" w:type="pct"/>
            <w:shd w:val="clear" w:color="auto" w:fill="auto"/>
            <w:vAlign w:val="center"/>
          </w:tcPr>
          <w:p w14:paraId="5907CE0B">
            <w:pPr>
              <w:pStyle w:val="58"/>
              <w:adjustRightInd w:val="0"/>
              <w:snapToGrid w:val="0"/>
              <w:jc w:val="center"/>
              <w:rPr>
                <w:rFonts w:ascii="Times New Roman" w:hAnsi="Times New Roman" w:eastAsia="Times New Roman"/>
                <w:sz w:val="21"/>
                <w:szCs w:val="21"/>
              </w:rPr>
            </w:pPr>
            <w:r>
              <w:rPr>
                <w:rFonts w:ascii="Times New Roman"/>
                <w:sz w:val="21"/>
                <w:szCs w:val="21"/>
              </w:rPr>
              <w:t>30.5</w:t>
            </w:r>
          </w:p>
        </w:tc>
      </w:tr>
      <w:tr w14:paraId="09E0E4A6">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590F1CC">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501E2AED">
            <w:pPr>
              <w:pStyle w:val="58"/>
              <w:adjustRightInd w:val="0"/>
              <w:snapToGrid w:val="0"/>
              <w:jc w:val="center"/>
              <w:rPr>
                <w:rFonts w:ascii="宋体" w:hAnsi="宋体" w:cs="宋体"/>
                <w:sz w:val="21"/>
                <w:szCs w:val="21"/>
              </w:rPr>
            </w:pPr>
            <w:r>
              <w:rPr>
                <w:rFonts w:ascii="宋体" w:hAnsi="宋体" w:cs="宋体"/>
                <w:sz w:val="21"/>
                <w:szCs w:val="21"/>
              </w:rPr>
              <w:t>曼海姆</w:t>
            </w:r>
          </w:p>
        </w:tc>
        <w:tc>
          <w:tcPr>
            <w:tcW w:w="300" w:type="pct"/>
            <w:shd w:val="clear" w:color="auto" w:fill="auto"/>
            <w:vAlign w:val="center"/>
          </w:tcPr>
          <w:p w14:paraId="74BFED15">
            <w:pPr>
              <w:pStyle w:val="58"/>
              <w:adjustRightInd w:val="0"/>
              <w:snapToGrid w:val="0"/>
              <w:jc w:val="center"/>
              <w:rPr>
                <w:rFonts w:ascii="Times New Roman" w:hAnsi="Times New Roman" w:eastAsia="Times New Roman"/>
                <w:sz w:val="21"/>
                <w:szCs w:val="21"/>
              </w:rPr>
            </w:pPr>
            <w:r>
              <w:rPr>
                <w:rFonts w:ascii="Times New Roman"/>
                <w:sz w:val="21"/>
                <w:szCs w:val="21"/>
              </w:rPr>
              <w:t>0.38</w:t>
            </w:r>
          </w:p>
        </w:tc>
        <w:tc>
          <w:tcPr>
            <w:tcW w:w="300" w:type="pct"/>
            <w:shd w:val="clear" w:color="auto" w:fill="auto"/>
            <w:vAlign w:val="center"/>
          </w:tcPr>
          <w:p w14:paraId="48F53B3E">
            <w:pPr>
              <w:pStyle w:val="58"/>
              <w:adjustRightInd w:val="0"/>
              <w:snapToGrid w:val="0"/>
              <w:jc w:val="center"/>
              <w:rPr>
                <w:rFonts w:ascii="Times New Roman" w:hAnsi="Times New Roman" w:eastAsia="Times New Roman"/>
                <w:sz w:val="21"/>
                <w:szCs w:val="21"/>
              </w:rPr>
            </w:pPr>
            <w:r>
              <w:rPr>
                <w:rFonts w:ascii="Times New Roman"/>
                <w:sz w:val="21"/>
                <w:szCs w:val="21"/>
              </w:rPr>
              <w:t>0.3</w:t>
            </w:r>
          </w:p>
        </w:tc>
        <w:tc>
          <w:tcPr>
            <w:tcW w:w="301" w:type="pct"/>
            <w:shd w:val="clear" w:color="auto" w:fill="auto"/>
            <w:vAlign w:val="center"/>
          </w:tcPr>
          <w:p w14:paraId="4D18C266">
            <w:pPr>
              <w:pStyle w:val="58"/>
              <w:adjustRightInd w:val="0"/>
              <w:snapToGrid w:val="0"/>
              <w:jc w:val="center"/>
              <w:rPr>
                <w:rFonts w:ascii="Times New Roman" w:hAnsi="Times New Roman" w:eastAsia="Times New Roman"/>
                <w:sz w:val="21"/>
                <w:szCs w:val="21"/>
              </w:rPr>
            </w:pPr>
            <w:r>
              <w:rPr>
                <w:rFonts w:ascii="Times New Roman"/>
                <w:sz w:val="21"/>
                <w:szCs w:val="21"/>
              </w:rPr>
              <w:t>0.16</w:t>
            </w:r>
          </w:p>
        </w:tc>
        <w:tc>
          <w:tcPr>
            <w:tcW w:w="300" w:type="pct"/>
            <w:shd w:val="clear" w:color="auto" w:fill="auto"/>
            <w:vAlign w:val="center"/>
          </w:tcPr>
          <w:p w14:paraId="4425B242">
            <w:pPr>
              <w:pStyle w:val="58"/>
              <w:adjustRightInd w:val="0"/>
              <w:snapToGrid w:val="0"/>
              <w:jc w:val="center"/>
              <w:rPr>
                <w:rFonts w:ascii="Times New Roman" w:hAnsi="Times New Roman" w:eastAsia="Times New Roman"/>
                <w:sz w:val="21"/>
                <w:szCs w:val="21"/>
              </w:rPr>
            </w:pPr>
            <w:r>
              <w:rPr>
                <w:rFonts w:ascii="Times New Roman"/>
                <w:sz w:val="21"/>
                <w:szCs w:val="21"/>
              </w:rPr>
              <w:t>0.82</w:t>
            </w:r>
          </w:p>
        </w:tc>
        <w:tc>
          <w:tcPr>
            <w:tcW w:w="301" w:type="pct"/>
            <w:shd w:val="clear" w:color="auto" w:fill="auto"/>
            <w:vAlign w:val="center"/>
          </w:tcPr>
          <w:p w14:paraId="1DA2859E">
            <w:pPr>
              <w:pStyle w:val="58"/>
              <w:adjustRightInd w:val="0"/>
              <w:snapToGrid w:val="0"/>
              <w:jc w:val="center"/>
              <w:rPr>
                <w:rFonts w:ascii="宋体" w:hAnsi="宋体" w:cs="宋体"/>
                <w:sz w:val="21"/>
                <w:szCs w:val="21"/>
              </w:rPr>
            </w:pPr>
          </w:p>
        </w:tc>
        <w:tc>
          <w:tcPr>
            <w:tcW w:w="366" w:type="pct"/>
            <w:shd w:val="clear" w:color="auto" w:fill="auto"/>
            <w:vAlign w:val="center"/>
          </w:tcPr>
          <w:p w14:paraId="1172A729">
            <w:pPr>
              <w:pStyle w:val="58"/>
              <w:adjustRightInd w:val="0"/>
              <w:snapToGrid w:val="0"/>
              <w:jc w:val="center"/>
              <w:rPr>
                <w:rFonts w:ascii="Times New Roman" w:hAnsi="Times New Roman" w:eastAsia="Times New Roman"/>
                <w:sz w:val="21"/>
                <w:szCs w:val="21"/>
              </w:rPr>
            </w:pPr>
            <w:r>
              <w:rPr>
                <w:rFonts w:ascii="Times New Roman"/>
                <w:sz w:val="21"/>
                <w:szCs w:val="21"/>
              </w:rPr>
              <w:t>100</w:t>
            </w:r>
          </w:p>
        </w:tc>
        <w:tc>
          <w:tcPr>
            <w:tcW w:w="366" w:type="pct"/>
            <w:shd w:val="clear" w:color="auto" w:fill="auto"/>
            <w:vAlign w:val="center"/>
          </w:tcPr>
          <w:p w14:paraId="19C87FF0">
            <w:pPr>
              <w:pStyle w:val="58"/>
              <w:adjustRightInd w:val="0"/>
              <w:snapToGrid w:val="0"/>
              <w:jc w:val="center"/>
              <w:rPr>
                <w:rFonts w:ascii="Times New Roman" w:hAnsi="Times New Roman" w:eastAsia="Times New Roman"/>
                <w:sz w:val="21"/>
                <w:szCs w:val="21"/>
              </w:rPr>
            </w:pPr>
            <w:r>
              <w:rPr>
                <w:rFonts w:ascii="Times New Roman"/>
                <w:sz w:val="21"/>
                <w:szCs w:val="21"/>
              </w:rPr>
              <w:t>5.06</w:t>
            </w:r>
          </w:p>
        </w:tc>
        <w:tc>
          <w:tcPr>
            <w:tcW w:w="367" w:type="pct"/>
            <w:shd w:val="clear" w:color="auto" w:fill="auto"/>
            <w:vAlign w:val="center"/>
          </w:tcPr>
          <w:p w14:paraId="6F5179EC">
            <w:pPr>
              <w:pStyle w:val="58"/>
              <w:adjustRightInd w:val="0"/>
              <w:snapToGrid w:val="0"/>
              <w:jc w:val="center"/>
              <w:rPr>
                <w:rFonts w:ascii="Times New Roman" w:hAnsi="Times New Roman" w:eastAsia="Times New Roman"/>
                <w:sz w:val="21"/>
                <w:szCs w:val="21"/>
              </w:rPr>
            </w:pPr>
            <w:r>
              <w:rPr>
                <w:rFonts w:ascii="Times New Roman"/>
                <w:sz w:val="21"/>
                <w:szCs w:val="21"/>
              </w:rPr>
              <w:t>0.58</w:t>
            </w:r>
          </w:p>
        </w:tc>
        <w:tc>
          <w:tcPr>
            <w:tcW w:w="461" w:type="pct"/>
            <w:shd w:val="clear" w:color="auto" w:fill="auto"/>
            <w:vAlign w:val="center"/>
          </w:tcPr>
          <w:p w14:paraId="13E22B0A">
            <w:pPr>
              <w:pStyle w:val="58"/>
              <w:adjustRightInd w:val="0"/>
              <w:snapToGrid w:val="0"/>
              <w:jc w:val="center"/>
              <w:rPr>
                <w:rFonts w:ascii="Times New Roman" w:hAnsi="Times New Roman" w:eastAsia="Times New Roman"/>
                <w:sz w:val="21"/>
                <w:szCs w:val="21"/>
              </w:rPr>
            </w:pPr>
            <w:r>
              <w:rPr>
                <w:rFonts w:ascii="Times New Roman"/>
                <w:sz w:val="21"/>
                <w:szCs w:val="21"/>
              </w:rPr>
              <w:t>6</w:t>
            </w:r>
          </w:p>
        </w:tc>
        <w:tc>
          <w:tcPr>
            <w:tcW w:w="462" w:type="pct"/>
            <w:shd w:val="clear" w:color="auto" w:fill="auto"/>
            <w:vAlign w:val="center"/>
          </w:tcPr>
          <w:p w14:paraId="45A238C2">
            <w:pPr>
              <w:pStyle w:val="58"/>
              <w:adjustRightInd w:val="0"/>
              <w:snapToGrid w:val="0"/>
              <w:jc w:val="center"/>
              <w:rPr>
                <w:rFonts w:ascii="宋体" w:hAnsi="宋体" w:cs="宋体"/>
                <w:sz w:val="21"/>
                <w:szCs w:val="21"/>
              </w:rPr>
            </w:pPr>
          </w:p>
        </w:tc>
      </w:tr>
      <w:tr w14:paraId="1B6C74B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11B4625">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3C302070">
            <w:pPr>
              <w:pStyle w:val="58"/>
              <w:adjustRightInd w:val="0"/>
              <w:snapToGrid w:val="0"/>
              <w:jc w:val="center"/>
              <w:rPr>
                <w:rFonts w:ascii="宋体" w:hAnsi="宋体" w:cs="宋体"/>
                <w:sz w:val="21"/>
                <w:szCs w:val="21"/>
              </w:rPr>
            </w:pPr>
            <w:r>
              <w:rPr>
                <w:rFonts w:ascii="宋体" w:hAnsi="宋体" w:cs="宋体"/>
                <w:sz w:val="21"/>
                <w:szCs w:val="21"/>
              </w:rPr>
              <w:t>跃通</w:t>
            </w:r>
          </w:p>
        </w:tc>
        <w:tc>
          <w:tcPr>
            <w:tcW w:w="300" w:type="pct"/>
            <w:shd w:val="clear" w:color="auto" w:fill="auto"/>
            <w:vAlign w:val="center"/>
          </w:tcPr>
          <w:p w14:paraId="3533EB35">
            <w:pPr>
              <w:pStyle w:val="58"/>
              <w:adjustRightInd w:val="0"/>
              <w:snapToGrid w:val="0"/>
              <w:jc w:val="center"/>
              <w:rPr>
                <w:rFonts w:ascii="Times New Roman" w:hAnsi="Times New Roman" w:eastAsia="Times New Roman"/>
                <w:sz w:val="21"/>
                <w:szCs w:val="21"/>
              </w:rPr>
            </w:pPr>
            <w:r>
              <w:rPr>
                <w:rFonts w:ascii="Times New Roman"/>
                <w:sz w:val="21"/>
                <w:szCs w:val="21"/>
              </w:rPr>
              <w:t>0.096</w:t>
            </w:r>
          </w:p>
        </w:tc>
        <w:tc>
          <w:tcPr>
            <w:tcW w:w="300" w:type="pct"/>
            <w:shd w:val="clear" w:color="auto" w:fill="auto"/>
            <w:vAlign w:val="center"/>
          </w:tcPr>
          <w:p w14:paraId="07A04CF5">
            <w:pPr>
              <w:pStyle w:val="58"/>
              <w:adjustRightInd w:val="0"/>
              <w:snapToGrid w:val="0"/>
              <w:jc w:val="center"/>
              <w:rPr>
                <w:rFonts w:ascii="宋体" w:hAnsi="宋体" w:cs="宋体"/>
                <w:sz w:val="21"/>
                <w:szCs w:val="21"/>
              </w:rPr>
            </w:pPr>
          </w:p>
        </w:tc>
        <w:tc>
          <w:tcPr>
            <w:tcW w:w="301" w:type="pct"/>
            <w:shd w:val="clear" w:color="auto" w:fill="auto"/>
            <w:vAlign w:val="center"/>
          </w:tcPr>
          <w:p w14:paraId="0E008837">
            <w:pPr>
              <w:pStyle w:val="58"/>
              <w:adjustRightInd w:val="0"/>
              <w:snapToGrid w:val="0"/>
              <w:jc w:val="center"/>
              <w:rPr>
                <w:rFonts w:ascii="Times New Roman" w:hAnsi="Times New Roman" w:eastAsia="Times New Roman"/>
                <w:sz w:val="21"/>
                <w:szCs w:val="21"/>
              </w:rPr>
            </w:pPr>
            <w:r>
              <w:rPr>
                <w:rFonts w:ascii="Times New Roman"/>
                <w:sz w:val="21"/>
                <w:szCs w:val="21"/>
              </w:rPr>
              <w:t>0.23</w:t>
            </w:r>
          </w:p>
        </w:tc>
        <w:tc>
          <w:tcPr>
            <w:tcW w:w="300" w:type="pct"/>
            <w:shd w:val="clear" w:color="auto" w:fill="auto"/>
            <w:vAlign w:val="center"/>
          </w:tcPr>
          <w:p w14:paraId="46362EDC">
            <w:pPr>
              <w:pStyle w:val="58"/>
              <w:adjustRightInd w:val="0"/>
              <w:snapToGrid w:val="0"/>
              <w:jc w:val="center"/>
              <w:rPr>
                <w:rFonts w:ascii="Times New Roman" w:hAnsi="Times New Roman" w:eastAsia="Times New Roman"/>
                <w:sz w:val="21"/>
                <w:szCs w:val="21"/>
              </w:rPr>
            </w:pPr>
            <w:r>
              <w:rPr>
                <w:rFonts w:ascii="Times New Roman"/>
                <w:sz w:val="21"/>
                <w:szCs w:val="21"/>
              </w:rPr>
              <w:t>1.8</w:t>
            </w:r>
          </w:p>
        </w:tc>
        <w:tc>
          <w:tcPr>
            <w:tcW w:w="301" w:type="pct"/>
            <w:shd w:val="clear" w:color="auto" w:fill="auto"/>
            <w:vAlign w:val="center"/>
          </w:tcPr>
          <w:p w14:paraId="6800ACA9">
            <w:pPr>
              <w:pStyle w:val="58"/>
              <w:adjustRightInd w:val="0"/>
              <w:snapToGrid w:val="0"/>
              <w:jc w:val="center"/>
              <w:rPr>
                <w:rFonts w:ascii="Times New Roman" w:hAnsi="Times New Roman" w:eastAsia="Times New Roman"/>
                <w:sz w:val="21"/>
                <w:szCs w:val="21"/>
              </w:rPr>
            </w:pPr>
            <w:r>
              <w:rPr>
                <w:rFonts w:ascii="Times New Roman"/>
                <w:sz w:val="21"/>
                <w:szCs w:val="21"/>
              </w:rPr>
              <w:t>0.022</w:t>
            </w:r>
          </w:p>
        </w:tc>
        <w:tc>
          <w:tcPr>
            <w:tcW w:w="366" w:type="pct"/>
            <w:shd w:val="clear" w:color="auto" w:fill="auto"/>
            <w:vAlign w:val="center"/>
          </w:tcPr>
          <w:p w14:paraId="5CCBC805">
            <w:pPr>
              <w:pStyle w:val="58"/>
              <w:adjustRightInd w:val="0"/>
              <w:snapToGrid w:val="0"/>
              <w:jc w:val="center"/>
              <w:rPr>
                <w:rFonts w:ascii="Times New Roman" w:hAnsi="Times New Roman" w:eastAsia="Times New Roman"/>
                <w:sz w:val="21"/>
                <w:szCs w:val="21"/>
              </w:rPr>
            </w:pPr>
            <w:r>
              <w:rPr>
                <w:rFonts w:ascii="Times New Roman"/>
                <w:sz w:val="21"/>
                <w:szCs w:val="21"/>
              </w:rPr>
              <w:t>10</w:t>
            </w:r>
          </w:p>
        </w:tc>
        <w:tc>
          <w:tcPr>
            <w:tcW w:w="366" w:type="pct"/>
            <w:shd w:val="clear" w:color="auto" w:fill="auto"/>
            <w:vAlign w:val="center"/>
          </w:tcPr>
          <w:p w14:paraId="732A4F5A">
            <w:pPr>
              <w:pStyle w:val="58"/>
              <w:adjustRightInd w:val="0"/>
              <w:snapToGrid w:val="0"/>
              <w:jc w:val="center"/>
              <w:rPr>
                <w:rFonts w:ascii="Times New Roman" w:hAnsi="Times New Roman" w:eastAsia="Times New Roman"/>
                <w:sz w:val="21"/>
                <w:szCs w:val="21"/>
              </w:rPr>
            </w:pPr>
            <w:r>
              <w:rPr>
                <w:rFonts w:ascii="Times New Roman"/>
                <w:sz w:val="21"/>
                <w:szCs w:val="21"/>
              </w:rPr>
              <w:t>0.46</w:t>
            </w:r>
          </w:p>
        </w:tc>
        <w:tc>
          <w:tcPr>
            <w:tcW w:w="367" w:type="pct"/>
            <w:shd w:val="clear" w:color="auto" w:fill="auto"/>
            <w:vAlign w:val="center"/>
          </w:tcPr>
          <w:p w14:paraId="16D6803E">
            <w:pPr>
              <w:pStyle w:val="58"/>
              <w:adjustRightInd w:val="0"/>
              <w:snapToGrid w:val="0"/>
              <w:jc w:val="center"/>
              <w:rPr>
                <w:rFonts w:ascii="Times New Roman" w:hAnsi="Times New Roman" w:eastAsia="Times New Roman"/>
                <w:sz w:val="21"/>
                <w:szCs w:val="21"/>
              </w:rPr>
            </w:pPr>
            <w:r>
              <w:rPr>
                <w:rFonts w:ascii="Times New Roman"/>
                <w:sz w:val="21"/>
                <w:szCs w:val="21"/>
              </w:rPr>
              <w:t>0.046</w:t>
            </w:r>
          </w:p>
        </w:tc>
        <w:tc>
          <w:tcPr>
            <w:tcW w:w="461" w:type="pct"/>
            <w:shd w:val="clear" w:color="auto" w:fill="auto"/>
            <w:vAlign w:val="center"/>
          </w:tcPr>
          <w:p w14:paraId="354FBA0D">
            <w:pPr>
              <w:pStyle w:val="58"/>
              <w:adjustRightInd w:val="0"/>
              <w:snapToGrid w:val="0"/>
              <w:jc w:val="center"/>
              <w:rPr>
                <w:rFonts w:ascii="Times New Roman" w:hAnsi="Times New Roman" w:eastAsia="Times New Roman"/>
                <w:sz w:val="21"/>
                <w:szCs w:val="21"/>
              </w:rPr>
            </w:pPr>
            <w:r>
              <w:rPr>
                <w:rFonts w:ascii="Times New Roman"/>
                <w:sz w:val="21"/>
                <w:szCs w:val="21"/>
              </w:rPr>
              <w:t>2.7</w:t>
            </w:r>
          </w:p>
        </w:tc>
        <w:tc>
          <w:tcPr>
            <w:tcW w:w="462" w:type="pct"/>
            <w:shd w:val="clear" w:color="auto" w:fill="auto"/>
            <w:vAlign w:val="center"/>
          </w:tcPr>
          <w:p w14:paraId="5A21A973">
            <w:pPr>
              <w:pStyle w:val="58"/>
              <w:adjustRightInd w:val="0"/>
              <w:snapToGrid w:val="0"/>
              <w:jc w:val="center"/>
              <w:rPr>
                <w:rFonts w:ascii="Times New Roman" w:hAnsi="Times New Roman" w:eastAsia="Times New Roman"/>
                <w:sz w:val="21"/>
                <w:szCs w:val="21"/>
              </w:rPr>
            </w:pPr>
            <w:r>
              <w:rPr>
                <w:rFonts w:ascii="Times New Roman"/>
                <w:sz w:val="21"/>
                <w:szCs w:val="21"/>
              </w:rPr>
              <w:t>7</w:t>
            </w:r>
          </w:p>
        </w:tc>
      </w:tr>
      <w:tr w14:paraId="7B06C833">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302E373">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446F3102">
            <w:pPr>
              <w:pStyle w:val="58"/>
              <w:adjustRightInd w:val="0"/>
              <w:snapToGrid w:val="0"/>
              <w:jc w:val="center"/>
              <w:rPr>
                <w:rFonts w:ascii="宋体" w:hAnsi="宋体" w:cs="宋体"/>
                <w:sz w:val="21"/>
                <w:szCs w:val="21"/>
              </w:rPr>
            </w:pPr>
            <w:r>
              <w:rPr>
                <w:rFonts w:ascii="宋体" w:hAnsi="宋体" w:cs="宋体"/>
                <w:sz w:val="21"/>
                <w:szCs w:val="21"/>
              </w:rPr>
              <w:t>利础肥业</w:t>
            </w:r>
          </w:p>
        </w:tc>
        <w:tc>
          <w:tcPr>
            <w:tcW w:w="300" w:type="pct"/>
            <w:shd w:val="clear" w:color="auto" w:fill="auto"/>
            <w:vAlign w:val="center"/>
          </w:tcPr>
          <w:p w14:paraId="378B8AD5">
            <w:pPr>
              <w:pStyle w:val="58"/>
              <w:adjustRightInd w:val="0"/>
              <w:snapToGrid w:val="0"/>
              <w:jc w:val="center"/>
              <w:rPr>
                <w:rFonts w:ascii="宋体" w:hAnsi="宋体" w:cs="宋体"/>
                <w:sz w:val="21"/>
                <w:szCs w:val="21"/>
              </w:rPr>
            </w:pPr>
          </w:p>
        </w:tc>
        <w:tc>
          <w:tcPr>
            <w:tcW w:w="300" w:type="pct"/>
            <w:shd w:val="clear" w:color="auto" w:fill="auto"/>
            <w:vAlign w:val="center"/>
          </w:tcPr>
          <w:p w14:paraId="7A42F4AA">
            <w:pPr>
              <w:pStyle w:val="58"/>
              <w:adjustRightInd w:val="0"/>
              <w:snapToGrid w:val="0"/>
              <w:jc w:val="center"/>
              <w:rPr>
                <w:rFonts w:ascii="宋体" w:hAnsi="宋体" w:cs="宋体"/>
                <w:sz w:val="21"/>
                <w:szCs w:val="21"/>
              </w:rPr>
            </w:pPr>
          </w:p>
        </w:tc>
        <w:tc>
          <w:tcPr>
            <w:tcW w:w="301" w:type="pct"/>
            <w:shd w:val="clear" w:color="auto" w:fill="auto"/>
            <w:vAlign w:val="center"/>
          </w:tcPr>
          <w:p w14:paraId="3E6D0AED">
            <w:pPr>
              <w:pStyle w:val="58"/>
              <w:adjustRightInd w:val="0"/>
              <w:snapToGrid w:val="0"/>
              <w:jc w:val="center"/>
              <w:rPr>
                <w:rFonts w:ascii="宋体" w:hAnsi="宋体" w:cs="宋体"/>
                <w:sz w:val="21"/>
                <w:szCs w:val="21"/>
              </w:rPr>
            </w:pPr>
          </w:p>
        </w:tc>
        <w:tc>
          <w:tcPr>
            <w:tcW w:w="300" w:type="pct"/>
            <w:shd w:val="clear" w:color="auto" w:fill="auto"/>
            <w:vAlign w:val="center"/>
          </w:tcPr>
          <w:p w14:paraId="024DC66F">
            <w:pPr>
              <w:pStyle w:val="58"/>
              <w:adjustRightInd w:val="0"/>
              <w:snapToGrid w:val="0"/>
              <w:jc w:val="center"/>
              <w:rPr>
                <w:rFonts w:ascii="宋体" w:hAnsi="宋体" w:cs="宋体"/>
                <w:sz w:val="21"/>
                <w:szCs w:val="21"/>
              </w:rPr>
            </w:pPr>
          </w:p>
        </w:tc>
        <w:tc>
          <w:tcPr>
            <w:tcW w:w="301" w:type="pct"/>
            <w:shd w:val="clear" w:color="auto" w:fill="auto"/>
            <w:vAlign w:val="center"/>
          </w:tcPr>
          <w:p w14:paraId="0189D885">
            <w:pPr>
              <w:pStyle w:val="58"/>
              <w:adjustRightInd w:val="0"/>
              <w:snapToGrid w:val="0"/>
              <w:jc w:val="center"/>
              <w:rPr>
                <w:rFonts w:ascii="宋体" w:hAnsi="宋体" w:cs="宋体"/>
                <w:sz w:val="21"/>
                <w:szCs w:val="21"/>
              </w:rPr>
            </w:pPr>
          </w:p>
        </w:tc>
        <w:tc>
          <w:tcPr>
            <w:tcW w:w="366" w:type="pct"/>
            <w:shd w:val="clear" w:color="auto" w:fill="auto"/>
            <w:vAlign w:val="center"/>
          </w:tcPr>
          <w:p w14:paraId="5815EDEE">
            <w:pPr>
              <w:pStyle w:val="58"/>
              <w:adjustRightInd w:val="0"/>
              <w:snapToGrid w:val="0"/>
              <w:jc w:val="center"/>
              <w:rPr>
                <w:rFonts w:ascii="Times New Roman" w:hAnsi="Times New Roman" w:eastAsia="Times New Roman"/>
                <w:sz w:val="21"/>
                <w:szCs w:val="21"/>
              </w:rPr>
            </w:pPr>
            <w:r>
              <w:rPr>
                <w:rFonts w:ascii="Times New Roman"/>
                <w:sz w:val="21"/>
                <w:szCs w:val="21"/>
              </w:rPr>
              <w:t>20</w:t>
            </w:r>
          </w:p>
        </w:tc>
        <w:tc>
          <w:tcPr>
            <w:tcW w:w="366" w:type="pct"/>
            <w:shd w:val="clear" w:color="auto" w:fill="auto"/>
            <w:vAlign w:val="center"/>
          </w:tcPr>
          <w:p w14:paraId="3259E5C5">
            <w:pPr>
              <w:pStyle w:val="58"/>
              <w:adjustRightInd w:val="0"/>
              <w:snapToGrid w:val="0"/>
              <w:jc w:val="center"/>
              <w:rPr>
                <w:rFonts w:ascii="宋体" w:hAnsi="宋体" w:cs="宋体"/>
                <w:sz w:val="21"/>
                <w:szCs w:val="21"/>
              </w:rPr>
            </w:pPr>
          </w:p>
        </w:tc>
        <w:tc>
          <w:tcPr>
            <w:tcW w:w="367" w:type="pct"/>
            <w:shd w:val="clear" w:color="auto" w:fill="auto"/>
            <w:vAlign w:val="center"/>
          </w:tcPr>
          <w:p w14:paraId="62781754">
            <w:pPr>
              <w:pStyle w:val="58"/>
              <w:adjustRightInd w:val="0"/>
              <w:snapToGrid w:val="0"/>
              <w:jc w:val="center"/>
              <w:rPr>
                <w:rFonts w:ascii="宋体" w:hAnsi="宋体" w:cs="宋体"/>
                <w:sz w:val="21"/>
                <w:szCs w:val="21"/>
              </w:rPr>
            </w:pPr>
          </w:p>
        </w:tc>
        <w:tc>
          <w:tcPr>
            <w:tcW w:w="461" w:type="pct"/>
            <w:shd w:val="clear" w:color="auto" w:fill="auto"/>
            <w:vAlign w:val="center"/>
          </w:tcPr>
          <w:p w14:paraId="5ED75B7B">
            <w:pPr>
              <w:pStyle w:val="58"/>
              <w:adjustRightInd w:val="0"/>
              <w:snapToGrid w:val="0"/>
              <w:jc w:val="center"/>
              <w:rPr>
                <w:rFonts w:ascii="Times New Roman" w:hAnsi="Times New Roman" w:eastAsia="Times New Roman"/>
                <w:sz w:val="21"/>
                <w:szCs w:val="21"/>
              </w:rPr>
            </w:pPr>
            <w:r>
              <w:rPr>
                <w:rFonts w:ascii="Times New Roman"/>
                <w:sz w:val="21"/>
                <w:szCs w:val="21"/>
              </w:rPr>
              <w:t>50</w:t>
            </w:r>
          </w:p>
        </w:tc>
        <w:tc>
          <w:tcPr>
            <w:tcW w:w="462" w:type="pct"/>
            <w:shd w:val="clear" w:color="auto" w:fill="auto"/>
            <w:vAlign w:val="center"/>
          </w:tcPr>
          <w:p w14:paraId="405FE7F7">
            <w:pPr>
              <w:pStyle w:val="58"/>
              <w:adjustRightInd w:val="0"/>
              <w:snapToGrid w:val="0"/>
              <w:jc w:val="center"/>
              <w:rPr>
                <w:rFonts w:ascii="宋体" w:hAnsi="宋体" w:cs="宋体"/>
                <w:sz w:val="21"/>
                <w:szCs w:val="21"/>
              </w:rPr>
            </w:pPr>
          </w:p>
        </w:tc>
      </w:tr>
      <w:tr w14:paraId="58A1EED5">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4F2F6E98">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3325280E">
            <w:pPr>
              <w:pStyle w:val="58"/>
              <w:adjustRightInd w:val="0"/>
              <w:snapToGrid w:val="0"/>
              <w:jc w:val="center"/>
              <w:rPr>
                <w:rFonts w:ascii="宋体" w:hAnsi="宋体" w:cs="宋体"/>
                <w:sz w:val="21"/>
                <w:szCs w:val="21"/>
              </w:rPr>
            </w:pPr>
            <w:r>
              <w:rPr>
                <w:rFonts w:ascii="宋体" w:hAnsi="宋体" w:cs="宋体"/>
                <w:sz w:val="21"/>
                <w:szCs w:val="21"/>
              </w:rPr>
              <w:t>详亿建材</w:t>
            </w:r>
          </w:p>
        </w:tc>
        <w:tc>
          <w:tcPr>
            <w:tcW w:w="300" w:type="pct"/>
            <w:shd w:val="clear" w:color="auto" w:fill="auto"/>
            <w:vAlign w:val="center"/>
          </w:tcPr>
          <w:p w14:paraId="63013C83">
            <w:pPr>
              <w:pStyle w:val="58"/>
              <w:adjustRightInd w:val="0"/>
              <w:snapToGrid w:val="0"/>
              <w:jc w:val="center"/>
              <w:rPr>
                <w:rFonts w:ascii="宋体" w:hAnsi="宋体" w:cs="宋体"/>
                <w:sz w:val="21"/>
                <w:szCs w:val="21"/>
              </w:rPr>
            </w:pPr>
          </w:p>
        </w:tc>
        <w:tc>
          <w:tcPr>
            <w:tcW w:w="300" w:type="pct"/>
            <w:shd w:val="clear" w:color="auto" w:fill="auto"/>
            <w:vAlign w:val="center"/>
          </w:tcPr>
          <w:p w14:paraId="256CD536">
            <w:pPr>
              <w:pStyle w:val="58"/>
              <w:adjustRightInd w:val="0"/>
              <w:snapToGrid w:val="0"/>
              <w:jc w:val="center"/>
              <w:rPr>
                <w:rFonts w:ascii="宋体" w:hAnsi="宋体" w:cs="宋体"/>
                <w:sz w:val="21"/>
                <w:szCs w:val="21"/>
              </w:rPr>
            </w:pPr>
          </w:p>
        </w:tc>
        <w:tc>
          <w:tcPr>
            <w:tcW w:w="301" w:type="pct"/>
            <w:shd w:val="clear" w:color="auto" w:fill="auto"/>
            <w:vAlign w:val="center"/>
          </w:tcPr>
          <w:p w14:paraId="38002F3B">
            <w:pPr>
              <w:pStyle w:val="58"/>
              <w:adjustRightInd w:val="0"/>
              <w:snapToGrid w:val="0"/>
              <w:jc w:val="center"/>
              <w:rPr>
                <w:rFonts w:ascii="宋体" w:hAnsi="宋体" w:cs="宋体"/>
                <w:sz w:val="21"/>
                <w:szCs w:val="21"/>
              </w:rPr>
            </w:pPr>
          </w:p>
        </w:tc>
        <w:tc>
          <w:tcPr>
            <w:tcW w:w="300" w:type="pct"/>
            <w:shd w:val="clear" w:color="auto" w:fill="auto"/>
            <w:vAlign w:val="center"/>
          </w:tcPr>
          <w:p w14:paraId="372CA776">
            <w:pPr>
              <w:pStyle w:val="58"/>
              <w:adjustRightInd w:val="0"/>
              <w:snapToGrid w:val="0"/>
              <w:jc w:val="center"/>
              <w:rPr>
                <w:rFonts w:ascii="宋体" w:hAnsi="宋体" w:cs="宋体"/>
                <w:sz w:val="21"/>
                <w:szCs w:val="21"/>
              </w:rPr>
            </w:pPr>
          </w:p>
        </w:tc>
        <w:tc>
          <w:tcPr>
            <w:tcW w:w="301" w:type="pct"/>
            <w:shd w:val="clear" w:color="auto" w:fill="auto"/>
            <w:vAlign w:val="center"/>
          </w:tcPr>
          <w:p w14:paraId="0B129352">
            <w:pPr>
              <w:pStyle w:val="58"/>
              <w:adjustRightInd w:val="0"/>
              <w:snapToGrid w:val="0"/>
              <w:jc w:val="center"/>
              <w:rPr>
                <w:rFonts w:ascii="宋体" w:hAnsi="宋体" w:cs="宋体"/>
                <w:sz w:val="21"/>
                <w:szCs w:val="21"/>
              </w:rPr>
            </w:pPr>
          </w:p>
        </w:tc>
        <w:tc>
          <w:tcPr>
            <w:tcW w:w="366" w:type="pct"/>
            <w:shd w:val="clear" w:color="auto" w:fill="auto"/>
            <w:vAlign w:val="center"/>
          </w:tcPr>
          <w:p w14:paraId="08A3A2AB">
            <w:pPr>
              <w:pStyle w:val="58"/>
              <w:adjustRightInd w:val="0"/>
              <w:snapToGrid w:val="0"/>
              <w:jc w:val="center"/>
              <w:rPr>
                <w:rFonts w:ascii="Times New Roman" w:hAnsi="Times New Roman" w:eastAsia="Times New Roman"/>
                <w:sz w:val="21"/>
                <w:szCs w:val="21"/>
              </w:rPr>
            </w:pPr>
            <w:r>
              <w:rPr>
                <w:rFonts w:ascii="Times New Roman"/>
                <w:sz w:val="21"/>
                <w:szCs w:val="21"/>
              </w:rPr>
              <w:t>50</w:t>
            </w:r>
          </w:p>
        </w:tc>
        <w:tc>
          <w:tcPr>
            <w:tcW w:w="366" w:type="pct"/>
            <w:shd w:val="clear" w:color="auto" w:fill="auto"/>
            <w:vAlign w:val="center"/>
          </w:tcPr>
          <w:p w14:paraId="7312AEAF">
            <w:pPr>
              <w:pStyle w:val="58"/>
              <w:adjustRightInd w:val="0"/>
              <w:snapToGrid w:val="0"/>
              <w:jc w:val="center"/>
              <w:rPr>
                <w:rFonts w:ascii="宋体" w:hAnsi="宋体" w:cs="宋体"/>
                <w:sz w:val="21"/>
                <w:szCs w:val="21"/>
              </w:rPr>
            </w:pPr>
          </w:p>
        </w:tc>
        <w:tc>
          <w:tcPr>
            <w:tcW w:w="367" w:type="pct"/>
            <w:shd w:val="clear" w:color="auto" w:fill="auto"/>
            <w:vAlign w:val="center"/>
          </w:tcPr>
          <w:p w14:paraId="15CA28AD">
            <w:pPr>
              <w:pStyle w:val="58"/>
              <w:adjustRightInd w:val="0"/>
              <w:snapToGrid w:val="0"/>
              <w:jc w:val="center"/>
              <w:rPr>
                <w:rFonts w:ascii="宋体" w:hAnsi="宋体" w:cs="宋体"/>
                <w:sz w:val="21"/>
                <w:szCs w:val="21"/>
              </w:rPr>
            </w:pPr>
          </w:p>
        </w:tc>
        <w:tc>
          <w:tcPr>
            <w:tcW w:w="461" w:type="pct"/>
            <w:shd w:val="clear" w:color="auto" w:fill="auto"/>
            <w:vAlign w:val="center"/>
          </w:tcPr>
          <w:p w14:paraId="00C24C11">
            <w:pPr>
              <w:pStyle w:val="58"/>
              <w:adjustRightInd w:val="0"/>
              <w:snapToGrid w:val="0"/>
              <w:jc w:val="center"/>
              <w:rPr>
                <w:rFonts w:ascii="Times New Roman" w:hAnsi="Times New Roman" w:eastAsia="Times New Roman"/>
                <w:sz w:val="21"/>
                <w:szCs w:val="21"/>
              </w:rPr>
            </w:pPr>
            <w:r>
              <w:rPr>
                <w:rFonts w:ascii="Times New Roman"/>
                <w:sz w:val="21"/>
                <w:szCs w:val="21"/>
              </w:rPr>
              <w:t>51</w:t>
            </w:r>
          </w:p>
        </w:tc>
        <w:tc>
          <w:tcPr>
            <w:tcW w:w="462" w:type="pct"/>
            <w:shd w:val="clear" w:color="auto" w:fill="auto"/>
            <w:vAlign w:val="center"/>
          </w:tcPr>
          <w:p w14:paraId="6638C686">
            <w:pPr>
              <w:pStyle w:val="58"/>
              <w:adjustRightInd w:val="0"/>
              <w:snapToGrid w:val="0"/>
              <w:jc w:val="center"/>
              <w:rPr>
                <w:rFonts w:ascii="宋体" w:hAnsi="宋体" w:cs="宋体"/>
                <w:sz w:val="21"/>
                <w:szCs w:val="21"/>
              </w:rPr>
            </w:pPr>
          </w:p>
        </w:tc>
      </w:tr>
      <w:tr w14:paraId="3356DD63">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274B12B2">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3BBAE9DC">
            <w:pPr>
              <w:pStyle w:val="58"/>
              <w:adjustRightInd w:val="0"/>
              <w:snapToGrid w:val="0"/>
              <w:jc w:val="center"/>
              <w:rPr>
                <w:rFonts w:ascii="宋体" w:hAnsi="宋体" w:cs="宋体"/>
                <w:sz w:val="21"/>
                <w:szCs w:val="21"/>
              </w:rPr>
            </w:pPr>
            <w:r>
              <w:rPr>
                <w:rFonts w:ascii="宋体" w:hAnsi="宋体" w:cs="宋体"/>
                <w:sz w:val="21"/>
                <w:szCs w:val="21"/>
              </w:rPr>
              <w:t>花园贝乐</w:t>
            </w:r>
          </w:p>
        </w:tc>
        <w:tc>
          <w:tcPr>
            <w:tcW w:w="300" w:type="pct"/>
            <w:shd w:val="clear" w:color="auto" w:fill="auto"/>
            <w:vAlign w:val="center"/>
          </w:tcPr>
          <w:p w14:paraId="6FFD8FB2">
            <w:pPr>
              <w:pStyle w:val="58"/>
              <w:adjustRightInd w:val="0"/>
              <w:snapToGrid w:val="0"/>
              <w:jc w:val="center"/>
              <w:rPr>
                <w:rFonts w:ascii="Times New Roman" w:hAnsi="Times New Roman" w:eastAsia="Times New Roman"/>
                <w:sz w:val="21"/>
                <w:szCs w:val="21"/>
              </w:rPr>
            </w:pPr>
            <w:r>
              <w:rPr>
                <w:rFonts w:ascii="Times New Roman"/>
                <w:sz w:val="21"/>
                <w:szCs w:val="21"/>
              </w:rPr>
              <w:t>0.1</w:t>
            </w:r>
          </w:p>
        </w:tc>
        <w:tc>
          <w:tcPr>
            <w:tcW w:w="300" w:type="pct"/>
            <w:shd w:val="clear" w:color="auto" w:fill="auto"/>
            <w:vAlign w:val="center"/>
          </w:tcPr>
          <w:p w14:paraId="53B09EAF">
            <w:pPr>
              <w:pStyle w:val="58"/>
              <w:adjustRightInd w:val="0"/>
              <w:snapToGrid w:val="0"/>
              <w:jc w:val="center"/>
              <w:rPr>
                <w:rFonts w:ascii="Times New Roman" w:hAnsi="Times New Roman" w:eastAsia="Times New Roman"/>
                <w:sz w:val="21"/>
                <w:szCs w:val="21"/>
              </w:rPr>
            </w:pPr>
            <w:r>
              <w:rPr>
                <w:rFonts w:ascii="Times New Roman"/>
                <w:sz w:val="21"/>
                <w:szCs w:val="21"/>
              </w:rPr>
              <w:t>0.5</w:t>
            </w:r>
          </w:p>
        </w:tc>
        <w:tc>
          <w:tcPr>
            <w:tcW w:w="301" w:type="pct"/>
            <w:shd w:val="clear" w:color="auto" w:fill="auto"/>
            <w:vAlign w:val="center"/>
          </w:tcPr>
          <w:p w14:paraId="78C85DDE">
            <w:pPr>
              <w:pStyle w:val="58"/>
              <w:adjustRightInd w:val="0"/>
              <w:snapToGrid w:val="0"/>
              <w:jc w:val="center"/>
              <w:rPr>
                <w:rFonts w:ascii="宋体" w:hAnsi="宋体" w:cs="宋体"/>
                <w:sz w:val="21"/>
                <w:szCs w:val="21"/>
              </w:rPr>
            </w:pPr>
          </w:p>
        </w:tc>
        <w:tc>
          <w:tcPr>
            <w:tcW w:w="300" w:type="pct"/>
            <w:shd w:val="clear" w:color="auto" w:fill="auto"/>
            <w:vAlign w:val="center"/>
          </w:tcPr>
          <w:p w14:paraId="306BA34E">
            <w:pPr>
              <w:pStyle w:val="58"/>
              <w:adjustRightInd w:val="0"/>
              <w:snapToGrid w:val="0"/>
              <w:jc w:val="center"/>
              <w:rPr>
                <w:rFonts w:ascii="宋体" w:hAnsi="宋体" w:cs="宋体"/>
                <w:sz w:val="21"/>
                <w:szCs w:val="21"/>
              </w:rPr>
            </w:pPr>
          </w:p>
        </w:tc>
        <w:tc>
          <w:tcPr>
            <w:tcW w:w="301" w:type="pct"/>
            <w:shd w:val="clear" w:color="auto" w:fill="auto"/>
            <w:vAlign w:val="center"/>
          </w:tcPr>
          <w:p w14:paraId="592CBA1A">
            <w:pPr>
              <w:pStyle w:val="58"/>
              <w:adjustRightInd w:val="0"/>
              <w:snapToGrid w:val="0"/>
              <w:jc w:val="center"/>
              <w:rPr>
                <w:rFonts w:ascii="宋体" w:hAnsi="宋体" w:cs="宋体"/>
                <w:sz w:val="21"/>
                <w:szCs w:val="21"/>
              </w:rPr>
            </w:pPr>
          </w:p>
        </w:tc>
        <w:tc>
          <w:tcPr>
            <w:tcW w:w="366" w:type="pct"/>
            <w:shd w:val="clear" w:color="auto" w:fill="auto"/>
            <w:vAlign w:val="center"/>
          </w:tcPr>
          <w:p w14:paraId="218CC4CF">
            <w:pPr>
              <w:pStyle w:val="58"/>
              <w:adjustRightInd w:val="0"/>
              <w:snapToGrid w:val="0"/>
              <w:jc w:val="center"/>
              <w:rPr>
                <w:rFonts w:ascii="Times New Roman" w:hAnsi="Times New Roman" w:eastAsia="Times New Roman"/>
                <w:sz w:val="21"/>
                <w:szCs w:val="21"/>
              </w:rPr>
            </w:pPr>
            <w:r>
              <w:rPr>
                <w:rFonts w:ascii="Times New Roman"/>
                <w:sz w:val="21"/>
                <w:szCs w:val="21"/>
              </w:rPr>
              <w:t>1000</w:t>
            </w:r>
          </w:p>
        </w:tc>
        <w:tc>
          <w:tcPr>
            <w:tcW w:w="366" w:type="pct"/>
            <w:shd w:val="clear" w:color="auto" w:fill="auto"/>
            <w:vAlign w:val="center"/>
          </w:tcPr>
          <w:p w14:paraId="281AF34C">
            <w:pPr>
              <w:pStyle w:val="58"/>
              <w:adjustRightInd w:val="0"/>
              <w:snapToGrid w:val="0"/>
              <w:jc w:val="center"/>
              <w:rPr>
                <w:rFonts w:ascii="Times New Roman" w:hAnsi="Times New Roman" w:eastAsia="Times New Roman"/>
                <w:sz w:val="21"/>
                <w:szCs w:val="21"/>
              </w:rPr>
            </w:pPr>
            <w:r>
              <w:rPr>
                <w:rFonts w:ascii="Times New Roman"/>
                <w:sz w:val="21"/>
                <w:szCs w:val="21"/>
              </w:rPr>
              <w:t>29.88</w:t>
            </w:r>
          </w:p>
        </w:tc>
        <w:tc>
          <w:tcPr>
            <w:tcW w:w="367" w:type="pct"/>
            <w:shd w:val="clear" w:color="auto" w:fill="auto"/>
            <w:vAlign w:val="center"/>
          </w:tcPr>
          <w:p w14:paraId="2ADE9E8E">
            <w:pPr>
              <w:pStyle w:val="58"/>
              <w:adjustRightInd w:val="0"/>
              <w:snapToGrid w:val="0"/>
              <w:jc w:val="center"/>
              <w:rPr>
                <w:rFonts w:ascii="Times New Roman" w:hAnsi="Times New Roman" w:eastAsia="Times New Roman"/>
                <w:sz w:val="21"/>
                <w:szCs w:val="21"/>
              </w:rPr>
            </w:pPr>
            <w:r>
              <w:rPr>
                <w:rFonts w:ascii="Times New Roman"/>
                <w:sz w:val="21"/>
                <w:szCs w:val="21"/>
              </w:rPr>
              <w:t>2.1</w:t>
            </w:r>
          </w:p>
        </w:tc>
        <w:tc>
          <w:tcPr>
            <w:tcW w:w="461" w:type="pct"/>
            <w:shd w:val="clear" w:color="auto" w:fill="auto"/>
            <w:vAlign w:val="center"/>
          </w:tcPr>
          <w:p w14:paraId="3DB1C5B3">
            <w:pPr>
              <w:pStyle w:val="58"/>
              <w:adjustRightInd w:val="0"/>
              <w:snapToGrid w:val="0"/>
              <w:jc w:val="center"/>
              <w:rPr>
                <w:rFonts w:ascii="Times New Roman" w:hAnsi="Times New Roman" w:eastAsia="Times New Roman"/>
                <w:sz w:val="21"/>
                <w:szCs w:val="21"/>
              </w:rPr>
            </w:pPr>
            <w:r>
              <w:rPr>
                <w:rFonts w:ascii="Times New Roman"/>
                <w:sz w:val="21"/>
                <w:szCs w:val="21"/>
              </w:rPr>
              <w:t>18.5</w:t>
            </w:r>
          </w:p>
        </w:tc>
        <w:tc>
          <w:tcPr>
            <w:tcW w:w="462" w:type="pct"/>
            <w:shd w:val="clear" w:color="auto" w:fill="auto"/>
            <w:vAlign w:val="center"/>
          </w:tcPr>
          <w:p w14:paraId="056B241A">
            <w:pPr>
              <w:pStyle w:val="58"/>
              <w:adjustRightInd w:val="0"/>
              <w:snapToGrid w:val="0"/>
              <w:jc w:val="center"/>
              <w:rPr>
                <w:rFonts w:ascii="Times New Roman" w:hAnsi="Times New Roman" w:eastAsia="Times New Roman"/>
                <w:sz w:val="21"/>
                <w:szCs w:val="21"/>
              </w:rPr>
            </w:pPr>
            <w:r>
              <w:rPr>
                <w:rFonts w:ascii="Times New Roman"/>
                <w:sz w:val="21"/>
                <w:szCs w:val="21"/>
              </w:rPr>
              <w:t>2</w:t>
            </w:r>
          </w:p>
        </w:tc>
      </w:tr>
      <w:tr w14:paraId="7E8755C0">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27DB17F">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68903809">
            <w:pPr>
              <w:pStyle w:val="58"/>
              <w:adjustRightInd w:val="0"/>
              <w:snapToGrid w:val="0"/>
              <w:jc w:val="center"/>
              <w:rPr>
                <w:rFonts w:ascii="宋体" w:hAnsi="宋体" w:cs="宋体"/>
                <w:sz w:val="21"/>
                <w:szCs w:val="21"/>
              </w:rPr>
            </w:pPr>
            <w:r>
              <w:rPr>
                <w:rFonts w:ascii="宋体" w:hAnsi="宋体" w:cs="宋体"/>
                <w:sz w:val="21"/>
                <w:szCs w:val="21"/>
              </w:rPr>
              <w:t>东浩天成</w:t>
            </w:r>
          </w:p>
        </w:tc>
        <w:tc>
          <w:tcPr>
            <w:tcW w:w="300" w:type="pct"/>
            <w:shd w:val="clear" w:color="auto" w:fill="auto"/>
            <w:vAlign w:val="center"/>
          </w:tcPr>
          <w:p w14:paraId="405DEF3A">
            <w:pPr>
              <w:pStyle w:val="58"/>
              <w:adjustRightInd w:val="0"/>
              <w:snapToGrid w:val="0"/>
              <w:jc w:val="center"/>
              <w:rPr>
                <w:rFonts w:ascii="Times New Roman" w:hAnsi="Times New Roman" w:eastAsia="Times New Roman"/>
                <w:sz w:val="21"/>
                <w:szCs w:val="21"/>
              </w:rPr>
            </w:pPr>
            <w:r>
              <w:rPr>
                <w:rFonts w:ascii="Times New Roman"/>
                <w:sz w:val="21"/>
                <w:szCs w:val="21"/>
              </w:rPr>
              <w:t>0.2</w:t>
            </w:r>
          </w:p>
        </w:tc>
        <w:tc>
          <w:tcPr>
            <w:tcW w:w="300" w:type="pct"/>
            <w:shd w:val="clear" w:color="auto" w:fill="auto"/>
            <w:vAlign w:val="center"/>
          </w:tcPr>
          <w:p w14:paraId="356B5240">
            <w:pPr>
              <w:pStyle w:val="58"/>
              <w:adjustRightInd w:val="0"/>
              <w:snapToGrid w:val="0"/>
              <w:jc w:val="center"/>
              <w:rPr>
                <w:rFonts w:ascii="Times New Roman" w:hAnsi="Times New Roman" w:eastAsia="Times New Roman"/>
                <w:sz w:val="21"/>
                <w:szCs w:val="21"/>
              </w:rPr>
            </w:pPr>
            <w:r>
              <w:rPr>
                <w:rFonts w:ascii="Times New Roman"/>
                <w:sz w:val="21"/>
                <w:szCs w:val="21"/>
              </w:rPr>
              <w:t>1.75</w:t>
            </w:r>
          </w:p>
        </w:tc>
        <w:tc>
          <w:tcPr>
            <w:tcW w:w="301" w:type="pct"/>
            <w:shd w:val="clear" w:color="auto" w:fill="auto"/>
            <w:vAlign w:val="center"/>
          </w:tcPr>
          <w:p w14:paraId="5090904F">
            <w:pPr>
              <w:pStyle w:val="58"/>
              <w:adjustRightInd w:val="0"/>
              <w:snapToGrid w:val="0"/>
              <w:jc w:val="center"/>
              <w:rPr>
                <w:rFonts w:ascii="宋体" w:hAnsi="宋体" w:cs="宋体"/>
                <w:sz w:val="21"/>
                <w:szCs w:val="21"/>
              </w:rPr>
            </w:pPr>
          </w:p>
        </w:tc>
        <w:tc>
          <w:tcPr>
            <w:tcW w:w="300" w:type="pct"/>
            <w:shd w:val="clear" w:color="auto" w:fill="auto"/>
            <w:vAlign w:val="center"/>
          </w:tcPr>
          <w:p w14:paraId="1954ECE8">
            <w:pPr>
              <w:pStyle w:val="58"/>
              <w:adjustRightInd w:val="0"/>
              <w:snapToGrid w:val="0"/>
              <w:jc w:val="center"/>
              <w:rPr>
                <w:rFonts w:ascii="宋体" w:hAnsi="宋体" w:cs="宋体"/>
                <w:sz w:val="21"/>
                <w:szCs w:val="21"/>
              </w:rPr>
            </w:pPr>
          </w:p>
        </w:tc>
        <w:tc>
          <w:tcPr>
            <w:tcW w:w="301" w:type="pct"/>
            <w:shd w:val="clear" w:color="auto" w:fill="auto"/>
            <w:vAlign w:val="center"/>
          </w:tcPr>
          <w:p w14:paraId="6DD4B93D">
            <w:pPr>
              <w:pStyle w:val="58"/>
              <w:adjustRightInd w:val="0"/>
              <w:snapToGrid w:val="0"/>
              <w:jc w:val="center"/>
              <w:rPr>
                <w:rFonts w:ascii="宋体" w:hAnsi="宋体" w:cs="宋体"/>
                <w:sz w:val="21"/>
                <w:szCs w:val="21"/>
              </w:rPr>
            </w:pPr>
          </w:p>
        </w:tc>
        <w:tc>
          <w:tcPr>
            <w:tcW w:w="366" w:type="pct"/>
            <w:shd w:val="clear" w:color="auto" w:fill="auto"/>
            <w:vAlign w:val="center"/>
          </w:tcPr>
          <w:p w14:paraId="335645A5">
            <w:pPr>
              <w:pStyle w:val="58"/>
              <w:adjustRightInd w:val="0"/>
              <w:snapToGrid w:val="0"/>
              <w:jc w:val="center"/>
              <w:rPr>
                <w:rFonts w:ascii="Times New Roman" w:hAnsi="Times New Roman" w:eastAsia="Times New Roman"/>
                <w:sz w:val="21"/>
                <w:szCs w:val="21"/>
              </w:rPr>
            </w:pPr>
            <w:r>
              <w:rPr>
                <w:rFonts w:ascii="Times New Roman"/>
                <w:sz w:val="21"/>
                <w:szCs w:val="21"/>
              </w:rPr>
              <w:t>800</w:t>
            </w:r>
          </w:p>
        </w:tc>
        <w:tc>
          <w:tcPr>
            <w:tcW w:w="366" w:type="pct"/>
            <w:shd w:val="clear" w:color="auto" w:fill="auto"/>
            <w:vAlign w:val="center"/>
          </w:tcPr>
          <w:p w14:paraId="6CF98B73">
            <w:pPr>
              <w:pStyle w:val="58"/>
              <w:adjustRightInd w:val="0"/>
              <w:snapToGrid w:val="0"/>
              <w:jc w:val="center"/>
              <w:rPr>
                <w:rFonts w:ascii="Times New Roman" w:hAnsi="Times New Roman" w:eastAsia="Times New Roman"/>
                <w:sz w:val="21"/>
                <w:szCs w:val="21"/>
              </w:rPr>
            </w:pPr>
            <w:r>
              <w:rPr>
                <w:rFonts w:ascii="Times New Roman"/>
                <w:sz w:val="21"/>
                <w:szCs w:val="21"/>
              </w:rPr>
              <w:t>67.65</w:t>
            </w:r>
          </w:p>
        </w:tc>
        <w:tc>
          <w:tcPr>
            <w:tcW w:w="367" w:type="pct"/>
            <w:shd w:val="clear" w:color="auto" w:fill="auto"/>
            <w:vAlign w:val="center"/>
          </w:tcPr>
          <w:p w14:paraId="09A3258D">
            <w:pPr>
              <w:pStyle w:val="58"/>
              <w:adjustRightInd w:val="0"/>
              <w:snapToGrid w:val="0"/>
              <w:jc w:val="center"/>
              <w:rPr>
                <w:rFonts w:ascii="Times New Roman" w:hAnsi="Times New Roman" w:eastAsia="Times New Roman"/>
                <w:sz w:val="21"/>
                <w:szCs w:val="21"/>
              </w:rPr>
            </w:pPr>
            <w:r>
              <w:rPr>
                <w:rFonts w:ascii="Times New Roman"/>
                <w:sz w:val="21"/>
                <w:szCs w:val="21"/>
              </w:rPr>
              <w:t>8.28</w:t>
            </w:r>
          </w:p>
        </w:tc>
        <w:tc>
          <w:tcPr>
            <w:tcW w:w="461" w:type="pct"/>
            <w:shd w:val="clear" w:color="auto" w:fill="auto"/>
            <w:vAlign w:val="center"/>
          </w:tcPr>
          <w:p w14:paraId="418D3F9D">
            <w:pPr>
              <w:pStyle w:val="58"/>
              <w:adjustRightInd w:val="0"/>
              <w:snapToGrid w:val="0"/>
              <w:jc w:val="center"/>
              <w:rPr>
                <w:rFonts w:ascii="Times New Roman" w:hAnsi="Times New Roman" w:eastAsia="Times New Roman"/>
                <w:sz w:val="21"/>
                <w:szCs w:val="21"/>
              </w:rPr>
            </w:pPr>
            <w:r>
              <w:rPr>
                <w:rFonts w:ascii="Times New Roman"/>
                <w:sz w:val="21"/>
                <w:szCs w:val="21"/>
              </w:rPr>
              <w:t>29.2</w:t>
            </w:r>
          </w:p>
        </w:tc>
        <w:tc>
          <w:tcPr>
            <w:tcW w:w="462" w:type="pct"/>
            <w:shd w:val="clear" w:color="auto" w:fill="auto"/>
            <w:vAlign w:val="center"/>
          </w:tcPr>
          <w:p w14:paraId="27A486B5">
            <w:pPr>
              <w:pStyle w:val="58"/>
              <w:adjustRightInd w:val="0"/>
              <w:snapToGrid w:val="0"/>
              <w:jc w:val="center"/>
              <w:rPr>
                <w:rFonts w:ascii="Times New Roman" w:hAnsi="Times New Roman" w:eastAsia="Times New Roman"/>
                <w:sz w:val="21"/>
                <w:szCs w:val="21"/>
              </w:rPr>
            </w:pPr>
            <w:r>
              <w:rPr>
                <w:rFonts w:ascii="Times New Roman"/>
                <w:sz w:val="21"/>
                <w:szCs w:val="21"/>
              </w:rPr>
              <w:t>0.3</w:t>
            </w:r>
          </w:p>
        </w:tc>
      </w:tr>
      <w:tr w14:paraId="45F71CC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1" w:type="pct"/>
            <w:shd w:val="clear" w:color="auto" w:fill="auto"/>
            <w:vAlign w:val="center"/>
          </w:tcPr>
          <w:p w14:paraId="3D21ED1F">
            <w:pPr>
              <w:numPr>
                <w:ilvl w:val="0"/>
                <w:numId w:val="21"/>
              </w:numPr>
              <w:adjustRightInd w:val="0"/>
              <w:snapToGrid w:val="0"/>
              <w:spacing w:line="240" w:lineRule="auto"/>
              <w:ind w:firstLineChars="0"/>
              <w:jc w:val="center"/>
              <w:rPr>
                <w:rFonts w:hAnsi="Calibri"/>
                <w:sz w:val="21"/>
                <w:szCs w:val="21"/>
                <w:lang w:eastAsia="en-US"/>
              </w:rPr>
            </w:pPr>
          </w:p>
        </w:tc>
        <w:tc>
          <w:tcPr>
            <w:tcW w:w="1285" w:type="pct"/>
            <w:shd w:val="clear" w:color="auto" w:fill="auto"/>
            <w:vAlign w:val="center"/>
          </w:tcPr>
          <w:p w14:paraId="2BA7B8B0">
            <w:pPr>
              <w:pStyle w:val="58"/>
              <w:adjustRightInd w:val="0"/>
              <w:snapToGrid w:val="0"/>
              <w:jc w:val="center"/>
              <w:rPr>
                <w:rFonts w:ascii="宋体" w:hAnsi="宋体" w:cs="宋体"/>
                <w:sz w:val="21"/>
                <w:szCs w:val="21"/>
                <w:lang w:eastAsia="zh-CN"/>
              </w:rPr>
            </w:pPr>
            <w:r>
              <w:rPr>
                <w:rFonts w:ascii="宋体" w:hAnsi="宋体" w:cs="宋体"/>
                <w:sz w:val="21"/>
                <w:szCs w:val="21"/>
                <w:lang w:eastAsia="zh-CN"/>
              </w:rPr>
              <w:t>新疆蓝星星辰新材料</w:t>
            </w:r>
          </w:p>
        </w:tc>
        <w:tc>
          <w:tcPr>
            <w:tcW w:w="300" w:type="pct"/>
            <w:shd w:val="clear" w:color="auto" w:fill="auto"/>
            <w:vAlign w:val="center"/>
          </w:tcPr>
          <w:p w14:paraId="2B42DB98">
            <w:pPr>
              <w:pStyle w:val="58"/>
              <w:adjustRightInd w:val="0"/>
              <w:snapToGrid w:val="0"/>
              <w:jc w:val="center"/>
              <w:rPr>
                <w:rFonts w:ascii="宋体" w:hAnsi="宋体" w:cs="宋体"/>
                <w:sz w:val="21"/>
                <w:szCs w:val="21"/>
                <w:lang w:eastAsia="zh-CN"/>
              </w:rPr>
            </w:pPr>
          </w:p>
        </w:tc>
        <w:tc>
          <w:tcPr>
            <w:tcW w:w="300" w:type="pct"/>
            <w:shd w:val="clear" w:color="auto" w:fill="auto"/>
            <w:vAlign w:val="center"/>
          </w:tcPr>
          <w:p w14:paraId="1F83F2DC">
            <w:pPr>
              <w:pStyle w:val="58"/>
              <w:adjustRightInd w:val="0"/>
              <w:snapToGrid w:val="0"/>
              <w:jc w:val="center"/>
              <w:rPr>
                <w:rFonts w:ascii="Times New Roman" w:hAnsi="Times New Roman" w:eastAsia="Times New Roman"/>
                <w:sz w:val="21"/>
                <w:szCs w:val="21"/>
              </w:rPr>
            </w:pPr>
            <w:r>
              <w:rPr>
                <w:rFonts w:ascii="Times New Roman"/>
                <w:sz w:val="21"/>
                <w:szCs w:val="21"/>
              </w:rPr>
              <w:t>6.48</w:t>
            </w:r>
          </w:p>
        </w:tc>
        <w:tc>
          <w:tcPr>
            <w:tcW w:w="301" w:type="pct"/>
            <w:shd w:val="clear" w:color="auto" w:fill="auto"/>
            <w:vAlign w:val="center"/>
          </w:tcPr>
          <w:p w14:paraId="52DEAAC6">
            <w:pPr>
              <w:pStyle w:val="58"/>
              <w:adjustRightInd w:val="0"/>
              <w:snapToGrid w:val="0"/>
              <w:jc w:val="center"/>
              <w:rPr>
                <w:rFonts w:ascii="宋体" w:hAnsi="宋体" w:cs="宋体"/>
                <w:sz w:val="21"/>
                <w:szCs w:val="21"/>
              </w:rPr>
            </w:pPr>
          </w:p>
        </w:tc>
        <w:tc>
          <w:tcPr>
            <w:tcW w:w="300" w:type="pct"/>
            <w:shd w:val="clear" w:color="auto" w:fill="auto"/>
            <w:vAlign w:val="center"/>
          </w:tcPr>
          <w:p w14:paraId="78A88EE0">
            <w:pPr>
              <w:pStyle w:val="58"/>
              <w:adjustRightInd w:val="0"/>
              <w:snapToGrid w:val="0"/>
              <w:jc w:val="center"/>
              <w:rPr>
                <w:rFonts w:ascii="Times New Roman" w:hAnsi="Times New Roman" w:eastAsia="Times New Roman"/>
                <w:sz w:val="21"/>
                <w:szCs w:val="21"/>
              </w:rPr>
            </w:pPr>
            <w:r>
              <w:rPr>
                <w:rFonts w:ascii="Times New Roman"/>
                <w:sz w:val="21"/>
                <w:szCs w:val="21"/>
              </w:rPr>
              <w:t>5.96</w:t>
            </w:r>
          </w:p>
        </w:tc>
        <w:tc>
          <w:tcPr>
            <w:tcW w:w="301" w:type="pct"/>
            <w:shd w:val="clear" w:color="auto" w:fill="auto"/>
            <w:vAlign w:val="center"/>
          </w:tcPr>
          <w:p w14:paraId="4A14ED02">
            <w:pPr>
              <w:pStyle w:val="58"/>
              <w:adjustRightInd w:val="0"/>
              <w:snapToGrid w:val="0"/>
              <w:jc w:val="center"/>
              <w:rPr>
                <w:rFonts w:ascii="Times New Roman" w:hAnsi="Times New Roman" w:eastAsia="Times New Roman"/>
                <w:sz w:val="21"/>
                <w:szCs w:val="21"/>
              </w:rPr>
            </w:pPr>
            <w:r>
              <w:rPr>
                <w:rFonts w:ascii="Times New Roman"/>
                <w:sz w:val="21"/>
                <w:szCs w:val="21"/>
              </w:rPr>
              <w:t>3.16</w:t>
            </w:r>
          </w:p>
        </w:tc>
        <w:tc>
          <w:tcPr>
            <w:tcW w:w="366" w:type="pct"/>
            <w:shd w:val="clear" w:color="auto" w:fill="auto"/>
            <w:vAlign w:val="center"/>
          </w:tcPr>
          <w:p w14:paraId="265D809C">
            <w:pPr>
              <w:pStyle w:val="58"/>
              <w:adjustRightInd w:val="0"/>
              <w:snapToGrid w:val="0"/>
              <w:jc w:val="center"/>
              <w:rPr>
                <w:rFonts w:ascii="Times New Roman" w:hAnsi="Times New Roman" w:eastAsia="Times New Roman"/>
                <w:sz w:val="21"/>
                <w:szCs w:val="21"/>
              </w:rPr>
            </w:pPr>
            <w:r>
              <w:rPr>
                <w:rFonts w:ascii="Times New Roman"/>
                <w:sz w:val="21"/>
                <w:szCs w:val="21"/>
              </w:rPr>
              <w:t>750</w:t>
            </w:r>
          </w:p>
        </w:tc>
        <w:tc>
          <w:tcPr>
            <w:tcW w:w="366" w:type="pct"/>
            <w:shd w:val="clear" w:color="auto" w:fill="auto"/>
            <w:vAlign w:val="center"/>
          </w:tcPr>
          <w:p w14:paraId="4CEDCD06">
            <w:pPr>
              <w:pStyle w:val="58"/>
              <w:adjustRightInd w:val="0"/>
              <w:snapToGrid w:val="0"/>
              <w:jc w:val="center"/>
              <w:rPr>
                <w:rFonts w:ascii="Times New Roman" w:hAnsi="Times New Roman" w:eastAsia="Times New Roman"/>
                <w:sz w:val="21"/>
                <w:szCs w:val="21"/>
              </w:rPr>
            </w:pPr>
            <w:r>
              <w:rPr>
                <w:rFonts w:ascii="Times New Roman"/>
                <w:sz w:val="21"/>
                <w:szCs w:val="21"/>
              </w:rPr>
              <w:t>97.92</w:t>
            </w:r>
          </w:p>
        </w:tc>
        <w:tc>
          <w:tcPr>
            <w:tcW w:w="367" w:type="pct"/>
            <w:shd w:val="clear" w:color="auto" w:fill="auto"/>
            <w:vAlign w:val="center"/>
          </w:tcPr>
          <w:p w14:paraId="547C12C9">
            <w:pPr>
              <w:pStyle w:val="58"/>
              <w:adjustRightInd w:val="0"/>
              <w:snapToGrid w:val="0"/>
              <w:jc w:val="center"/>
              <w:rPr>
                <w:rFonts w:ascii="Times New Roman" w:hAnsi="Times New Roman" w:eastAsia="Times New Roman"/>
                <w:sz w:val="21"/>
                <w:szCs w:val="21"/>
              </w:rPr>
            </w:pPr>
            <w:r>
              <w:rPr>
                <w:rFonts w:ascii="Times New Roman"/>
                <w:sz w:val="21"/>
                <w:szCs w:val="21"/>
              </w:rPr>
              <w:t>4.9</w:t>
            </w:r>
          </w:p>
        </w:tc>
        <w:tc>
          <w:tcPr>
            <w:tcW w:w="461" w:type="pct"/>
            <w:shd w:val="clear" w:color="auto" w:fill="auto"/>
            <w:vAlign w:val="center"/>
          </w:tcPr>
          <w:p w14:paraId="2FEA71F0">
            <w:pPr>
              <w:pStyle w:val="58"/>
              <w:adjustRightInd w:val="0"/>
              <w:snapToGrid w:val="0"/>
              <w:jc w:val="center"/>
              <w:rPr>
                <w:rFonts w:ascii="宋体" w:hAnsi="宋体" w:cs="宋体"/>
                <w:sz w:val="21"/>
                <w:szCs w:val="21"/>
              </w:rPr>
            </w:pPr>
          </w:p>
        </w:tc>
        <w:tc>
          <w:tcPr>
            <w:tcW w:w="462" w:type="pct"/>
            <w:shd w:val="clear" w:color="auto" w:fill="auto"/>
            <w:vAlign w:val="center"/>
          </w:tcPr>
          <w:p w14:paraId="4F917E1D">
            <w:pPr>
              <w:pStyle w:val="58"/>
              <w:adjustRightInd w:val="0"/>
              <w:snapToGrid w:val="0"/>
              <w:jc w:val="center"/>
              <w:rPr>
                <w:rFonts w:ascii="Times New Roman" w:hAnsi="Times New Roman" w:eastAsia="Times New Roman"/>
                <w:sz w:val="21"/>
                <w:szCs w:val="21"/>
              </w:rPr>
            </w:pPr>
            <w:r>
              <w:rPr>
                <w:rFonts w:ascii="Times New Roman"/>
                <w:sz w:val="21"/>
                <w:szCs w:val="21"/>
              </w:rPr>
              <w:t>6505.83</w:t>
            </w:r>
          </w:p>
        </w:tc>
      </w:tr>
      <w:tr w14:paraId="3A1D45E6">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402" w:hRule="atLeast"/>
          <w:jc w:val="center"/>
        </w:trPr>
        <w:tc>
          <w:tcPr>
            <w:tcW w:w="1476" w:type="pct"/>
            <w:gridSpan w:val="2"/>
            <w:shd w:val="clear" w:color="auto" w:fill="auto"/>
            <w:vAlign w:val="center"/>
          </w:tcPr>
          <w:p w14:paraId="5A37F156">
            <w:pPr>
              <w:pStyle w:val="58"/>
              <w:adjustRightInd w:val="0"/>
              <w:snapToGrid w:val="0"/>
              <w:jc w:val="center"/>
              <w:rPr>
                <w:rFonts w:ascii="宋体" w:hAnsi="宋体" w:cs="宋体"/>
                <w:sz w:val="21"/>
                <w:szCs w:val="21"/>
                <w:lang w:eastAsia="zh-CN"/>
              </w:rPr>
            </w:pPr>
            <w:r>
              <w:rPr>
                <w:rFonts w:hint="eastAsia" w:ascii="宋体" w:hAnsi="宋体" w:cs="宋体"/>
                <w:sz w:val="21"/>
                <w:szCs w:val="21"/>
                <w:lang w:eastAsia="zh-CN"/>
              </w:rPr>
              <w:t>合计</w:t>
            </w:r>
          </w:p>
        </w:tc>
        <w:tc>
          <w:tcPr>
            <w:tcW w:w="300" w:type="pct"/>
            <w:shd w:val="clear" w:color="auto" w:fill="auto"/>
            <w:vAlign w:val="center"/>
          </w:tcPr>
          <w:p w14:paraId="6DC45EF3">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355.59</w:t>
            </w:r>
          </w:p>
        </w:tc>
        <w:tc>
          <w:tcPr>
            <w:tcW w:w="300" w:type="pct"/>
            <w:shd w:val="clear" w:color="auto" w:fill="auto"/>
            <w:vAlign w:val="center"/>
          </w:tcPr>
          <w:p w14:paraId="2193F0B6">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117.58</w:t>
            </w:r>
          </w:p>
        </w:tc>
        <w:tc>
          <w:tcPr>
            <w:tcW w:w="301" w:type="pct"/>
            <w:shd w:val="clear" w:color="auto" w:fill="auto"/>
            <w:vAlign w:val="center"/>
          </w:tcPr>
          <w:p w14:paraId="286F5ED6">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162.14</w:t>
            </w:r>
          </w:p>
        </w:tc>
        <w:tc>
          <w:tcPr>
            <w:tcW w:w="300" w:type="pct"/>
            <w:shd w:val="clear" w:color="auto" w:fill="auto"/>
            <w:vAlign w:val="center"/>
          </w:tcPr>
          <w:p w14:paraId="7885B4A8">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57.46</w:t>
            </w:r>
          </w:p>
        </w:tc>
        <w:tc>
          <w:tcPr>
            <w:tcW w:w="301" w:type="pct"/>
            <w:shd w:val="clear" w:color="auto" w:fill="auto"/>
            <w:vAlign w:val="center"/>
          </w:tcPr>
          <w:p w14:paraId="7E000D6E">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34.76</w:t>
            </w:r>
          </w:p>
        </w:tc>
        <w:tc>
          <w:tcPr>
            <w:tcW w:w="366" w:type="pct"/>
            <w:shd w:val="clear" w:color="auto" w:fill="auto"/>
            <w:vAlign w:val="center"/>
          </w:tcPr>
          <w:p w14:paraId="19668824">
            <w:pPr>
              <w:pStyle w:val="58"/>
              <w:adjustRightInd w:val="0"/>
              <w:snapToGrid w:val="0"/>
              <w:ind w:right="1"/>
              <w:jc w:val="center"/>
              <w:rPr>
                <w:rFonts w:ascii="Times New Roman" w:hAnsi="Times New Roman"/>
                <w:sz w:val="21"/>
                <w:szCs w:val="21"/>
                <w:lang w:eastAsia="zh-CN"/>
              </w:rPr>
            </w:pPr>
            <w:r>
              <w:rPr>
                <w:rFonts w:ascii="Times New Roman" w:hAnsi="Times New Roman"/>
                <w:sz w:val="21"/>
                <w:szCs w:val="21"/>
                <w:lang w:eastAsia="zh-CN"/>
              </w:rPr>
              <w:t>6041</w:t>
            </w:r>
          </w:p>
        </w:tc>
        <w:tc>
          <w:tcPr>
            <w:tcW w:w="366" w:type="pct"/>
            <w:shd w:val="clear" w:color="auto" w:fill="auto"/>
            <w:vAlign w:val="center"/>
          </w:tcPr>
          <w:p w14:paraId="135F6D51">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362.86</w:t>
            </w:r>
          </w:p>
        </w:tc>
        <w:tc>
          <w:tcPr>
            <w:tcW w:w="367" w:type="pct"/>
            <w:shd w:val="clear" w:color="auto" w:fill="auto"/>
            <w:vAlign w:val="center"/>
          </w:tcPr>
          <w:p w14:paraId="3A71BFFE">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41.25</w:t>
            </w:r>
          </w:p>
        </w:tc>
        <w:tc>
          <w:tcPr>
            <w:tcW w:w="461" w:type="pct"/>
            <w:shd w:val="clear" w:color="auto" w:fill="auto"/>
            <w:vAlign w:val="center"/>
          </w:tcPr>
          <w:p w14:paraId="77DC1DC8">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323072.06</w:t>
            </w:r>
          </w:p>
        </w:tc>
        <w:tc>
          <w:tcPr>
            <w:tcW w:w="462" w:type="pct"/>
            <w:shd w:val="clear" w:color="auto" w:fill="auto"/>
            <w:vAlign w:val="center"/>
          </w:tcPr>
          <w:p w14:paraId="2E078610">
            <w:pPr>
              <w:pStyle w:val="58"/>
              <w:adjustRightInd w:val="0"/>
              <w:snapToGrid w:val="0"/>
              <w:jc w:val="center"/>
              <w:rPr>
                <w:rFonts w:ascii="Times New Roman" w:hAnsi="Times New Roman"/>
                <w:sz w:val="21"/>
                <w:szCs w:val="21"/>
                <w:lang w:eastAsia="zh-CN"/>
              </w:rPr>
            </w:pPr>
            <w:r>
              <w:rPr>
                <w:rFonts w:ascii="Times New Roman" w:hAnsi="Times New Roman"/>
                <w:sz w:val="21"/>
                <w:szCs w:val="21"/>
                <w:lang w:eastAsia="zh-CN"/>
              </w:rPr>
              <w:t>124937.66</w:t>
            </w:r>
          </w:p>
        </w:tc>
      </w:tr>
    </w:tbl>
    <w:p w14:paraId="0343B2F1">
      <w:pPr>
        <w:ind w:firstLine="480"/>
        <w:sectPr>
          <w:footerReference r:id="rId21" w:type="default"/>
          <w:pgSz w:w="16838" w:h="11906" w:orient="landscape"/>
          <w:pgMar w:top="1588" w:right="1440" w:bottom="1588" w:left="1440" w:header="907" w:footer="775" w:gutter="0"/>
          <w:pgBorders>
            <w:top w:val="none" w:sz="0" w:space="0"/>
            <w:left w:val="none" w:sz="0" w:space="0"/>
            <w:bottom w:val="none" w:sz="0" w:space="0"/>
            <w:right w:val="none" w:sz="0" w:space="0"/>
          </w:pgBorders>
          <w:pgNumType w:fmt="numberInDash"/>
          <w:cols w:space="425" w:num="1"/>
          <w:docGrid w:type="linesAndChars" w:linePitch="326" w:charSpace="0"/>
        </w:sectPr>
      </w:pPr>
    </w:p>
    <w:p w14:paraId="7CCB7005">
      <w:pPr>
        <w:pStyle w:val="41"/>
      </w:pPr>
      <w:bookmarkStart w:id="353" w:name="_Toc152864203"/>
      <w:r>
        <w:rPr>
          <w:rFonts w:hint="eastAsia"/>
        </w:rPr>
        <w:t>环境质量现状调查与评价</w:t>
      </w:r>
      <w:bookmarkEnd w:id="353"/>
    </w:p>
    <w:p w14:paraId="2BE78E21">
      <w:pPr>
        <w:pStyle w:val="43"/>
      </w:pPr>
      <w:bookmarkStart w:id="354" w:name="_Toc152864204"/>
      <w:bookmarkStart w:id="355" w:name="_Toc77007810"/>
      <w:bookmarkStart w:id="356" w:name="_Toc79515481"/>
      <w:bookmarkStart w:id="357" w:name="_Toc80193110"/>
      <w:bookmarkStart w:id="358" w:name="_Toc81214104"/>
      <w:bookmarkStart w:id="359" w:name="_Toc80973536"/>
      <w:bookmarkStart w:id="360" w:name="_Toc82518792"/>
      <w:r>
        <w:rPr>
          <w:rFonts w:hint="eastAsia"/>
        </w:rPr>
        <w:t>环境空气现状调查与评价</w:t>
      </w:r>
      <w:bookmarkEnd w:id="354"/>
      <w:bookmarkEnd w:id="355"/>
      <w:bookmarkEnd w:id="356"/>
      <w:bookmarkEnd w:id="357"/>
      <w:bookmarkEnd w:id="358"/>
      <w:bookmarkEnd w:id="359"/>
      <w:bookmarkEnd w:id="360"/>
    </w:p>
    <w:p w14:paraId="5E793527">
      <w:pPr>
        <w:pStyle w:val="45"/>
        <w:spacing w:before="65" w:after="65"/>
      </w:pPr>
      <w:r>
        <w:rPr>
          <w:rFonts w:hint="eastAsia"/>
        </w:rPr>
        <w:t>区域环境空气质量达标性判定</w:t>
      </w:r>
    </w:p>
    <w:p w14:paraId="54CBD105">
      <w:pPr>
        <w:ind w:firstLine="480"/>
      </w:pPr>
      <w:r>
        <w:rPr>
          <w:rFonts w:hint="eastAsia"/>
        </w:rPr>
        <w:t>根据</w:t>
      </w:r>
      <w:r>
        <w:rPr>
          <w:rFonts w:hint="eastAsia"/>
          <w:bCs/>
        </w:rPr>
        <w:t>《环境影响评价技术导则大气环境》（</w:t>
      </w:r>
      <w:r>
        <w:rPr>
          <w:bCs/>
        </w:rPr>
        <w:t>HJ2.2-2018</w:t>
      </w:r>
      <w:r>
        <w:rPr>
          <w:rFonts w:hint="eastAsia"/>
          <w:bCs/>
        </w:rPr>
        <w:t>）规定：“6.4.1.1城市环境空气质量达标情况评价指标为</w:t>
      </w:r>
      <w:r>
        <w:rPr>
          <w:bCs/>
        </w:rPr>
        <w:t>SO</w:t>
      </w:r>
      <w:r>
        <w:rPr>
          <w:bCs/>
          <w:vertAlign w:val="subscript"/>
        </w:rPr>
        <w:t>2</w:t>
      </w:r>
      <w:r>
        <w:rPr>
          <w:rFonts w:hint="eastAsia"/>
          <w:bCs/>
        </w:rPr>
        <w:t>、</w:t>
      </w:r>
      <w:r>
        <w:rPr>
          <w:bCs/>
        </w:rPr>
        <w:t>NO</w:t>
      </w:r>
      <w:r>
        <w:rPr>
          <w:bCs/>
          <w:vertAlign w:val="subscript"/>
        </w:rPr>
        <w:t>2</w:t>
      </w:r>
      <w:r>
        <w:rPr>
          <w:rFonts w:hint="eastAsia"/>
          <w:bCs/>
        </w:rPr>
        <w:t>、</w:t>
      </w:r>
      <w:r>
        <w:rPr>
          <w:bCs/>
        </w:rPr>
        <w:t>PM</w:t>
      </w:r>
      <w:r>
        <w:rPr>
          <w:bCs/>
          <w:vertAlign w:val="subscript"/>
        </w:rPr>
        <w:t>10</w:t>
      </w:r>
      <w:r>
        <w:rPr>
          <w:rFonts w:hint="eastAsia"/>
          <w:bCs/>
        </w:rPr>
        <w:t>、</w:t>
      </w:r>
      <w:r>
        <w:rPr>
          <w:bCs/>
        </w:rPr>
        <w:t>PM</w:t>
      </w:r>
      <w:r>
        <w:rPr>
          <w:bCs/>
          <w:vertAlign w:val="subscript"/>
        </w:rPr>
        <w:t>2.5</w:t>
      </w:r>
      <w:r>
        <w:rPr>
          <w:rFonts w:hint="eastAsia"/>
          <w:bCs/>
        </w:rPr>
        <w:t>、</w:t>
      </w:r>
      <w:r>
        <w:rPr>
          <w:bCs/>
        </w:rPr>
        <w:t>CO</w:t>
      </w:r>
      <w:r>
        <w:rPr>
          <w:rFonts w:hint="eastAsia"/>
          <w:bCs/>
        </w:rPr>
        <w:t>和</w:t>
      </w:r>
      <w:r>
        <w:rPr>
          <w:bCs/>
        </w:rPr>
        <w:t>O</w:t>
      </w:r>
      <w:r>
        <w:rPr>
          <w:bCs/>
          <w:vertAlign w:val="subscript"/>
        </w:rPr>
        <w:t>3</w:t>
      </w:r>
      <w:r>
        <w:rPr>
          <w:rFonts w:hint="eastAsia"/>
          <w:bCs/>
        </w:rPr>
        <w:t>，六项污染物全部达标即为城市环境空气质量达标”。“对于基本污染物环境质量现状数据，项目所在区域达标判定，优先采用国家或地方生态环境主管部门公开发布的评价基准年环境质量公告或环境质量报告中的数据或结论。”</w:t>
      </w:r>
    </w:p>
    <w:p w14:paraId="0916FD0B">
      <w:pPr>
        <w:ind w:firstLine="480"/>
      </w:pPr>
      <w:r>
        <w:rPr>
          <w:rFonts w:hint="eastAsia"/>
          <w:bCs/>
        </w:rPr>
        <w:t>鉴于胡杨河市区域内无环境空气质量区控点数据，</w:t>
      </w:r>
      <w:r>
        <w:rPr>
          <w:bCs/>
        </w:rPr>
        <w:t>本次评价选用距离项目最近的环境空气质量监测点</w:t>
      </w:r>
      <w:r>
        <w:rPr>
          <w:rFonts w:hint="eastAsia"/>
          <w:bCs/>
        </w:rPr>
        <w:t>（</w:t>
      </w:r>
      <w:r>
        <w:rPr>
          <w:bCs/>
        </w:rPr>
        <w:t>克拉玛依市独山子区站点</w:t>
      </w:r>
      <w:r>
        <w:rPr>
          <w:rFonts w:hint="eastAsia"/>
          <w:bCs/>
        </w:rPr>
        <w:t>）</w:t>
      </w:r>
      <w:r>
        <w:rPr>
          <w:bCs/>
        </w:rPr>
        <w:t>。本次评价选取距离项目最近的克拉玛依市独山子区监测站点2022年</w:t>
      </w:r>
      <w:r>
        <w:rPr>
          <w:rFonts w:hint="eastAsia"/>
          <w:bCs/>
        </w:rPr>
        <w:t>（202</w:t>
      </w:r>
      <w:r>
        <w:rPr>
          <w:bCs/>
        </w:rPr>
        <w:t>2</w:t>
      </w:r>
      <w:r>
        <w:rPr>
          <w:rFonts w:hint="eastAsia"/>
          <w:bCs/>
        </w:rPr>
        <w:t>.1.1～202</w:t>
      </w:r>
      <w:r>
        <w:rPr>
          <w:bCs/>
        </w:rPr>
        <w:t>2</w:t>
      </w:r>
      <w:r>
        <w:rPr>
          <w:rFonts w:hint="eastAsia"/>
          <w:bCs/>
        </w:rPr>
        <w:t>.12.31）</w:t>
      </w:r>
      <w:r>
        <w:rPr>
          <w:bCs/>
        </w:rPr>
        <w:t>的监测数据作为环境空气现状评价</w:t>
      </w:r>
      <w:r>
        <w:rPr>
          <w:rFonts w:hint="eastAsia"/>
          <w:bCs/>
        </w:rPr>
        <w:t>。</w:t>
      </w:r>
      <w:r>
        <w:rPr>
          <w:rFonts w:hint="eastAsia"/>
        </w:rPr>
        <w:t>区域</w:t>
      </w:r>
      <w:r>
        <w:rPr>
          <w:bCs/>
        </w:rPr>
        <w:t>环境空气质量现状评价结果见</w:t>
      </w:r>
      <w:r>
        <w:rPr>
          <w:rFonts w:hint="eastAsia"/>
          <w:bCs/>
        </w:rPr>
        <w:t>表4</w:t>
      </w:r>
      <w:r>
        <w:rPr>
          <w:bCs/>
        </w:rPr>
        <w:t>.3-1</w:t>
      </w:r>
      <w:r>
        <w:rPr>
          <w:rFonts w:hint="eastAsia"/>
          <w:bCs/>
        </w:rPr>
        <w:t>。</w:t>
      </w:r>
    </w:p>
    <w:p w14:paraId="22B39633">
      <w:pPr>
        <w:pStyle w:val="47"/>
        <w:spacing w:before="65"/>
      </w:pPr>
      <w:r>
        <w:rPr>
          <w:rFonts w:hint="eastAsia"/>
        </w:rPr>
        <w:t>表4</w:t>
      </w:r>
      <w:r>
        <w:t xml:space="preserve">.3-1   </w:t>
      </w:r>
      <w:r>
        <w:rPr>
          <w:rFonts w:hint="eastAsia"/>
        </w:rPr>
        <w:t xml:space="preserve">区域空气质量现状评价表 </w:t>
      </w:r>
      <w:r>
        <w:t xml:space="preserve">  </w:t>
      </w:r>
      <w:r>
        <w:rPr>
          <w:rFonts w:hint="eastAsia"/>
        </w:rPr>
        <w:t>单位：</w:t>
      </w:r>
      <w:r>
        <w:t>μg/</w:t>
      </w:r>
      <w:r>
        <w:rPr>
          <w:rFonts w:hint="eastAsia"/>
        </w:rPr>
        <w:t>m</w:t>
      </w:r>
      <w:r>
        <w:rPr>
          <w:vertAlign w:val="superscript"/>
        </w:rPr>
        <w:t>3</w:t>
      </w:r>
    </w:p>
    <w:tbl>
      <w:tblPr>
        <w:tblStyle w:val="30"/>
        <w:tblW w:w="852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92"/>
        <w:gridCol w:w="4110"/>
        <w:gridCol w:w="954"/>
        <w:gridCol w:w="955"/>
        <w:gridCol w:w="955"/>
        <w:gridCol w:w="662"/>
      </w:tblGrid>
      <w:tr w14:paraId="13C7F9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shd w:val="clear" w:color="auto" w:fill="auto"/>
            <w:vAlign w:val="center"/>
          </w:tcPr>
          <w:p w14:paraId="413C5AF9">
            <w:pPr>
              <w:pStyle w:val="90"/>
            </w:pPr>
            <w:r>
              <w:t>污染物</w:t>
            </w:r>
          </w:p>
        </w:tc>
        <w:tc>
          <w:tcPr>
            <w:tcW w:w="4110" w:type="dxa"/>
            <w:shd w:val="clear" w:color="auto" w:fill="auto"/>
            <w:vAlign w:val="center"/>
          </w:tcPr>
          <w:p w14:paraId="66E21437">
            <w:pPr>
              <w:pStyle w:val="90"/>
            </w:pPr>
            <w:r>
              <w:t>年评价指标</w:t>
            </w:r>
          </w:p>
        </w:tc>
        <w:tc>
          <w:tcPr>
            <w:tcW w:w="954" w:type="dxa"/>
            <w:shd w:val="clear" w:color="auto" w:fill="auto"/>
            <w:vAlign w:val="center"/>
          </w:tcPr>
          <w:p w14:paraId="59DB7559">
            <w:pPr>
              <w:pStyle w:val="90"/>
            </w:pPr>
            <w:r>
              <w:t>现状浓度</w:t>
            </w:r>
          </w:p>
        </w:tc>
        <w:tc>
          <w:tcPr>
            <w:tcW w:w="955" w:type="dxa"/>
            <w:shd w:val="clear" w:color="auto" w:fill="auto"/>
            <w:vAlign w:val="center"/>
          </w:tcPr>
          <w:p w14:paraId="63774CFC">
            <w:pPr>
              <w:pStyle w:val="90"/>
            </w:pPr>
            <w:r>
              <w:t>标准限值</w:t>
            </w:r>
          </w:p>
        </w:tc>
        <w:tc>
          <w:tcPr>
            <w:tcW w:w="955" w:type="dxa"/>
            <w:shd w:val="clear" w:color="auto" w:fill="auto"/>
            <w:vAlign w:val="center"/>
          </w:tcPr>
          <w:p w14:paraId="525F0504">
            <w:pPr>
              <w:pStyle w:val="90"/>
            </w:pPr>
            <w:r>
              <w:t>占标率/%</w:t>
            </w:r>
          </w:p>
        </w:tc>
        <w:tc>
          <w:tcPr>
            <w:tcW w:w="662" w:type="dxa"/>
            <w:shd w:val="clear" w:color="auto" w:fill="auto"/>
            <w:vAlign w:val="center"/>
          </w:tcPr>
          <w:p w14:paraId="3AE8B4F1">
            <w:pPr>
              <w:pStyle w:val="90"/>
            </w:pPr>
            <w:r>
              <w:t>达标</w:t>
            </w:r>
          </w:p>
          <w:p w14:paraId="13A53F0B">
            <w:pPr>
              <w:pStyle w:val="90"/>
            </w:pPr>
            <w:r>
              <w:t>情况</w:t>
            </w:r>
          </w:p>
        </w:tc>
      </w:tr>
      <w:tr w14:paraId="3A1017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restart"/>
            <w:shd w:val="clear" w:color="auto" w:fill="auto"/>
            <w:vAlign w:val="center"/>
          </w:tcPr>
          <w:p w14:paraId="261A226A">
            <w:pPr>
              <w:pStyle w:val="90"/>
            </w:pPr>
            <w:r>
              <w:t>SO</w:t>
            </w:r>
            <w:r>
              <w:rPr>
                <w:vertAlign w:val="subscript"/>
              </w:rPr>
              <w:t>2</w:t>
            </w:r>
          </w:p>
        </w:tc>
        <w:tc>
          <w:tcPr>
            <w:tcW w:w="4110" w:type="dxa"/>
            <w:shd w:val="clear" w:color="auto" w:fill="auto"/>
            <w:vAlign w:val="center"/>
          </w:tcPr>
          <w:p w14:paraId="7BDE51EF">
            <w:pPr>
              <w:pStyle w:val="90"/>
            </w:pPr>
            <w:r>
              <w:t>年平均浓度</w:t>
            </w:r>
          </w:p>
        </w:tc>
        <w:tc>
          <w:tcPr>
            <w:tcW w:w="954" w:type="dxa"/>
            <w:shd w:val="clear" w:color="auto" w:fill="auto"/>
            <w:vAlign w:val="center"/>
          </w:tcPr>
          <w:p w14:paraId="5568DCEA">
            <w:pPr>
              <w:pStyle w:val="90"/>
            </w:pPr>
            <w:r>
              <w:t>7</w:t>
            </w:r>
          </w:p>
        </w:tc>
        <w:tc>
          <w:tcPr>
            <w:tcW w:w="955" w:type="dxa"/>
            <w:shd w:val="clear" w:color="auto" w:fill="auto"/>
            <w:vAlign w:val="center"/>
          </w:tcPr>
          <w:p w14:paraId="1C9086BF">
            <w:pPr>
              <w:pStyle w:val="90"/>
            </w:pPr>
            <w:r>
              <w:t>60</w:t>
            </w:r>
          </w:p>
        </w:tc>
        <w:tc>
          <w:tcPr>
            <w:tcW w:w="955" w:type="dxa"/>
            <w:shd w:val="clear" w:color="auto" w:fill="auto"/>
            <w:vAlign w:val="center"/>
          </w:tcPr>
          <w:p w14:paraId="69BC87A5">
            <w:pPr>
              <w:pStyle w:val="90"/>
            </w:pPr>
            <w:r>
              <w:t>11.67</w:t>
            </w:r>
          </w:p>
        </w:tc>
        <w:tc>
          <w:tcPr>
            <w:tcW w:w="662" w:type="dxa"/>
            <w:shd w:val="clear" w:color="auto" w:fill="auto"/>
            <w:vAlign w:val="center"/>
          </w:tcPr>
          <w:p w14:paraId="66851380">
            <w:pPr>
              <w:pStyle w:val="90"/>
            </w:pPr>
            <w:r>
              <w:t>达标</w:t>
            </w:r>
          </w:p>
        </w:tc>
      </w:tr>
      <w:tr w14:paraId="67C73D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continue"/>
            <w:shd w:val="clear" w:color="auto" w:fill="auto"/>
            <w:vAlign w:val="center"/>
          </w:tcPr>
          <w:p w14:paraId="4E147B90">
            <w:pPr>
              <w:pStyle w:val="90"/>
            </w:pPr>
          </w:p>
        </w:tc>
        <w:tc>
          <w:tcPr>
            <w:tcW w:w="4110" w:type="dxa"/>
            <w:shd w:val="clear" w:color="auto" w:fill="auto"/>
            <w:vAlign w:val="center"/>
          </w:tcPr>
          <w:p w14:paraId="1D3736EF">
            <w:pPr>
              <w:pStyle w:val="90"/>
            </w:pPr>
            <w:r>
              <w:rPr>
                <w:rFonts w:hint="eastAsia"/>
              </w:rPr>
              <w:t>2</w:t>
            </w:r>
            <w:r>
              <w:t>4</w:t>
            </w:r>
            <w:r>
              <w:rPr>
                <w:rFonts w:hint="eastAsia"/>
              </w:rPr>
              <w:t>小时</w:t>
            </w:r>
            <w:r>
              <w:t>平均</w:t>
            </w:r>
            <w:r>
              <w:rPr>
                <w:rFonts w:hint="eastAsia"/>
              </w:rPr>
              <w:t>第9</w:t>
            </w:r>
            <w:r>
              <w:t>8百分位</w:t>
            </w:r>
            <w:r>
              <w:rPr>
                <w:rFonts w:hint="eastAsia"/>
              </w:rPr>
              <w:t>数</w:t>
            </w:r>
          </w:p>
        </w:tc>
        <w:tc>
          <w:tcPr>
            <w:tcW w:w="954" w:type="dxa"/>
            <w:shd w:val="clear" w:color="auto" w:fill="auto"/>
            <w:vAlign w:val="center"/>
          </w:tcPr>
          <w:p w14:paraId="4EF8EAAB">
            <w:pPr>
              <w:pStyle w:val="90"/>
            </w:pPr>
            <w:r>
              <w:t>11</w:t>
            </w:r>
          </w:p>
        </w:tc>
        <w:tc>
          <w:tcPr>
            <w:tcW w:w="955" w:type="dxa"/>
            <w:shd w:val="clear" w:color="auto" w:fill="auto"/>
            <w:vAlign w:val="center"/>
          </w:tcPr>
          <w:p w14:paraId="7CEF4FE8">
            <w:pPr>
              <w:pStyle w:val="90"/>
            </w:pPr>
            <w:r>
              <w:t>150</w:t>
            </w:r>
          </w:p>
        </w:tc>
        <w:tc>
          <w:tcPr>
            <w:tcW w:w="955" w:type="dxa"/>
            <w:shd w:val="clear" w:color="auto" w:fill="auto"/>
            <w:vAlign w:val="center"/>
          </w:tcPr>
          <w:p w14:paraId="5C951B41">
            <w:pPr>
              <w:pStyle w:val="90"/>
            </w:pPr>
            <w:r>
              <w:t>7.33</w:t>
            </w:r>
          </w:p>
        </w:tc>
        <w:tc>
          <w:tcPr>
            <w:tcW w:w="662" w:type="dxa"/>
            <w:shd w:val="clear" w:color="auto" w:fill="auto"/>
            <w:vAlign w:val="center"/>
          </w:tcPr>
          <w:p w14:paraId="13A434C7">
            <w:pPr>
              <w:pStyle w:val="90"/>
            </w:pPr>
            <w:r>
              <w:rPr>
                <w:rFonts w:hint="eastAsia"/>
              </w:rPr>
              <w:t>达标</w:t>
            </w:r>
          </w:p>
        </w:tc>
      </w:tr>
      <w:tr w14:paraId="778EE5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restart"/>
            <w:shd w:val="clear" w:color="auto" w:fill="auto"/>
            <w:noWrap/>
            <w:vAlign w:val="center"/>
          </w:tcPr>
          <w:p w14:paraId="7BA69091">
            <w:pPr>
              <w:pStyle w:val="90"/>
            </w:pPr>
            <w:r>
              <w:t>NO</w:t>
            </w:r>
            <w:r>
              <w:rPr>
                <w:vertAlign w:val="subscript"/>
              </w:rPr>
              <w:t>2</w:t>
            </w:r>
          </w:p>
        </w:tc>
        <w:tc>
          <w:tcPr>
            <w:tcW w:w="4110" w:type="dxa"/>
            <w:shd w:val="clear" w:color="auto" w:fill="auto"/>
            <w:noWrap/>
            <w:vAlign w:val="center"/>
          </w:tcPr>
          <w:p w14:paraId="7A4CCB6F">
            <w:pPr>
              <w:pStyle w:val="90"/>
            </w:pPr>
            <w:r>
              <w:t>年平均浓度</w:t>
            </w:r>
          </w:p>
        </w:tc>
        <w:tc>
          <w:tcPr>
            <w:tcW w:w="954" w:type="dxa"/>
            <w:shd w:val="clear" w:color="auto" w:fill="auto"/>
            <w:noWrap/>
            <w:vAlign w:val="center"/>
          </w:tcPr>
          <w:p w14:paraId="559C6174">
            <w:pPr>
              <w:pStyle w:val="90"/>
            </w:pPr>
            <w:r>
              <w:t>20</w:t>
            </w:r>
          </w:p>
        </w:tc>
        <w:tc>
          <w:tcPr>
            <w:tcW w:w="955" w:type="dxa"/>
            <w:shd w:val="clear" w:color="auto" w:fill="auto"/>
            <w:noWrap/>
            <w:vAlign w:val="center"/>
          </w:tcPr>
          <w:p w14:paraId="45DF2236">
            <w:pPr>
              <w:pStyle w:val="90"/>
            </w:pPr>
            <w:r>
              <w:t>40</w:t>
            </w:r>
          </w:p>
        </w:tc>
        <w:tc>
          <w:tcPr>
            <w:tcW w:w="955" w:type="dxa"/>
            <w:shd w:val="clear" w:color="auto" w:fill="auto"/>
            <w:noWrap/>
            <w:vAlign w:val="center"/>
          </w:tcPr>
          <w:p w14:paraId="74E0453E">
            <w:pPr>
              <w:pStyle w:val="90"/>
            </w:pPr>
            <w:r>
              <w:t>50.0</w:t>
            </w:r>
          </w:p>
        </w:tc>
        <w:tc>
          <w:tcPr>
            <w:tcW w:w="662" w:type="dxa"/>
            <w:shd w:val="clear" w:color="auto" w:fill="auto"/>
            <w:noWrap/>
            <w:vAlign w:val="center"/>
          </w:tcPr>
          <w:p w14:paraId="7DAA7861">
            <w:pPr>
              <w:pStyle w:val="90"/>
            </w:pPr>
            <w:r>
              <w:t>达标</w:t>
            </w:r>
          </w:p>
        </w:tc>
      </w:tr>
      <w:tr w14:paraId="0BAE9D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continue"/>
            <w:shd w:val="clear" w:color="auto" w:fill="auto"/>
            <w:vAlign w:val="center"/>
          </w:tcPr>
          <w:p w14:paraId="128E520B">
            <w:pPr>
              <w:pStyle w:val="90"/>
            </w:pPr>
          </w:p>
        </w:tc>
        <w:tc>
          <w:tcPr>
            <w:tcW w:w="4110" w:type="dxa"/>
            <w:shd w:val="clear" w:color="auto" w:fill="auto"/>
            <w:noWrap/>
            <w:vAlign w:val="center"/>
          </w:tcPr>
          <w:p w14:paraId="0999D7B1">
            <w:pPr>
              <w:pStyle w:val="90"/>
            </w:pPr>
            <w:r>
              <w:rPr>
                <w:rFonts w:hint="eastAsia"/>
              </w:rPr>
              <w:t>2</w:t>
            </w:r>
            <w:r>
              <w:t>4</w:t>
            </w:r>
            <w:r>
              <w:rPr>
                <w:rFonts w:hint="eastAsia"/>
              </w:rPr>
              <w:t>小时</w:t>
            </w:r>
            <w:r>
              <w:t>平均</w:t>
            </w:r>
            <w:r>
              <w:rPr>
                <w:rFonts w:hint="eastAsia"/>
              </w:rPr>
              <w:t>第9</w:t>
            </w:r>
            <w:r>
              <w:t>8百分位</w:t>
            </w:r>
            <w:r>
              <w:rPr>
                <w:rFonts w:hint="eastAsia"/>
              </w:rPr>
              <w:t>数</w:t>
            </w:r>
          </w:p>
        </w:tc>
        <w:tc>
          <w:tcPr>
            <w:tcW w:w="954" w:type="dxa"/>
            <w:shd w:val="clear" w:color="auto" w:fill="auto"/>
            <w:noWrap/>
            <w:vAlign w:val="center"/>
          </w:tcPr>
          <w:p w14:paraId="18679ACD">
            <w:pPr>
              <w:pStyle w:val="90"/>
            </w:pPr>
            <w:r>
              <w:t>59.72</w:t>
            </w:r>
          </w:p>
        </w:tc>
        <w:tc>
          <w:tcPr>
            <w:tcW w:w="955" w:type="dxa"/>
            <w:shd w:val="clear" w:color="auto" w:fill="auto"/>
            <w:noWrap/>
            <w:vAlign w:val="center"/>
          </w:tcPr>
          <w:p w14:paraId="58344A67">
            <w:pPr>
              <w:pStyle w:val="90"/>
            </w:pPr>
            <w:r>
              <w:t>80</w:t>
            </w:r>
          </w:p>
        </w:tc>
        <w:tc>
          <w:tcPr>
            <w:tcW w:w="955" w:type="dxa"/>
            <w:shd w:val="clear" w:color="auto" w:fill="auto"/>
            <w:noWrap/>
            <w:vAlign w:val="center"/>
          </w:tcPr>
          <w:p w14:paraId="5A4C96E2">
            <w:pPr>
              <w:pStyle w:val="90"/>
            </w:pPr>
            <w:r>
              <w:t>74.65</w:t>
            </w:r>
          </w:p>
        </w:tc>
        <w:tc>
          <w:tcPr>
            <w:tcW w:w="662" w:type="dxa"/>
            <w:shd w:val="clear" w:color="auto" w:fill="auto"/>
            <w:noWrap/>
            <w:vAlign w:val="center"/>
          </w:tcPr>
          <w:p w14:paraId="1FFDDAF9">
            <w:pPr>
              <w:pStyle w:val="90"/>
            </w:pPr>
            <w:r>
              <w:rPr>
                <w:rFonts w:hint="eastAsia"/>
              </w:rPr>
              <w:t>达标</w:t>
            </w:r>
          </w:p>
        </w:tc>
      </w:tr>
      <w:tr w14:paraId="0D4B50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restart"/>
            <w:shd w:val="clear" w:color="auto" w:fill="auto"/>
            <w:noWrap/>
            <w:vAlign w:val="center"/>
          </w:tcPr>
          <w:p w14:paraId="05EA215F">
            <w:pPr>
              <w:pStyle w:val="90"/>
            </w:pPr>
            <w:r>
              <w:t>PM</w:t>
            </w:r>
            <w:r>
              <w:rPr>
                <w:vertAlign w:val="subscript"/>
              </w:rPr>
              <w:t>10</w:t>
            </w:r>
          </w:p>
        </w:tc>
        <w:tc>
          <w:tcPr>
            <w:tcW w:w="4110" w:type="dxa"/>
            <w:shd w:val="clear" w:color="auto" w:fill="auto"/>
            <w:noWrap/>
            <w:vAlign w:val="center"/>
          </w:tcPr>
          <w:p w14:paraId="48784CFE">
            <w:pPr>
              <w:pStyle w:val="90"/>
            </w:pPr>
            <w:r>
              <w:t>年平均浓度</w:t>
            </w:r>
          </w:p>
        </w:tc>
        <w:tc>
          <w:tcPr>
            <w:tcW w:w="954" w:type="dxa"/>
            <w:shd w:val="clear" w:color="auto" w:fill="auto"/>
            <w:noWrap/>
            <w:vAlign w:val="center"/>
          </w:tcPr>
          <w:p w14:paraId="6656E4BF">
            <w:pPr>
              <w:pStyle w:val="90"/>
            </w:pPr>
            <w:r>
              <w:t>50</w:t>
            </w:r>
          </w:p>
        </w:tc>
        <w:tc>
          <w:tcPr>
            <w:tcW w:w="955" w:type="dxa"/>
            <w:shd w:val="clear" w:color="auto" w:fill="auto"/>
            <w:noWrap/>
            <w:vAlign w:val="center"/>
          </w:tcPr>
          <w:p w14:paraId="084C4CEA">
            <w:pPr>
              <w:pStyle w:val="90"/>
            </w:pPr>
            <w:r>
              <w:t>70</w:t>
            </w:r>
          </w:p>
        </w:tc>
        <w:tc>
          <w:tcPr>
            <w:tcW w:w="955" w:type="dxa"/>
            <w:shd w:val="clear" w:color="auto" w:fill="auto"/>
            <w:noWrap/>
            <w:vAlign w:val="center"/>
          </w:tcPr>
          <w:p w14:paraId="03BD241E">
            <w:pPr>
              <w:pStyle w:val="90"/>
            </w:pPr>
            <w:r>
              <w:t>88.57</w:t>
            </w:r>
          </w:p>
        </w:tc>
        <w:tc>
          <w:tcPr>
            <w:tcW w:w="662" w:type="dxa"/>
            <w:shd w:val="clear" w:color="auto" w:fill="auto"/>
            <w:noWrap/>
            <w:vAlign w:val="center"/>
          </w:tcPr>
          <w:p w14:paraId="009A8FA9">
            <w:pPr>
              <w:pStyle w:val="90"/>
            </w:pPr>
            <w:r>
              <w:rPr>
                <w:rFonts w:hint="eastAsia"/>
              </w:rPr>
              <w:t>达标</w:t>
            </w:r>
          </w:p>
        </w:tc>
      </w:tr>
      <w:tr w14:paraId="4949B3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continue"/>
            <w:shd w:val="clear" w:color="auto" w:fill="auto"/>
            <w:vAlign w:val="center"/>
          </w:tcPr>
          <w:p w14:paraId="58B69A6C">
            <w:pPr>
              <w:pStyle w:val="90"/>
            </w:pPr>
          </w:p>
        </w:tc>
        <w:tc>
          <w:tcPr>
            <w:tcW w:w="4110" w:type="dxa"/>
            <w:shd w:val="clear" w:color="auto" w:fill="auto"/>
            <w:noWrap/>
            <w:vAlign w:val="center"/>
          </w:tcPr>
          <w:p w14:paraId="1F942EC0">
            <w:pPr>
              <w:pStyle w:val="90"/>
            </w:pPr>
            <w:r>
              <w:rPr>
                <w:rFonts w:hint="eastAsia"/>
              </w:rPr>
              <w:t>2</w:t>
            </w:r>
            <w:r>
              <w:t>4</w:t>
            </w:r>
            <w:r>
              <w:rPr>
                <w:rFonts w:hint="eastAsia"/>
              </w:rPr>
              <w:t>小时</w:t>
            </w:r>
            <w:r>
              <w:t>平均</w:t>
            </w:r>
            <w:r>
              <w:rPr>
                <w:rFonts w:hint="eastAsia"/>
              </w:rPr>
              <w:t>第9</w:t>
            </w:r>
            <w:r>
              <w:t>5百分位</w:t>
            </w:r>
            <w:r>
              <w:rPr>
                <w:rFonts w:hint="eastAsia"/>
              </w:rPr>
              <w:t>数</w:t>
            </w:r>
          </w:p>
        </w:tc>
        <w:tc>
          <w:tcPr>
            <w:tcW w:w="954" w:type="dxa"/>
            <w:shd w:val="clear" w:color="auto" w:fill="auto"/>
            <w:noWrap/>
            <w:vAlign w:val="center"/>
          </w:tcPr>
          <w:p w14:paraId="739D735B">
            <w:pPr>
              <w:pStyle w:val="90"/>
            </w:pPr>
            <w:r>
              <w:t>81</w:t>
            </w:r>
          </w:p>
        </w:tc>
        <w:tc>
          <w:tcPr>
            <w:tcW w:w="955" w:type="dxa"/>
            <w:shd w:val="clear" w:color="auto" w:fill="auto"/>
            <w:noWrap/>
            <w:vAlign w:val="center"/>
          </w:tcPr>
          <w:p w14:paraId="3A3E1426">
            <w:pPr>
              <w:pStyle w:val="90"/>
            </w:pPr>
            <w:r>
              <w:t>150</w:t>
            </w:r>
          </w:p>
        </w:tc>
        <w:tc>
          <w:tcPr>
            <w:tcW w:w="955" w:type="dxa"/>
            <w:shd w:val="clear" w:color="auto" w:fill="auto"/>
            <w:noWrap/>
            <w:vAlign w:val="center"/>
          </w:tcPr>
          <w:p w14:paraId="257FBC8F">
            <w:pPr>
              <w:pStyle w:val="90"/>
            </w:pPr>
            <w:r>
              <w:t>54</w:t>
            </w:r>
          </w:p>
        </w:tc>
        <w:tc>
          <w:tcPr>
            <w:tcW w:w="662" w:type="dxa"/>
            <w:shd w:val="clear" w:color="auto" w:fill="auto"/>
            <w:noWrap/>
            <w:vAlign w:val="center"/>
          </w:tcPr>
          <w:p w14:paraId="11222946">
            <w:pPr>
              <w:pStyle w:val="90"/>
            </w:pPr>
            <w:r>
              <w:rPr>
                <w:rFonts w:hint="eastAsia"/>
              </w:rPr>
              <w:t>达标</w:t>
            </w:r>
          </w:p>
        </w:tc>
      </w:tr>
      <w:tr w14:paraId="543DA5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restart"/>
            <w:shd w:val="clear" w:color="auto" w:fill="auto"/>
            <w:noWrap/>
            <w:vAlign w:val="center"/>
          </w:tcPr>
          <w:p w14:paraId="47E5D3DC">
            <w:pPr>
              <w:pStyle w:val="90"/>
            </w:pPr>
            <w:r>
              <w:t>PM</w:t>
            </w:r>
            <w:r>
              <w:rPr>
                <w:vertAlign w:val="subscript"/>
              </w:rPr>
              <w:t>2.5</w:t>
            </w:r>
          </w:p>
        </w:tc>
        <w:tc>
          <w:tcPr>
            <w:tcW w:w="4110" w:type="dxa"/>
            <w:shd w:val="clear" w:color="auto" w:fill="auto"/>
            <w:noWrap/>
            <w:vAlign w:val="center"/>
          </w:tcPr>
          <w:p w14:paraId="7CA85834">
            <w:pPr>
              <w:pStyle w:val="90"/>
            </w:pPr>
            <w:r>
              <w:t>年平均浓度</w:t>
            </w:r>
          </w:p>
        </w:tc>
        <w:tc>
          <w:tcPr>
            <w:tcW w:w="954" w:type="dxa"/>
            <w:shd w:val="clear" w:color="auto" w:fill="auto"/>
            <w:noWrap/>
            <w:vAlign w:val="center"/>
          </w:tcPr>
          <w:p w14:paraId="7233AEF9">
            <w:pPr>
              <w:pStyle w:val="90"/>
            </w:pPr>
            <w:r>
              <w:t>26</w:t>
            </w:r>
          </w:p>
        </w:tc>
        <w:tc>
          <w:tcPr>
            <w:tcW w:w="955" w:type="dxa"/>
            <w:shd w:val="clear" w:color="auto" w:fill="auto"/>
            <w:noWrap/>
            <w:vAlign w:val="center"/>
          </w:tcPr>
          <w:p w14:paraId="7C8F7A44">
            <w:pPr>
              <w:pStyle w:val="90"/>
            </w:pPr>
            <w:r>
              <w:t>35</w:t>
            </w:r>
          </w:p>
        </w:tc>
        <w:tc>
          <w:tcPr>
            <w:tcW w:w="955" w:type="dxa"/>
            <w:shd w:val="clear" w:color="auto" w:fill="auto"/>
            <w:noWrap/>
            <w:vAlign w:val="center"/>
          </w:tcPr>
          <w:p w14:paraId="0D93020D">
            <w:pPr>
              <w:pStyle w:val="90"/>
            </w:pPr>
            <w:r>
              <w:t>74.29</w:t>
            </w:r>
          </w:p>
        </w:tc>
        <w:tc>
          <w:tcPr>
            <w:tcW w:w="662" w:type="dxa"/>
            <w:shd w:val="clear" w:color="auto" w:fill="auto"/>
            <w:noWrap/>
            <w:vAlign w:val="center"/>
          </w:tcPr>
          <w:p w14:paraId="15D5F1C4">
            <w:pPr>
              <w:pStyle w:val="90"/>
            </w:pPr>
            <w:r>
              <w:rPr>
                <w:rFonts w:hint="eastAsia"/>
              </w:rPr>
              <w:t>达标</w:t>
            </w:r>
          </w:p>
        </w:tc>
      </w:tr>
      <w:tr w14:paraId="1A967F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vMerge w:val="continue"/>
            <w:shd w:val="clear" w:color="auto" w:fill="auto"/>
            <w:vAlign w:val="center"/>
          </w:tcPr>
          <w:p w14:paraId="31406AB1">
            <w:pPr>
              <w:pStyle w:val="90"/>
            </w:pPr>
          </w:p>
        </w:tc>
        <w:tc>
          <w:tcPr>
            <w:tcW w:w="4110" w:type="dxa"/>
            <w:shd w:val="clear" w:color="auto" w:fill="auto"/>
            <w:noWrap/>
            <w:vAlign w:val="center"/>
          </w:tcPr>
          <w:p w14:paraId="6D674EF7">
            <w:pPr>
              <w:pStyle w:val="90"/>
            </w:pPr>
            <w:r>
              <w:rPr>
                <w:rFonts w:hint="eastAsia"/>
              </w:rPr>
              <w:t>2</w:t>
            </w:r>
            <w:r>
              <w:t>4</w:t>
            </w:r>
            <w:r>
              <w:rPr>
                <w:rFonts w:hint="eastAsia"/>
              </w:rPr>
              <w:t>小时</w:t>
            </w:r>
            <w:r>
              <w:t>平均</w:t>
            </w:r>
            <w:r>
              <w:rPr>
                <w:rFonts w:hint="eastAsia"/>
              </w:rPr>
              <w:t>第9</w:t>
            </w:r>
            <w:r>
              <w:t>5百分位</w:t>
            </w:r>
            <w:r>
              <w:rPr>
                <w:rFonts w:hint="eastAsia"/>
              </w:rPr>
              <w:t>数</w:t>
            </w:r>
          </w:p>
        </w:tc>
        <w:tc>
          <w:tcPr>
            <w:tcW w:w="954" w:type="dxa"/>
            <w:shd w:val="clear" w:color="auto" w:fill="auto"/>
            <w:noWrap/>
            <w:vAlign w:val="center"/>
          </w:tcPr>
          <w:p w14:paraId="6EC5D564">
            <w:pPr>
              <w:pStyle w:val="90"/>
            </w:pPr>
            <w:r>
              <w:t>40</w:t>
            </w:r>
          </w:p>
        </w:tc>
        <w:tc>
          <w:tcPr>
            <w:tcW w:w="955" w:type="dxa"/>
            <w:shd w:val="clear" w:color="auto" w:fill="auto"/>
            <w:noWrap/>
            <w:vAlign w:val="center"/>
          </w:tcPr>
          <w:p w14:paraId="070D2E71">
            <w:pPr>
              <w:pStyle w:val="90"/>
            </w:pPr>
            <w:r>
              <w:t>75</w:t>
            </w:r>
          </w:p>
        </w:tc>
        <w:tc>
          <w:tcPr>
            <w:tcW w:w="955" w:type="dxa"/>
            <w:shd w:val="clear" w:color="auto" w:fill="auto"/>
            <w:noWrap/>
            <w:vAlign w:val="center"/>
          </w:tcPr>
          <w:p w14:paraId="2606AFB4">
            <w:pPr>
              <w:pStyle w:val="90"/>
            </w:pPr>
            <w:r>
              <w:rPr>
                <w:rFonts w:hint="eastAsia"/>
              </w:rPr>
              <w:t>5</w:t>
            </w:r>
            <w:r>
              <w:t>3.33</w:t>
            </w:r>
          </w:p>
        </w:tc>
        <w:tc>
          <w:tcPr>
            <w:tcW w:w="662" w:type="dxa"/>
            <w:shd w:val="clear" w:color="auto" w:fill="auto"/>
            <w:noWrap/>
            <w:vAlign w:val="center"/>
          </w:tcPr>
          <w:p w14:paraId="5CA25234">
            <w:pPr>
              <w:pStyle w:val="90"/>
            </w:pPr>
            <w:r>
              <w:rPr>
                <w:rFonts w:hint="eastAsia"/>
              </w:rPr>
              <w:t>达标</w:t>
            </w:r>
          </w:p>
        </w:tc>
      </w:tr>
      <w:tr w14:paraId="7E1535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shd w:val="clear" w:color="auto" w:fill="auto"/>
            <w:noWrap/>
            <w:vAlign w:val="center"/>
          </w:tcPr>
          <w:p w14:paraId="17B98095">
            <w:pPr>
              <w:pStyle w:val="90"/>
            </w:pPr>
            <w:r>
              <w:t>CO</w:t>
            </w:r>
          </w:p>
        </w:tc>
        <w:tc>
          <w:tcPr>
            <w:tcW w:w="4110" w:type="dxa"/>
            <w:shd w:val="clear" w:color="auto" w:fill="auto"/>
            <w:noWrap/>
            <w:vAlign w:val="center"/>
          </w:tcPr>
          <w:p w14:paraId="49EF3569">
            <w:pPr>
              <w:pStyle w:val="90"/>
            </w:pPr>
            <w:r>
              <w:rPr>
                <w:rFonts w:hint="eastAsia"/>
              </w:rPr>
              <w:t>2</w:t>
            </w:r>
            <w:r>
              <w:t>4</w:t>
            </w:r>
            <w:r>
              <w:rPr>
                <w:rFonts w:hint="eastAsia"/>
              </w:rPr>
              <w:t>小时</w:t>
            </w:r>
            <w:r>
              <w:t>平均</w:t>
            </w:r>
            <w:r>
              <w:rPr>
                <w:rFonts w:hint="eastAsia"/>
              </w:rPr>
              <w:t>第9</w:t>
            </w:r>
            <w:r>
              <w:t>5百分位</w:t>
            </w:r>
            <w:r>
              <w:rPr>
                <w:rFonts w:hint="eastAsia"/>
              </w:rPr>
              <w:t>数</w:t>
            </w:r>
          </w:p>
        </w:tc>
        <w:tc>
          <w:tcPr>
            <w:tcW w:w="954" w:type="dxa"/>
            <w:shd w:val="clear" w:color="auto" w:fill="auto"/>
            <w:noWrap/>
            <w:vAlign w:val="center"/>
          </w:tcPr>
          <w:p w14:paraId="2FAB26CA">
            <w:pPr>
              <w:pStyle w:val="90"/>
            </w:pPr>
            <w:r>
              <w:t>1200</w:t>
            </w:r>
          </w:p>
        </w:tc>
        <w:tc>
          <w:tcPr>
            <w:tcW w:w="955" w:type="dxa"/>
            <w:shd w:val="clear" w:color="auto" w:fill="auto"/>
            <w:noWrap/>
            <w:vAlign w:val="center"/>
          </w:tcPr>
          <w:p w14:paraId="6809E483">
            <w:pPr>
              <w:pStyle w:val="90"/>
            </w:pPr>
            <w:r>
              <w:t>4000</w:t>
            </w:r>
          </w:p>
        </w:tc>
        <w:tc>
          <w:tcPr>
            <w:tcW w:w="955" w:type="dxa"/>
            <w:shd w:val="clear" w:color="auto" w:fill="auto"/>
            <w:noWrap/>
            <w:vAlign w:val="center"/>
          </w:tcPr>
          <w:p w14:paraId="5E8E4DA8">
            <w:pPr>
              <w:pStyle w:val="90"/>
            </w:pPr>
            <w:r>
              <w:t>30</w:t>
            </w:r>
          </w:p>
        </w:tc>
        <w:tc>
          <w:tcPr>
            <w:tcW w:w="662" w:type="dxa"/>
            <w:shd w:val="clear" w:color="auto" w:fill="auto"/>
            <w:noWrap/>
            <w:vAlign w:val="center"/>
          </w:tcPr>
          <w:p w14:paraId="0EB01135">
            <w:pPr>
              <w:pStyle w:val="90"/>
            </w:pPr>
            <w:r>
              <w:rPr>
                <w:rFonts w:hint="eastAsia"/>
              </w:rPr>
              <w:t>达标</w:t>
            </w:r>
          </w:p>
        </w:tc>
      </w:tr>
      <w:tr w14:paraId="60F345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892" w:type="dxa"/>
            <w:shd w:val="clear" w:color="auto" w:fill="auto"/>
            <w:noWrap/>
            <w:vAlign w:val="center"/>
          </w:tcPr>
          <w:p w14:paraId="38E3C85A">
            <w:pPr>
              <w:pStyle w:val="90"/>
            </w:pPr>
            <w:r>
              <w:t>O</w:t>
            </w:r>
            <w:r>
              <w:rPr>
                <w:vertAlign w:val="subscript"/>
              </w:rPr>
              <w:t>3</w:t>
            </w:r>
          </w:p>
        </w:tc>
        <w:tc>
          <w:tcPr>
            <w:tcW w:w="4110" w:type="dxa"/>
            <w:shd w:val="clear" w:color="auto" w:fill="auto"/>
            <w:noWrap/>
            <w:vAlign w:val="center"/>
          </w:tcPr>
          <w:p w14:paraId="74BD2C4D">
            <w:pPr>
              <w:pStyle w:val="90"/>
            </w:pPr>
            <w:r>
              <w:rPr>
                <w:rFonts w:hint="eastAsia"/>
              </w:rPr>
              <w:t>日最大8小时滑动平均值的第9</w:t>
            </w:r>
            <w:r>
              <w:t>0</w:t>
            </w:r>
            <w:r>
              <w:rPr>
                <w:rFonts w:hint="eastAsia"/>
              </w:rPr>
              <w:t>百分位数</w:t>
            </w:r>
          </w:p>
        </w:tc>
        <w:tc>
          <w:tcPr>
            <w:tcW w:w="954" w:type="dxa"/>
            <w:shd w:val="clear" w:color="auto" w:fill="auto"/>
            <w:noWrap/>
            <w:vAlign w:val="center"/>
          </w:tcPr>
          <w:p w14:paraId="69562683">
            <w:pPr>
              <w:pStyle w:val="90"/>
            </w:pPr>
            <w:r>
              <w:t>119</w:t>
            </w:r>
          </w:p>
        </w:tc>
        <w:tc>
          <w:tcPr>
            <w:tcW w:w="955" w:type="dxa"/>
            <w:shd w:val="clear" w:color="auto" w:fill="auto"/>
            <w:noWrap/>
            <w:vAlign w:val="center"/>
          </w:tcPr>
          <w:p w14:paraId="00F6CBDE">
            <w:pPr>
              <w:pStyle w:val="90"/>
            </w:pPr>
            <w:r>
              <w:t>160</w:t>
            </w:r>
          </w:p>
        </w:tc>
        <w:tc>
          <w:tcPr>
            <w:tcW w:w="955" w:type="dxa"/>
            <w:shd w:val="clear" w:color="auto" w:fill="auto"/>
            <w:noWrap/>
            <w:vAlign w:val="center"/>
          </w:tcPr>
          <w:p w14:paraId="134C73B8">
            <w:pPr>
              <w:pStyle w:val="90"/>
            </w:pPr>
            <w:r>
              <w:t>80.38</w:t>
            </w:r>
          </w:p>
        </w:tc>
        <w:tc>
          <w:tcPr>
            <w:tcW w:w="662" w:type="dxa"/>
            <w:shd w:val="clear" w:color="auto" w:fill="auto"/>
            <w:noWrap/>
            <w:vAlign w:val="center"/>
          </w:tcPr>
          <w:p w14:paraId="57052201">
            <w:pPr>
              <w:pStyle w:val="90"/>
            </w:pPr>
            <w:r>
              <w:rPr>
                <w:rFonts w:hint="eastAsia"/>
              </w:rPr>
              <w:t>达标</w:t>
            </w:r>
          </w:p>
        </w:tc>
      </w:tr>
    </w:tbl>
    <w:p w14:paraId="555B5ED8">
      <w:pPr>
        <w:ind w:firstLine="480"/>
      </w:pPr>
      <w:r>
        <w:rPr>
          <w:rFonts w:hint="eastAsia"/>
        </w:rPr>
        <w:t>根据上表可知：</w:t>
      </w:r>
      <w:r>
        <w:t>本项目所在区域</w:t>
      </w:r>
      <w:r>
        <w:rPr>
          <w:rFonts w:hint="eastAsia"/>
        </w:rPr>
        <w:t>各个污染物</w:t>
      </w:r>
      <w:r>
        <w:t>的</w:t>
      </w:r>
      <w:r>
        <w:rPr>
          <w:rFonts w:hint="eastAsia"/>
        </w:rPr>
        <w:t>年评价指标均满足《环境空气质量标准》（GB</w:t>
      </w:r>
      <w:r>
        <w:t>3095-2012</w:t>
      </w:r>
      <w:r>
        <w:rPr>
          <w:rFonts w:hint="eastAsia"/>
        </w:rPr>
        <w:t>）中的二级标准</w:t>
      </w:r>
      <w:r>
        <w:t>。</w:t>
      </w:r>
      <w:r>
        <w:rPr>
          <w:rFonts w:hint="eastAsia"/>
        </w:rPr>
        <w:t>因此，本</w:t>
      </w:r>
      <w:r>
        <w:t>项目所在区域环境空气质量为达标区。</w:t>
      </w:r>
    </w:p>
    <w:p w14:paraId="428A1AE4">
      <w:pPr>
        <w:pStyle w:val="45"/>
        <w:spacing w:before="65" w:after="65"/>
      </w:pPr>
      <w:r>
        <w:rPr>
          <w:rFonts w:hint="eastAsia"/>
        </w:rPr>
        <w:t>补充监测</w:t>
      </w:r>
    </w:p>
    <w:p w14:paraId="08D42B32">
      <w:pPr>
        <w:ind w:firstLine="480"/>
      </w:pPr>
      <w:r>
        <w:rPr>
          <w:rFonts w:hint="eastAsia"/>
        </w:rPr>
        <w:t>非甲烷总烃、硫酸雾委托新疆锡水金山环境科技有限公司进行实测，硫化氢、氨引用《新疆派力斯能源科技有限公司1万吨废包装桶、10万吨有机废渣热解回收再利用及1万吨铅蓄电池转运及项目》监测报告中的数据，具体补充监测内容如下：</w:t>
      </w:r>
    </w:p>
    <w:p w14:paraId="4FF4DF63">
      <w:pPr>
        <w:ind w:firstLine="480"/>
      </w:pPr>
      <w:r>
        <w:rPr>
          <w:rFonts w:hint="eastAsia"/>
        </w:rPr>
        <w:t>（1）监测布点</w:t>
      </w:r>
    </w:p>
    <w:p w14:paraId="4A600954">
      <w:pPr>
        <w:ind w:firstLine="480"/>
      </w:pPr>
      <w:r>
        <w:rPr>
          <w:rFonts w:hint="eastAsia"/>
        </w:rPr>
        <w:t>本项目大气环境现状监测共布设1个补充监测点，位于项目区范围内，引用数据监测点位于本项目下风向1</w:t>
      </w:r>
      <w:r>
        <w:t>.3</w:t>
      </w:r>
      <w:r>
        <w:rPr>
          <w:rFonts w:hint="eastAsia"/>
        </w:rPr>
        <w:t>km处，具体见图4</w:t>
      </w:r>
      <w:r>
        <w:t>.3-1</w:t>
      </w:r>
      <w:r>
        <w:rPr>
          <w:rFonts w:hint="eastAsia"/>
        </w:rPr>
        <w:t>。</w:t>
      </w:r>
    </w:p>
    <w:p w14:paraId="3225AC06">
      <w:pPr>
        <w:ind w:firstLine="480"/>
      </w:pPr>
      <w:r>
        <w:rPr>
          <w:rFonts w:hint="eastAsia"/>
        </w:rPr>
        <w:t>（2）监测因子</w:t>
      </w:r>
    </w:p>
    <w:p w14:paraId="6C1F14EF">
      <w:pPr>
        <w:ind w:firstLine="480"/>
      </w:pPr>
      <w:r>
        <w:rPr>
          <w:rFonts w:hint="eastAsia"/>
        </w:rPr>
        <w:t>非甲烷总烃、硫酸雾、硫化氢、氨</w:t>
      </w:r>
    </w:p>
    <w:p w14:paraId="743915FD">
      <w:pPr>
        <w:ind w:firstLine="480"/>
      </w:pPr>
      <w:r>
        <w:rPr>
          <w:rFonts w:hint="eastAsia"/>
        </w:rPr>
        <w:t>（3）监测时间</w:t>
      </w:r>
    </w:p>
    <w:p w14:paraId="3CA5DE60">
      <w:pPr>
        <w:ind w:firstLine="480"/>
      </w:pPr>
      <w:r>
        <w:rPr>
          <w:rFonts w:hint="eastAsia"/>
        </w:rPr>
        <w:t>委托监测时间：20</w:t>
      </w:r>
      <w:r>
        <w:t>23</w:t>
      </w:r>
      <w:r>
        <w:rPr>
          <w:rFonts w:hint="eastAsia"/>
        </w:rPr>
        <w:t>年</w:t>
      </w:r>
      <w:r>
        <w:t>11</w:t>
      </w:r>
      <w:r>
        <w:rPr>
          <w:rFonts w:hint="eastAsia"/>
        </w:rPr>
        <w:t>月</w:t>
      </w:r>
      <w:r>
        <w:t>7</w:t>
      </w:r>
      <w:r>
        <w:rPr>
          <w:rFonts w:hint="eastAsia"/>
        </w:rPr>
        <w:t>日至20</w:t>
      </w:r>
      <w:r>
        <w:t>23</w:t>
      </w:r>
      <w:r>
        <w:rPr>
          <w:rFonts w:hint="eastAsia"/>
        </w:rPr>
        <w:t>年</w:t>
      </w:r>
      <w:r>
        <w:t>11</w:t>
      </w:r>
      <w:r>
        <w:rPr>
          <w:rFonts w:hint="eastAsia"/>
        </w:rPr>
        <w:t>月</w:t>
      </w:r>
      <w:r>
        <w:t>14</w:t>
      </w:r>
      <w:r>
        <w:rPr>
          <w:rFonts w:hint="eastAsia"/>
        </w:rPr>
        <w:t>日，连续监测7天；引用数据监测时间：2</w:t>
      </w:r>
      <w:r>
        <w:t>024</w:t>
      </w:r>
      <w:r>
        <w:rPr>
          <w:rFonts w:hint="eastAsia"/>
        </w:rPr>
        <w:t>年1月2</w:t>
      </w:r>
      <w:r>
        <w:t>7</w:t>
      </w:r>
      <w:r>
        <w:rPr>
          <w:rFonts w:hint="eastAsia"/>
        </w:rPr>
        <w:t>日至2月2日，每天采样4次，每次采样时间不少于4</w:t>
      </w:r>
      <w:r>
        <w:t>5</w:t>
      </w:r>
      <w:r>
        <w:rPr>
          <w:rFonts w:hint="eastAsia"/>
        </w:rPr>
        <w:t>min。</w:t>
      </w:r>
    </w:p>
    <w:p w14:paraId="4F74E057">
      <w:pPr>
        <w:ind w:firstLine="480"/>
      </w:pPr>
      <w:r>
        <w:rPr>
          <w:rFonts w:hint="eastAsia"/>
        </w:rPr>
        <w:t>（4）监测结果</w:t>
      </w:r>
    </w:p>
    <w:p w14:paraId="33CEE34A">
      <w:pPr>
        <w:ind w:firstLine="480"/>
      </w:pPr>
      <w:r>
        <w:rPr>
          <w:rFonts w:hint="eastAsia"/>
        </w:rPr>
        <w:t>补充监测结果见下表。</w:t>
      </w:r>
    </w:p>
    <w:p w14:paraId="3AEFB175">
      <w:pPr>
        <w:pStyle w:val="47"/>
        <w:spacing w:before="65"/>
        <w:ind w:firstLine="480"/>
      </w:pPr>
      <w:r>
        <w:rPr>
          <w:rFonts w:hint="eastAsia"/>
        </w:rPr>
        <w:t>表4</w:t>
      </w:r>
      <w:r>
        <w:t xml:space="preserve">.3-2   </w:t>
      </w:r>
      <w:r>
        <w:rPr>
          <w:rFonts w:hint="eastAsia"/>
        </w:rPr>
        <w:t xml:space="preserve">补充监测结果统计表 </w:t>
      </w:r>
      <w:r>
        <w:t xml:space="preserve">  </w:t>
      </w:r>
      <w:r>
        <w:rPr>
          <w:rFonts w:hint="eastAsia"/>
        </w:rPr>
        <w:t>单位mg</w:t>
      </w:r>
      <w:r>
        <w:t>/</w:t>
      </w:r>
      <w:r>
        <w:rPr>
          <w:rFonts w:hint="eastAsia"/>
        </w:rPr>
        <w:t>m</w:t>
      </w:r>
      <w:r>
        <w:rPr>
          <w:vertAlign w:val="superscript"/>
        </w:rPr>
        <w:t>3</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866"/>
        <w:gridCol w:w="691"/>
        <w:gridCol w:w="1243"/>
        <w:gridCol w:w="1584"/>
        <w:gridCol w:w="1584"/>
        <w:gridCol w:w="1584"/>
      </w:tblGrid>
      <w:tr w14:paraId="69CA1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shd w:val="clear" w:color="auto" w:fill="auto"/>
            <w:tcMar>
              <w:left w:w="0" w:type="dxa"/>
              <w:right w:w="0" w:type="dxa"/>
            </w:tcMar>
            <w:vAlign w:val="center"/>
          </w:tcPr>
          <w:p w14:paraId="344C68F6">
            <w:pPr>
              <w:adjustRightInd w:val="0"/>
              <w:snapToGrid w:val="0"/>
              <w:spacing w:line="240" w:lineRule="auto"/>
              <w:ind w:firstLine="0" w:firstLineChars="0"/>
              <w:jc w:val="center"/>
              <w:rPr>
                <w:sz w:val="21"/>
                <w:szCs w:val="21"/>
              </w:rPr>
            </w:pPr>
            <w:r>
              <w:rPr>
                <w:sz w:val="21"/>
                <w:szCs w:val="21"/>
              </w:rPr>
              <w:t>时间</w:t>
            </w:r>
          </w:p>
        </w:tc>
        <w:tc>
          <w:tcPr>
            <w:tcW w:w="496" w:type="pct"/>
            <w:shd w:val="clear" w:color="auto" w:fill="auto"/>
            <w:tcMar>
              <w:left w:w="0" w:type="dxa"/>
              <w:right w:w="0" w:type="dxa"/>
            </w:tcMar>
            <w:vAlign w:val="center"/>
          </w:tcPr>
          <w:p w14:paraId="4EA0F179">
            <w:pPr>
              <w:adjustRightInd w:val="0"/>
              <w:snapToGrid w:val="0"/>
              <w:spacing w:line="240" w:lineRule="auto"/>
              <w:ind w:firstLine="0" w:firstLineChars="0"/>
              <w:jc w:val="center"/>
              <w:rPr>
                <w:sz w:val="21"/>
                <w:szCs w:val="21"/>
              </w:rPr>
            </w:pPr>
            <w:r>
              <w:rPr>
                <w:sz w:val="21"/>
                <w:szCs w:val="21"/>
              </w:rPr>
              <w:t>污染物</w:t>
            </w:r>
          </w:p>
        </w:tc>
        <w:tc>
          <w:tcPr>
            <w:tcW w:w="1108" w:type="pct"/>
            <w:gridSpan w:val="2"/>
            <w:shd w:val="clear" w:color="auto" w:fill="auto"/>
            <w:tcMar>
              <w:left w:w="0" w:type="dxa"/>
              <w:right w:w="0" w:type="dxa"/>
            </w:tcMar>
            <w:vAlign w:val="center"/>
          </w:tcPr>
          <w:p w14:paraId="4980DF6D">
            <w:pPr>
              <w:adjustRightInd w:val="0"/>
              <w:snapToGrid w:val="0"/>
              <w:spacing w:line="240" w:lineRule="auto"/>
              <w:ind w:firstLine="0" w:firstLineChars="0"/>
              <w:jc w:val="center"/>
              <w:rPr>
                <w:sz w:val="21"/>
                <w:szCs w:val="21"/>
              </w:rPr>
            </w:pPr>
            <w:r>
              <w:rPr>
                <w:sz w:val="21"/>
                <w:szCs w:val="21"/>
              </w:rPr>
              <w:t>评价标准</w:t>
            </w:r>
          </w:p>
        </w:tc>
        <w:tc>
          <w:tcPr>
            <w:tcW w:w="907" w:type="pct"/>
            <w:shd w:val="clear" w:color="auto" w:fill="auto"/>
            <w:tcMar>
              <w:left w:w="0" w:type="dxa"/>
              <w:right w:w="0" w:type="dxa"/>
            </w:tcMar>
            <w:vAlign w:val="center"/>
          </w:tcPr>
          <w:p w14:paraId="4FA2C260">
            <w:pPr>
              <w:adjustRightInd w:val="0"/>
              <w:snapToGrid w:val="0"/>
              <w:spacing w:line="240" w:lineRule="auto"/>
              <w:ind w:firstLine="0" w:firstLineChars="0"/>
              <w:jc w:val="center"/>
              <w:rPr>
                <w:sz w:val="21"/>
                <w:szCs w:val="21"/>
              </w:rPr>
            </w:pPr>
            <w:r>
              <w:rPr>
                <w:sz w:val="21"/>
                <w:szCs w:val="21"/>
              </w:rPr>
              <w:t>监测浓度</w:t>
            </w:r>
          </w:p>
        </w:tc>
        <w:tc>
          <w:tcPr>
            <w:tcW w:w="907" w:type="pct"/>
            <w:shd w:val="clear" w:color="auto" w:fill="auto"/>
            <w:tcMar>
              <w:left w:w="0" w:type="dxa"/>
              <w:right w:w="0" w:type="dxa"/>
            </w:tcMar>
            <w:vAlign w:val="center"/>
          </w:tcPr>
          <w:p w14:paraId="47AEE055">
            <w:pPr>
              <w:adjustRightInd w:val="0"/>
              <w:snapToGrid w:val="0"/>
              <w:spacing w:line="240" w:lineRule="auto"/>
              <w:ind w:firstLine="0" w:firstLineChars="0"/>
              <w:jc w:val="center"/>
              <w:rPr>
                <w:sz w:val="21"/>
                <w:szCs w:val="21"/>
              </w:rPr>
            </w:pPr>
            <w:r>
              <w:rPr>
                <w:rFonts w:hint="eastAsia"/>
                <w:sz w:val="21"/>
                <w:szCs w:val="21"/>
              </w:rPr>
              <w:t>平均值</w:t>
            </w:r>
          </w:p>
        </w:tc>
        <w:tc>
          <w:tcPr>
            <w:tcW w:w="907" w:type="pct"/>
            <w:shd w:val="clear" w:color="auto" w:fill="auto"/>
            <w:tcMar>
              <w:left w:w="0" w:type="dxa"/>
              <w:right w:w="0" w:type="dxa"/>
            </w:tcMar>
            <w:vAlign w:val="center"/>
          </w:tcPr>
          <w:p w14:paraId="33866874">
            <w:pPr>
              <w:adjustRightInd w:val="0"/>
              <w:snapToGrid w:val="0"/>
              <w:spacing w:line="240" w:lineRule="auto"/>
              <w:ind w:firstLine="0" w:firstLineChars="0"/>
              <w:jc w:val="center"/>
              <w:rPr>
                <w:sz w:val="21"/>
                <w:szCs w:val="21"/>
              </w:rPr>
            </w:pPr>
            <w:r>
              <w:rPr>
                <w:sz w:val="21"/>
                <w:szCs w:val="21"/>
              </w:rPr>
              <w:t>达标情况</w:t>
            </w:r>
          </w:p>
        </w:tc>
      </w:tr>
      <w:tr w14:paraId="34E9B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536A0AA9">
            <w:pPr>
              <w:numPr>
                <w:ilvl w:val="0"/>
                <w:numId w:val="22"/>
              </w:numPr>
              <w:adjustRightInd w:val="0"/>
              <w:snapToGrid w:val="0"/>
              <w:spacing w:line="240" w:lineRule="auto"/>
              <w:ind w:firstLineChars="0"/>
              <w:jc w:val="center"/>
              <w:rPr>
                <w:sz w:val="21"/>
                <w:szCs w:val="21"/>
              </w:rPr>
            </w:pPr>
          </w:p>
        </w:tc>
        <w:tc>
          <w:tcPr>
            <w:tcW w:w="496" w:type="pct"/>
            <w:vMerge w:val="restart"/>
            <w:shd w:val="clear" w:color="auto" w:fill="auto"/>
            <w:tcMar>
              <w:left w:w="0" w:type="dxa"/>
              <w:right w:w="0" w:type="dxa"/>
            </w:tcMar>
            <w:vAlign w:val="center"/>
          </w:tcPr>
          <w:p w14:paraId="5FDAE2B0">
            <w:pPr>
              <w:adjustRightInd w:val="0"/>
              <w:snapToGrid w:val="0"/>
              <w:spacing w:line="240" w:lineRule="auto"/>
              <w:ind w:firstLine="0" w:firstLineChars="0"/>
              <w:jc w:val="center"/>
              <w:rPr>
                <w:sz w:val="21"/>
                <w:szCs w:val="21"/>
              </w:rPr>
            </w:pPr>
            <w:r>
              <w:rPr>
                <w:rFonts w:hint="eastAsia"/>
                <w:sz w:val="21"/>
                <w:szCs w:val="21"/>
              </w:rPr>
              <w:t>非甲烷总烃</w:t>
            </w:r>
          </w:p>
        </w:tc>
        <w:tc>
          <w:tcPr>
            <w:tcW w:w="396" w:type="pct"/>
            <w:vMerge w:val="restart"/>
            <w:shd w:val="clear" w:color="auto" w:fill="auto"/>
            <w:tcMar>
              <w:left w:w="0" w:type="dxa"/>
              <w:right w:w="0" w:type="dxa"/>
            </w:tcMar>
            <w:vAlign w:val="center"/>
          </w:tcPr>
          <w:p w14:paraId="03098022">
            <w:pPr>
              <w:adjustRightInd w:val="0"/>
              <w:snapToGrid w:val="0"/>
              <w:spacing w:line="240" w:lineRule="auto"/>
              <w:ind w:firstLine="0" w:firstLineChars="0"/>
              <w:jc w:val="center"/>
              <w:rPr>
                <w:sz w:val="21"/>
                <w:szCs w:val="21"/>
              </w:rPr>
            </w:pPr>
            <w:r>
              <w:rPr>
                <w:sz w:val="21"/>
                <w:szCs w:val="21"/>
              </w:rPr>
              <w:t>2.0</w:t>
            </w:r>
          </w:p>
        </w:tc>
        <w:tc>
          <w:tcPr>
            <w:tcW w:w="712" w:type="pct"/>
            <w:tcMar>
              <w:left w:w="0" w:type="dxa"/>
              <w:right w:w="0" w:type="dxa"/>
            </w:tcMar>
            <w:vAlign w:val="center"/>
          </w:tcPr>
          <w:p w14:paraId="759FE164">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616CFB2E">
            <w:pPr>
              <w:pStyle w:val="90"/>
              <w:rPr>
                <w:lang w:bidi="ar"/>
              </w:rPr>
            </w:pPr>
            <w:r>
              <w:rPr>
                <w:rFonts w:hint="eastAsia"/>
                <w:lang w:bidi="ar"/>
              </w:rPr>
              <w:t>1.36</w:t>
            </w:r>
          </w:p>
        </w:tc>
        <w:tc>
          <w:tcPr>
            <w:tcW w:w="907" w:type="pct"/>
            <w:vMerge w:val="restart"/>
            <w:shd w:val="clear" w:color="auto" w:fill="auto"/>
            <w:tcMar>
              <w:left w:w="0" w:type="dxa"/>
              <w:right w:w="0" w:type="dxa"/>
            </w:tcMar>
            <w:vAlign w:val="center"/>
          </w:tcPr>
          <w:p w14:paraId="63157023">
            <w:pPr>
              <w:adjustRightInd w:val="0"/>
              <w:snapToGrid w:val="0"/>
              <w:spacing w:line="240" w:lineRule="auto"/>
              <w:ind w:firstLine="0" w:firstLineChars="0"/>
              <w:jc w:val="center"/>
              <w:rPr>
                <w:sz w:val="21"/>
                <w:szCs w:val="21"/>
              </w:rPr>
            </w:pPr>
            <w:r>
              <w:rPr>
                <w:rFonts w:hint="eastAsia"/>
                <w:sz w:val="21"/>
                <w:szCs w:val="21"/>
              </w:rPr>
              <w:t>1</w:t>
            </w:r>
            <w:r>
              <w:rPr>
                <w:sz w:val="21"/>
                <w:szCs w:val="21"/>
              </w:rPr>
              <w:t>.37</w:t>
            </w:r>
          </w:p>
        </w:tc>
        <w:tc>
          <w:tcPr>
            <w:tcW w:w="907" w:type="pct"/>
            <w:shd w:val="clear" w:color="auto" w:fill="auto"/>
            <w:tcMar>
              <w:left w:w="0" w:type="dxa"/>
              <w:right w:w="0" w:type="dxa"/>
            </w:tcMar>
            <w:vAlign w:val="center"/>
          </w:tcPr>
          <w:p w14:paraId="0D8C8BDD">
            <w:pPr>
              <w:adjustRightInd w:val="0"/>
              <w:snapToGrid w:val="0"/>
              <w:spacing w:line="240" w:lineRule="auto"/>
              <w:ind w:firstLine="0" w:firstLineChars="0"/>
              <w:jc w:val="center"/>
              <w:rPr>
                <w:sz w:val="21"/>
                <w:szCs w:val="21"/>
              </w:rPr>
            </w:pPr>
            <w:r>
              <w:rPr>
                <w:rFonts w:hint="eastAsia"/>
                <w:sz w:val="21"/>
                <w:szCs w:val="21"/>
              </w:rPr>
              <w:t>达标</w:t>
            </w:r>
          </w:p>
        </w:tc>
      </w:tr>
      <w:tr w14:paraId="0D8D8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03CDA6AA">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19E91091">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BA97614">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5D1FF6A7">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25D27136">
            <w:pPr>
              <w:pStyle w:val="90"/>
              <w:rPr>
                <w:lang w:bidi="ar"/>
              </w:rPr>
            </w:pPr>
            <w:r>
              <w:rPr>
                <w:rFonts w:hint="eastAsia"/>
                <w:lang w:bidi="ar"/>
              </w:rPr>
              <w:t>1.40</w:t>
            </w:r>
          </w:p>
        </w:tc>
        <w:tc>
          <w:tcPr>
            <w:tcW w:w="907" w:type="pct"/>
            <w:vMerge w:val="continue"/>
            <w:shd w:val="clear" w:color="auto" w:fill="auto"/>
            <w:tcMar>
              <w:left w:w="0" w:type="dxa"/>
              <w:right w:w="0" w:type="dxa"/>
            </w:tcMar>
            <w:vAlign w:val="center"/>
          </w:tcPr>
          <w:p w14:paraId="5F2FAD3E">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711132AC">
            <w:pPr>
              <w:adjustRightInd w:val="0"/>
              <w:snapToGrid w:val="0"/>
              <w:spacing w:line="240" w:lineRule="auto"/>
              <w:ind w:firstLine="0" w:firstLineChars="0"/>
              <w:jc w:val="center"/>
              <w:rPr>
                <w:sz w:val="21"/>
                <w:szCs w:val="21"/>
              </w:rPr>
            </w:pPr>
            <w:r>
              <w:rPr>
                <w:rFonts w:hint="eastAsia"/>
                <w:sz w:val="21"/>
                <w:szCs w:val="21"/>
              </w:rPr>
              <w:t>达标</w:t>
            </w:r>
          </w:p>
        </w:tc>
      </w:tr>
      <w:tr w14:paraId="35C0F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597BDDCF">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28C47C5A">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294E8C1F">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74B88F8">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1999251E">
            <w:pPr>
              <w:pStyle w:val="90"/>
              <w:rPr>
                <w:lang w:bidi="ar"/>
              </w:rPr>
            </w:pPr>
            <w:r>
              <w:rPr>
                <w:rFonts w:hint="eastAsia"/>
                <w:lang w:bidi="ar"/>
              </w:rPr>
              <w:t>1.37</w:t>
            </w:r>
          </w:p>
        </w:tc>
        <w:tc>
          <w:tcPr>
            <w:tcW w:w="907" w:type="pct"/>
            <w:vMerge w:val="continue"/>
            <w:shd w:val="clear" w:color="auto" w:fill="auto"/>
            <w:tcMar>
              <w:left w:w="0" w:type="dxa"/>
              <w:right w:w="0" w:type="dxa"/>
            </w:tcMar>
            <w:vAlign w:val="center"/>
          </w:tcPr>
          <w:p w14:paraId="6BBE28AE">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010ABD2F">
            <w:pPr>
              <w:adjustRightInd w:val="0"/>
              <w:snapToGrid w:val="0"/>
              <w:spacing w:line="240" w:lineRule="auto"/>
              <w:ind w:firstLine="0" w:firstLineChars="0"/>
              <w:jc w:val="center"/>
              <w:rPr>
                <w:sz w:val="21"/>
                <w:szCs w:val="21"/>
              </w:rPr>
            </w:pPr>
            <w:r>
              <w:rPr>
                <w:rFonts w:hint="eastAsia"/>
                <w:sz w:val="21"/>
                <w:szCs w:val="21"/>
              </w:rPr>
              <w:t>达标</w:t>
            </w:r>
          </w:p>
        </w:tc>
      </w:tr>
      <w:tr w14:paraId="79D61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DF92C0E">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73E211C1">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27E3231C">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5DADB96">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7BB81F71">
            <w:pPr>
              <w:pStyle w:val="90"/>
              <w:rPr>
                <w:lang w:bidi="ar"/>
              </w:rPr>
            </w:pPr>
            <w:r>
              <w:rPr>
                <w:rFonts w:hint="eastAsia"/>
                <w:lang w:bidi="ar"/>
              </w:rPr>
              <w:t>1.36</w:t>
            </w:r>
          </w:p>
        </w:tc>
        <w:tc>
          <w:tcPr>
            <w:tcW w:w="907" w:type="pct"/>
            <w:vMerge w:val="continue"/>
            <w:shd w:val="clear" w:color="auto" w:fill="auto"/>
            <w:tcMar>
              <w:left w:w="0" w:type="dxa"/>
              <w:right w:w="0" w:type="dxa"/>
            </w:tcMar>
            <w:vAlign w:val="center"/>
          </w:tcPr>
          <w:p w14:paraId="23A2AB60">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0C20D3B8">
            <w:pPr>
              <w:adjustRightInd w:val="0"/>
              <w:snapToGrid w:val="0"/>
              <w:spacing w:line="240" w:lineRule="auto"/>
              <w:ind w:firstLine="0" w:firstLineChars="0"/>
              <w:jc w:val="center"/>
              <w:rPr>
                <w:sz w:val="21"/>
                <w:szCs w:val="21"/>
              </w:rPr>
            </w:pPr>
            <w:r>
              <w:rPr>
                <w:rFonts w:hint="eastAsia"/>
                <w:sz w:val="21"/>
                <w:szCs w:val="21"/>
              </w:rPr>
              <w:t>达标</w:t>
            </w:r>
          </w:p>
        </w:tc>
      </w:tr>
      <w:tr w14:paraId="12361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431CE468">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4252139F">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DC1AAB2">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AA9EDF6">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18FEE372">
            <w:pPr>
              <w:pStyle w:val="90"/>
              <w:rPr>
                <w:lang w:bidi="ar"/>
              </w:rPr>
            </w:pPr>
            <w:r>
              <w:rPr>
                <w:rFonts w:hint="eastAsia"/>
                <w:lang w:bidi="ar"/>
              </w:rPr>
              <w:t>1.33</w:t>
            </w:r>
          </w:p>
        </w:tc>
        <w:tc>
          <w:tcPr>
            <w:tcW w:w="907" w:type="pct"/>
            <w:vMerge w:val="restart"/>
            <w:shd w:val="clear" w:color="auto" w:fill="auto"/>
            <w:tcMar>
              <w:left w:w="0" w:type="dxa"/>
              <w:right w:w="0" w:type="dxa"/>
            </w:tcMar>
            <w:vAlign w:val="center"/>
          </w:tcPr>
          <w:p w14:paraId="7CC4DE7C">
            <w:pPr>
              <w:adjustRightInd w:val="0"/>
              <w:snapToGrid w:val="0"/>
              <w:spacing w:line="240" w:lineRule="auto"/>
              <w:ind w:firstLine="0" w:firstLineChars="0"/>
              <w:jc w:val="center"/>
              <w:rPr>
                <w:sz w:val="21"/>
                <w:szCs w:val="21"/>
              </w:rPr>
            </w:pPr>
            <w:r>
              <w:rPr>
                <w:rFonts w:hint="eastAsia"/>
                <w:sz w:val="21"/>
                <w:szCs w:val="21"/>
              </w:rPr>
              <w:t>1</w:t>
            </w:r>
            <w:r>
              <w:rPr>
                <w:sz w:val="21"/>
                <w:szCs w:val="21"/>
              </w:rPr>
              <w:t>.34</w:t>
            </w:r>
          </w:p>
        </w:tc>
        <w:tc>
          <w:tcPr>
            <w:tcW w:w="907" w:type="pct"/>
            <w:shd w:val="clear" w:color="auto" w:fill="auto"/>
            <w:tcMar>
              <w:left w:w="0" w:type="dxa"/>
              <w:right w:w="0" w:type="dxa"/>
            </w:tcMar>
            <w:vAlign w:val="center"/>
          </w:tcPr>
          <w:p w14:paraId="7C93E693">
            <w:pPr>
              <w:adjustRightInd w:val="0"/>
              <w:snapToGrid w:val="0"/>
              <w:spacing w:line="240" w:lineRule="auto"/>
              <w:ind w:firstLine="0" w:firstLineChars="0"/>
              <w:jc w:val="center"/>
              <w:rPr>
                <w:sz w:val="21"/>
                <w:szCs w:val="21"/>
              </w:rPr>
            </w:pPr>
            <w:r>
              <w:rPr>
                <w:rFonts w:hint="eastAsia"/>
                <w:sz w:val="21"/>
                <w:szCs w:val="21"/>
              </w:rPr>
              <w:t>达标</w:t>
            </w:r>
          </w:p>
        </w:tc>
      </w:tr>
      <w:tr w14:paraId="5FB86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0804C0D">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5AD122B0">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DFB546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561722DE">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016D6035">
            <w:pPr>
              <w:pStyle w:val="90"/>
              <w:rPr>
                <w:lang w:bidi="ar"/>
              </w:rPr>
            </w:pPr>
            <w:r>
              <w:rPr>
                <w:rFonts w:hint="eastAsia"/>
                <w:lang w:bidi="ar"/>
              </w:rPr>
              <w:t>1.36</w:t>
            </w:r>
          </w:p>
        </w:tc>
        <w:tc>
          <w:tcPr>
            <w:tcW w:w="907" w:type="pct"/>
            <w:vMerge w:val="continue"/>
            <w:shd w:val="clear" w:color="auto" w:fill="auto"/>
            <w:tcMar>
              <w:left w:w="0" w:type="dxa"/>
              <w:right w:w="0" w:type="dxa"/>
            </w:tcMar>
            <w:vAlign w:val="center"/>
          </w:tcPr>
          <w:p w14:paraId="4FC56157">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7CE76F6E">
            <w:pPr>
              <w:adjustRightInd w:val="0"/>
              <w:snapToGrid w:val="0"/>
              <w:spacing w:line="240" w:lineRule="auto"/>
              <w:ind w:firstLine="0" w:firstLineChars="0"/>
              <w:jc w:val="center"/>
              <w:rPr>
                <w:sz w:val="21"/>
                <w:szCs w:val="21"/>
              </w:rPr>
            </w:pPr>
            <w:r>
              <w:rPr>
                <w:rFonts w:hint="eastAsia"/>
                <w:sz w:val="21"/>
                <w:szCs w:val="21"/>
              </w:rPr>
              <w:t>达标</w:t>
            </w:r>
          </w:p>
        </w:tc>
      </w:tr>
      <w:tr w14:paraId="70A55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42E90A9">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71FE207B">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BAF7B02">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9765BC3">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63517121">
            <w:pPr>
              <w:pStyle w:val="90"/>
              <w:rPr>
                <w:lang w:bidi="ar"/>
              </w:rPr>
            </w:pPr>
            <w:r>
              <w:rPr>
                <w:rFonts w:hint="eastAsia"/>
                <w:lang w:bidi="ar"/>
              </w:rPr>
              <w:t>1.31</w:t>
            </w:r>
          </w:p>
        </w:tc>
        <w:tc>
          <w:tcPr>
            <w:tcW w:w="907" w:type="pct"/>
            <w:vMerge w:val="continue"/>
            <w:shd w:val="clear" w:color="auto" w:fill="auto"/>
            <w:tcMar>
              <w:left w:w="0" w:type="dxa"/>
              <w:right w:w="0" w:type="dxa"/>
            </w:tcMar>
            <w:vAlign w:val="center"/>
          </w:tcPr>
          <w:p w14:paraId="20FEA90D">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7F493AC0">
            <w:pPr>
              <w:adjustRightInd w:val="0"/>
              <w:snapToGrid w:val="0"/>
              <w:spacing w:line="240" w:lineRule="auto"/>
              <w:ind w:firstLine="0" w:firstLineChars="0"/>
              <w:jc w:val="center"/>
              <w:rPr>
                <w:sz w:val="21"/>
                <w:szCs w:val="21"/>
              </w:rPr>
            </w:pPr>
            <w:r>
              <w:rPr>
                <w:rFonts w:hint="eastAsia"/>
                <w:sz w:val="21"/>
                <w:szCs w:val="21"/>
              </w:rPr>
              <w:t>达标</w:t>
            </w:r>
          </w:p>
        </w:tc>
      </w:tr>
      <w:tr w14:paraId="18055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65CA0B9C">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0167CC5C">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C18B1C6">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59BFD5B">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3E10BC0C">
            <w:pPr>
              <w:pStyle w:val="90"/>
              <w:rPr>
                <w:lang w:bidi="ar"/>
              </w:rPr>
            </w:pPr>
            <w:r>
              <w:rPr>
                <w:rFonts w:hint="eastAsia"/>
                <w:lang w:bidi="ar"/>
              </w:rPr>
              <w:t>1.36</w:t>
            </w:r>
          </w:p>
        </w:tc>
        <w:tc>
          <w:tcPr>
            <w:tcW w:w="907" w:type="pct"/>
            <w:vMerge w:val="continue"/>
            <w:shd w:val="clear" w:color="auto" w:fill="auto"/>
            <w:tcMar>
              <w:left w:w="0" w:type="dxa"/>
              <w:right w:w="0" w:type="dxa"/>
            </w:tcMar>
            <w:vAlign w:val="center"/>
          </w:tcPr>
          <w:p w14:paraId="51285049">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6DBCE46C">
            <w:pPr>
              <w:adjustRightInd w:val="0"/>
              <w:snapToGrid w:val="0"/>
              <w:spacing w:line="240" w:lineRule="auto"/>
              <w:ind w:firstLine="0" w:firstLineChars="0"/>
              <w:jc w:val="center"/>
              <w:rPr>
                <w:sz w:val="21"/>
                <w:szCs w:val="21"/>
              </w:rPr>
            </w:pPr>
            <w:r>
              <w:rPr>
                <w:rFonts w:hint="eastAsia"/>
                <w:sz w:val="21"/>
                <w:szCs w:val="21"/>
              </w:rPr>
              <w:t>达标</w:t>
            </w:r>
          </w:p>
        </w:tc>
      </w:tr>
      <w:tr w14:paraId="47AAB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06D0A551">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2DEA9C16">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F7F30C2">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A8A577C">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686DF7E2">
            <w:pPr>
              <w:pStyle w:val="90"/>
              <w:rPr>
                <w:lang w:bidi="ar"/>
              </w:rPr>
            </w:pPr>
            <w:r>
              <w:rPr>
                <w:rFonts w:hint="eastAsia"/>
                <w:lang w:bidi="ar"/>
              </w:rPr>
              <w:t>1.37</w:t>
            </w:r>
          </w:p>
        </w:tc>
        <w:tc>
          <w:tcPr>
            <w:tcW w:w="907" w:type="pct"/>
            <w:vMerge w:val="restart"/>
            <w:shd w:val="clear" w:color="auto" w:fill="auto"/>
            <w:tcMar>
              <w:left w:w="0" w:type="dxa"/>
              <w:right w:w="0" w:type="dxa"/>
            </w:tcMar>
            <w:vAlign w:val="center"/>
          </w:tcPr>
          <w:p w14:paraId="7BEECA6E">
            <w:pPr>
              <w:adjustRightInd w:val="0"/>
              <w:snapToGrid w:val="0"/>
              <w:spacing w:line="240" w:lineRule="auto"/>
              <w:ind w:firstLine="0" w:firstLineChars="0"/>
              <w:jc w:val="center"/>
              <w:rPr>
                <w:sz w:val="21"/>
                <w:szCs w:val="21"/>
              </w:rPr>
            </w:pPr>
            <w:r>
              <w:rPr>
                <w:rFonts w:hint="eastAsia"/>
                <w:sz w:val="21"/>
                <w:szCs w:val="21"/>
              </w:rPr>
              <w:t>1</w:t>
            </w:r>
            <w:r>
              <w:rPr>
                <w:sz w:val="21"/>
                <w:szCs w:val="21"/>
              </w:rPr>
              <w:t>.39</w:t>
            </w:r>
          </w:p>
        </w:tc>
        <w:tc>
          <w:tcPr>
            <w:tcW w:w="907" w:type="pct"/>
            <w:shd w:val="clear" w:color="auto" w:fill="auto"/>
            <w:tcMar>
              <w:left w:w="0" w:type="dxa"/>
              <w:right w:w="0" w:type="dxa"/>
            </w:tcMar>
            <w:vAlign w:val="center"/>
          </w:tcPr>
          <w:p w14:paraId="66421F1A">
            <w:pPr>
              <w:adjustRightInd w:val="0"/>
              <w:snapToGrid w:val="0"/>
              <w:spacing w:line="240" w:lineRule="auto"/>
              <w:ind w:firstLine="0" w:firstLineChars="0"/>
              <w:jc w:val="center"/>
              <w:rPr>
                <w:sz w:val="21"/>
                <w:szCs w:val="21"/>
              </w:rPr>
            </w:pPr>
            <w:r>
              <w:rPr>
                <w:rFonts w:hint="eastAsia"/>
                <w:sz w:val="21"/>
                <w:szCs w:val="21"/>
              </w:rPr>
              <w:t>达标</w:t>
            </w:r>
          </w:p>
        </w:tc>
      </w:tr>
      <w:tr w14:paraId="411CE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5CE1D3D">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7746DB0D">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5772FBCA">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317E6DBA">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3E6F281A">
            <w:pPr>
              <w:pStyle w:val="90"/>
              <w:rPr>
                <w:lang w:bidi="ar"/>
              </w:rPr>
            </w:pPr>
            <w:r>
              <w:rPr>
                <w:rFonts w:hint="eastAsia"/>
                <w:lang w:bidi="ar"/>
              </w:rPr>
              <w:t>1.40</w:t>
            </w:r>
          </w:p>
        </w:tc>
        <w:tc>
          <w:tcPr>
            <w:tcW w:w="907" w:type="pct"/>
            <w:vMerge w:val="continue"/>
            <w:shd w:val="clear" w:color="auto" w:fill="auto"/>
            <w:tcMar>
              <w:left w:w="0" w:type="dxa"/>
              <w:right w:w="0" w:type="dxa"/>
            </w:tcMar>
            <w:vAlign w:val="center"/>
          </w:tcPr>
          <w:p w14:paraId="108955F3">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616BA870">
            <w:pPr>
              <w:adjustRightInd w:val="0"/>
              <w:snapToGrid w:val="0"/>
              <w:spacing w:line="240" w:lineRule="auto"/>
              <w:ind w:firstLine="0" w:firstLineChars="0"/>
              <w:jc w:val="center"/>
              <w:rPr>
                <w:sz w:val="21"/>
                <w:szCs w:val="21"/>
              </w:rPr>
            </w:pPr>
            <w:r>
              <w:rPr>
                <w:rFonts w:hint="eastAsia"/>
                <w:sz w:val="21"/>
                <w:szCs w:val="21"/>
              </w:rPr>
              <w:t>达标</w:t>
            </w:r>
          </w:p>
        </w:tc>
      </w:tr>
      <w:tr w14:paraId="34210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8A1B20E">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56A73D2A">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A051FC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4C44C98">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4F00D3AA">
            <w:pPr>
              <w:pStyle w:val="90"/>
              <w:rPr>
                <w:lang w:bidi="ar"/>
              </w:rPr>
            </w:pPr>
            <w:r>
              <w:rPr>
                <w:rFonts w:hint="eastAsia"/>
                <w:lang w:bidi="ar"/>
              </w:rPr>
              <w:t>1.41</w:t>
            </w:r>
          </w:p>
        </w:tc>
        <w:tc>
          <w:tcPr>
            <w:tcW w:w="907" w:type="pct"/>
            <w:vMerge w:val="continue"/>
            <w:shd w:val="clear" w:color="auto" w:fill="auto"/>
            <w:tcMar>
              <w:left w:w="0" w:type="dxa"/>
              <w:right w:w="0" w:type="dxa"/>
            </w:tcMar>
            <w:vAlign w:val="center"/>
          </w:tcPr>
          <w:p w14:paraId="442A6BA1">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48B15937">
            <w:pPr>
              <w:adjustRightInd w:val="0"/>
              <w:snapToGrid w:val="0"/>
              <w:spacing w:line="240" w:lineRule="auto"/>
              <w:ind w:firstLine="0" w:firstLineChars="0"/>
              <w:jc w:val="center"/>
              <w:rPr>
                <w:sz w:val="21"/>
                <w:szCs w:val="21"/>
              </w:rPr>
            </w:pPr>
            <w:r>
              <w:rPr>
                <w:rFonts w:hint="eastAsia"/>
                <w:sz w:val="21"/>
                <w:szCs w:val="21"/>
              </w:rPr>
              <w:t>达标</w:t>
            </w:r>
          </w:p>
        </w:tc>
      </w:tr>
      <w:tr w14:paraId="1C92D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680E097A">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0D4C8FF9">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A293899">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114D6EA">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6EF434EE">
            <w:pPr>
              <w:pStyle w:val="90"/>
              <w:rPr>
                <w:lang w:bidi="ar"/>
              </w:rPr>
            </w:pPr>
            <w:r>
              <w:rPr>
                <w:rFonts w:hint="eastAsia"/>
                <w:lang w:bidi="ar"/>
              </w:rPr>
              <w:t>1.36</w:t>
            </w:r>
          </w:p>
        </w:tc>
        <w:tc>
          <w:tcPr>
            <w:tcW w:w="907" w:type="pct"/>
            <w:vMerge w:val="continue"/>
            <w:shd w:val="clear" w:color="auto" w:fill="auto"/>
            <w:tcMar>
              <w:left w:w="0" w:type="dxa"/>
              <w:right w:w="0" w:type="dxa"/>
            </w:tcMar>
            <w:vAlign w:val="center"/>
          </w:tcPr>
          <w:p w14:paraId="0E34C6C6">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43373483">
            <w:pPr>
              <w:adjustRightInd w:val="0"/>
              <w:snapToGrid w:val="0"/>
              <w:spacing w:line="240" w:lineRule="auto"/>
              <w:ind w:firstLine="0" w:firstLineChars="0"/>
              <w:jc w:val="center"/>
              <w:rPr>
                <w:sz w:val="21"/>
                <w:szCs w:val="21"/>
              </w:rPr>
            </w:pPr>
            <w:r>
              <w:rPr>
                <w:rFonts w:hint="eastAsia"/>
                <w:sz w:val="21"/>
                <w:szCs w:val="21"/>
              </w:rPr>
              <w:t>达标</w:t>
            </w:r>
          </w:p>
        </w:tc>
      </w:tr>
      <w:tr w14:paraId="13C87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7F864326">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70AF7C84">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13CDF85B">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A2D927B">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4FEC47E7">
            <w:pPr>
              <w:pStyle w:val="90"/>
              <w:rPr>
                <w:lang w:bidi="ar"/>
              </w:rPr>
            </w:pPr>
            <w:r>
              <w:rPr>
                <w:rFonts w:hint="eastAsia"/>
                <w:lang w:bidi="ar"/>
              </w:rPr>
              <w:t>1.37</w:t>
            </w:r>
          </w:p>
        </w:tc>
        <w:tc>
          <w:tcPr>
            <w:tcW w:w="907" w:type="pct"/>
            <w:vMerge w:val="restart"/>
            <w:shd w:val="clear" w:color="auto" w:fill="auto"/>
            <w:tcMar>
              <w:left w:w="0" w:type="dxa"/>
              <w:right w:w="0" w:type="dxa"/>
            </w:tcMar>
            <w:vAlign w:val="center"/>
          </w:tcPr>
          <w:p w14:paraId="0B76E21D">
            <w:pPr>
              <w:adjustRightInd w:val="0"/>
              <w:snapToGrid w:val="0"/>
              <w:spacing w:line="240" w:lineRule="auto"/>
              <w:ind w:firstLine="0" w:firstLineChars="0"/>
              <w:jc w:val="center"/>
              <w:rPr>
                <w:sz w:val="21"/>
                <w:szCs w:val="21"/>
              </w:rPr>
            </w:pPr>
            <w:r>
              <w:rPr>
                <w:rFonts w:hint="eastAsia"/>
                <w:sz w:val="21"/>
                <w:szCs w:val="21"/>
              </w:rPr>
              <w:t>1</w:t>
            </w:r>
            <w:r>
              <w:rPr>
                <w:sz w:val="21"/>
                <w:szCs w:val="21"/>
              </w:rPr>
              <w:t>.39</w:t>
            </w:r>
          </w:p>
        </w:tc>
        <w:tc>
          <w:tcPr>
            <w:tcW w:w="907" w:type="pct"/>
            <w:shd w:val="clear" w:color="auto" w:fill="auto"/>
            <w:tcMar>
              <w:left w:w="0" w:type="dxa"/>
              <w:right w:w="0" w:type="dxa"/>
            </w:tcMar>
            <w:vAlign w:val="center"/>
          </w:tcPr>
          <w:p w14:paraId="21F07E9A">
            <w:pPr>
              <w:adjustRightInd w:val="0"/>
              <w:snapToGrid w:val="0"/>
              <w:spacing w:line="240" w:lineRule="auto"/>
              <w:ind w:firstLine="0" w:firstLineChars="0"/>
              <w:jc w:val="center"/>
              <w:rPr>
                <w:sz w:val="21"/>
                <w:szCs w:val="21"/>
              </w:rPr>
            </w:pPr>
            <w:r>
              <w:rPr>
                <w:rFonts w:hint="eastAsia"/>
                <w:sz w:val="21"/>
                <w:szCs w:val="21"/>
              </w:rPr>
              <w:t>达标</w:t>
            </w:r>
          </w:p>
        </w:tc>
      </w:tr>
      <w:tr w14:paraId="0BFC1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7AFDAF76">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684138F9">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186E7E54">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A312FF8">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26CF9629">
            <w:pPr>
              <w:pStyle w:val="90"/>
              <w:rPr>
                <w:lang w:bidi="ar"/>
              </w:rPr>
            </w:pPr>
            <w:r>
              <w:rPr>
                <w:rFonts w:hint="eastAsia"/>
                <w:lang w:bidi="ar"/>
              </w:rPr>
              <w:t>1.39</w:t>
            </w:r>
          </w:p>
        </w:tc>
        <w:tc>
          <w:tcPr>
            <w:tcW w:w="907" w:type="pct"/>
            <w:vMerge w:val="continue"/>
            <w:shd w:val="clear" w:color="auto" w:fill="auto"/>
            <w:tcMar>
              <w:left w:w="0" w:type="dxa"/>
              <w:right w:w="0" w:type="dxa"/>
            </w:tcMar>
            <w:vAlign w:val="center"/>
          </w:tcPr>
          <w:p w14:paraId="30754521">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33734378">
            <w:pPr>
              <w:adjustRightInd w:val="0"/>
              <w:snapToGrid w:val="0"/>
              <w:spacing w:line="240" w:lineRule="auto"/>
              <w:ind w:firstLine="0" w:firstLineChars="0"/>
              <w:jc w:val="center"/>
              <w:rPr>
                <w:sz w:val="21"/>
                <w:szCs w:val="21"/>
              </w:rPr>
            </w:pPr>
            <w:r>
              <w:rPr>
                <w:rFonts w:hint="eastAsia"/>
                <w:sz w:val="21"/>
                <w:szCs w:val="21"/>
              </w:rPr>
              <w:t>达标</w:t>
            </w:r>
          </w:p>
        </w:tc>
      </w:tr>
      <w:tr w14:paraId="43A62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491545A">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783D4A7F">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16EF330">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B68CA99">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1AAA1740">
            <w:pPr>
              <w:pStyle w:val="90"/>
              <w:rPr>
                <w:lang w:bidi="ar"/>
              </w:rPr>
            </w:pPr>
            <w:r>
              <w:rPr>
                <w:rFonts w:hint="eastAsia"/>
                <w:lang w:bidi="ar"/>
              </w:rPr>
              <w:t>1.38</w:t>
            </w:r>
          </w:p>
        </w:tc>
        <w:tc>
          <w:tcPr>
            <w:tcW w:w="907" w:type="pct"/>
            <w:vMerge w:val="continue"/>
            <w:shd w:val="clear" w:color="auto" w:fill="auto"/>
            <w:tcMar>
              <w:left w:w="0" w:type="dxa"/>
              <w:right w:w="0" w:type="dxa"/>
            </w:tcMar>
            <w:vAlign w:val="center"/>
          </w:tcPr>
          <w:p w14:paraId="3CAC637B">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3ACC87FC">
            <w:pPr>
              <w:adjustRightInd w:val="0"/>
              <w:snapToGrid w:val="0"/>
              <w:spacing w:line="240" w:lineRule="auto"/>
              <w:ind w:firstLine="0" w:firstLineChars="0"/>
              <w:jc w:val="center"/>
              <w:rPr>
                <w:sz w:val="21"/>
                <w:szCs w:val="21"/>
              </w:rPr>
            </w:pPr>
            <w:r>
              <w:rPr>
                <w:rFonts w:hint="eastAsia"/>
                <w:sz w:val="21"/>
                <w:szCs w:val="21"/>
              </w:rPr>
              <w:t>达标</w:t>
            </w:r>
          </w:p>
        </w:tc>
      </w:tr>
      <w:tr w14:paraId="32A43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3D0881CF">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51BAFC7E">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26F2C1E7">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BE5E30A">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57CC333E">
            <w:pPr>
              <w:pStyle w:val="90"/>
              <w:rPr>
                <w:lang w:bidi="ar"/>
              </w:rPr>
            </w:pPr>
            <w:r>
              <w:rPr>
                <w:rFonts w:hint="eastAsia"/>
                <w:lang w:bidi="ar"/>
              </w:rPr>
              <w:t>1.40</w:t>
            </w:r>
          </w:p>
        </w:tc>
        <w:tc>
          <w:tcPr>
            <w:tcW w:w="907" w:type="pct"/>
            <w:vMerge w:val="continue"/>
            <w:shd w:val="clear" w:color="auto" w:fill="auto"/>
            <w:tcMar>
              <w:left w:w="0" w:type="dxa"/>
              <w:right w:w="0" w:type="dxa"/>
            </w:tcMar>
            <w:vAlign w:val="center"/>
          </w:tcPr>
          <w:p w14:paraId="45C49895">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36297649">
            <w:pPr>
              <w:adjustRightInd w:val="0"/>
              <w:snapToGrid w:val="0"/>
              <w:spacing w:line="240" w:lineRule="auto"/>
              <w:ind w:firstLine="0" w:firstLineChars="0"/>
              <w:jc w:val="center"/>
              <w:rPr>
                <w:sz w:val="21"/>
                <w:szCs w:val="21"/>
              </w:rPr>
            </w:pPr>
            <w:r>
              <w:rPr>
                <w:rFonts w:hint="eastAsia"/>
                <w:sz w:val="21"/>
                <w:szCs w:val="21"/>
              </w:rPr>
              <w:t>达标</w:t>
            </w:r>
          </w:p>
        </w:tc>
      </w:tr>
      <w:tr w14:paraId="326B1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32C9B0A9">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7A04096F">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67812BD">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E922553">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5CA2AB5A">
            <w:pPr>
              <w:pStyle w:val="90"/>
              <w:rPr>
                <w:lang w:bidi="ar"/>
              </w:rPr>
            </w:pPr>
            <w:r>
              <w:rPr>
                <w:rFonts w:hint="eastAsia"/>
                <w:lang w:bidi="ar"/>
              </w:rPr>
              <w:t>1.41</w:t>
            </w:r>
          </w:p>
        </w:tc>
        <w:tc>
          <w:tcPr>
            <w:tcW w:w="907" w:type="pct"/>
            <w:vMerge w:val="restart"/>
            <w:shd w:val="clear" w:color="auto" w:fill="auto"/>
            <w:tcMar>
              <w:left w:w="0" w:type="dxa"/>
              <w:right w:w="0" w:type="dxa"/>
            </w:tcMar>
            <w:vAlign w:val="center"/>
          </w:tcPr>
          <w:p w14:paraId="470FFF3D">
            <w:pPr>
              <w:adjustRightInd w:val="0"/>
              <w:snapToGrid w:val="0"/>
              <w:spacing w:line="240" w:lineRule="auto"/>
              <w:ind w:firstLine="0" w:firstLineChars="0"/>
              <w:jc w:val="center"/>
              <w:rPr>
                <w:sz w:val="21"/>
                <w:szCs w:val="21"/>
              </w:rPr>
            </w:pPr>
            <w:r>
              <w:rPr>
                <w:rFonts w:hint="eastAsia"/>
                <w:sz w:val="21"/>
                <w:szCs w:val="21"/>
              </w:rPr>
              <w:t>1</w:t>
            </w:r>
            <w:r>
              <w:rPr>
                <w:sz w:val="21"/>
                <w:szCs w:val="21"/>
              </w:rPr>
              <w:t>.36</w:t>
            </w:r>
          </w:p>
        </w:tc>
        <w:tc>
          <w:tcPr>
            <w:tcW w:w="907" w:type="pct"/>
            <w:shd w:val="clear" w:color="auto" w:fill="auto"/>
            <w:tcMar>
              <w:left w:w="0" w:type="dxa"/>
              <w:right w:w="0" w:type="dxa"/>
            </w:tcMar>
            <w:vAlign w:val="center"/>
          </w:tcPr>
          <w:p w14:paraId="413ED825">
            <w:pPr>
              <w:adjustRightInd w:val="0"/>
              <w:snapToGrid w:val="0"/>
              <w:spacing w:line="240" w:lineRule="auto"/>
              <w:ind w:firstLine="0" w:firstLineChars="0"/>
              <w:jc w:val="center"/>
              <w:rPr>
                <w:sz w:val="21"/>
                <w:szCs w:val="21"/>
              </w:rPr>
            </w:pPr>
            <w:r>
              <w:rPr>
                <w:rFonts w:hint="eastAsia"/>
                <w:sz w:val="21"/>
                <w:szCs w:val="21"/>
              </w:rPr>
              <w:t>达标</w:t>
            </w:r>
          </w:p>
        </w:tc>
      </w:tr>
      <w:tr w14:paraId="48D70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6E4DB1AC">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1BE69EC8">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5BA344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AA1B051">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4E8F33B6">
            <w:pPr>
              <w:pStyle w:val="90"/>
              <w:rPr>
                <w:lang w:bidi="ar"/>
              </w:rPr>
            </w:pPr>
            <w:r>
              <w:rPr>
                <w:rFonts w:hint="eastAsia"/>
                <w:lang w:bidi="ar"/>
              </w:rPr>
              <w:t>1.34</w:t>
            </w:r>
          </w:p>
        </w:tc>
        <w:tc>
          <w:tcPr>
            <w:tcW w:w="907" w:type="pct"/>
            <w:vMerge w:val="continue"/>
            <w:shd w:val="clear" w:color="auto" w:fill="auto"/>
            <w:tcMar>
              <w:left w:w="0" w:type="dxa"/>
              <w:right w:w="0" w:type="dxa"/>
            </w:tcMar>
            <w:vAlign w:val="center"/>
          </w:tcPr>
          <w:p w14:paraId="7E225265">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79B90D90">
            <w:pPr>
              <w:adjustRightInd w:val="0"/>
              <w:snapToGrid w:val="0"/>
              <w:spacing w:line="240" w:lineRule="auto"/>
              <w:ind w:firstLine="0" w:firstLineChars="0"/>
              <w:jc w:val="center"/>
              <w:rPr>
                <w:sz w:val="21"/>
                <w:szCs w:val="21"/>
              </w:rPr>
            </w:pPr>
            <w:r>
              <w:rPr>
                <w:rFonts w:hint="eastAsia"/>
                <w:sz w:val="21"/>
                <w:szCs w:val="21"/>
              </w:rPr>
              <w:t>达标</w:t>
            </w:r>
          </w:p>
        </w:tc>
      </w:tr>
      <w:tr w14:paraId="4EF4F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12752B3">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24FD5F9E">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213F5171">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399DFE42">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3C857145">
            <w:pPr>
              <w:pStyle w:val="90"/>
              <w:rPr>
                <w:lang w:bidi="ar"/>
              </w:rPr>
            </w:pPr>
            <w:r>
              <w:rPr>
                <w:rFonts w:hint="eastAsia"/>
                <w:lang w:bidi="ar"/>
              </w:rPr>
              <w:t>1.33</w:t>
            </w:r>
          </w:p>
        </w:tc>
        <w:tc>
          <w:tcPr>
            <w:tcW w:w="907" w:type="pct"/>
            <w:vMerge w:val="continue"/>
            <w:shd w:val="clear" w:color="auto" w:fill="auto"/>
            <w:tcMar>
              <w:left w:w="0" w:type="dxa"/>
              <w:right w:w="0" w:type="dxa"/>
            </w:tcMar>
            <w:vAlign w:val="center"/>
          </w:tcPr>
          <w:p w14:paraId="451FE71D">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74C1567B">
            <w:pPr>
              <w:adjustRightInd w:val="0"/>
              <w:snapToGrid w:val="0"/>
              <w:spacing w:line="240" w:lineRule="auto"/>
              <w:ind w:firstLine="0" w:firstLineChars="0"/>
              <w:jc w:val="center"/>
              <w:rPr>
                <w:sz w:val="21"/>
                <w:szCs w:val="21"/>
              </w:rPr>
            </w:pPr>
            <w:r>
              <w:rPr>
                <w:rFonts w:hint="eastAsia"/>
                <w:sz w:val="21"/>
                <w:szCs w:val="21"/>
              </w:rPr>
              <w:t>达标</w:t>
            </w:r>
          </w:p>
        </w:tc>
      </w:tr>
      <w:tr w14:paraId="11D8C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DB5D041">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3BCF1C5E">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B1E1B4D">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98D8822">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364ECFDB">
            <w:pPr>
              <w:pStyle w:val="90"/>
              <w:rPr>
                <w:lang w:bidi="ar"/>
              </w:rPr>
            </w:pPr>
            <w:r>
              <w:rPr>
                <w:rFonts w:hint="eastAsia"/>
                <w:lang w:bidi="ar"/>
              </w:rPr>
              <w:t>1.37</w:t>
            </w:r>
          </w:p>
        </w:tc>
        <w:tc>
          <w:tcPr>
            <w:tcW w:w="907" w:type="pct"/>
            <w:vMerge w:val="continue"/>
            <w:shd w:val="clear" w:color="auto" w:fill="auto"/>
            <w:tcMar>
              <w:left w:w="0" w:type="dxa"/>
              <w:right w:w="0" w:type="dxa"/>
            </w:tcMar>
            <w:vAlign w:val="center"/>
          </w:tcPr>
          <w:p w14:paraId="7A09059C">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14C05F51">
            <w:pPr>
              <w:adjustRightInd w:val="0"/>
              <w:snapToGrid w:val="0"/>
              <w:spacing w:line="240" w:lineRule="auto"/>
              <w:ind w:firstLine="0" w:firstLineChars="0"/>
              <w:jc w:val="center"/>
              <w:rPr>
                <w:sz w:val="21"/>
                <w:szCs w:val="21"/>
              </w:rPr>
            </w:pPr>
            <w:r>
              <w:rPr>
                <w:rFonts w:hint="eastAsia"/>
                <w:sz w:val="21"/>
                <w:szCs w:val="21"/>
              </w:rPr>
              <w:t>达标</w:t>
            </w:r>
          </w:p>
        </w:tc>
      </w:tr>
      <w:tr w14:paraId="6051F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2CBE948D">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2E11D9E5">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217257B">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E498326">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0370EE5D">
            <w:pPr>
              <w:pStyle w:val="90"/>
              <w:rPr>
                <w:lang w:bidi="ar"/>
              </w:rPr>
            </w:pPr>
            <w:r>
              <w:rPr>
                <w:rFonts w:hint="eastAsia"/>
                <w:lang w:bidi="ar"/>
              </w:rPr>
              <w:t>1.34</w:t>
            </w:r>
          </w:p>
        </w:tc>
        <w:tc>
          <w:tcPr>
            <w:tcW w:w="907" w:type="pct"/>
            <w:vMerge w:val="restart"/>
            <w:shd w:val="clear" w:color="auto" w:fill="auto"/>
            <w:tcMar>
              <w:left w:w="0" w:type="dxa"/>
              <w:right w:w="0" w:type="dxa"/>
            </w:tcMar>
            <w:vAlign w:val="center"/>
          </w:tcPr>
          <w:p w14:paraId="21C61EF0">
            <w:pPr>
              <w:adjustRightInd w:val="0"/>
              <w:snapToGrid w:val="0"/>
              <w:spacing w:line="240" w:lineRule="auto"/>
              <w:ind w:firstLine="0" w:firstLineChars="0"/>
              <w:jc w:val="center"/>
              <w:rPr>
                <w:sz w:val="21"/>
                <w:szCs w:val="21"/>
              </w:rPr>
            </w:pPr>
            <w:r>
              <w:rPr>
                <w:rFonts w:hint="eastAsia"/>
                <w:sz w:val="21"/>
                <w:szCs w:val="21"/>
              </w:rPr>
              <w:t>1</w:t>
            </w:r>
            <w:r>
              <w:rPr>
                <w:sz w:val="21"/>
                <w:szCs w:val="21"/>
              </w:rPr>
              <w:t>.36</w:t>
            </w:r>
          </w:p>
        </w:tc>
        <w:tc>
          <w:tcPr>
            <w:tcW w:w="907" w:type="pct"/>
            <w:shd w:val="clear" w:color="auto" w:fill="auto"/>
            <w:tcMar>
              <w:left w:w="0" w:type="dxa"/>
              <w:right w:w="0" w:type="dxa"/>
            </w:tcMar>
            <w:vAlign w:val="center"/>
          </w:tcPr>
          <w:p w14:paraId="4842FBF8">
            <w:pPr>
              <w:adjustRightInd w:val="0"/>
              <w:snapToGrid w:val="0"/>
              <w:spacing w:line="240" w:lineRule="auto"/>
              <w:ind w:firstLine="0" w:firstLineChars="0"/>
              <w:jc w:val="center"/>
              <w:rPr>
                <w:sz w:val="21"/>
                <w:szCs w:val="21"/>
              </w:rPr>
            </w:pPr>
            <w:r>
              <w:rPr>
                <w:rFonts w:hint="eastAsia"/>
                <w:sz w:val="21"/>
                <w:szCs w:val="21"/>
              </w:rPr>
              <w:t>达标</w:t>
            </w:r>
          </w:p>
        </w:tc>
      </w:tr>
      <w:tr w14:paraId="0FF79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34550B79">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282CA9A7">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7BB5E1F">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6C9ECF1">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24D40F9A">
            <w:pPr>
              <w:pStyle w:val="90"/>
              <w:rPr>
                <w:lang w:bidi="ar"/>
              </w:rPr>
            </w:pPr>
            <w:r>
              <w:rPr>
                <w:rFonts w:hint="eastAsia"/>
                <w:lang w:bidi="ar"/>
              </w:rPr>
              <w:t>1.40</w:t>
            </w:r>
          </w:p>
        </w:tc>
        <w:tc>
          <w:tcPr>
            <w:tcW w:w="907" w:type="pct"/>
            <w:vMerge w:val="continue"/>
            <w:shd w:val="clear" w:color="auto" w:fill="auto"/>
            <w:tcMar>
              <w:left w:w="0" w:type="dxa"/>
              <w:right w:w="0" w:type="dxa"/>
            </w:tcMar>
            <w:vAlign w:val="center"/>
          </w:tcPr>
          <w:p w14:paraId="7373A42E">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01D2E5B7">
            <w:pPr>
              <w:adjustRightInd w:val="0"/>
              <w:snapToGrid w:val="0"/>
              <w:spacing w:line="240" w:lineRule="auto"/>
              <w:ind w:firstLine="0" w:firstLineChars="0"/>
              <w:jc w:val="center"/>
              <w:rPr>
                <w:sz w:val="21"/>
                <w:szCs w:val="21"/>
              </w:rPr>
            </w:pPr>
            <w:r>
              <w:rPr>
                <w:rFonts w:hint="eastAsia"/>
                <w:sz w:val="21"/>
                <w:szCs w:val="21"/>
              </w:rPr>
              <w:t>达标</w:t>
            </w:r>
          </w:p>
        </w:tc>
      </w:tr>
      <w:tr w14:paraId="4FE4E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023E6FF5">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02690AE4">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1D7BA70F">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38843B4C">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4794E123">
            <w:pPr>
              <w:pStyle w:val="90"/>
              <w:rPr>
                <w:lang w:bidi="ar"/>
              </w:rPr>
            </w:pPr>
            <w:r>
              <w:rPr>
                <w:rFonts w:hint="eastAsia"/>
                <w:lang w:bidi="ar"/>
              </w:rPr>
              <w:t>1.36</w:t>
            </w:r>
          </w:p>
        </w:tc>
        <w:tc>
          <w:tcPr>
            <w:tcW w:w="907" w:type="pct"/>
            <w:vMerge w:val="continue"/>
            <w:shd w:val="clear" w:color="auto" w:fill="auto"/>
            <w:tcMar>
              <w:left w:w="0" w:type="dxa"/>
              <w:right w:w="0" w:type="dxa"/>
            </w:tcMar>
            <w:vAlign w:val="center"/>
          </w:tcPr>
          <w:p w14:paraId="5E019073">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6B1959F6">
            <w:pPr>
              <w:adjustRightInd w:val="0"/>
              <w:snapToGrid w:val="0"/>
              <w:spacing w:line="240" w:lineRule="auto"/>
              <w:ind w:firstLine="0" w:firstLineChars="0"/>
              <w:jc w:val="center"/>
              <w:rPr>
                <w:sz w:val="21"/>
                <w:szCs w:val="21"/>
              </w:rPr>
            </w:pPr>
            <w:r>
              <w:rPr>
                <w:rFonts w:hint="eastAsia"/>
                <w:sz w:val="21"/>
                <w:szCs w:val="21"/>
              </w:rPr>
              <w:t>达标</w:t>
            </w:r>
          </w:p>
        </w:tc>
      </w:tr>
      <w:tr w14:paraId="0D96F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411F51D1">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01C99A97">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10D4771">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0BDAC64">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33BBC294">
            <w:pPr>
              <w:pStyle w:val="90"/>
              <w:rPr>
                <w:lang w:bidi="ar"/>
              </w:rPr>
            </w:pPr>
            <w:r>
              <w:rPr>
                <w:rFonts w:hint="eastAsia"/>
                <w:lang w:bidi="ar"/>
              </w:rPr>
              <w:t>1.34</w:t>
            </w:r>
          </w:p>
        </w:tc>
        <w:tc>
          <w:tcPr>
            <w:tcW w:w="907" w:type="pct"/>
            <w:vMerge w:val="continue"/>
            <w:shd w:val="clear" w:color="auto" w:fill="auto"/>
            <w:tcMar>
              <w:left w:w="0" w:type="dxa"/>
              <w:right w:w="0" w:type="dxa"/>
            </w:tcMar>
            <w:vAlign w:val="center"/>
          </w:tcPr>
          <w:p w14:paraId="3C464BB7">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3C0553ED">
            <w:pPr>
              <w:adjustRightInd w:val="0"/>
              <w:snapToGrid w:val="0"/>
              <w:spacing w:line="240" w:lineRule="auto"/>
              <w:ind w:firstLine="0" w:firstLineChars="0"/>
              <w:jc w:val="center"/>
              <w:rPr>
                <w:sz w:val="21"/>
                <w:szCs w:val="21"/>
              </w:rPr>
            </w:pPr>
            <w:r>
              <w:rPr>
                <w:rFonts w:hint="eastAsia"/>
                <w:sz w:val="21"/>
                <w:szCs w:val="21"/>
              </w:rPr>
              <w:t>达标</w:t>
            </w:r>
          </w:p>
        </w:tc>
      </w:tr>
      <w:tr w14:paraId="78B42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4087EBC8">
            <w:pPr>
              <w:numPr>
                <w:ilvl w:val="0"/>
                <w:numId w:val="22"/>
              </w:numPr>
              <w:adjustRightInd w:val="0"/>
              <w:snapToGrid w:val="0"/>
              <w:spacing w:line="240" w:lineRule="auto"/>
              <w:ind w:firstLineChars="0"/>
              <w:jc w:val="center"/>
              <w:rPr>
                <w:sz w:val="21"/>
                <w:szCs w:val="21"/>
              </w:rPr>
            </w:pPr>
          </w:p>
        </w:tc>
        <w:tc>
          <w:tcPr>
            <w:tcW w:w="496" w:type="pct"/>
            <w:vMerge w:val="continue"/>
            <w:shd w:val="clear" w:color="auto" w:fill="auto"/>
            <w:tcMar>
              <w:left w:w="0" w:type="dxa"/>
              <w:right w:w="0" w:type="dxa"/>
            </w:tcMar>
            <w:vAlign w:val="center"/>
          </w:tcPr>
          <w:p w14:paraId="6FE8CCBF">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BADA1BB">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F63A0B7">
            <w:pPr>
              <w:adjustRightInd w:val="0"/>
              <w:snapToGrid w:val="0"/>
              <w:spacing w:line="240" w:lineRule="auto"/>
              <w:ind w:firstLine="0" w:firstLineChars="0"/>
              <w:jc w:val="center"/>
              <w:rPr>
                <w:sz w:val="21"/>
                <w:szCs w:val="21"/>
              </w:rPr>
            </w:pPr>
            <w:r>
              <w:rPr>
                <w:rFonts w:hint="eastAsia"/>
                <w:sz w:val="21"/>
                <w:szCs w:val="21"/>
              </w:rPr>
              <w:t>第1次</w:t>
            </w:r>
          </w:p>
        </w:tc>
        <w:tc>
          <w:tcPr>
            <w:tcW w:w="907" w:type="pct"/>
            <w:shd w:val="clear" w:color="auto" w:fill="auto"/>
            <w:tcMar>
              <w:left w:w="0" w:type="dxa"/>
              <w:right w:w="0" w:type="dxa"/>
            </w:tcMar>
            <w:vAlign w:val="center"/>
          </w:tcPr>
          <w:p w14:paraId="19493F16">
            <w:pPr>
              <w:pStyle w:val="90"/>
              <w:rPr>
                <w:lang w:bidi="ar"/>
              </w:rPr>
            </w:pPr>
            <w:r>
              <w:rPr>
                <w:rFonts w:hint="eastAsia"/>
                <w:lang w:bidi="ar"/>
              </w:rPr>
              <w:t>1.38</w:t>
            </w:r>
          </w:p>
        </w:tc>
        <w:tc>
          <w:tcPr>
            <w:tcW w:w="907" w:type="pct"/>
            <w:vMerge w:val="restart"/>
            <w:shd w:val="clear" w:color="auto" w:fill="auto"/>
            <w:tcMar>
              <w:left w:w="0" w:type="dxa"/>
              <w:right w:w="0" w:type="dxa"/>
            </w:tcMar>
            <w:vAlign w:val="center"/>
          </w:tcPr>
          <w:p w14:paraId="74F45861">
            <w:pPr>
              <w:adjustRightInd w:val="0"/>
              <w:snapToGrid w:val="0"/>
              <w:spacing w:line="240" w:lineRule="auto"/>
              <w:ind w:firstLine="0" w:firstLineChars="0"/>
              <w:jc w:val="center"/>
              <w:rPr>
                <w:sz w:val="21"/>
                <w:szCs w:val="21"/>
              </w:rPr>
            </w:pPr>
            <w:r>
              <w:rPr>
                <w:rFonts w:hint="eastAsia"/>
                <w:sz w:val="21"/>
                <w:szCs w:val="21"/>
              </w:rPr>
              <w:t>1</w:t>
            </w:r>
            <w:r>
              <w:rPr>
                <w:sz w:val="21"/>
                <w:szCs w:val="21"/>
              </w:rPr>
              <w:t>.35</w:t>
            </w:r>
          </w:p>
        </w:tc>
        <w:tc>
          <w:tcPr>
            <w:tcW w:w="907" w:type="pct"/>
            <w:shd w:val="clear" w:color="auto" w:fill="auto"/>
            <w:tcMar>
              <w:left w:w="0" w:type="dxa"/>
              <w:right w:w="0" w:type="dxa"/>
            </w:tcMar>
            <w:vAlign w:val="center"/>
          </w:tcPr>
          <w:p w14:paraId="58FBB646">
            <w:pPr>
              <w:adjustRightInd w:val="0"/>
              <w:snapToGrid w:val="0"/>
              <w:spacing w:line="240" w:lineRule="auto"/>
              <w:ind w:firstLine="0" w:firstLineChars="0"/>
              <w:jc w:val="center"/>
              <w:rPr>
                <w:sz w:val="21"/>
                <w:szCs w:val="21"/>
              </w:rPr>
            </w:pPr>
            <w:r>
              <w:rPr>
                <w:rFonts w:hint="eastAsia"/>
                <w:sz w:val="21"/>
                <w:szCs w:val="21"/>
              </w:rPr>
              <w:t>达标</w:t>
            </w:r>
          </w:p>
        </w:tc>
      </w:tr>
      <w:tr w14:paraId="22340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7ADCE3C5">
            <w:pPr>
              <w:numPr>
                <w:ilvl w:val="0"/>
                <w:numId w:val="23"/>
              </w:num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05CC4900">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DBEBDA6">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3EF1538F">
            <w:pPr>
              <w:adjustRightInd w:val="0"/>
              <w:snapToGrid w:val="0"/>
              <w:spacing w:line="240" w:lineRule="auto"/>
              <w:ind w:firstLine="0" w:firstLineChars="0"/>
              <w:jc w:val="center"/>
              <w:rPr>
                <w:sz w:val="21"/>
                <w:szCs w:val="21"/>
              </w:rPr>
            </w:pPr>
            <w:r>
              <w:rPr>
                <w:rFonts w:hint="eastAsia"/>
                <w:sz w:val="21"/>
                <w:szCs w:val="21"/>
              </w:rPr>
              <w:t>第2次</w:t>
            </w:r>
          </w:p>
        </w:tc>
        <w:tc>
          <w:tcPr>
            <w:tcW w:w="907" w:type="pct"/>
            <w:shd w:val="clear" w:color="auto" w:fill="auto"/>
            <w:tcMar>
              <w:left w:w="0" w:type="dxa"/>
              <w:right w:w="0" w:type="dxa"/>
            </w:tcMar>
            <w:vAlign w:val="center"/>
          </w:tcPr>
          <w:p w14:paraId="5DF66991">
            <w:pPr>
              <w:pStyle w:val="90"/>
              <w:rPr>
                <w:lang w:bidi="ar"/>
              </w:rPr>
            </w:pPr>
            <w:r>
              <w:rPr>
                <w:rFonts w:hint="eastAsia"/>
                <w:lang w:bidi="ar"/>
              </w:rPr>
              <w:t>1.35</w:t>
            </w:r>
          </w:p>
        </w:tc>
        <w:tc>
          <w:tcPr>
            <w:tcW w:w="907" w:type="pct"/>
            <w:vMerge w:val="continue"/>
            <w:shd w:val="clear" w:color="auto" w:fill="auto"/>
            <w:tcMar>
              <w:left w:w="0" w:type="dxa"/>
              <w:right w:w="0" w:type="dxa"/>
            </w:tcMar>
            <w:vAlign w:val="center"/>
          </w:tcPr>
          <w:p w14:paraId="2D1086DB">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7A98D196">
            <w:pPr>
              <w:adjustRightInd w:val="0"/>
              <w:snapToGrid w:val="0"/>
              <w:spacing w:line="240" w:lineRule="auto"/>
              <w:ind w:firstLine="0" w:firstLineChars="0"/>
              <w:jc w:val="center"/>
              <w:rPr>
                <w:sz w:val="21"/>
                <w:szCs w:val="21"/>
              </w:rPr>
            </w:pPr>
            <w:r>
              <w:rPr>
                <w:rFonts w:hint="eastAsia"/>
                <w:sz w:val="21"/>
                <w:szCs w:val="21"/>
              </w:rPr>
              <w:t>达标</w:t>
            </w:r>
          </w:p>
        </w:tc>
      </w:tr>
      <w:tr w14:paraId="3CBA9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3D02758F">
            <w:pPr>
              <w:numPr>
                <w:ilvl w:val="0"/>
                <w:numId w:val="23"/>
              </w:num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27EAC9E0">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0895AC1">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B2BF2B7">
            <w:pPr>
              <w:adjustRightInd w:val="0"/>
              <w:snapToGrid w:val="0"/>
              <w:spacing w:line="240" w:lineRule="auto"/>
              <w:ind w:firstLine="0" w:firstLineChars="0"/>
              <w:jc w:val="center"/>
              <w:rPr>
                <w:sz w:val="21"/>
                <w:szCs w:val="21"/>
              </w:rPr>
            </w:pPr>
            <w:r>
              <w:rPr>
                <w:rFonts w:hint="eastAsia"/>
                <w:sz w:val="21"/>
                <w:szCs w:val="21"/>
              </w:rPr>
              <w:t>第3次</w:t>
            </w:r>
          </w:p>
        </w:tc>
        <w:tc>
          <w:tcPr>
            <w:tcW w:w="907" w:type="pct"/>
            <w:shd w:val="clear" w:color="auto" w:fill="auto"/>
            <w:tcMar>
              <w:left w:w="0" w:type="dxa"/>
              <w:right w:w="0" w:type="dxa"/>
            </w:tcMar>
            <w:vAlign w:val="center"/>
          </w:tcPr>
          <w:p w14:paraId="7B735978">
            <w:pPr>
              <w:pStyle w:val="90"/>
              <w:rPr>
                <w:lang w:bidi="ar"/>
              </w:rPr>
            </w:pPr>
            <w:r>
              <w:rPr>
                <w:rFonts w:hint="eastAsia"/>
                <w:lang w:bidi="ar"/>
              </w:rPr>
              <w:t>1.31</w:t>
            </w:r>
          </w:p>
        </w:tc>
        <w:tc>
          <w:tcPr>
            <w:tcW w:w="907" w:type="pct"/>
            <w:vMerge w:val="continue"/>
            <w:shd w:val="clear" w:color="auto" w:fill="auto"/>
            <w:tcMar>
              <w:left w:w="0" w:type="dxa"/>
              <w:right w:w="0" w:type="dxa"/>
            </w:tcMar>
            <w:vAlign w:val="center"/>
          </w:tcPr>
          <w:p w14:paraId="509C087B">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56999B0B">
            <w:pPr>
              <w:adjustRightInd w:val="0"/>
              <w:snapToGrid w:val="0"/>
              <w:spacing w:line="240" w:lineRule="auto"/>
              <w:ind w:firstLine="0" w:firstLineChars="0"/>
              <w:jc w:val="center"/>
              <w:rPr>
                <w:sz w:val="21"/>
                <w:szCs w:val="21"/>
              </w:rPr>
            </w:pPr>
            <w:r>
              <w:rPr>
                <w:rFonts w:hint="eastAsia"/>
                <w:sz w:val="21"/>
                <w:szCs w:val="21"/>
              </w:rPr>
              <w:t>达标</w:t>
            </w:r>
          </w:p>
        </w:tc>
      </w:tr>
      <w:tr w14:paraId="57A3C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3152E587">
            <w:pPr>
              <w:numPr>
                <w:ilvl w:val="0"/>
                <w:numId w:val="23"/>
              </w:num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2FC707F0">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5F96CFFD">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FB9C85E">
            <w:pPr>
              <w:adjustRightInd w:val="0"/>
              <w:snapToGrid w:val="0"/>
              <w:spacing w:line="240" w:lineRule="auto"/>
              <w:ind w:firstLine="0" w:firstLineChars="0"/>
              <w:jc w:val="center"/>
              <w:rPr>
                <w:sz w:val="21"/>
                <w:szCs w:val="21"/>
              </w:rPr>
            </w:pPr>
            <w:r>
              <w:rPr>
                <w:rFonts w:hint="eastAsia"/>
                <w:sz w:val="21"/>
                <w:szCs w:val="21"/>
              </w:rPr>
              <w:t>第4次</w:t>
            </w:r>
          </w:p>
        </w:tc>
        <w:tc>
          <w:tcPr>
            <w:tcW w:w="907" w:type="pct"/>
            <w:shd w:val="clear" w:color="auto" w:fill="auto"/>
            <w:tcMar>
              <w:left w:w="0" w:type="dxa"/>
              <w:right w:w="0" w:type="dxa"/>
            </w:tcMar>
            <w:vAlign w:val="center"/>
          </w:tcPr>
          <w:p w14:paraId="5FDFBC68">
            <w:pPr>
              <w:pStyle w:val="90"/>
              <w:rPr>
                <w:lang w:bidi="ar"/>
              </w:rPr>
            </w:pPr>
            <w:r>
              <w:rPr>
                <w:rFonts w:hint="eastAsia"/>
                <w:lang w:bidi="ar"/>
              </w:rPr>
              <w:t>1.34</w:t>
            </w:r>
          </w:p>
        </w:tc>
        <w:tc>
          <w:tcPr>
            <w:tcW w:w="907" w:type="pct"/>
            <w:vMerge w:val="continue"/>
            <w:shd w:val="clear" w:color="auto" w:fill="auto"/>
            <w:tcMar>
              <w:left w:w="0" w:type="dxa"/>
              <w:right w:w="0" w:type="dxa"/>
            </w:tcMar>
            <w:vAlign w:val="center"/>
          </w:tcPr>
          <w:p w14:paraId="123D83AD">
            <w:pPr>
              <w:adjustRightInd w:val="0"/>
              <w:snapToGrid w:val="0"/>
              <w:spacing w:line="240" w:lineRule="auto"/>
              <w:ind w:firstLine="0" w:firstLineChars="0"/>
              <w:jc w:val="center"/>
              <w:rPr>
                <w:sz w:val="21"/>
                <w:szCs w:val="21"/>
              </w:rPr>
            </w:pPr>
          </w:p>
        </w:tc>
        <w:tc>
          <w:tcPr>
            <w:tcW w:w="907" w:type="pct"/>
            <w:shd w:val="clear" w:color="auto" w:fill="auto"/>
            <w:tcMar>
              <w:left w:w="0" w:type="dxa"/>
              <w:right w:w="0" w:type="dxa"/>
            </w:tcMar>
            <w:vAlign w:val="center"/>
          </w:tcPr>
          <w:p w14:paraId="61642EAC">
            <w:pPr>
              <w:adjustRightInd w:val="0"/>
              <w:snapToGrid w:val="0"/>
              <w:spacing w:line="240" w:lineRule="auto"/>
              <w:ind w:firstLine="0" w:firstLineChars="0"/>
              <w:jc w:val="center"/>
              <w:rPr>
                <w:sz w:val="21"/>
                <w:szCs w:val="21"/>
              </w:rPr>
            </w:pPr>
            <w:r>
              <w:rPr>
                <w:rFonts w:hint="eastAsia"/>
                <w:sz w:val="21"/>
                <w:szCs w:val="21"/>
              </w:rPr>
              <w:t>达标</w:t>
            </w:r>
          </w:p>
        </w:tc>
      </w:tr>
      <w:tr w14:paraId="48CF0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6A754D49">
            <w:pPr>
              <w:adjustRightInd w:val="0"/>
              <w:snapToGrid w:val="0"/>
              <w:spacing w:line="240" w:lineRule="auto"/>
              <w:ind w:firstLine="0" w:firstLineChars="0"/>
              <w:jc w:val="center"/>
              <w:rPr>
                <w:sz w:val="21"/>
                <w:szCs w:val="21"/>
              </w:rPr>
            </w:pPr>
            <w:r>
              <w:rPr>
                <w:rFonts w:hint="eastAsia"/>
                <w:sz w:val="21"/>
                <w:szCs w:val="21"/>
              </w:rPr>
              <w:t>11月7日</w:t>
            </w:r>
          </w:p>
        </w:tc>
        <w:tc>
          <w:tcPr>
            <w:tcW w:w="496" w:type="pct"/>
            <w:vMerge w:val="restart"/>
            <w:shd w:val="clear" w:color="auto" w:fill="auto"/>
            <w:tcMar>
              <w:left w:w="0" w:type="dxa"/>
              <w:right w:w="0" w:type="dxa"/>
            </w:tcMar>
            <w:vAlign w:val="center"/>
          </w:tcPr>
          <w:p w14:paraId="3FCF01C3">
            <w:pPr>
              <w:adjustRightInd w:val="0"/>
              <w:snapToGrid w:val="0"/>
              <w:spacing w:line="240" w:lineRule="auto"/>
              <w:ind w:firstLine="0" w:firstLineChars="0"/>
              <w:jc w:val="center"/>
              <w:rPr>
                <w:sz w:val="21"/>
                <w:szCs w:val="21"/>
              </w:rPr>
            </w:pPr>
            <w:r>
              <w:rPr>
                <w:rFonts w:hint="eastAsia"/>
                <w:sz w:val="21"/>
                <w:szCs w:val="21"/>
              </w:rPr>
              <w:t>硫酸雾</w:t>
            </w:r>
          </w:p>
        </w:tc>
        <w:tc>
          <w:tcPr>
            <w:tcW w:w="396" w:type="pct"/>
            <w:vMerge w:val="restart"/>
            <w:shd w:val="clear" w:color="auto" w:fill="auto"/>
            <w:tcMar>
              <w:left w:w="0" w:type="dxa"/>
              <w:right w:w="0" w:type="dxa"/>
            </w:tcMar>
            <w:vAlign w:val="center"/>
          </w:tcPr>
          <w:p w14:paraId="5896E50E">
            <w:pPr>
              <w:adjustRightInd w:val="0"/>
              <w:snapToGrid w:val="0"/>
              <w:spacing w:line="240" w:lineRule="auto"/>
              <w:ind w:firstLine="0" w:firstLineChars="0"/>
              <w:jc w:val="center"/>
              <w:rPr>
                <w:sz w:val="21"/>
                <w:szCs w:val="21"/>
              </w:rPr>
            </w:pPr>
            <w:r>
              <w:rPr>
                <w:rFonts w:hint="eastAsia"/>
                <w:sz w:val="21"/>
                <w:szCs w:val="21"/>
              </w:rPr>
              <w:t>0</w:t>
            </w:r>
            <w:r>
              <w:rPr>
                <w:sz w:val="21"/>
                <w:szCs w:val="21"/>
              </w:rPr>
              <w:t>.3</w:t>
            </w:r>
          </w:p>
        </w:tc>
        <w:tc>
          <w:tcPr>
            <w:tcW w:w="712" w:type="pct"/>
            <w:tcMar>
              <w:left w:w="0" w:type="dxa"/>
              <w:right w:w="0" w:type="dxa"/>
            </w:tcMar>
            <w:vAlign w:val="center"/>
          </w:tcPr>
          <w:p w14:paraId="0F606720">
            <w:pPr>
              <w:pStyle w:val="90"/>
              <w:rPr>
                <w:lang w:bidi="ar"/>
              </w:rPr>
            </w:pPr>
            <w:r>
              <w:rPr>
                <w:rFonts w:hint="eastAsia"/>
                <w:lang w:bidi="ar"/>
              </w:rPr>
              <w:t>第1次</w:t>
            </w:r>
          </w:p>
        </w:tc>
        <w:tc>
          <w:tcPr>
            <w:tcW w:w="907" w:type="pct"/>
            <w:shd w:val="clear" w:color="auto" w:fill="auto"/>
            <w:tcMar>
              <w:left w:w="0" w:type="dxa"/>
              <w:right w:w="0" w:type="dxa"/>
            </w:tcMar>
            <w:vAlign w:val="center"/>
          </w:tcPr>
          <w:p w14:paraId="4C2A589A">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7CA8C660">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39EC9586">
            <w:pPr>
              <w:adjustRightInd w:val="0"/>
              <w:snapToGrid w:val="0"/>
              <w:spacing w:line="240" w:lineRule="auto"/>
              <w:ind w:firstLine="0" w:firstLineChars="0"/>
              <w:jc w:val="center"/>
              <w:rPr>
                <w:sz w:val="21"/>
                <w:szCs w:val="21"/>
              </w:rPr>
            </w:pPr>
            <w:r>
              <w:rPr>
                <w:rFonts w:hint="eastAsia"/>
                <w:sz w:val="21"/>
                <w:szCs w:val="21"/>
              </w:rPr>
              <w:t>达标</w:t>
            </w:r>
          </w:p>
        </w:tc>
      </w:tr>
      <w:tr w14:paraId="6273B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7036BC8">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715E54A8">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96C8E2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4B171C7">
            <w:pPr>
              <w:pStyle w:val="90"/>
              <w:rPr>
                <w:lang w:bidi="ar"/>
              </w:rPr>
            </w:pPr>
            <w:r>
              <w:rPr>
                <w:rFonts w:hint="eastAsia"/>
                <w:lang w:bidi="ar"/>
              </w:rPr>
              <w:t>第2次</w:t>
            </w:r>
          </w:p>
        </w:tc>
        <w:tc>
          <w:tcPr>
            <w:tcW w:w="907" w:type="pct"/>
            <w:shd w:val="clear" w:color="auto" w:fill="auto"/>
            <w:tcMar>
              <w:left w:w="0" w:type="dxa"/>
              <w:right w:w="0" w:type="dxa"/>
            </w:tcMar>
            <w:vAlign w:val="center"/>
          </w:tcPr>
          <w:p w14:paraId="22F1A357">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186F84F7">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4F3FF91D">
            <w:pPr>
              <w:adjustRightInd w:val="0"/>
              <w:snapToGrid w:val="0"/>
              <w:spacing w:line="240" w:lineRule="auto"/>
              <w:ind w:firstLine="0" w:firstLineChars="0"/>
              <w:jc w:val="center"/>
              <w:rPr>
                <w:sz w:val="21"/>
                <w:szCs w:val="21"/>
              </w:rPr>
            </w:pPr>
          </w:p>
        </w:tc>
      </w:tr>
      <w:tr w14:paraId="75703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343BA8F9">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2E0D81F0">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D1B0D29">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8325FB8">
            <w:pPr>
              <w:pStyle w:val="90"/>
              <w:rPr>
                <w:lang w:bidi="ar"/>
              </w:rPr>
            </w:pPr>
            <w:r>
              <w:rPr>
                <w:rFonts w:hint="eastAsia"/>
                <w:lang w:bidi="ar"/>
              </w:rPr>
              <w:t>第3次</w:t>
            </w:r>
          </w:p>
        </w:tc>
        <w:tc>
          <w:tcPr>
            <w:tcW w:w="907" w:type="pct"/>
            <w:shd w:val="clear" w:color="auto" w:fill="auto"/>
            <w:tcMar>
              <w:left w:w="0" w:type="dxa"/>
              <w:right w:w="0" w:type="dxa"/>
            </w:tcMar>
            <w:vAlign w:val="center"/>
          </w:tcPr>
          <w:p w14:paraId="7744446F">
            <w:pPr>
              <w:pStyle w:val="90"/>
              <w:rPr>
                <w:lang w:bidi="ar"/>
              </w:rPr>
            </w:pPr>
            <w:r>
              <w:rPr>
                <w:rFonts w:hint="eastAsia"/>
                <w:lang w:bidi="ar"/>
              </w:rPr>
              <w:t>0.015</w:t>
            </w:r>
          </w:p>
        </w:tc>
        <w:tc>
          <w:tcPr>
            <w:tcW w:w="907" w:type="pct"/>
            <w:vMerge w:val="continue"/>
            <w:shd w:val="clear" w:color="auto" w:fill="auto"/>
            <w:tcMar>
              <w:left w:w="0" w:type="dxa"/>
              <w:right w:w="0" w:type="dxa"/>
            </w:tcMar>
            <w:vAlign w:val="center"/>
          </w:tcPr>
          <w:p w14:paraId="47F052C6">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0B8CCC45">
            <w:pPr>
              <w:adjustRightInd w:val="0"/>
              <w:snapToGrid w:val="0"/>
              <w:spacing w:line="240" w:lineRule="auto"/>
              <w:ind w:firstLine="0" w:firstLineChars="0"/>
              <w:jc w:val="center"/>
              <w:rPr>
                <w:sz w:val="21"/>
                <w:szCs w:val="21"/>
              </w:rPr>
            </w:pPr>
          </w:p>
        </w:tc>
      </w:tr>
      <w:tr w14:paraId="05BB0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0211279D">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1ED32915">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0F6B7CF">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F3BE795">
            <w:pPr>
              <w:pStyle w:val="90"/>
              <w:rPr>
                <w:lang w:bidi="ar"/>
              </w:rPr>
            </w:pPr>
            <w:r>
              <w:rPr>
                <w:rFonts w:hint="eastAsia"/>
                <w:lang w:bidi="ar"/>
              </w:rPr>
              <w:t>第4次</w:t>
            </w:r>
          </w:p>
        </w:tc>
        <w:tc>
          <w:tcPr>
            <w:tcW w:w="907" w:type="pct"/>
            <w:shd w:val="clear" w:color="auto" w:fill="auto"/>
            <w:tcMar>
              <w:left w:w="0" w:type="dxa"/>
              <w:right w:w="0" w:type="dxa"/>
            </w:tcMar>
            <w:vAlign w:val="center"/>
          </w:tcPr>
          <w:p w14:paraId="5B0C8F15">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7E432857">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5525416B">
            <w:pPr>
              <w:adjustRightInd w:val="0"/>
              <w:snapToGrid w:val="0"/>
              <w:spacing w:line="240" w:lineRule="auto"/>
              <w:ind w:firstLine="0" w:firstLineChars="0"/>
              <w:jc w:val="center"/>
              <w:rPr>
                <w:sz w:val="21"/>
                <w:szCs w:val="21"/>
              </w:rPr>
            </w:pPr>
          </w:p>
        </w:tc>
      </w:tr>
      <w:tr w14:paraId="507B2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02FA93A2">
            <w:pPr>
              <w:adjustRightInd w:val="0"/>
              <w:snapToGrid w:val="0"/>
              <w:spacing w:line="240" w:lineRule="auto"/>
              <w:ind w:firstLine="0" w:firstLineChars="0"/>
              <w:jc w:val="center"/>
              <w:rPr>
                <w:sz w:val="21"/>
                <w:szCs w:val="21"/>
              </w:rPr>
            </w:pPr>
            <w:r>
              <w:rPr>
                <w:rFonts w:hint="eastAsia"/>
                <w:sz w:val="21"/>
                <w:szCs w:val="21"/>
              </w:rPr>
              <w:t>1</w:t>
            </w:r>
            <w:r>
              <w:rPr>
                <w:sz w:val="21"/>
                <w:szCs w:val="21"/>
              </w:rPr>
              <w:t>1</w:t>
            </w:r>
            <w:r>
              <w:rPr>
                <w:rFonts w:hint="eastAsia"/>
                <w:sz w:val="21"/>
                <w:szCs w:val="21"/>
              </w:rPr>
              <w:t>月8日</w:t>
            </w:r>
          </w:p>
        </w:tc>
        <w:tc>
          <w:tcPr>
            <w:tcW w:w="496" w:type="pct"/>
            <w:vMerge w:val="continue"/>
            <w:shd w:val="clear" w:color="auto" w:fill="auto"/>
            <w:tcMar>
              <w:left w:w="0" w:type="dxa"/>
              <w:right w:w="0" w:type="dxa"/>
            </w:tcMar>
            <w:vAlign w:val="center"/>
          </w:tcPr>
          <w:p w14:paraId="27DD4D99">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0DD7919">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4D79B62">
            <w:pPr>
              <w:pStyle w:val="90"/>
              <w:rPr>
                <w:lang w:bidi="ar"/>
              </w:rPr>
            </w:pPr>
            <w:r>
              <w:rPr>
                <w:rFonts w:hint="eastAsia"/>
                <w:lang w:bidi="ar"/>
              </w:rPr>
              <w:t>第1次</w:t>
            </w:r>
          </w:p>
        </w:tc>
        <w:tc>
          <w:tcPr>
            <w:tcW w:w="907" w:type="pct"/>
            <w:shd w:val="clear" w:color="auto" w:fill="auto"/>
            <w:tcMar>
              <w:left w:w="0" w:type="dxa"/>
              <w:right w:w="0" w:type="dxa"/>
            </w:tcMar>
            <w:vAlign w:val="center"/>
          </w:tcPr>
          <w:p w14:paraId="19797B70">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00B91002">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758418BF">
            <w:pPr>
              <w:adjustRightInd w:val="0"/>
              <w:snapToGrid w:val="0"/>
              <w:spacing w:line="240" w:lineRule="auto"/>
              <w:ind w:firstLine="0" w:firstLineChars="0"/>
              <w:jc w:val="center"/>
              <w:rPr>
                <w:sz w:val="21"/>
                <w:szCs w:val="21"/>
              </w:rPr>
            </w:pPr>
            <w:r>
              <w:rPr>
                <w:rFonts w:hint="eastAsia"/>
                <w:sz w:val="21"/>
                <w:szCs w:val="21"/>
              </w:rPr>
              <w:t>达标</w:t>
            </w:r>
          </w:p>
        </w:tc>
      </w:tr>
      <w:tr w14:paraId="2EE8D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43E83528">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45F9EE27">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54D690E2">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2B85A91">
            <w:pPr>
              <w:pStyle w:val="90"/>
              <w:rPr>
                <w:lang w:bidi="ar"/>
              </w:rPr>
            </w:pPr>
            <w:r>
              <w:rPr>
                <w:rFonts w:hint="eastAsia"/>
                <w:lang w:bidi="ar"/>
              </w:rPr>
              <w:t>第2次</w:t>
            </w:r>
          </w:p>
        </w:tc>
        <w:tc>
          <w:tcPr>
            <w:tcW w:w="907" w:type="pct"/>
            <w:shd w:val="clear" w:color="auto" w:fill="auto"/>
            <w:tcMar>
              <w:left w:w="0" w:type="dxa"/>
              <w:right w:w="0" w:type="dxa"/>
            </w:tcMar>
            <w:vAlign w:val="center"/>
          </w:tcPr>
          <w:p w14:paraId="4B393F08">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1C0403EA">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5283F0D5">
            <w:pPr>
              <w:adjustRightInd w:val="0"/>
              <w:snapToGrid w:val="0"/>
              <w:spacing w:line="240" w:lineRule="auto"/>
              <w:ind w:firstLine="0" w:firstLineChars="0"/>
              <w:jc w:val="center"/>
              <w:rPr>
                <w:sz w:val="21"/>
                <w:szCs w:val="21"/>
              </w:rPr>
            </w:pPr>
          </w:p>
        </w:tc>
      </w:tr>
      <w:tr w14:paraId="11330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384B9993">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0DDC05A6">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55978ACB">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6ACCB497">
            <w:pPr>
              <w:pStyle w:val="90"/>
              <w:rPr>
                <w:lang w:bidi="ar"/>
              </w:rPr>
            </w:pPr>
            <w:r>
              <w:rPr>
                <w:rFonts w:hint="eastAsia"/>
                <w:lang w:bidi="ar"/>
              </w:rPr>
              <w:t>第3次</w:t>
            </w:r>
          </w:p>
        </w:tc>
        <w:tc>
          <w:tcPr>
            <w:tcW w:w="907" w:type="pct"/>
            <w:shd w:val="clear" w:color="auto" w:fill="auto"/>
            <w:tcMar>
              <w:left w:w="0" w:type="dxa"/>
              <w:right w:w="0" w:type="dxa"/>
            </w:tcMar>
            <w:vAlign w:val="center"/>
          </w:tcPr>
          <w:p w14:paraId="622113FF">
            <w:pPr>
              <w:pStyle w:val="90"/>
              <w:rPr>
                <w:lang w:bidi="ar"/>
              </w:rPr>
            </w:pPr>
            <w:r>
              <w:rPr>
                <w:rFonts w:hint="eastAsia"/>
                <w:lang w:bidi="ar"/>
              </w:rPr>
              <w:t>0.013</w:t>
            </w:r>
          </w:p>
        </w:tc>
        <w:tc>
          <w:tcPr>
            <w:tcW w:w="907" w:type="pct"/>
            <w:vMerge w:val="continue"/>
            <w:shd w:val="clear" w:color="auto" w:fill="auto"/>
            <w:tcMar>
              <w:left w:w="0" w:type="dxa"/>
              <w:right w:w="0" w:type="dxa"/>
            </w:tcMar>
            <w:vAlign w:val="center"/>
          </w:tcPr>
          <w:p w14:paraId="241E20CD">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6D9457B6">
            <w:pPr>
              <w:adjustRightInd w:val="0"/>
              <w:snapToGrid w:val="0"/>
              <w:spacing w:line="240" w:lineRule="auto"/>
              <w:ind w:firstLine="0" w:firstLineChars="0"/>
              <w:jc w:val="center"/>
              <w:rPr>
                <w:sz w:val="21"/>
                <w:szCs w:val="21"/>
              </w:rPr>
            </w:pPr>
          </w:p>
        </w:tc>
      </w:tr>
      <w:tr w14:paraId="29C51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76CD328E">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76F3A635">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216B372">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261325E">
            <w:pPr>
              <w:pStyle w:val="90"/>
              <w:rPr>
                <w:lang w:bidi="ar"/>
              </w:rPr>
            </w:pPr>
            <w:r>
              <w:rPr>
                <w:rFonts w:hint="eastAsia"/>
                <w:lang w:bidi="ar"/>
              </w:rPr>
              <w:t>第4次</w:t>
            </w:r>
          </w:p>
        </w:tc>
        <w:tc>
          <w:tcPr>
            <w:tcW w:w="907" w:type="pct"/>
            <w:shd w:val="clear" w:color="auto" w:fill="auto"/>
            <w:tcMar>
              <w:left w:w="0" w:type="dxa"/>
              <w:right w:w="0" w:type="dxa"/>
            </w:tcMar>
            <w:vAlign w:val="center"/>
          </w:tcPr>
          <w:p w14:paraId="2F109F22">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3057DBC1">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0A888136">
            <w:pPr>
              <w:adjustRightInd w:val="0"/>
              <w:snapToGrid w:val="0"/>
              <w:spacing w:line="240" w:lineRule="auto"/>
              <w:ind w:firstLine="0" w:firstLineChars="0"/>
              <w:jc w:val="center"/>
              <w:rPr>
                <w:sz w:val="21"/>
                <w:szCs w:val="21"/>
              </w:rPr>
            </w:pPr>
          </w:p>
        </w:tc>
      </w:tr>
      <w:tr w14:paraId="1F191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3EB81C70">
            <w:pPr>
              <w:adjustRightInd w:val="0"/>
              <w:snapToGrid w:val="0"/>
              <w:spacing w:line="240" w:lineRule="auto"/>
              <w:ind w:firstLine="0" w:firstLineChars="0"/>
              <w:jc w:val="center"/>
              <w:rPr>
                <w:sz w:val="21"/>
                <w:szCs w:val="21"/>
              </w:rPr>
            </w:pPr>
            <w:r>
              <w:rPr>
                <w:rFonts w:hint="eastAsia"/>
                <w:sz w:val="21"/>
                <w:szCs w:val="21"/>
              </w:rPr>
              <w:t>1</w:t>
            </w:r>
            <w:r>
              <w:rPr>
                <w:sz w:val="21"/>
                <w:szCs w:val="21"/>
              </w:rPr>
              <w:t>1</w:t>
            </w:r>
            <w:r>
              <w:rPr>
                <w:rFonts w:hint="eastAsia"/>
                <w:sz w:val="21"/>
                <w:szCs w:val="21"/>
              </w:rPr>
              <w:t>月9日</w:t>
            </w:r>
          </w:p>
        </w:tc>
        <w:tc>
          <w:tcPr>
            <w:tcW w:w="496" w:type="pct"/>
            <w:vMerge w:val="continue"/>
            <w:shd w:val="clear" w:color="auto" w:fill="auto"/>
            <w:tcMar>
              <w:left w:w="0" w:type="dxa"/>
              <w:right w:w="0" w:type="dxa"/>
            </w:tcMar>
            <w:vAlign w:val="center"/>
          </w:tcPr>
          <w:p w14:paraId="374A4045">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C4E0FAB">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09E0BEA">
            <w:pPr>
              <w:pStyle w:val="90"/>
              <w:rPr>
                <w:lang w:bidi="ar"/>
              </w:rPr>
            </w:pPr>
            <w:r>
              <w:rPr>
                <w:rFonts w:hint="eastAsia"/>
                <w:lang w:bidi="ar"/>
              </w:rPr>
              <w:t>第1次</w:t>
            </w:r>
          </w:p>
        </w:tc>
        <w:tc>
          <w:tcPr>
            <w:tcW w:w="907" w:type="pct"/>
            <w:shd w:val="clear" w:color="auto" w:fill="auto"/>
            <w:tcMar>
              <w:left w:w="0" w:type="dxa"/>
              <w:right w:w="0" w:type="dxa"/>
            </w:tcMar>
            <w:vAlign w:val="center"/>
          </w:tcPr>
          <w:p w14:paraId="25B5200C">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73B347B0">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662D15F5">
            <w:pPr>
              <w:adjustRightInd w:val="0"/>
              <w:snapToGrid w:val="0"/>
              <w:spacing w:line="240" w:lineRule="auto"/>
              <w:ind w:firstLine="0" w:firstLineChars="0"/>
              <w:jc w:val="center"/>
              <w:rPr>
                <w:sz w:val="21"/>
                <w:szCs w:val="21"/>
              </w:rPr>
            </w:pPr>
            <w:r>
              <w:rPr>
                <w:rFonts w:hint="eastAsia"/>
                <w:sz w:val="21"/>
                <w:szCs w:val="21"/>
              </w:rPr>
              <w:t>达标</w:t>
            </w:r>
          </w:p>
        </w:tc>
      </w:tr>
      <w:tr w14:paraId="33D81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602B1BCA">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50F83447">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D274976">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D091198">
            <w:pPr>
              <w:pStyle w:val="90"/>
              <w:rPr>
                <w:lang w:bidi="ar"/>
              </w:rPr>
            </w:pPr>
            <w:r>
              <w:rPr>
                <w:rFonts w:hint="eastAsia"/>
                <w:lang w:bidi="ar"/>
              </w:rPr>
              <w:t>第2次</w:t>
            </w:r>
          </w:p>
        </w:tc>
        <w:tc>
          <w:tcPr>
            <w:tcW w:w="907" w:type="pct"/>
            <w:shd w:val="clear" w:color="auto" w:fill="auto"/>
            <w:tcMar>
              <w:left w:w="0" w:type="dxa"/>
              <w:right w:w="0" w:type="dxa"/>
            </w:tcMar>
            <w:vAlign w:val="center"/>
          </w:tcPr>
          <w:p w14:paraId="69DA40A4">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3FD666DB">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1C8695C8">
            <w:pPr>
              <w:adjustRightInd w:val="0"/>
              <w:snapToGrid w:val="0"/>
              <w:spacing w:line="240" w:lineRule="auto"/>
              <w:ind w:firstLine="0" w:firstLineChars="0"/>
              <w:jc w:val="center"/>
              <w:rPr>
                <w:sz w:val="21"/>
                <w:szCs w:val="21"/>
              </w:rPr>
            </w:pPr>
          </w:p>
        </w:tc>
      </w:tr>
      <w:tr w14:paraId="200A0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DAFDA94">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4D6C77B9">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B6743D8">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27A813D2">
            <w:pPr>
              <w:pStyle w:val="90"/>
              <w:rPr>
                <w:lang w:bidi="ar"/>
              </w:rPr>
            </w:pPr>
            <w:r>
              <w:rPr>
                <w:rFonts w:hint="eastAsia"/>
                <w:lang w:bidi="ar"/>
              </w:rPr>
              <w:t>第3次</w:t>
            </w:r>
          </w:p>
        </w:tc>
        <w:tc>
          <w:tcPr>
            <w:tcW w:w="907" w:type="pct"/>
            <w:shd w:val="clear" w:color="auto" w:fill="auto"/>
            <w:tcMar>
              <w:left w:w="0" w:type="dxa"/>
              <w:right w:w="0" w:type="dxa"/>
            </w:tcMar>
            <w:vAlign w:val="center"/>
          </w:tcPr>
          <w:p w14:paraId="1AD3AB20">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7E76FE05">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279230DA">
            <w:pPr>
              <w:adjustRightInd w:val="0"/>
              <w:snapToGrid w:val="0"/>
              <w:spacing w:line="240" w:lineRule="auto"/>
              <w:ind w:firstLine="0" w:firstLineChars="0"/>
              <w:jc w:val="center"/>
              <w:rPr>
                <w:sz w:val="21"/>
                <w:szCs w:val="21"/>
              </w:rPr>
            </w:pPr>
          </w:p>
        </w:tc>
      </w:tr>
      <w:tr w14:paraId="59BB0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496B0E6A">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36D1EC6D">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4E54690B">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3765EFE">
            <w:pPr>
              <w:pStyle w:val="90"/>
              <w:rPr>
                <w:lang w:bidi="ar"/>
              </w:rPr>
            </w:pPr>
            <w:r>
              <w:rPr>
                <w:rFonts w:hint="eastAsia"/>
                <w:lang w:bidi="ar"/>
              </w:rPr>
              <w:t>第4次</w:t>
            </w:r>
          </w:p>
        </w:tc>
        <w:tc>
          <w:tcPr>
            <w:tcW w:w="907" w:type="pct"/>
            <w:shd w:val="clear" w:color="auto" w:fill="auto"/>
            <w:tcMar>
              <w:left w:w="0" w:type="dxa"/>
              <w:right w:w="0" w:type="dxa"/>
            </w:tcMar>
            <w:vAlign w:val="center"/>
          </w:tcPr>
          <w:p w14:paraId="26F9430E">
            <w:pPr>
              <w:pStyle w:val="90"/>
              <w:rPr>
                <w:lang w:bidi="ar"/>
              </w:rPr>
            </w:pPr>
            <w:r>
              <w:rPr>
                <w:rFonts w:hint="eastAsia"/>
                <w:lang w:bidi="ar"/>
              </w:rPr>
              <w:t>0.013</w:t>
            </w:r>
          </w:p>
        </w:tc>
        <w:tc>
          <w:tcPr>
            <w:tcW w:w="907" w:type="pct"/>
            <w:vMerge w:val="continue"/>
            <w:shd w:val="clear" w:color="auto" w:fill="auto"/>
            <w:tcMar>
              <w:left w:w="0" w:type="dxa"/>
              <w:right w:w="0" w:type="dxa"/>
            </w:tcMar>
            <w:vAlign w:val="center"/>
          </w:tcPr>
          <w:p w14:paraId="6736788E">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68E534D2">
            <w:pPr>
              <w:adjustRightInd w:val="0"/>
              <w:snapToGrid w:val="0"/>
              <w:spacing w:line="240" w:lineRule="auto"/>
              <w:ind w:firstLine="0" w:firstLineChars="0"/>
              <w:jc w:val="center"/>
              <w:rPr>
                <w:sz w:val="21"/>
                <w:szCs w:val="21"/>
              </w:rPr>
            </w:pPr>
          </w:p>
        </w:tc>
      </w:tr>
      <w:tr w14:paraId="75D9F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1E4CC8BD">
            <w:pPr>
              <w:adjustRightInd w:val="0"/>
              <w:snapToGrid w:val="0"/>
              <w:spacing w:line="240" w:lineRule="auto"/>
              <w:ind w:firstLine="0" w:firstLineChars="0"/>
              <w:jc w:val="center"/>
              <w:rPr>
                <w:sz w:val="21"/>
                <w:szCs w:val="21"/>
              </w:rPr>
            </w:pPr>
            <w:r>
              <w:rPr>
                <w:rFonts w:hint="eastAsia"/>
                <w:sz w:val="21"/>
                <w:szCs w:val="21"/>
              </w:rPr>
              <w:t>1</w:t>
            </w:r>
            <w:r>
              <w:rPr>
                <w:sz w:val="21"/>
                <w:szCs w:val="21"/>
              </w:rPr>
              <w:t>1</w:t>
            </w:r>
            <w:r>
              <w:rPr>
                <w:rFonts w:hint="eastAsia"/>
                <w:sz w:val="21"/>
                <w:szCs w:val="21"/>
              </w:rPr>
              <w:t>月1</w:t>
            </w:r>
            <w:r>
              <w:rPr>
                <w:sz w:val="21"/>
                <w:szCs w:val="21"/>
              </w:rPr>
              <w:t>0</w:t>
            </w:r>
            <w:r>
              <w:rPr>
                <w:rFonts w:hint="eastAsia"/>
                <w:sz w:val="21"/>
                <w:szCs w:val="21"/>
              </w:rPr>
              <w:t>日</w:t>
            </w:r>
          </w:p>
        </w:tc>
        <w:tc>
          <w:tcPr>
            <w:tcW w:w="496" w:type="pct"/>
            <w:vMerge w:val="continue"/>
            <w:shd w:val="clear" w:color="auto" w:fill="auto"/>
            <w:tcMar>
              <w:left w:w="0" w:type="dxa"/>
              <w:right w:w="0" w:type="dxa"/>
            </w:tcMar>
            <w:vAlign w:val="center"/>
          </w:tcPr>
          <w:p w14:paraId="184695A2">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7FD5A41">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803828C">
            <w:pPr>
              <w:pStyle w:val="90"/>
              <w:rPr>
                <w:lang w:bidi="ar"/>
              </w:rPr>
            </w:pPr>
            <w:r>
              <w:rPr>
                <w:rFonts w:hint="eastAsia"/>
                <w:lang w:bidi="ar"/>
              </w:rPr>
              <w:t>第1次</w:t>
            </w:r>
          </w:p>
        </w:tc>
        <w:tc>
          <w:tcPr>
            <w:tcW w:w="907" w:type="pct"/>
            <w:shd w:val="clear" w:color="auto" w:fill="auto"/>
            <w:tcMar>
              <w:left w:w="0" w:type="dxa"/>
              <w:right w:w="0" w:type="dxa"/>
            </w:tcMar>
            <w:vAlign w:val="center"/>
          </w:tcPr>
          <w:p w14:paraId="61A636F9">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250BCB47">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4AAC6D7C">
            <w:pPr>
              <w:adjustRightInd w:val="0"/>
              <w:snapToGrid w:val="0"/>
              <w:spacing w:line="240" w:lineRule="auto"/>
              <w:ind w:firstLine="0" w:firstLineChars="0"/>
              <w:jc w:val="center"/>
              <w:rPr>
                <w:sz w:val="21"/>
                <w:szCs w:val="21"/>
              </w:rPr>
            </w:pPr>
            <w:r>
              <w:rPr>
                <w:rFonts w:hint="eastAsia"/>
                <w:sz w:val="21"/>
                <w:szCs w:val="21"/>
              </w:rPr>
              <w:t>达标</w:t>
            </w:r>
          </w:p>
        </w:tc>
      </w:tr>
      <w:tr w14:paraId="209AE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0A34094">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2EBEFF5F">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3E289F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677F2E86">
            <w:pPr>
              <w:pStyle w:val="90"/>
              <w:rPr>
                <w:lang w:bidi="ar"/>
              </w:rPr>
            </w:pPr>
            <w:r>
              <w:rPr>
                <w:rFonts w:hint="eastAsia"/>
                <w:lang w:bidi="ar"/>
              </w:rPr>
              <w:t>第2次</w:t>
            </w:r>
          </w:p>
        </w:tc>
        <w:tc>
          <w:tcPr>
            <w:tcW w:w="907" w:type="pct"/>
            <w:shd w:val="clear" w:color="auto" w:fill="auto"/>
            <w:tcMar>
              <w:left w:w="0" w:type="dxa"/>
              <w:right w:w="0" w:type="dxa"/>
            </w:tcMar>
            <w:vAlign w:val="center"/>
          </w:tcPr>
          <w:p w14:paraId="265A1B40">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05632991">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19255E1E">
            <w:pPr>
              <w:adjustRightInd w:val="0"/>
              <w:snapToGrid w:val="0"/>
              <w:spacing w:line="240" w:lineRule="auto"/>
              <w:ind w:firstLine="0" w:firstLineChars="0"/>
              <w:jc w:val="center"/>
              <w:rPr>
                <w:sz w:val="21"/>
                <w:szCs w:val="21"/>
              </w:rPr>
            </w:pPr>
          </w:p>
        </w:tc>
      </w:tr>
      <w:tr w14:paraId="1F466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68991308">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033217D5">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8F9AF50">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2B3DD59">
            <w:pPr>
              <w:pStyle w:val="90"/>
              <w:rPr>
                <w:lang w:bidi="ar"/>
              </w:rPr>
            </w:pPr>
            <w:r>
              <w:rPr>
                <w:rFonts w:hint="eastAsia"/>
                <w:lang w:bidi="ar"/>
              </w:rPr>
              <w:t>第3次</w:t>
            </w:r>
          </w:p>
        </w:tc>
        <w:tc>
          <w:tcPr>
            <w:tcW w:w="907" w:type="pct"/>
            <w:shd w:val="clear" w:color="auto" w:fill="auto"/>
            <w:tcMar>
              <w:left w:w="0" w:type="dxa"/>
              <w:right w:w="0" w:type="dxa"/>
            </w:tcMar>
            <w:vAlign w:val="center"/>
          </w:tcPr>
          <w:p w14:paraId="5C61D861">
            <w:pPr>
              <w:pStyle w:val="90"/>
              <w:rPr>
                <w:lang w:bidi="ar"/>
              </w:rPr>
            </w:pPr>
            <w:r>
              <w:rPr>
                <w:rFonts w:hint="eastAsia"/>
                <w:lang w:bidi="ar"/>
              </w:rPr>
              <w:t>0.015</w:t>
            </w:r>
          </w:p>
        </w:tc>
        <w:tc>
          <w:tcPr>
            <w:tcW w:w="907" w:type="pct"/>
            <w:vMerge w:val="continue"/>
            <w:shd w:val="clear" w:color="auto" w:fill="auto"/>
            <w:tcMar>
              <w:left w:w="0" w:type="dxa"/>
              <w:right w:w="0" w:type="dxa"/>
            </w:tcMar>
            <w:vAlign w:val="center"/>
          </w:tcPr>
          <w:p w14:paraId="0A73ACC3">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2FE981EB">
            <w:pPr>
              <w:adjustRightInd w:val="0"/>
              <w:snapToGrid w:val="0"/>
              <w:spacing w:line="240" w:lineRule="auto"/>
              <w:ind w:firstLine="0" w:firstLineChars="0"/>
              <w:jc w:val="center"/>
              <w:rPr>
                <w:sz w:val="21"/>
                <w:szCs w:val="21"/>
              </w:rPr>
            </w:pPr>
          </w:p>
        </w:tc>
      </w:tr>
      <w:tr w14:paraId="7FAE2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74FAD56A">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257B77A5">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0656B9A">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35144788">
            <w:pPr>
              <w:pStyle w:val="90"/>
              <w:rPr>
                <w:lang w:bidi="ar"/>
              </w:rPr>
            </w:pPr>
            <w:r>
              <w:rPr>
                <w:rFonts w:hint="eastAsia"/>
                <w:lang w:bidi="ar"/>
              </w:rPr>
              <w:t>第4次</w:t>
            </w:r>
          </w:p>
        </w:tc>
        <w:tc>
          <w:tcPr>
            <w:tcW w:w="907" w:type="pct"/>
            <w:shd w:val="clear" w:color="auto" w:fill="auto"/>
            <w:tcMar>
              <w:left w:w="0" w:type="dxa"/>
              <w:right w:w="0" w:type="dxa"/>
            </w:tcMar>
            <w:vAlign w:val="center"/>
          </w:tcPr>
          <w:p w14:paraId="45DC6BFB">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30BA7C6C">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2937E534">
            <w:pPr>
              <w:adjustRightInd w:val="0"/>
              <w:snapToGrid w:val="0"/>
              <w:spacing w:line="240" w:lineRule="auto"/>
              <w:ind w:firstLine="0" w:firstLineChars="0"/>
              <w:jc w:val="center"/>
              <w:rPr>
                <w:sz w:val="21"/>
                <w:szCs w:val="21"/>
              </w:rPr>
            </w:pPr>
          </w:p>
        </w:tc>
      </w:tr>
      <w:tr w14:paraId="39917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1427BA31">
            <w:pPr>
              <w:adjustRightInd w:val="0"/>
              <w:snapToGrid w:val="0"/>
              <w:spacing w:line="240" w:lineRule="auto"/>
              <w:ind w:firstLine="0" w:firstLineChars="0"/>
              <w:jc w:val="center"/>
              <w:rPr>
                <w:sz w:val="21"/>
                <w:szCs w:val="21"/>
              </w:rPr>
            </w:pPr>
            <w:r>
              <w:rPr>
                <w:rFonts w:hint="eastAsia"/>
                <w:sz w:val="21"/>
                <w:szCs w:val="21"/>
              </w:rPr>
              <w:t>1</w:t>
            </w:r>
            <w:r>
              <w:rPr>
                <w:sz w:val="21"/>
                <w:szCs w:val="21"/>
              </w:rPr>
              <w:t>1</w:t>
            </w:r>
            <w:r>
              <w:rPr>
                <w:rFonts w:hint="eastAsia"/>
                <w:sz w:val="21"/>
                <w:szCs w:val="21"/>
              </w:rPr>
              <w:t>月1</w:t>
            </w:r>
            <w:r>
              <w:rPr>
                <w:sz w:val="21"/>
                <w:szCs w:val="21"/>
              </w:rPr>
              <w:t>1</w:t>
            </w:r>
            <w:r>
              <w:rPr>
                <w:rFonts w:hint="eastAsia"/>
                <w:sz w:val="21"/>
                <w:szCs w:val="21"/>
              </w:rPr>
              <w:t>日</w:t>
            </w:r>
          </w:p>
        </w:tc>
        <w:tc>
          <w:tcPr>
            <w:tcW w:w="496" w:type="pct"/>
            <w:vMerge w:val="continue"/>
            <w:shd w:val="clear" w:color="auto" w:fill="auto"/>
            <w:tcMar>
              <w:left w:w="0" w:type="dxa"/>
              <w:right w:w="0" w:type="dxa"/>
            </w:tcMar>
            <w:vAlign w:val="center"/>
          </w:tcPr>
          <w:p w14:paraId="621D2353">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E7586AA">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89557F1">
            <w:pPr>
              <w:pStyle w:val="90"/>
              <w:rPr>
                <w:lang w:bidi="ar"/>
              </w:rPr>
            </w:pPr>
            <w:r>
              <w:rPr>
                <w:rFonts w:hint="eastAsia"/>
                <w:lang w:bidi="ar"/>
              </w:rPr>
              <w:t>第1次</w:t>
            </w:r>
          </w:p>
        </w:tc>
        <w:tc>
          <w:tcPr>
            <w:tcW w:w="907" w:type="pct"/>
            <w:shd w:val="clear" w:color="auto" w:fill="auto"/>
            <w:tcMar>
              <w:left w:w="0" w:type="dxa"/>
              <w:right w:w="0" w:type="dxa"/>
            </w:tcMar>
            <w:vAlign w:val="center"/>
          </w:tcPr>
          <w:p w14:paraId="1EDF99CB">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27A8C6A8">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3CCE9FFD">
            <w:pPr>
              <w:adjustRightInd w:val="0"/>
              <w:snapToGrid w:val="0"/>
              <w:spacing w:line="240" w:lineRule="auto"/>
              <w:ind w:firstLine="0" w:firstLineChars="0"/>
              <w:jc w:val="center"/>
              <w:rPr>
                <w:sz w:val="21"/>
                <w:szCs w:val="21"/>
              </w:rPr>
            </w:pPr>
            <w:r>
              <w:rPr>
                <w:rFonts w:hint="eastAsia"/>
                <w:sz w:val="21"/>
                <w:szCs w:val="21"/>
              </w:rPr>
              <w:t>达标</w:t>
            </w:r>
          </w:p>
        </w:tc>
      </w:tr>
      <w:tr w14:paraId="6CF71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7F20B48A">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7F8C7CF9">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17930B71">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7AA9F988">
            <w:pPr>
              <w:pStyle w:val="90"/>
              <w:rPr>
                <w:lang w:bidi="ar"/>
              </w:rPr>
            </w:pPr>
            <w:r>
              <w:rPr>
                <w:rFonts w:hint="eastAsia"/>
                <w:lang w:bidi="ar"/>
              </w:rPr>
              <w:t>第2次</w:t>
            </w:r>
          </w:p>
        </w:tc>
        <w:tc>
          <w:tcPr>
            <w:tcW w:w="907" w:type="pct"/>
            <w:shd w:val="clear" w:color="auto" w:fill="auto"/>
            <w:tcMar>
              <w:left w:w="0" w:type="dxa"/>
              <w:right w:w="0" w:type="dxa"/>
            </w:tcMar>
            <w:vAlign w:val="center"/>
          </w:tcPr>
          <w:p w14:paraId="2F4A6C10">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29EFBD15">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3A8FF6CD">
            <w:pPr>
              <w:adjustRightInd w:val="0"/>
              <w:snapToGrid w:val="0"/>
              <w:spacing w:line="240" w:lineRule="auto"/>
              <w:ind w:firstLine="0" w:firstLineChars="0"/>
              <w:jc w:val="center"/>
              <w:rPr>
                <w:sz w:val="21"/>
                <w:szCs w:val="21"/>
              </w:rPr>
            </w:pPr>
          </w:p>
        </w:tc>
      </w:tr>
      <w:tr w14:paraId="49BD7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13B725E2">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485D042B">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6F1E578D">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01274869">
            <w:pPr>
              <w:pStyle w:val="90"/>
              <w:rPr>
                <w:lang w:bidi="ar"/>
              </w:rPr>
            </w:pPr>
            <w:r>
              <w:rPr>
                <w:rFonts w:hint="eastAsia"/>
                <w:lang w:bidi="ar"/>
              </w:rPr>
              <w:t>第3次</w:t>
            </w:r>
          </w:p>
        </w:tc>
        <w:tc>
          <w:tcPr>
            <w:tcW w:w="907" w:type="pct"/>
            <w:shd w:val="clear" w:color="auto" w:fill="auto"/>
            <w:tcMar>
              <w:left w:w="0" w:type="dxa"/>
              <w:right w:w="0" w:type="dxa"/>
            </w:tcMar>
            <w:vAlign w:val="center"/>
          </w:tcPr>
          <w:p w14:paraId="0F2ED651">
            <w:pPr>
              <w:pStyle w:val="90"/>
              <w:rPr>
                <w:lang w:bidi="ar"/>
              </w:rPr>
            </w:pPr>
            <w:r>
              <w:rPr>
                <w:rFonts w:hint="eastAsia"/>
                <w:lang w:bidi="ar"/>
              </w:rPr>
              <w:t>0.013</w:t>
            </w:r>
          </w:p>
        </w:tc>
        <w:tc>
          <w:tcPr>
            <w:tcW w:w="907" w:type="pct"/>
            <w:vMerge w:val="continue"/>
            <w:shd w:val="clear" w:color="auto" w:fill="auto"/>
            <w:tcMar>
              <w:left w:w="0" w:type="dxa"/>
              <w:right w:w="0" w:type="dxa"/>
            </w:tcMar>
            <w:vAlign w:val="center"/>
          </w:tcPr>
          <w:p w14:paraId="30AEB04D">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5FD1B61C">
            <w:pPr>
              <w:adjustRightInd w:val="0"/>
              <w:snapToGrid w:val="0"/>
              <w:spacing w:line="240" w:lineRule="auto"/>
              <w:ind w:firstLine="0" w:firstLineChars="0"/>
              <w:jc w:val="center"/>
              <w:rPr>
                <w:sz w:val="21"/>
                <w:szCs w:val="21"/>
              </w:rPr>
            </w:pPr>
          </w:p>
        </w:tc>
      </w:tr>
      <w:tr w14:paraId="1FF73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08E0F3EB">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44A4C433">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8C6976C">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65082FFB">
            <w:pPr>
              <w:pStyle w:val="90"/>
              <w:rPr>
                <w:lang w:bidi="ar"/>
              </w:rPr>
            </w:pPr>
            <w:r>
              <w:rPr>
                <w:rFonts w:hint="eastAsia"/>
                <w:lang w:bidi="ar"/>
              </w:rPr>
              <w:t>第4次</w:t>
            </w:r>
          </w:p>
        </w:tc>
        <w:tc>
          <w:tcPr>
            <w:tcW w:w="907" w:type="pct"/>
            <w:shd w:val="clear" w:color="auto" w:fill="auto"/>
            <w:tcMar>
              <w:left w:w="0" w:type="dxa"/>
              <w:right w:w="0" w:type="dxa"/>
            </w:tcMar>
            <w:vAlign w:val="center"/>
          </w:tcPr>
          <w:p w14:paraId="59EE15BB">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55673233">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779AA48C">
            <w:pPr>
              <w:adjustRightInd w:val="0"/>
              <w:snapToGrid w:val="0"/>
              <w:spacing w:line="240" w:lineRule="auto"/>
              <w:ind w:firstLine="0" w:firstLineChars="0"/>
              <w:jc w:val="center"/>
              <w:rPr>
                <w:sz w:val="21"/>
                <w:szCs w:val="21"/>
              </w:rPr>
            </w:pPr>
          </w:p>
        </w:tc>
      </w:tr>
      <w:tr w14:paraId="50225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679C315B">
            <w:pPr>
              <w:adjustRightInd w:val="0"/>
              <w:snapToGrid w:val="0"/>
              <w:spacing w:line="240" w:lineRule="auto"/>
              <w:ind w:firstLine="0" w:firstLineChars="0"/>
              <w:jc w:val="center"/>
              <w:rPr>
                <w:sz w:val="21"/>
                <w:szCs w:val="21"/>
              </w:rPr>
            </w:pPr>
            <w:r>
              <w:rPr>
                <w:rFonts w:hint="eastAsia"/>
                <w:sz w:val="21"/>
                <w:szCs w:val="21"/>
              </w:rPr>
              <w:t>1</w:t>
            </w:r>
            <w:r>
              <w:rPr>
                <w:sz w:val="21"/>
                <w:szCs w:val="21"/>
              </w:rPr>
              <w:t>1</w:t>
            </w:r>
            <w:r>
              <w:rPr>
                <w:rFonts w:hint="eastAsia"/>
                <w:sz w:val="21"/>
                <w:szCs w:val="21"/>
              </w:rPr>
              <w:t>月1</w:t>
            </w:r>
            <w:r>
              <w:rPr>
                <w:sz w:val="21"/>
                <w:szCs w:val="21"/>
              </w:rPr>
              <w:t>2</w:t>
            </w:r>
            <w:r>
              <w:rPr>
                <w:rFonts w:hint="eastAsia"/>
                <w:sz w:val="21"/>
                <w:szCs w:val="21"/>
              </w:rPr>
              <w:t>日</w:t>
            </w:r>
          </w:p>
        </w:tc>
        <w:tc>
          <w:tcPr>
            <w:tcW w:w="496" w:type="pct"/>
            <w:vMerge w:val="continue"/>
            <w:shd w:val="clear" w:color="auto" w:fill="auto"/>
            <w:tcMar>
              <w:left w:w="0" w:type="dxa"/>
              <w:right w:w="0" w:type="dxa"/>
            </w:tcMar>
            <w:vAlign w:val="center"/>
          </w:tcPr>
          <w:p w14:paraId="40015A60">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52F3231">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6E6F8270">
            <w:pPr>
              <w:pStyle w:val="90"/>
              <w:rPr>
                <w:lang w:bidi="ar"/>
              </w:rPr>
            </w:pPr>
            <w:r>
              <w:rPr>
                <w:rFonts w:hint="eastAsia"/>
                <w:lang w:bidi="ar"/>
              </w:rPr>
              <w:t>第1次</w:t>
            </w:r>
          </w:p>
        </w:tc>
        <w:tc>
          <w:tcPr>
            <w:tcW w:w="907" w:type="pct"/>
            <w:shd w:val="clear" w:color="auto" w:fill="auto"/>
            <w:tcMar>
              <w:left w:w="0" w:type="dxa"/>
              <w:right w:w="0" w:type="dxa"/>
            </w:tcMar>
            <w:vAlign w:val="center"/>
          </w:tcPr>
          <w:p w14:paraId="3A06BCAF">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5C3A675C">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3FE3B88C">
            <w:pPr>
              <w:adjustRightInd w:val="0"/>
              <w:snapToGrid w:val="0"/>
              <w:spacing w:line="240" w:lineRule="auto"/>
              <w:ind w:firstLine="0" w:firstLineChars="0"/>
              <w:jc w:val="center"/>
              <w:rPr>
                <w:sz w:val="21"/>
                <w:szCs w:val="21"/>
              </w:rPr>
            </w:pPr>
            <w:r>
              <w:rPr>
                <w:rFonts w:hint="eastAsia"/>
                <w:sz w:val="21"/>
                <w:szCs w:val="21"/>
              </w:rPr>
              <w:t>达标</w:t>
            </w:r>
          </w:p>
        </w:tc>
      </w:tr>
      <w:tr w14:paraId="00D7C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7078694">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24A88366">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4707B8D">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683ED252">
            <w:pPr>
              <w:pStyle w:val="90"/>
              <w:rPr>
                <w:lang w:bidi="ar"/>
              </w:rPr>
            </w:pPr>
            <w:r>
              <w:rPr>
                <w:rFonts w:hint="eastAsia"/>
                <w:lang w:bidi="ar"/>
              </w:rPr>
              <w:t>第2次</w:t>
            </w:r>
          </w:p>
        </w:tc>
        <w:tc>
          <w:tcPr>
            <w:tcW w:w="907" w:type="pct"/>
            <w:shd w:val="clear" w:color="auto" w:fill="auto"/>
            <w:tcMar>
              <w:left w:w="0" w:type="dxa"/>
              <w:right w:w="0" w:type="dxa"/>
            </w:tcMar>
            <w:vAlign w:val="center"/>
          </w:tcPr>
          <w:p w14:paraId="0D901510">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179F9C00">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4B324B76">
            <w:pPr>
              <w:adjustRightInd w:val="0"/>
              <w:snapToGrid w:val="0"/>
              <w:spacing w:line="240" w:lineRule="auto"/>
              <w:ind w:firstLine="0" w:firstLineChars="0"/>
              <w:jc w:val="center"/>
              <w:rPr>
                <w:sz w:val="21"/>
                <w:szCs w:val="21"/>
              </w:rPr>
            </w:pPr>
          </w:p>
        </w:tc>
      </w:tr>
      <w:tr w14:paraId="669BE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0FDA274">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71DDB8EE">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1D333D72">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DA97E78">
            <w:pPr>
              <w:pStyle w:val="90"/>
              <w:rPr>
                <w:lang w:bidi="ar"/>
              </w:rPr>
            </w:pPr>
            <w:r>
              <w:rPr>
                <w:rFonts w:hint="eastAsia"/>
                <w:lang w:bidi="ar"/>
              </w:rPr>
              <w:t>第3次</w:t>
            </w:r>
          </w:p>
        </w:tc>
        <w:tc>
          <w:tcPr>
            <w:tcW w:w="907" w:type="pct"/>
            <w:shd w:val="clear" w:color="auto" w:fill="auto"/>
            <w:tcMar>
              <w:left w:w="0" w:type="dxa"/>
              <w:right w:w="0" w:type="dxa"/>
            </w:tcMar>
            <w:vAlign w:val="center"/>
          </w:tcPr>
          <w:p w14:paraId="4418D900">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52AD8D01">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594D24FB">
            <w:pPr>
              <w:adjustRightInd w:val="0"/>
              <w:snapToGrid w:val="0"/>
              <w:spacing w:line="240" w:lineRule="auto"/>
              <w:ind w:firstLine="0" w:firstLineChars="0"/>
              <w:jc w:val="center"/>
              <w:rPr>
                <w:sz w:val="21"/>
                <w:szCs w:val="21"/>
              </w:rPr>
            </w:pPr>
          </w:p>
        </w:tc>
      </w:tr>
      <w:tr w14:paraId="473CD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2A6168E5">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7AAB40D2">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3E5F6D3E">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5F21AE2C">
            <w:pPr>
              <w:pStyle w:val="90"/>
              <w:rPr>
                <w:lang w:bidi="ar"/>
              </w:rPr>
            </w:pPr>
            <w:r>
              <w:rPr>
                <w:rFonts w:hint="eastAsia"/>
                <w:lang w:bidi="ar"/>
              </w:rPr>
              <w:t>第4次</w:t>
            </w:r>
          </w:p>
        </w:tc>
        <w:tc>
          <w:tcPr>
            <w:tcW w:w="907" w:type="pct"/>
            <w:shd w:val="clear" w:color="auto" w:fill="auto"/>
            <w:tcMar>
              <w:left w:w="0" w:type="dxa"/>
              <w:right w:w="0" w:type="dxa"/>
            </w:tcMar>
            <w:vAlign w:val="center"/>
          </w:tcPr>
          <w:p w14:paraId="00898AF0">
            <w:pPr>
              <w:pStyle w:val="90"/>
              <w:rPr>
                <w:lang w:bidi="ar"/>
              </w:rPr>
            </w:pPr>
            <w:r>
              <w:rPr>
                <w:rFonts w:hint="eastAsia"/>
                <w:lang w:bidi="ar"/>
              </w:rPr>
              <w:t>0.013</w:t>
            </w:r>
          </w:p>
        </w:tc>
        <w:tc>
          <w:tcPr>
            <w:tcW w:w="907" w:type="pct"/>
            <w:vMerge w:val="continue"/>
            <w:shd w:val="clear" w:color="auto" w:fill="auto"/>
            <w:tcMar>
              <w:left w:w="0" w:type="dxa"/>
              <w:right w:w="0" w:type="dxa"/>
            </w:tcMar>
            <w:vAlign w:val="center"/>
          </w:tcPr>
          <w:p w14:paraId="4A1E2AB9">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4EB120BC">
            <w:pPr>
              <w:adjustRightInd w:val="0"/>
              <w:snapToGrid w:val="0"/>
              <w:spacing w:line="240" w:lineRule="auto"/>
              <w:ind w:firstLine="0" w:firstLineChars="0"/>
              <w:jc w:val="center"/>
              <w:rPr>
                <w:sz w:val="21"/>
                <w:szCs w:val="21"/>
              </w:rPr>
            </w:pPr>
          </w:p>
        </w:tc>
      </w:tr>
      <w:tr w14:paraId="35FE8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restart"/>
            <w:shd w:val="clear" w:color="auto" w:fill="auto"/>
            <w:tcMar>
              <w:left w:w="0" w:type="dxa"/>
              <w:right w:w="0" w:type="dxa"/>
            </w:tcMar>
            <w:vAlign w:val="center"/>
          </w:tcPr>
          <w:p w14:paraId="4455988B">
            <w:pPr>
              <w:adjustRightInd w:val="0"/>
              <w:snapToGrid w:val="0"/>
              <w:spacing w:line="240" w:lineRule="auto"/>
              <w:ind w:firstLine="0" w:firstLineChars="0"/>
              <w:jc w:val="center"/>
              <w:rPr>
                <w:sz w:val="21"/>
                <w:szCs w:val="21"/>
              </w:rPr>
            </w:pPr>
            <w:r>
              <w:rPr>
                <w:rFonts w:hint="eastAsia"/>
                <w:sz w:val="21"/>
                <w:szCs w:val="21"/>
              </w:rPr>
              <w:t>1</w:t>
            </w:r>
            <w:r>
              <w:rPr>
                <w:sz w:val="21"/>
                <w:szCs w:val="21"/>
              </w:rPr>
              <w:t>1</w:t>
            </w:r>
            <w:r>
              <w:rPr>
                <w:rFonts w:hint="eastAsia"/>
                <w:sz w:val="21"/>
                <w:szCs w:val="21"/>
              </w:rPr>
              <w:t>月1</w:t>
            </w:r>
            <w:r>
              <w:rPr>
                <w:sz w:val="21"/>
                <w:szCs w:val="21"/>
              </w:rPr>
              <w:t>3</w:t>
            </w:r>
            <w:r>
              <w:rPr>
                <w:rFonts w:hint="eastAsia"/>
                <w:sz w:val="21"/>
                <w:szCs w:val="21"/>
              </w:rPr>
              <w:t>日</w:t>
            </w:r>
          </w:p>
        </w:tc>
        <w:tc>
          <w:tcPr>
            <w:tcW w:w="496" w:type="pct"/>
            <w:vMerge w:val="continue"/>
            <w:shd w:val="clear" w:color="auto" w:fill="auto"/>
            <w:tcMar>
              <w:left w:w="0" w:type="dxa"/>
              <w:right w:w="0" w:type="dxa"/>
            </w:tcMar>
            <w:vAlign w:val="center"/>
          </w:tcPr>
          <w:p w14:paraId="0358F937">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7A85784">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1DE17DAE">
            <w:pPr>
              <w:pStyle w:val="90"/>
              <w:rPr>
                <w:lang w:bidi="ar"/>
              </w:rPr>
            </w:pPr>
            <w:r>
              <w:rPr>
                <w:rFonts w:hint="eastAsia"/>
                <w:lang w:bidi="ar"/>
              </w:rPr>
              <w:t>第1次</w:t>
            </w:r>
          </w:p>
        </w:tc>
        <w:tc>
          <w:tcPr>
            <w:tcW w:w="907" w:type="pct"/>
            <w:shd w:val="clear" w:color="auto" w:fill="auto"/>
            <w:tcMar>
              <w:left w:w="0" w:type="dxa"/>
              <w:right w:w="0" w:type="dxa"/>
            </w:tcMar>
            <w:vAlign w:val="center"/>
          </w:tcPr>
          <w:p w14:paraId="2E39A361">
            <w:pPr>
              <w:pStyle w:val="90"/>
              <w:rPr>
                <w:lang w:bidi="ar"/>
              </w:rPr>
            </w:pPr>
            <w:r>
              <w:rPr>
                <w:rFonts w:hint="eastAsia"/>
                <w:lang w:bidi="ar"/>
              </w:rPr>
              <w:t>0.013</w:t>
            </w:r>
          </w:p>
        </w:tc>
        <w:tc>
          <w:tcPr>
            <w:tcW w:w="907" w:type="pct"/>
            <w:vMerge w:val="restart"/>
            <w:shd w:val="clear" w:color="auto" w:fill="auto"/>
            <w:tcMar>
              <w:left w:w="0" w:type="dxa"/>
              <w:right w:w="0" w:type="dxa"/>
            </w:tcMar>
            <w:vAlign w:val="center"/>
          </w:tcPr>
          <w:p w14:paraId="10693550">
            <w:pPr>
              <w:adjustRightInd w:val="0"/>
              <w:snapToGrid w:val="0"/>
              <w:spacing w:line="240" w:lineRule="auto"/>
              <w:ind w:firstLine="0" w:firstLineChars="0"/>
              <w:jc w:val="center"/>
              <w:rPr>
                <w:sz w:val="21"/>
                <w:szCs w:val="21"/>
              </w:rPr>
            </w:pPr>
            <w:r>
              <w:rPr>
                <w:rFonts w:hint="eastAsia"/>
                <w:sz w:val="21"/>
                <w:szCs w:val="21"/>
              </w:rPr>
              <w:t>0</w:t>
            </w:r>
            <w:r>
              <w:rPr>
                <w:sz w:val="21"/>
                <w:szCs w:val="21"/>
              </w:rPr>
              <w:t>.014</w:t>
            </w:r>
          </w:p>
        </w:tc>
        <w:tc>
          <w:tcPr>
            <w:tcW w:w="907" w:type="pct"/>
            <w:vMerge w:val="restart"/>
            <w:shd w:val="clear" w:color="auto" w:fill="auto"/>
            <w:tcMar>
              <w:left w:w="0" w:type="dxa"/>
              <w:right w:w="0" w:type="dxa"/>
            </w:tcMar>
            <w:vAlign w:val="center"/>
          </w:tcPr>
          <w:p w14:paraId="2D66A68B">
            <w:pPr>
              <w:adjustRightInd w:val="0"/>
              <w:snapToGrid w:val="0"/>
              <w:spacing w:line="240" w:lineRule="auto"/>
              <w:ind w:firstLine="0" w:firstLineChars="0"/>
              <w:jc w:val="center"/>
              <w:rPr>
                <w:sz w:val="21"/>
                <w:szCs w:val="21"/>
              </w:rPr>
            </w:pPr>
            <w:r>
              <w:rPr>
                <w:rFonts w:hint="eastAsia"/>
                <w:sz w:val="21"/>
                <w:szCs w:val="21"/>
              </w:rPr>
              <w:t>达标</w:t>
            </w:r>
          </w:p>
        </w:tc>
      </w:tr>
      <w:tr w14:paraId="26FEC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4AC3126C">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69735D7D">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7607FF4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5E12AC79">
            <w:pPr>
              <w:pStyle w:val="90"/>
              <w:rPr>
                <w:lang w:bidi="ar"/>
              </w:rPr>
            </w:pPr>
            <w:r>
              <w:rPr>
                <w:rFonts w:hint="eastAsia"/>
                <w:lang w:bidi="ar"/>
              </w:rPr>
              <w:t>第2次</w:t>
            </w:r>
          </w:p>
        </w:tc>
        <w:tc>
          <w:tcPr>
            <w:tcW w:w="907" w:type="pct"/>
            <w:shd w:val="clear" w:color="auto" w:fill="auto"/>
            <w:tcMar>
              <w:left w:w="0" w:type="dxa"/>
              <w:right w:w="0" w:type="dxa"/>
            </w:tcMar>
            <w:vAlign w:val="center"/>
          </w:tcPr>
          <w:p w14:paraId="7D314ED4">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69A65618">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10E0FEF8">
            <w:pPr>
              <w:adjustRightInd w:val="0"/>
              <w:snapToGrid w:val="0"/>
              <w:spacing w:line="240" w:lineRule="auto"/>
              <w:ind w:firstLine="0" w:firstLineChars="0"/>
              <w:jc w:val="center"/>
              <w:rPr>
                <w:sz w:val="21"/>
                <w:szCs w:val="21"/>
              </w:rPr>
            </w:pPr>
          </w:p>
        </w:tc>
      </w:tr>
      <w:tr w14:paraId="06BEA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70D81E0E">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5A2AFFE2">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53275813">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3ABC68B">
            <w:pPr>
              <w:pStyle w:val="90"/>
              <w:rPr>
                <w:lang w:bidi="ar"/>
              </w:rPr>
            </w:pPr>
            <w:r>
              <w:rPr>
                <w:rFonts w:hint="eastAsia"/>
                <w:lang w:bidi="ar"/>
              </w:rPr>
              <w:t>第3次</w:t>
            </w:r>
          </w:p>
        </w:tc>
        <w:tc>
          <w:tcPr>
            <w:tcW w:w="907" w:type="pct"/>
            <w:shd w:val="clear" w:color="auto" w:fill="auto"/>
            <w:tcMar>
              <w:left w:w="0" w:type="dxa"/>
              <w:right w:w="0" w:type="dxa"/>
            </w:tcMar>
            <w:vAlign w:val="center"/>
          </w:tcPr>
          <w:p w14:paraId="3F8CC62C">
            <w:pPr>
              <w:pStyle w:val="90"/>
              <w:rPr>
                <w:lang w:bidi="ar"/>
              </w:rPr>
            </w:pPr>
            <w:r>
              <w:rPr>
                <w:rFonts w:hint="eastAsia"/>
                <w:lang w:bidi="ar"/>
              </w:rPr>
              <w:t>0.014</w:t>
            </w:r>
          </w:p>
        </w:tc>
        <w:tc>
          <w:tcPr>
            <w:tcW w:w="907" w:type="pct"/>
            <w:vMerge w:val="continue"/>
            <w:shd w:val="clear" w:color="auto" w:fill="auto"/>
            <w:tcMar>
              <w:left w:w="0" w:type="dxa"/>
              <w:right w:w="0" w:type="dxa"/>
            </w:tcMar>
            <w:vAlign w:val="center"/>
          </w:tcPr>
          <w:p w14:paraId="5D889114">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21206ADC">
            <w:pPr>
              <w:adjustRightInd w:val="0"/>
              <w:snapToGrid w:val="0"/>
              <w:spacing w:line="240" w:lineRule="auto"/>
              <w:ind w:firstLine="0" w:firstLineChars="0"/>
              <w:jc w:val="center"/>
              <w:rPr>
                <w:sz w:val="21"/>
                <w:szCs w:val="21"/>
              </w:rPr>
            </w:pPr>
          </w:p>
        </w:tc>
      </w:tr>
      <w:tr w14:paraId="02193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5" w:type="pct"/>
            <w:vMerge w:val="continue"/>
            <w:shd w:val="clear" w:color="auto" w:fill="auto"/>
            <w:tcMar>
              <w:left w:w="0" w:type="dxa"/>
              <w:right w:w="0" w:type="dxa"/>
            </w:tcMar>
            <w:vAlign w:val="center"/>
          </w:tcPr>
          <w:p w14:paraId="584FA075">
            <w:pPr>
              <w:adjustRightInd w:val="0"/>
              <w:snapToGrid w:val="0"/>
              <w:spacing w:line="240" w:lineRule="auto"/>
              <w:ind w:firstLine="0" w:firstLineChars="0"/>
              <w:jc w:val="center"/>
              <w:rPr>
                <w:sz w:val="21"/>
                <w:szCs w:val="21"/>
              </w:rPr>
            </w:pPr>
          </w:p>
        </w:tc>
        <w:tc>
          <w:tcPr>
            <w:tcW w:w="496" w:type="pct"/>
            <w:vMerge w:val="continue"/>
            <w:shd w:val="clear" w:color="auto" w:fill="auto"/>
            <w:tcMar>
              <w:left w:w="0" w:type="dxa"/>
              <w:right w:w="0" w:type="dxa"/>
            </w:tcMar>
            <w:vAlign w:val="center"/>
          </w:tcPr>
          <w:p w14:paraId="3E6C521E">
            <w:pPr>
              <w:adjustRightInd w:val="0"/>
              <w:snapToGrid w:val="0"/>
              <w:spacing w:line="240" w:lineRule="auto"/>
              <w:ind w:firstLine="0" w:firstLineChars="0"/>
              <w:jc w:val="center"/>
              <w:rPr>
                <w:sz w:val="21"/>
                <w:szCs w:val="21"/>
              </w:rPr>
            </w:pPr>
          </w:p>
        </w:tc>
        <w:tc>
          <w:tcPr>
            <w:tcW w:w="396" w:type="pct"/>
            <w:vMerge w:val="continue"/>
            <w:shd w:val="clear" w:color="auto" w:fill="auto"/>
            <w:tcMar>
              <w:left w:w="0" w:type="dxa"/>
              <w:right w:w="0" w:type="dxa"/>
            </w:tcMar>
            <w:vAlign w:val="center"/>
          </w:tcPr>
          <w:p w14:paraId="03BAF9AC">
            <w:pPr>
              <w:adjustRightInd w:val="0"/>
              <w:snapToGrid w:val="0"/>
              <w:spacing w:line="240" w:lineRule="auto"/>
              <w:ind w:firstLine="0" w:firstLineChars="0"/>
              <w:jc w:val="center"/>
              <w:rPr>
                <w:sz w:val="21"/>
                <w:szCs w:val="21"/>
              </w:rPr>
            </w:pPr>
          </w:p>
        </w:tc>
        <w:tc>
          <w:tcPr>
            <w:tcW w:w="712" w:type="pct"/>
            <w:tcMar>
              <w:left w:w="0" w:type="dxa"/>
              <w:right w:w="0" w:type="dxa"/>
            </w:tcMar>
            <w:vAlign w:val="center"/>
          </w:tcPr>
          <w:p w14:paraId="47883305">
            <w:pPr>
              <w:pStyle w:val="90"/>
              <w:rPr>
                <w:lang w:bidi="ar"/>
              </w:rPr>
            </w:pPr>
            <w:r>
              <w:rPr>
                <w:rFonts w:hint="eastAsia"/>
                <w:lang w:bidi="ar"/>
              </w:rPr>
              <w:t>第4次</w:t>
            </w:r>
          </w:p>
        </w:tc>
        <w:tc>
          <w:tcPr>
            <w:tcW w:w="907" w:type="pct"/>
            <w:shd w:val="clear" w:color="auto" w:fill="auto"/>
            <w:tcMar>
              <w:left w:w="0" w:type="dxa"/>
              <w:right w:w="0" w:type="dxa"/>
            </w:tcMar>
            <w:vAlign w:val="center"/>
          </w:tcPr>
          <w:p w14:paraId="1A68490E">
            <w:pPr>
              <w:pStyle w:val="90"/>
              <w:rPr>
                <w:lang w:bidi="ar"/>
              </w:rPr>
            </w:pPr>
            <w:r>
              <w:rPr>
                <w:rFonts w:hint="eastAsia"/>
                <w:lang w:bidi="ar"/>
              </w:rPr>
              <w:t>0.013</w:t>
            </w:r>
          </w:p>
        </w:tc>
        <w:tc>
          <w:tcPr>
            <w:tcW w:w="907" w:type="pct"/>
            <w:vMerge w:val="continue"/>
            <w:shd w:val="clear" w:color="auto" w:fill="auto"/>
            <w:tcMar>
              <w:left w:w="0" w:type="dxa"/>
              <w:right w:w="0" w:type="dxa"/>
            </w:tcMar>
            <w:vAlign w:val="center"/>
          </w:tcPr>
          <w:p w14:paraId="7796441C">
            <w:pPr>
              <w:adjustRightInd w:val="0"/>
              <w:snapToGrid w:val="0"/>
              <w:spacing w:line="240" w:lineRule="auto"/>
              <w:ind w:firstLine="0" w:firstLineChars="0"/>
              <w:jc w:val="center"/>
              <w:rPr>
                <w:sz w:val="21"/>
                <w:szCs w:val="21"/>
              </w:rPr>
            </w:pPr>
          </w:p>
        </w:tc>
        <w:tc>
          <w:tcPr>
            <w:tcW w:w="907" w:type="pct"/>
            <w:vMerge w:val="continue"/>
            <w:shd w:val="clear" w:color="auto" w:fill="auto"/>
            <w:tcMar>
              <w:left w:w="0" w:type="dxa"/>
              <w:right w:w="0" w:type="dxa"/>
            </w:tcMar>
            <w:vAlign w:val="center"/>
          </w:tcPr>
          <w:p w14:paraId="3E2F2022">
            <w:pPr>
              <w:adjustRightInd w:val="0"/>
              <w:snapToGrid w:val="0"/>
              <w:spacing w:line="240" w:lineRule="auto"/>
              <w:ind w:firstLine="0" w:firstLineChars="0"/>
              <w:jc w:val="center"/>
              <w:rPr>
                <w:sz w:val="21"/>
                <w:szCs w:val="21"/>
              </w:rPr>
            </w:pPr>
          </w:p>
        </w:tc>
      </w:tr>
    </w:tbl>
    <w:p w14:paraId="3078EFA6">
      <w:pPr>
        <w:pStyle w:val="47"/>
        <w:spacing w:before="65"/>
        <w:ind w:firstLine="480"/>
      </w:pPr>
      <w:r>
        <w:rPr>
          <w:rFonts w:hint="eastAsia"/>
        </w:rPr>
        <w:t>表4</w:t>
      </w:r>
      <w:r>
        <w:t xml:space="preserve">.3-2   </w:t>
      </w:r>
      <w:r>
        <w:rPr>
          <w:rFonts w:hint="eastAsia"/>
        </w:rPr>
        <w:t xml:space="preserve">补充监测结果统计表 </w:t>
      </w:r>
      <w:r>
        <w:t xml:space="preserve">  </w:t>
      </w:r>
      <w:r>
        <w:rPr>
          <w:rFonts w:hint="eastAsia"/>
        </w:rPr>
        <w:t>单位mg</w:t>
      </w:r>
      <w:r>
        <w:t>/</w:t>
      </w:r>
      <w:r>
        <w:rPr>
          <w:rFonts w:hint="eastAsia"/>
        </w:rPr>
        <w:t>m</w:t>
      </w:r>
      <w:r>
        <w:rPr>
          <w:vertAlign w:val="superscript"/>
        </w:rPr>
        <w:t>3</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46"/>
        <w:gridCol w:w="1746"/>
        <w:gridCol w:w="1746"/>
        <w:gridCol w:w="1746"/>
        <w:gridCol w:w="1746"/>
      </w:tblGrid>
      <w:tr w14:paraId="6BCB3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shd w:val="clear" w:color="auto" w:fill="auto"/>
            <w:vAlign w:val="center"/>
          </w:tcPr>
          <w:p w14:paraId="5D78E2FE">
            <w:pPr>
              <w:pStyle w:val="90"/>
            </w:pPr>
            <w:r>
              <w:rPr>
                <w:rFonts w:hint="eastAsia"/>
              </w:rPr>
              <w:t>污染物</w:t>
            </w:r>
          </w:p>
        </w:tc>
        <w:tc>
          <w:tcPr>
            <w:tcW w:w="1746" w:type="dxa"/>
            <w:shd w:val="clear" w:color="auto" w:fill="auto"/>
            <w:vAlign w:val="center"/>
          </w:tcPr>
          <w:p w14:paraId="79BC0793">
            <w:pPr>
              <w:pStyle w:val="90"/>
            </w:pPr>
            <w:r>
              <w:rPr>
                <w:rFonts w:hint="eastAsia"/>
              </w:rPr>
              <w:t>日期</w:t>
            </w:r>
          </w:p>
        </w:tc>
        <w:tc>
          <w:tcPr>
            <w:tcW w:w="1746" w:type="dxa"/>
            <w:shd w:val="clear" w:color="auto" w:fill="auto"/>
            <w:vAlign w:val="center"/>
          </w:tcPr>
          <w:p w14:paraId="5DDD5841">
            <w:pPr>
              <w:pStyle w:val="90"/>
            </w:pPr>
            <w:r>
              <w:rPr>
                <w:rFonts w:hint="eastAsia"/>
              </w:rPr>
              <w:t>监测结果</w:t>
            </w:r>
          </w:p>
        </w:tc>
        <w:tc>
          <w:tcPr>
            <w:tcW w:w="1746" w:type="dxa"/>
            <w:shd w:val="clear" w:color="auto" w:fill="auto"/>
            <w:vAlign w:val="center"/>
          </w:tcPr>
          <w:p w14:paraId="44D2978D">
            <w:pPr>
              <w:pStyle w:val="90"/>
            </w:pPr>
            <w:r>
              <w:rPr>
                <w:rFonts w:hint="eastAsia"/>
              </w:rPr>
              <w:t>评价标准</w:t>
            </w:r>
          </w:p>
        </w:tc>
        <w:tc>
          <w:tcPr>
            <w:tcW w:w="1746" w:type="dxa"/>
            <w:shd w:val="clear" w:color="auto" w:fill="auto"/>
            <w:vAlign w:val="center"/>
          </w:tcPr>
          <w:p w14:paraId="6E1135C8">
            <w:pPr>
              <w:pStyle w:val="90"/>
            </w:pPr>
            <w:r>
              <w:rPr>
                <w:rFonts w:hint="eastAsia"/>
              </w:rPr>
              <w:t>达标情况</w:t>
            </w:r>
          </w:p>
        </w:tc>
      </w:tr>
      <w:tr w14:paraId="661DD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restart"/>
            <w:shd w:val="clear" w:color="auto" w:fill="auto"/>
            <w:vAlign w:val="center"/>
          </w:tcPr>
          <w:p w14:paraId="264B613D">
            <w:pPr>
              <w:pStyle w:val="90"/>
            </w:pPr>
            <w:r>
              <w:rPr>
                <w:rFonts w:hint="eastAsia"/>
              </w:rPr>
              <w:t>氨</w:t>
            </w:r>
          </w:p>
        </w:tc>
        <w:tc>
          <w:tcPr>
            <w:tcW w:w="1746" w:type="dxa"/>
            <w:shd w:val="clear" w:color="auto" w:fill="auto"/>
            <w:vAlign w:val="center"/>
          </w:tcPr>
          <w:p w14:paraId="02CBDF34">
            <w:pPr>
              <w:pStyle w:val="90"/>
            </w:pPr>
            <w:r>
              <w:rPr>
                <w:rFonts w:hint="eastAsia"/>
              </w:rPr>
              <w:t>2</w:t>
            </w:r>
            <w:r>
              <w:t>024</w:t>
            </w:r>
            <w:r>
              <w:rPr>
                <w:rFonts w:hint="eastAsia"/>
              </w:rPr>
              <w:t>年1月2</w:t>
            </w:r>
            <w:r>
              <w:t>7</w:t>
            </w:r>
            <w:r>
              <w:rPr>
                <w:rFonts w:hint="eastAsia"/>
              </w:rPr>
              <w:t>日</w:t>
            </w:r>
          </w:p>
        </w:tc>
        <w:tc>
          <w:tcPr>
            <w:tcW w:w="1746" w:type="dxa"/>
            <w:shd w:val="clear" w:color="auto" w:fill="auto"/>
            <w:vAlign w:val="center"/>
          </w:tcPr>
          <w:p w14:paraId="6CA0E503">
            <w:pPr>
              <w:pStyle w:val="90"/>
            </w:pPr>
            <w:r>
              <w:rPr>
                <w:rFonts w:hint="eastAsia"/>
              </w:rPr>
              <w:t>0</w:t>
            </w:r>
            <w:r>
              <w:t>.13</w:t>
            </w:r>
          </w:p>
        </w:tc>
        <w:tc>
          <w:tcPr>
            <w:tcW w:w="1746" w:type="dxa"/>
            <w:vMerge w:val="restart"/>
            <w:shd w:val="clear" w:color="auto" w:fill="auto"/>
            <w:vAlign w:val="center"/>
          </w:tcPr>
          <w:p w14:paraId="1A38A23D">
            <w:pPr>
              <w:pStyle w:val="90"/>
            </w:pPr>
            <w:r>
              <w:rPr>
                <w:rFonts w:hint="eastAsia"/>
              </w:rPr>
              <w:t>0</w:t>
            </w:r>
            <w:r>
              <w:t>.2</w:t>
            </w:r>
          </w:p>
        </w:tc>
        <w:tc>
          <w:tcPr>
            <w:tcW w:w="1746" w:type="dxa"/>
            <w:shd w:val="clear" w:color="auto" w:fill="auto"/>
            <w:vAlign w:val="center"/>
          </w:tcPr>
          <w:p w14:paraId="0623C513">
            <w:pPr>
              <w:pStyle w:val="90"/>
            </w:pPr>
            <w:r>
              <w:rPr>
                <w:rFonts w:hint="eastAsia"/>
              </w:rPr>
              <w:t>达标</w:t>
            </w:r>
          </w:p>
        </w:tc>
      </w:tr>
      <w:tr w14:paraId="7495E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36031B12">
            <w:pPr>
              <w:pStyle w:val="90"/>
            </w:pPr>
          </w:p>
        </w:tc>
        <w:tc>
          <w:tcPr>
            <w:tcW w:w="1746" w:type="dxa"/>
            <w:shd w:val="clear" w:color="auto" w:fill="auto"/>
            <w:vAlign w:val="center"/>
          </w:tcPr>
          <w:p w14:paraId="772D2A21">
            <w:pPr>
              <w:pStyle w:val="90"/>
            </w:pPr>
            <w:r>
              <w:rPr>
                <w:rFonts w:hint="eastAsia"/>
              </w:rPr>
              <w:t>2</w:t>
            </w:r>
            <w:r>
              <w:t>024</w:t>
            </w:r>
            <w:r>
              <w:rPr>
                <w:rFonts w:hint="eastAsia"/>
              </w:rPr>
              <w:t>年1月2</w:t>
            </w:r>
            <w:r>
              <w:t>8</w:t>
            </w:r>
            <w:r>
              <w:rPr>
                <w:rFonts w:hint="eastAsia"/>
              </w:rPr>
              <w:t>日</w:t>
            </w:r>
          </w:p>
        </w:tc>
        <w:tc>
          <w:tcPr>
            <w:tcW w:w="1746" w:type="dxa"/>
            <w:shd w:val="clear" w:color="auto" w:fill="auto"/>
            <w:vAlign w:val="center"/>
          </w:tcPr>
          <w:p w14:paraId="44479439">
            <w:pPr>
              <w:pStyle w:val="90"/>
            </w:pPr>
            <w:r>
              <w:rPr>
                <w:rFonts w:hint="eastAsia"/>
              </w:rPr>
              <w:t>0</w:t>
            </w:r>
            <w:r>
              <w:t>.14</w:t>
            </w:r>
          </w:p>
        </w:tc>
        <w:tc>
          <w:tcPr>
            <w:tcW w:w="1746" w:type="dxa"/>
            <w:vMerge w:val="continue"/>
            <w:shd w:val="clear" w:color="auto" w:fill="auto"/>
            <w:vAlign w:val="center"/>
          </w:tcPr>
          <w:p w14:paraId="17EF983F">
            <w:pPr>
              <w:pStyle w:val="90"/>
            </w:pPr>
          </w:p>
        </w:tc>
        <w:tc>
          <w:tcPr>
            <w:tcW w:w="1746" w:type="dxa"/>
            <w:shd w:val="clear" w:color="auto" w:fill="auto"/>
            <w:vAlign w:val="center"/>
          </w:tcPr>
          <w:p w14:paraId="1A6BC7C7">
            <w:pPr>
              <w:pStyle w:val="90"/>
            </w:pPr>
            <w:r>
              <w:rPr>
                <w:rFonts w:hint="eastAsia"/>
              </w:rPr>
              <w:t>达标</w:t>
            </w:r>
          </w:p>
        </w:tc>
      </w:tr>
      <w:tr w14:paraId="2B618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2CEAD9A9">
            <w:pPr>
              <w:pStyle w:val="90"/>
            </w:pPr>
          </w:p>
        </w:tc>
        <w:tc>
          <w:tcPr>
            <w:tcW w:w="1746" w:type="dxa"/>
            <w:shd w:val="clear" w:color="auto" w:fill="auto"/>
            <w:vAlign w:val="center"/>
          </w:tcPr>
          <w:p w14:paraId="12BBCEF4">
            <w:pPr>
              <w:pStyle w:val="90"/>
            </w:pPr>
            <w:r>
              <w:rPr>
                <w:rFonts w:hint="eastAsia"/>
              </w:rPr>
              <w:t>2</w:t>
            </w:r>
            <w:r>
              <w:t>024</w:t>
            </w:r>
            <w:r>
              <w:rPr>
                <w:rFonts w:hint="eastAsia"/>
              </w:rPr>
              <w:t>年1月2</w:t>
            </w:r>
            <w:r>
              <w:t>9</w:t>
            </w:r>
            <w:r>
              <w:rPr>
                <w:rFonts w:hint="eastAsia"/>
              </w:rPr>
              <w:t>日</w:t>
            </w:r>
          </w:p>
        </w:tc>
        <w:tc>
          <w:tcPr>
            <w:tcW w:w="1746" w:type="dxa"/>
            <w:shd w:val="clear" w:color="auto" w:fill="auto"/>
            <w:vAlign w:val="center"/>
          </w:tcPr>
          <w:p w14:paraId="4219B416">
            <w:pPr>
              <w:pStyle w:val="90"/>
            </w:pPr>
            <w:r>
              <w:rPr>
                <w:rFonts w:hint="eastAsia"/>
              </w:rPr>
              <w:t>0</w:t>
            </w:r>
            <w:r>
              <w:t>.13</w:t>
            </w:r>
          </w:p>
        </w:tc>
        <w:tc>
          <w:tcPr>
            <w:tcW w:w="1746" w:type="dxa"/>
            <w:vMerge w:val="continue"/>
            <w:shd w:val="clear" w:color="auto" w:fill="auto"/>
            <w:vAlign w:val="center"/>
          </w:tcPr>
          <w:p w14:paraId="107858E4">
            <w:pPr>
              <w:pStyle w:val="90"/>
            </w:pPr>
          </w:p>
        </w:tc>
        <w:tc>
          <w:tcPr>
            <w:tcW w:w="1746" w:type="dxa"/>
            <w:shd w:val="clear" w:color="auto" w:fill="auto"/>
            <w:vAlign w:val="center"/>
          </w:tcPr>
          <w:p w14:paraId="576CDB28">
            <w:pPr>
              <w:pStyle w:val="90"/>
            </w:pPr>
            <w:r>
              <w:rPr>
                <w:rFonts w:hint="eastAsia"/>
              </w:rPr>
              <w:t>达标</w:t>
            </w:r>
          </w:p>
        </w:tc>
      </w:tr>
      <w:tr w14:paraId="3BA0F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012AEDD7">
            <w:pPr>
              <w:pStyle w:val="90"/>
            </w:pPr>
          </w:p>
        </w:tc>
        <w:tc>
          <w:tcPr>
            <w:tcW w:w="1746" w:type="dxa"/>
            <w:shd w:val="clear" w:color="auto" w:fill="auto"/>
            <w:vAlign w:val="center"/>
          </w:tcPr>
          <w:p w14:paraId="1A4FB11F">
            <w:pPr>
              <w:pStyle w:val="90"/>
            </w:pPr>
            <w:r>
              <w:rPr>
                <w:rFonts w:hint="eastAsia"/>
              </w:rPr>
              <w:t>2</w:t>
            </w:r>
            <w:r>
              <w:t>024</w:t>
            </w:r>
            <w:r>
              <w:rPr>
                <w:rFonts w:hint="eastAsia"/>
              </w:rPr>
              <w:t>年1月</w:t>
            </w:r>
            <w:r>
              <w:t>30</w:t>
            </w:r>
            <w:r>
              <w:rPr>
                <w:rFonts w:hint="eastAsia"/>
              </w:rPr>
              <w:t>日</w:t>
            </w:r>
          </w:p>
        </w:tc>
        <w:tc>
          <w:tcPr>
            <w:tcW w:w="1746" w:type="dxa"/>
            <w:shd w:val="clear" w:color="auto" w:fill="auto"/>
            <w:vAlign w:val="center"/>
          </w:tcPr>
          <w:p w14:paraId="4CCA48BD">
            <w:pPr>
              <w:pStyle w:val="90"/>
            </w:pPr>
            <w:r>
              <w:rPr>
                <w:rFonts w:hint="eastAsia"/>
              </w:rPr>
              <w:t>0</w:t>
            </w:r>
            <w:r>
              <w:t>.13</w:t>
            </w:r>
          </w:p>
        </w:tc>
        <w:tc>
          <w:tcPr>
            <w:tcW w:w="1746" w:type="dxa"/>
            <w:vMerge w:val="continue"/>
            <w:shd w:val="clear" w:color="auto" w:fill="auto"/>
            <w:vAlign w:val="center"/>
          </w:tcPr>
          <w:p w14:paraId="675687FC">
            <w:pPr>
              <w:pStyle w:val="90"/>
            </w:pPr>
          </w:p>
        </w:tc>
        <w:tc>
          <w:tcPr>
            <w:tcW w:w="1746" w:type="dxa"/>
            <w:shd w:val="clear" w:color="auto" w:fill="auto"/>
            <w:vAlign w:val="center"/>
          </w:tcPr>
          <w:p w14:paraId="14421B71">
            <w:pPr>
              <w:pStyle w:val="90"/>
            </w:pPr>
            <w:r>
              <w:rPr>
                <w:rFonts w:hint="eastAsia"/>
              </w:rPr>
              <w:t>达标</w:t>
            </w:r>
          </w:p>
        </w:tc>
      </w:tr>
      <w:tr w14:paraId="7A6EC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792AFE07">
            <w:pPr>
              <w:pStyle w:val="90"/>
            </w:pPr>
          </w:p>
        </w:tc>
        <w:tc>
          <w:tcPr>
            <w:tcW w:w="1746" w:type="dxa"/>
            <w:shd w:val="clear" w:color="auto" w:fill="auto"/>
            <w:vAlign w:val="center"/>
          </w:tcPr>
          <w:p w14:paraId="5636F9CF">
            <w:pPr>
              <w:pStyle w:val="90"/>
            </w:pPr>
            <w:r>
              <w:rPr>
                <w:rFonts w:hint="eastAsia"/>
              </w:rPr>
              <w:t>2</w:t>
            </w:r>
            <w:r>
              <w:t>024</w:t>
            </w:r>
            <w:r>
              <w:rPr>
                <w:rFonts w:hint="eastAsia"/>
              </w:rPr>
              <w:t>年1月</w:t>
            </w:r>
            <w:r>
              <w:t>31</w:t>
            </w:r>
            <w:r>
              <w:rPr>
                <w:rFonts w:hint="eastAsia"/>
              </w:rPr>
              <w:t>日</w:t>
            </w:r>
          </w:p>
        </w:tc>
        <w:tc>
          <w:tcPr>
            <w:tcW w:w="1746" w:type="dxa"/>
            <w:shd w:val="clear" w:color="auto" w:fill="auto"/>
            <w:vAlign w:val="center"/>
          </w:tcPr>
          <w:p w14:paraId="33136F6C">
            <w:pPr>
              <w:pStyle w:val="90"/>
            </w:pPr>
            <w:r>
              <w:rPr>
                <w:rFonts w:hint="eastAsia"/>
              </w:rPr>
              <w:t>0</w:t>
            </w:r>
            <w:r>
              <w:t>.12</w:t>
            </w:r>
          </w:p>
        </w:tc>
        <w:tc>
          <w:tcPr>
            <w:tcW w:w="1746" w:type="dxa"/>
            <w:vMerge w:val="continue"/>
            <w:shd w:val="clear" w:color="auto" w:fill="auto"/>
            <w:vAlign w:val="center"/>
          </w:tcPr>
          <w:p w14:paraId="5C967350">
            <w:pPr>
              <w:pStyle w:val="90"/>
            </w:pPr>
          </w:p>
        </w:tc>
        <w:tc>
          <w:tcPr>
            <w:tcW w:w="1746" w:type="dxa"/>
            <w:shd w:val="clear" w:color="auto" w:fill="auto"/>
            <w:vAlign w:val="center"/>
          </w:tcPr>
          <w:p w14:paraId="7619E4CE">
            <w:pPr>
              <w:pStyle w:val="90"/>
            </w:pPr>
            <w:r>
              <w:rPr>
                <w:rFonts w:hint="eastAsia"/>
              </w:rPr>
              <w:t>达标</w:t>
            </w:r>
          </w:p>
        </w:tc>
      </w:tr>
      <w:tr w14:paraId="11D88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19F3C69C">
            <w:pPr>
              <w:pStyle w:val="90"/>
            </w:pPr>
          </w:p>
        </w:tc>
        <w:tc>
          <w:tcPr>
            <w:tcW w:w="1746" w:type="dxa"/>
            <w:shd w:val="clear" w:color="auto" w:fill="auto"/>
            <w:vAlign w:val="center"/>
          </w:tcPr>
          <w:p w14:paraId="70830087">
            <w:pPr>
              <w:pStyle w:val="90"/>
            </w:pPr>
            <w:r>
              <w:rPr>
                <w:rFonts w:hint="eastAsia"/>
              </w:rPr>
              <w:t>2</w:t>
            </w:r>
            <w:r>
              <w:t>024</w:t>
            </w:r>
            <w:r>
              <w:rPr>
                <w:rFonts w:hint="eastAsia"/>
              </w:rPr>
              <w:t>年</w:t>
            </w:r>
            <w:r>
              <w:t>2</w:t>
            </w:r>
            <w:r>
              <w:rPr>
                <w:rFonts w:hint="eastAsia"/>
              </w:rPr>
              <w:t>月</w:t>
            </w:r>
            <w:r>
              <w:t>1</w:t>
            </w:r>
            <w:r>
              <w:rPr>
                <w:rFonts w:hint="eastAsia"/>
              </w:rPr>
              <w:t>日</w:t>
            </w:r>
          </w:p>
        </w:tc>
        <w:tc>
          <w:tcPr>
            <w:tcW w:w="1746" w:type="dxa"/>
            <w:shd w:val="clear" w:color="auto" w:fill="auto"/>
            <w:vAlign w:val="center"/>
          </w:tcPr>
          <w:p w14:paraId="5CA85960">
            <w:pPr>
              <w:pStyle w:val="90"/>
            </w:pPr>
            <w:r>
              <w:rPr>
                <w:rFonts w:hint="eastAsia"/>
              </w:rPr>
              <w:t>0</w:t>
            </w:r>
            <w:r>
              <w:t>.12</w:t>
            </w:r>
          </w:p>
        </w:tc>
        <w:tc>
          <w:tcPr>
            <w:tcW w:w="1746" w:type="dxa"/>
            <w:vMerge w:val="continue"/>
            <w:shd w:val="clear" w:color="auto" w:fill="auto"/>
            <w:vAlign w:val="center"/>
          </w:tcPr>
          <w:p w14:paraId="46270FB8">
            <w:pPr>
              <w:pStyle w:val="90"/>
            </w:pPr>
          </w:p>
        </w:tc>
        <w:tc>
          <w:tcPr>
            <w:tcW w:w="1746" w:type="dxa"/>
            <w:shd w:val="clear" w:color="auto" w:fill="auto"/>
            <w:vAlign w:val="center"/>
          </w:tcPr>
          <w:p w14:paraId="00EDD10E">
            <w:pPr>
              <w:pStyle w:val="90"/>
            </w:pPr>
            <w:r>
              <w:rPr>
                <w:rFonts w:hint="eastAsia"/>
              </w:rPr>
              <w:t>达标</w:t>
            </w:r>
          </w:p>
        </w:tc>
      </w:tr>
      <w:tr w14:paraId="6AA7D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3E9553C5">
            <w:pPr>
              <w:pStyle w:val="90"/>
            </w:pPr>
          </w:p>
        </w:tc>
        <w:tc>
          <w:tcPr>
            <w:tcW w:w="1746" w:type="dxa"/>
            <w:shd w:val="clear" w:color="auto" w:fill="auto"/>
            <w:vAlign w:val="center"/>
          </w:tcPr>
          <w:p w14:paraId="6534895C">
            <w:pPr>
              <w:pStyle w:val="90"/>
            </w:pPr>
            <w:r>
              <w:rPr>
                <w:rFonts w:hint="eastAsia"/>
              </w:rPr>
              <w:t>2</w:t>
            </w:r>
            <w:r>
              <w:t>024</w:t>
            </w:r>
            <w:r>
              <w:rPr>
                <w:rFonts w:hint="eastAsia"/>
              </w:rPr>
              <w:t>年</w:t>
            </w:r>
            <w:r>
              <w:t>2</w:t>
            </w:r>
            <w:r>
              <w:rPr>
                <w:rFonts w:hint="eastAsia"/>
              </w:rPr>
              <w:t>月</w:t>
            </w:r>
            <w:r>
              <w:t>2</w:t>
            </w:r>
            <w:r>
              <w:rPr>
                <w:rFonts w:hint="eastAsia"/>
              </w:rPr>
              <w:t>日</w:t>
            </w:r>
          </w:p>
        </w:tc>
        <w:tc>
          <w:tcPr>
            <w:tcW w:w="1746" w:type="dxa"/>
            <w:shd w:val="clear" w:color="auto" w:fill="auto"/>
            <w:vAlign w:val="center"/>
          </w:tcPr>
          <w:p w14:paraId="66EFCB02">
            <w:pPr>
              <w:pStyle w:val="90"/>
            </w:pPr>
            <w:r>
              <w:rPr>
                <w:rFonts w:hint="eastAsia"/>
              </w:rPr>
              <w:t>0</w:t>
            </w:r>
            <w:r>
              <w:t>.12</w:t>
            </w:r>
          </w:p>
        </w:tc>
        <w:tc>
          <w:tcPr>
            <w:tcW w:w="1746" w:type="dxa"/>
            <w:vMerge w:val="continue"/>
            <w:shd w:val="clear" w:color="auto" w:fill="auto"/>
            <w:vAlign w:val="center"/>
          </w:tcPr>
          <w:p w14:paraId="313FDBC5">
            <w:pPr>
              <w:pStyle w:val="90"/>
            </w:pPr>
          </w:p>
        </w:tc>
        <w:tc>
          <w:tcPr>
            <w:tcW w:w="1746" w:type="dxa"/>
            <w:shd w:val="clear" w:color="auto" w:fill="auto"/>
            <w:vAlign w:val="center"/>
          </w:tcPr>
          <w:p w14:paraId="4962B246">
            <w:pPr>
              <w:pStyle w:val="90"/>
            </w:pPr>
            <w:r>
              <w:rPr>
                <w:rFonts w:hint="eastAsia"/>
              </w:rPr>
              <w:t>达标</w:t>
            </w:r>
          </w:p>
        </w:tc>
      </w:tr>
      <w:tr w14:paraId="3A60F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restart"/>
            <w:shd w:val="clear" w:color="auto" w:fill="auto"/>
            <w:vAlign w:val="center"/>
          </w:tcPr>
          <w:p w14:paraId="1BC24865">
            <w:pPr>
              <w:pStyle w:val="90"/>
            </w:pPr>
            <w:r>
              <w:rPr>
                <w:rFonts w:hint="eastAsia"/>
              </w:rPr>
              <w:t>硫化氢</w:t>
            </w:r>
          </w:p>
        </w:tc>
        <w:tc>
          <w:tcPr>
            <w:tcW w:w="1746" w:type="dxa"/>
            <w:shd w:val="clear" w:color="auto" w:fill="auto"/>
            <w:vAlign w:val="center"/>
          </w:tcPr>
          <w:p w14:paraId="3C3F9038">
            <w:pPr>
              <w:pStyle w:val="90"/>
            </w:pPr>
            <w:r>
              <w:rPr>
                <w:rFonts w:hint="eastAsia"/>
              </w:rPr>
              <w:t>2</w:t>
            </w:r>
            <w:r>
              <w:t>024</w:t>
            </w:r>
            <w:r>
              <w:rPr>
                <w:rFonts w:hint="eastAsia"/>
              </w:rPr>
              <w:t>年1月2</w:t>
            </w:r>
            <w:r>
              <w:t>7</w:t>
            </w:r>
            <w:r>
              <w:rPr>
                <w:rFonts w:hint="eastAsia"/>
              </w:rPr>
              <w:t>日</w:t>
            </w:r>
          </w:p>
        </w:tc>
        <w:tc>
          <w:tcPr>
            <w:tcW w:w="1746" w:type="dxa"/>
            <w:shd w:val="clear" w:color="auto" w:fill="auto"/>
            <w:vAlign w:val="center"/>
          </w:tcPr>
          <w:p w14:paraId="7E47BEFD">
            <w:pPr>
              <w:pStyle w:val="90"/>
            </w:pPr>
            <w:r>
              <w:rPr>
                <w:rFonts w:hint="eastAsia"/>
              </w:rPr>
              <w:t>＜0</w:t>
            </w:r>
            <w:r>
              <w:t>.001</w:t>
            </w:r>
          </w:p>
        </w:tc>
        <w:tc>
          <w:tcPr>
            <w:tcW w:w="1746" w:type="dxa"/>
            <w:vMerge w:val="restart"/>
            <w:shd w:val="clear" w:color="auto" w:fill="auto"/>
            <w:vAlign w:val="center"/>
          </w:tcPr>
          <w:p w14:paraId="6B7C1A3A">
            <w:pPr>
              <w:pStyle w:val="90"/>
            </w:pPr>
            <w:r>
              <w:rPr>
                <w:rFonts w:hint="eastAsia"/>
              </w:rPr>
              <w:t>0</w:t>
            </w:r>
            <w:r>
              <w:t>.01</w:t>
            </w:r>
          </w:p>
        </w:tc>
        <w:tc>
          <w:tcPr>
            <w:tcW w:w="1746" w:type="dxa"/>
            <w:shd w:val="clear" w:color="auto" w:fill="auto"/>
            <w:vAlign w:val="center"/>
          </w:tcPr>
          <w:p w14:paraId="0CA429BA">
            <w:pPr>
              <w:pStyle w:val="90"/>
            </w:pPr>
            <w:r>
              <w:rPr>
                <w:rFonts w:hint="eastAsia"/>
              </w:rPr>
              <w:t>达标</w:t>
            </w:r>
          </w:p>
        </w:tc>
      </w:tr>
      <w:tr w14:paraId="7149D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632A56C1">
            <w:pPr>
              <w:pStyle w:val="90"/>
            </w:pPr>
          </w:p>
        </w:tc>
        <w:tc>
          <w:tcPr>
            <w:tcW w:w="1746" w:type="dxa"/>
            <w:shd w:val="clear" w:color="auto" w:fill="auto"/>
            <w:vAlign w:val="center"/>
          </w:tcPr>
          <w:p w14:paraId="16958132">
            <w:pPr>
              <w:pStyle w:val="90"/>
            </w:pPr>
            <w:r>
              <w:rPr>
                <w:rFonts w:hint="eastAsia"/>
              </w:rPr>
              <w:t>2</w:t>
            </w:r>
            <w:r>
              <w:t>024</w:t>
            </w:r>
            <w:r>
              <w:rPr>
                <w:rFonts w:hint="eastAsia"/>
              </w:rPr>
              <w:t>年1月2</w:t>
            </w:r>
            <w:r>
              <w:t>8</w:t>
            </w:r>
            <w:r>
              <w:rPr>
                <w:rFonts w:hint="eastAsia"/>
              </w:rPr>
              <w:t>日</w:t>
            </w:r>
          </w:p>
        </w:tc>
        <w:tc>
          <w:tcPr>
            <w:tcW w:w="1746" w:type="dxa"/>
            <w:shd w:val="clear" w:color="auto" w:fill="auto"/>
            <w:vAlign w:val="center"/>
          </w:tcPr>
          <w:p w14:paraId="7C24CDC5">
            <w:pPr>
              <w:pStyle w:val="90"/>
            </w:pPr>
            <w:r>
              <w:rPr>
                <w:rFonts w:hint="eastAsia"/>
              </w:rPr>
              <w:t>＜0</w:t>
            </w:r>
            <w:r>
              <w:t>.001</w:t>
            </w:r>
          </w:p>
        </w:tc>
        <w:tc>
          <w:tcPr>
            <w:tcW w:w="1746" w:type="dxa"/>
            <w:vMerge w:val="continue"/>
            <w:shd w:val="clear" w:color="auto" w:fill="auto"/>
            <w:vAlign w:val="center"/>
          </w:tcPr>
          <w:p w14:paraId="786CFB01">
            <w:pPr>
              <w:pStyle w:val="90"/>
            </w:pPr>
          </w:p>
        </w:tc>
        <w:tc>
          <w:tcPr>
            <w:tcW w:w="1746" w:type="dxa"/>
            <w:shd w:val="clear" w:color="auto" w:fill="auto"/>
            <w:vAlign w:val="center"/>
          </w:tcPr>
          <w:p w14:paraId="201D22CA">
            <w:pPr>
              <w:pStyle w:val="90"/>
            </w:pPr>
            <w:r>
              <w:rPr>
                <w:rFonts w:hint="eastAsia"/>
              </w:rPr>
              <w:t>达标</w:t>
            </w:r>
          </w:p>
        </w:tc>
      </w:tr>
      <w:tr w14:paraId="35FCC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0783340A">
            <w:pPr>
              <w:pStyle w:val="90"/>
            </w:pPr>
          </w:p>
        </w:tc>
        <w:tc>
          <w:tcPr>
            <w:tcW w:w="1746" w:type="dxa"/>
            <w:shd w:val="clear" w:color="auto" w:fill="auto"/>
            <w:vAlign w:val="center"/>
          </w:tcPr>
          <w:p w14:paraId="2A7A52D1">
            <w:pPr>
              <w:pStyle w:val="90"/>
            </w:pPr>
            <w:r>
              <w:rPr>
                <w:rFonts w:hint="eastAsia"/>
              </w:rPr>
              <w:t>2</w:t>
            </w:r>
            <w:r>
              <w:t>024</w:t>
            </w:r>
            <w:r>
              <w:rPr>
                <w:rFonts w:hint="eastAsia"/>
              </w:rPr>
              <w:t>年1月2</w:t>
            </w:r>
            <w:r>
              <w:t>9</w:t>
            </w:r>
            <w:r>
              <w:rPr>
                <w:rFonts w:hint="eastAsia"/>
              </w:rPr>
              <w:t>日</w:t>
            </w:r>
          </w:p>
        </w:tc>
        <w:tc>
          <w:tcPr>
            <w:tcW w:w="1746" w:type="dxa"/>
            <w:shd w:val="clear" w:color="auto" w:fill="auto"/>
            <w:vAlign w:val="center"/>
          </w:tcPr>
          <w:p w14:paraId="06E6E1E9">
            <w:pPr>
              <w:pStyle w:val="90"/>
            </w:pPr>
            <w:r>
              <w:rPr>
                <w:rFonts w:hint="eastAsia"/>
              </w:rPr>
              <w:t>＜0</w:t>
            </w:r>
            <w:r>
              <w:t>.001</w:t>
            </w:r>
          </w:p>
        </w:tc>
        <w:tc>
          <w:tcPr>
            <w:tcW w:w="1746" w:type="dxa"/>
            <w:vMerge w:val="continue"/>
            <w:shd w:val="clear" w:color="auto" w:fill="auto"/>
            <w:vAlign w:val="center"/>
          </w:tcPr>
          <w:p w14:paraId="5AB8AB92">
            <w:pPr>
              <w:pStyle w:val="90"/>
            </w:pPr>
          </w:p>
        </w:tc>
        <w:tc>
          <w:tcPr>
            <w:tcW w:w="1746" w:type="dxa"/>
            <w:shd w:val="clear" w:color="auto" w:fill="auto"/>
            <w:vAlign w:val="center"/>
          </w:tcPr>
          <w:p w14:paraId="6B2821E2">
            <w:pPr>
              <w:pStyle w:val="90"/>
            </w:pPr>
            <w:r>
              <w:rPr>
                <w:rFonts w:hint="eastAsia"/>
              </w:rPr>
              <w:t>达标</w:t>
            </w:r>
          </w:p>
        </w:tc>
      </w:tr>
      <w:tr w14:paraId="18D3E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73169379">
            <w:pPr>
              <w:pStyle w:val="90"/>
            </w:pPr>
          </w:p>
        </w:tc>
        <w:tc>
          <w:tcPr>
            <w:tcW w:w="1746" w:type="dxa"/>
            <w:shd w:val="clear" w:color="auto" w:fill="auto"/>
            <w:vAlign w:val="center"/>
          </w:tcPr>
          <w:p w14:paraId="7AE88F6D">
            <w:pPr>
              <w:pStyle w:val="90"/>
            </w:pPr>
            <w:r>
              <w:rPr>
                <w:rFonts w:hint="eastAsia"/>
              </w:rPr>
              <w:t>2</w:t>
            </w:r>
            <w:r>
              <w:t>024</w:t>
            </w:r>
            <w:r>
              <w:rPr>
                <w:rFonts w:hint="eastAsia"/>
              </w:rPr>
              <w:t>年1月</w:t>
            </w:r>
            <w:r>
              <w:t>30</w:t>
            </w:r>
            <w:r>
              <w:rPr>
                <w:rFonts w:hint="eastAsia"/>
              </w:rPr>
              <w:t>日</w:t>
            </w:r>
          </w:p>
        </w:tc>
        <w:tc>
          <w:tcPr>
            <w:tcW w:w="1746" w:type="dxa"/>
            <w:shd w:val="clear" w:color="auto" w:fill="auto"/>
            <w:vAlign w:val="center"/>
          </w:tcPr>
          <w:p w14:paraId="40C2B338">
            <w:pPr>
              <w:pStyle w:val="90"/>
            </w:pPr>
            <w:r>
              <w:rPr>
                <w:rFonts w:hint="eastAsia"/>
              </w:rPr>
              <w:t>＜0</w:t>
            </w:r>
            <w:r>
              <w:t>.001</w:t>
            </w:r>
          </w:p>
        </w:tc>
        <w:tc>
          <w:tcPr>
            <w:tcW w:w="1746" w:type="dxa"/>
            <w:vMerge w:val="continue"/>
            <w:shd w:val="clear" w:color="auto" w:fill="auto"/>
            <w:vAlign w:val="center"/>
          </w:tcPr>
          <w:p w14:paraId="3D65A8C6">
            <w:pPr>
              <w:pStyle w:val="90"/>
            </w:pPr>
          </w:p>
        </w:tc>
        <w:tc>
          <w:tcPr>
            <w:tcW w:w="1746" w:type="dxa"/>
            <w:shd w:val="clear" w:color="auto" w:fill="auto"/>
            <w:vAlign w:val="center"/>
          </w:tcPr>
          <w:p w14:paraId="5A751F1C">
            <w:pPr>
              <w:pStyle w:val="90"/>
            </w:pPr>
            <w:r>
              <w:rPr>
                <w:rFonts w:hint="eastAsia"/>
              </w:rPr>
              <w:t>达标</w:t>
            </w:r>
          </w:p>
        </w:tc>
      </w:tr>
      <w:tr w14:paraId="771D4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1BC30970">
            <w:pPr>
              <w:pStyle w:val="90"/>
            </w:pPr>
          </w:p>
        </w:tc>
        <w:tc>
          <w:tcPr>
            <w:tcW w:w="1746" w:type="dxa"/>
            <w:shd w:val="clear" w:color="auto" w:fill="auto"/>
            <w:vAlign w:val="center"/>
          </w:tcPr>
          <w:p w14:paraId="55D7C25F">
            <w:pPr>
              <w:pStyle w:val="90"/>
            </w:pPr>
            <w:r>
              <w:rPr>
                <w:rFonts w:hint="eastAsia"/>
              </w:rPr>
              <w:t>2</w:t>
            </w:r>
            <w:r>
              <w:t>024</w:t>
            </w:r>
            <w:r>
              <w:rPr>
                <w:rFonts w:hint="eastAsia"/>
              </w:rPr>
              <w:t>年1月</w:t>
            </w:r>
            <w:r>
              <w:t>31</w:t>
            </w:r>
            <w:r>
              <w:rPr>
                <w:rFonts w:hint="eastAsia"/>
              </w:rPr>
              <w:t>日</w:t>
            </w:r>
          </w:p>
        </w:tc>
        <w:tc>
          <w:tcPr>
            <w:tcW w:w="1746" w:type="dxa"/>
            <w:shd w:val="clear" w:color="auto" w:fill="auto"/>
            <w:vAlign w:val="center"/>
          </w:tcPr>
          <w:p w14:paraId="71A39DC1">
            <w:pPr>
              <w:pStyle w:val="90"/>
            </w:pPr>
            <w:r>
              <w:rPr>
                <w:rFonts w:hint="eastAsia"/>
              </w:rPr>
              <w:t>＜0</w:t>
            </w:r>
            <w:r>
              <w:t>.001</w:t>
            </w:r>
          </w:p>
        </w:tc>
        <w:tc>
          <w:tcPr>
            <w:tcW w:w="1746" w:type="dxa"/>
            <w:vMerge w:val="continue"/>
            <w:shd w:val="clear" w:color="auto" w:fill="auto"/>
            <w:vAlign w:val="center"/>
          </w:tcPr>
          <w:p w14:paraId="22D07219">
            <w:pPr>
              <w:pStyle w:val="90"/>
            </w:pPr>
          </w:p>
        </w:tc>
        <w:tc>
          <w:tcPr>
            <w:tcW w:w="1746" w:type="dxa"/>
            <w:shd w:val="clear" w:color="auto" w:fill="auto"/>
            <w:vAlign w:val="center"/>
          </w:tcPr>
          <w:p w14:paraId="6BE164C0">
            <w:pPr>
              <w:pStyle w:val="90"/>
            </w:pPr>
            <w:r>
              <w:rPr>
                <w:rFonts w:hint="eastAsia"/>
              </w:rPr>
              <w:t>达标</w:t>
            </w:r>
          </w:p>
        </w:tc>
      </w:tr>
      <w:tr w14:paraId="73859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0D7435E6">
            <w:pPr>
              <w:pStyle w:val="90"/>
            </w:pPr>
          </w:p>
        </w:tc>
        <w:tc>
          <w:tcPr>
            <w:tcW w:w="1746" w:type="dxa"/>
            <w:shd w:val="clear" w:color="auto" w:fill="auto"/>
            <w:vAlign w:val="center"/>
          </w:tcPr>
          <w:p w14:paraId="602D1EDB">
            <w:pPr>
              <w:pStyle w:val="90"/>
            </w:pPr>
            <w:r>
              <w:rPr>
                <w:rFonts w:hint="eastAsia"/>
              </w:rPr>
              <w:t>2</w:t>
            </w:r>
            <w:r>
              <w:t>024</w:t>
            </w:r>
            <w:r>
              <w:rPr>
                <w:rFonts w:hint="eastAsia"/>
              </w:rPr>
              <w:t>年</w:t>
            </w:r>
            <w:r>
              <w:t>2</w:t>
            </w:r>
            <w:r>
              <w:rPr>
                <w:rFonts w:hint="eastAsia"/>
              </w:rPr>
              <w:t>月</w:t>
            </w:r>
            <w:r>
              <w:t>1</w:t>
            </w:r>
            <w:r>
              <w:rPr>
                <w:rFonts w:hint="eastAsia"/>
              </w:rPr>
              <w:t>日</w:t>
            </w:r>
          </w:p>
        </w:tc>
        <w:tc>
          <w:tcPr>
            <w:tcW w:w="1746" w:type="dxa"/>
            <w:shd w:val="clear" w:color="auto" w:fill="auto"/>
            <w:vAlign w:val="center"/>
          </w:tcPr>
          <w:p w14:paraId="6BCC8FCC">
            <w:pPr>
              <w:pStyle w:val="90"/>
            </w:pPr>
            <w:r>
              <w:rPr>
                <w:rFonts w:hint="eastAsia"/>
              </w:rPr>
              <w:t>＜0</w:t>
            </w:r>
            <w:r>
              <w:t>.001</w:t>
            </w:r>
          </w:p>
        </w:tc>
        <w:tc>
          <w:tcPr>
            <w:tcW w:w="1746" w:type="dxa"/>
            <w:vMerge w:val="continue"/>
            <w:shd w:val="clear" w:color="auto" w:fill="auto"/>
            <w:vAlign w:val="center"/>
          </w:tcPr>
          <w:p w14:paraId="76C24263">
            <w:pPr>
              <w:pStyle w:val="90"/>
            </w:pPr>
          </w:p>
        </w:tc>
        <w:tc>
          <w:tcPr>
            <w:tcW w:w="1746" w:type="dxa"/>
            <w:shd w:val="clear" w:color="auto" w:fill="auto"/>
            <w:vAlign w:val="center"/>
          </w:tcPr>
          <w:p w14:paraId="7E99DB2F">
            <w:pPr>
              <w:pStyle w:val="90"/>
            </w:pPr>
            <w:r>
              <w:rPr>
                <w:rFonts w:hint="eastAsia"/>
              </w:rPr>
              <w:t>达标</w:t>
            </w:r>
          </w:p>
        </w:tc>
      </w:tr>
      <w:tr w14:paraId="63941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46" w:type="dxa"/>
            <w:vMerge w:val="continue"/>
            <w:shd w:val="clear" w:color="auto" w:fill="auto"/>
            <w:vAlign w:val="center"/>
          </w:tcPr>
          <w:p w14:paraId="1E673F97">
            <w:pPr>
              <w:pStyle w:val="90"/>
            </w:pPr>
          </w:p>
        </w:tc>
        <w:tc>
          <w:tcPr>
            <w:tcW w:w="1746" w:type="dxa"/>
            <w:shd w:val="clear" w:color="auto" w:fill="auto"/>
            <w:vAlign w:val="center"/>
          </w:tcPr>
          <w:p w14:paraId="23850317">
            <w:pPr>
              <w:pStyle w:val="90"/>
            </w:pPr>
            <w:r>
              <w:rPr>
                <w:rFonts w:hint="eastAsia"/>
              </w:rPr>
              <w:t>2</w:t>
            </w:r>
            <w:r>
              <w:t>024</w:t>
            </w:r>
            <w:r>
              <w:rPr>
                <w:rFonts w:hint="eastAsia"/>
              </w:rPr>
              <w:t>年</w:t>
            </w:r>
            <w:r>
              <w:t>2</w:t>
            </w:r>
            <w:r>
              <w:rPr>
                <w:rFonts w:hint="eastAsia"/>
              </w:rPr>
              <w:t>月</w:t>
            </w:r>
            <w:r>
              <w:t>2</w:t>
            </w:r>
            <w:r>
              <w:rPr>
                <w:rFonts w:hint="eastAsia"/>
              </w:rPr>
              <w:t>日</w:t>
            </w:r>
          </w:p>
        </w:tc>
        <w:tc>
          <w:tcPr>
            <w:tcW w:w="1746" w:type="dxa"/>
            <w:shd w:val="clear" w:color="auto" w:fill="auto"/>
            <w:vAlign w:val="center"/>
          </w:tcPr>
          <w:p w14:paraId="1459DBF7">
            <w:pPr>
              <w:pStyle w:val="90"/>
            </w:pPr>
            <w:r>
              <w:rPr>
                <w:rFonts w:hint="eastAsia"/>
              </w:rPr>
              <w:t>＜0</w:t>
            </w:r>
            <w:r>
              <w:t>.001</w:t>
            </w:r>
          </w:p>
        </w:tc>
        <w:tc>
          <w:tcPr>
            <w:tcW w:w="1746" w:type="dxa"/>
            <w:vMerge w:val="continue"/>
            <w:shd w:val="clear" w:color="auto" w:fill="auto"/>
            <w:vAlign w:val="center"/>
          </w:tcPr>
          <w:p w14:paraId="2C0596A6">
            <w:pPr>
              <w:pStyle w:val="90"/>
            </w:pPr>
          </w:p>
        </w:tc>
        <w:tc>
          <w:tcPr>
            <w:tcW w:w="1746" w:type="dxa"/>
            <w:shd w:val="clear" w:color="auto" w:fill="auto"/>
            <w:vAlign w:val="center"/>
          </w:tcPr>
          <w:p w14:paraId="4A4E18A7">
            <w:pPr>
              <w:pStyle w:val="90"/>
            </w:pPr>
            <w:r>
              <w:rPr>
                <w:rFonts w:hint="eastAsia"/>
              </w:rPr>
              <w:t>达标</w:t>
            </w:r>
          </w:p>
        </w:tc>
      </w:tr>
    </w:tbl>
    <w:p w14:paraId="61E7F1EC">
      <w:pPr>
        <w:spacing w:line="312" w:lineRule="auto"/>
        <w:ind w:firstLine="480"/>
      </w:pPr>
      <w:r>
        <w:rPr>
          <w:rFonts w:hint="eastAsia"/>
        </w:rPr>
        <w:t>根据监测结果可知，非甲烷总烃环境质量现状监测结果的浓度满足《大气污染物综合排放标准详解》中的标准限值（2</w:t>
      </w:r>
      <w:r>
        <w:t>.0</w:t>
      </w:r>
      <w:r>
        <w:rPr>
          <w:rFonts w:hint="eastAsia"/>
        </w:rPr>
        <w:t>mg</w:t>
      </w:r>
      <w:r>
        <w:t>/</w:t>
      </w:r>
      <w:r>
        <w:rPr>
          <w:rFonts w:hint="eastAsia"/>
        </w:rPr>
        <w:t>m</w:t>
      </w:r>
      <w:r>
        <w:rPr>
          <w:vertAlign w:val="superscript"/>
        </w:rPr>
        <w:t>3</w:t>
      </w:r>
      <w:r>
        <w:rPr>
          <w:rFonts w:hint="eastAsia"/>
        </w:rPr>
        <w:t>）；硫酸雾、氨、硫化氢满足《环境影响评价技术导则 大气环境》（HJ</w:t>
      </w:r>
      <w:r>
        <w:t>2.2-2018</w:t>
      </w:r>
      <w:r>
        <w:rPr>
          <w:rFonts w:hint="eastAsia"/>
        </w:rPr>
        <w:t>）附录D限值要求。</w:t>
      </w:r>
    </w:p>
    <w:p w14:paraId="338BFA40">
      <w:pPr>
        <w:ind w:firstLine="480"/>
        <w:sectPr>
          <w:footerReference r:id="rId22"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49E8D356">
      <w:pPr>
        <w:pStyle w:val="47"/>
        <w:spacing w:before="65"/>
        <w:jc w:val="both"/>
      </w:pPr>
    </w:p>
    <w:p w14:paraId="5B32A806">
      <w:pPr>
        <w:sectPr>
          <w:footerReference r:id="rId23" w:type="default"/>
          <w:pgSz w:w="16838" w:h="11906" w:orient="landscape"/>
          <w:pgMar w:top="1588" w:right="1440" w:bottom="1588" w:left="1440" w:header="907" w:footer="775" w:gutter="0"/>
          <w:pgBorders>
            <w:top w:val="none" w:sz="0" w:space="0"/>
            <w:left w:val="none" w:sz="0" w:space="0"/>
            <w:bottom w:val="none" w:sz="0" w:space="0"/>
            <w:right w:val="none" w:sz="0" w:space="0"/>
          </w:pgBorders>
          <w:pgNumType w:fmt="numberInDash"/>
          <w:cols w:space="425" w:num="1"/>
          <w:docGrid w:type="linesAndChars" w:linePitch="326" w:charSpace="0"/>
        </w:sectPr>
      </w:pPr>
    </w:p>
    <w:p w14:paraId="6AAFD00D">
      <w:pPr>
        <w:pStyle w:val="43"/>
      </w:pPr>
      <w:bookmarkStart w:id="361" w:name="_Toc80193111"/>
      <w:bookmarkStart w:id="362" w:name="_Toc81214105"/>
      <w:bookmarkStart w:id="363" w:name="_Toc82518793"/>
      <w:bookmarkStart w:id="364" w:name="_Toc80973537"/>
      <w:bookmarkStart w:id="365" w:name="_Toc152864205"/>
      <w:bookmarkStart w:id="366" w:name="_Toc77007811"/>
      <w:bookmarkStart w:id="367" w:name="_Toc79515482"/>
      <w:r>
        <w:rPr>
          <w:rFonts w:hint="eastAsia"/>
        </w:rPr>
        <w:t>地表水环境现状调查与评价</w:t>
      </w:r>
      <w:bookmarkEnd w:id="361"/>
      <w:bookmarkEnd w:id="362"/>
      <w:bookmarkEnd w:id="363"/>
      <w:bookmarkEnd w:id="364"/>
      <w:bookmarkEnd w:id="365"/>
      <w:bookmarkEnd w:id="366"/>
      <w:bookmarkEnd w:id="367"/>
    </w:p>
    <w:p w14:paraId="4BBD1AFE">
      <w:pPr>
        <w:ind w:firstLine="480"/>
      </w:pPr>
      <w:r>
        <w:rPr>
          <w:rFonts w:hint="eastAsia"/>
        </w:rPr>
        <w:t>本项目周边5km范围内无天然地表水分布，且本项目生产废水主要为减线油罐区的定期排污水，经厂区隔油池处理后，排入园区污水处理厂；生活污水依托项目收集管网，排入园区污水处理厂。</w:t>
      </w:r>
    </w:p>
    <w:p w14:paraId="14367AD7">
      <w:pPr>
        <w:pStyle w:val="43"/>
      </w:pPr>
      <w:bookmarkStart w:id="368" w:name="_Toc82518794"/>
      <w:bookmarkStart w:id="369" w:name="_Toc152864206"/>
      <w:bookmarkStart w:id="370" w:name="_Toc81214106"/>
      <w:bookmarkStart w:id="371" w:name="_Toc79515483"/>
      <w:bookmarkStart w:id="372" w:name="_Toc80193112"/>
      <w:bookmarkStart w:id="373" w:name="_Toc77007812"/>
      <w:bookmarkStart w:id="374" w:name="_Toc80973538"/>
      <w:r>
        <w:rPr>
          <w:rFonts w:hint="eastAsia"/>
        </w:rPr>
        <w:t>地下水环境现状调查与评价</w:t>
      </w:r>
      <w:bookmarkEnd w:id="368"/>
      <w:bookmarkEnd w:id="369"/>
      <w:bookmarkEnd w:id="370"/>
      <w:bookmarkEnd w:id="371"/>
      <w:bookmarkEnd w:id="372"/>
      <w:bookmarkEnd w:id="373"/>
      <w:bookmarkEnd w:id="374"/>
    </w:p>
    <w:p w14:paraId="2281151C">
      <w:pPr>
        <w:ind w:firstLine="480"/>
      </w:pPr>
      <w:r>
        <w:rPr>
          <w:rFonts w:hint="eastAsia"/>
        </w:rPr>
        <w:t>依据《环境影响评价技术导则 地下水环境》（HJ610-2016）附录A，本项目类别为</w:t>
      </w:r>
      <w:r>
        <w:t>Ⅰ</w:t>
      </w:r>
      <w:r>
        <w:rPr>
          <w:rFonts w:hint="eastAsia"/>
        </w:rPr>
        <w:t>类，地下水敏感程度为不敏感，评价等级为二级。本次地下水环境质量现状采取引用现有资料和委托监测结合的方法进行评价，根据导则要求，二级评价项目须设置5个水质监测点和1</w:t>
      </w:r>
      <w:r>
        <w:t>0</w:t>
      </w:r>
      <w:r>
        <w:rPr>
          <w:rFonts w:hint="eastAsia"/>
        </w:rPr>
        <w:t>水位监测点，具体监测内容如下：</w:t>
      </w:r>
    </w:p>
    <w:p w14:paraId="03840EBF">
      <w:pPr>
        <w:ind w:firstLine="480"/>
      </w:pPr>
      <w:r>
        <w:rPr>
          <w:rFonts w:hint="eastAsia"/>
        </w:rPr>
        <w:t>地下水监测点除1</w:t>
      </w:r>
      <w:r>
        <w:t>30</w:t>
      </w:r>
      <w:r>
        <w:rPr>
          <w:rFonts w:hint="eastAsia"/>
        </w:rPr>
        <w:t>团1</w:t>
      </w:r>
      <w:r>
        <w:t>5</w:t>
      </w:r>
      <w:r>
        <w:rPr>
          <w:rFonts w:hint="eastAsia"/>
        </w:rPr>
        <w:t>连水井委托新疆锡水金山环境科技有限公司进行监测外，其余水质测点和水位测点均引用《胡杨河经济技术开发区化工园区地下水环境状况调查评估报告》中的监测数据，监测单位为新疆北山环境监测有限公司，监测时间为202</w:t>
      </w:r>
      <w:r>
        <w:t>3</w:t>
      </w:r>
      <w:r>
        <w:rPr>
          <w:rFonts w:hint="eastAsia"/>
        </w:rPr>
        <w:t>年</w:t>
      </w:r>
      <w:r>
        <w:t>7</w:t>
      </w:r>
      <w:r>
        <w:rPr>
          <w:rFonts w:hint="eastAsia"/>
        </w:rPr>
        <w:t>月</w:t>
      </w:r>
      <w:r>
        <w:t>24</w:t>
      </w:r>
      <w:r>
        <w:rPr>
          <w:rFonts w:hint="eastAsia"/>
        </w:rPr>
        <w:t>日。</w:t>
      </w:r>
    </w:p>
    <w:p w14:paraId="6961C31A">
      <w:pPr>
        <w:ind w:firstLine="480"/>
      </w:pPr>
      <w:r>
        <w:rPr>
          <w:rFonts w:hint="eastAsia"/>
        </w:rPr>
        <w:t>（1）监测布点</w:t>
      </w:r>
    </w:p>
    <w:p w14:paraId="64C32742">
      <w:pPr>
        <w:ind w:firstLine="480"/>
      </w:pPr>
      <w:r>
        <w:rPr>
          <w:rFonts w:hint="eastAsia"/>
        </w:rPr>
        <w:t>本项目监测布点具体见下表。</w:t>
      </w:r>
    </w:p>
    <w:p w14:paraId="615F797F">
      <w:pPr>
        <w:pStyle w:val="47"/>
        <w:spacing w:before="65"/>
      </w:pPr>
      <w:r>
        <w:rPr>
          <w:rFonts w:hint="eastAsia"/>
        </w:rPr>
        <w:t>表4</w:t>
      </w:r>
      <w:r>
        <w:t xml:space="preserve">.3-3   </w:t>
      </w:r>
      <w:r>
        <w:rPr>
          <w:rFonts w:hint="eastAsia"/>
        </w:rPr>
        <w:t>本项目监测布点一览表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06"/>
        <w:gridCol w:w="1669"/>
        <w:gridCol w:w="1671"/>
        <w:gridCol w:w="992"/>
        <w:gridCol w:w="2492"/>
      </w:tblGrid>
      <w:tr w14:paraId="116F3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6B33F775">
            <w:pPr>
              <w:pStyle w:val="90"/>
            </w:pPr>
            <w:r>
              <w:t>编号</w:t>
            </w:r>
          </w:p>
        </w:tc>
        <w:tc>
          <w:tcPr>
            <w:tcW w:w="1913" w:type="pct"/>
            <w:gridSpan w:val="2"/>
            <w:shd w:val="clear" w:color="auto" w:fill="auto"/>
            <w:vAlign w:val="center"/>
          </w:tcPr>
          <w:p w14:paraId="5D65AD4F">
            <w:pPr>
              <w:pStyle w:val="90"/>
            </w:pPr>
            <w:r>
              <w:t>位置/坐标</w:t>
            </w:r>
          </w:p>
        </w:tc>
        <w:tc>
          <w:tcPr>
            <w:tcW w:w="568" w:type="pct"/>
            <w:shd w:val="clear" w:color="auto" w:fill="auto"/>
            <w:vAlign w:val="center"/>
          </w:tcPr>
          <w:p w14:paraId="46714793">
            <w:pPr>
              <w:pStyle w:val="90"/>
            </w:pPr>
            <w:r>
              <w:t>井深/m</w:t>
            </w:r>
          </w:p>
        </w:tc>
        <w:tc>
          <w:tcPr>
            <w:tcW w:w="1427" w:type="pct"/>
            <w:shd w:val="clear" w:color="auto" w:fill="auto"/>
            <w:vAlign w:val="center"/>
          </w:tcPr>
          <w:p w14:paraId="5FA010F8">
            <w:pPr>
              <w:pStyle w:val="90"/>
            </w:pPr>
            <w:r>
              <w:rPr>
                <w:rFonts w:hint="eastAsia"/>
              </w:rPr>
              <w:t>备注</w:t>
            </w:r>
          </w:p>
        </w:tc>
      </w:tr>
      <w:tr w14:paraId="53D15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0D5D7BC5">
            <w:pPr>
              <w:pStyle w:val="90"/>
            </w:pPr>
            <w:r>
              <w:t>南9点</w:t>
            </w:r>
          </w:p>
        </w:tc>
        <w:tc>
          <w:tcPr>
            <w:tcW w:w="956" w:type="pct"/>
            <w:shd w:val="clear" w:color="auto" w:fill="auto"/>
            <w:vAlign w:val="center"/>
          </w:tcPr>
          <w:p w14:paraId="5C437629">
            <w:pPr>
              <w:pStyle w:val="90"/>
            </w:pPr>
            <w:r>
              <w:t>84°51′33″</w:t>
            </w:r>
          </w:p>
        </w:tc>
        <w:tc>
          <w:tcPr>
            <w:tcW w:w="957" w:type="pct"/>
            <w:shd w:val="clear" w:color="auto" w:fill="auto"/>
            <w:vAlign w:val="center"/>
          </w:tcPr>
          <w:p w14:paraId="3FF5FCCE">
            <w:pPr>
              <w:pStyle w:val="90"/>
            </w:pPr>
            <w:r>
              <w:t>44°48′27″</w:t>
            </w:r>
          </w:p>
        </w:tc>
        <w:tc>
          <w:tcPr>
            <w:tcW w:w="568" w:type="pct"/>
            <w:shd w:val="clear" w:color="auto" w:fill="auto"/>
            <w:vAlign w:val="center"/>
          </w:tcPr>
          <w:p w14:paraId="77D42409">
            <w:pPr>
              <w:pStyle w:val="90"/>
            </w:pPr>
            <w:r>
              <w:rPr>
                <w:rFonts w:hint="eastAsia"/>
              </w:rPr>
              <w:t>4</w:t>
            </w:r>
            <w:r>
              <w:t>0</w:t>
            </w:r>
          </w:p>
        </w:tc>
        <w:tc>
          <w:tcPr>
            <w:tcW w:w="1428" w:type="pct"/>
            <w:vMerge w:val="restart"/>
            <w:shd w:val="clear" w:color="auto" w:fill="auto"/>
            <w:vAlign w:val="center"/>
          </w:tcPr>
          <w:p w14:paraId="0F3A5B76">
            <w:pPr>
              <w:pStyle w:val="90"/>
            </w:pPr>
            <w:r>
              <w:rPr>
                <w:rFonts w:hint="eastAsia"/>
              </w:rPr>
              <w:t>引用《胡杨河经济技术开发区化工园区地下水环境状况调查评估报告》数据</w:t>
            </w:r>
          </w:p>
        </w:tc>
      </w:tr>
      <w:tr w14:paraId="5FB90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1DD9E64F">
            <w:pPr>
              <w:pStyle w:val="90"/>
            </w:pPr>
            <w:r>
              <w:t>南6点</w:t>
            </w:r>
          </w:p>
        </w:tc>
        <w:tc>
          <w:tcPr>
            <w:tcW w:w="956" w:type="pct"/>
            <w:shd w:val="clear" w:color="auto" w:fill="auto"/>
            <w:vAlign w:val="center"/>
          </w:tcPr>
          <w:p w14:paraId="23F1EF6E">
            <w:pPr>
              <w:pStyle w:val="90"/>
            </w:pPr>
            <w:r>
              <w:t>84°51′53″</w:t>
            </w:r>
          </w:p>
        </w:tc>
        <w:tc>
          <w:tcPr>
            <w:tcW w:w="957" w:type="pct"/>
            <w:shd w:val="clear" w:color="auto" w:fill="auto"/>
            <w:vAlign w:val="center"/>
          </w:tcPr>
          <w:p w14:paraId="23B04352">
            <w:pPr>
              <w:pStyle w:val="90"/>
            </w:pPr>
            <w:r>
              <w:t>44°48′58″</w:t>
            </w:r>
          </w:p>
        </w:tc>
        <w:tc>
          <w:tcPr>
            <w:tcW w:w="568" w:type="pct"/>
            <w:shd w:val="clear" w:color="auto" w:fill="auto"/>
            <w:vAlign w:val="center"/>
          </w:tcPr>
          <w:p w14:paraId="665D1475">
            <w:pPr>
              <w:pStyle w:val="90"/>
            </w:pPr>
            <w:r>
              <w:rPr>
                <w:rFonts w:hint="eastAsia"/>
              </w:rPr>
              <w:t>4</w:t>
            </w:r>
            <w:r>
              <w:t>0</w:t>
            </w:r>
          </w:p>
        </w:tc>
        <w:tc>
          <w:tcPr>
            <w:tcW w:w="1428" w:type="pct"/>
            <w:vMerge w:val="continue"/>
            <w:shd w:val="clear" w:color="auto" w:fill="auto"/>
            <w:vAlign w:val="center"/>
          </w:tcPr>
          <w:p w14:paraId="1201BB9B">
            <w:pPr>
              <w:pStyle w:val="90"/>
            </w:pPr>
          </w:p>
        </w:tc>
      </w:tr>
      <w:tr w14:paraId="14218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67C407BC">
            <w:pPr>
              <w:pStyle w:val="90"/>
            </w:pPr>
            <w:r>
              <w:t>南5点</w:t>
            </w:r>
          </w:p>
        </w:tc>
        <w:tc>
          <w:tcPr>
            <w:tcW w:w="956" w:type="pct"/>
            <w:shd w:val="clear" w:color="auto" w:fill="auto"/>
            <w:vAlign w:val="center"/>
          </w:tcPr>
          <w:p w14:paraId="0650D6E5">
            <w:pPr>
              <w:pStyle w:val="90"/>
            </w:pPr>
            <w:r>
              <w:t>84°51′13″</w:t>
            </w:r>
          </w:p>
        </w:tc>
        <w:tc>
          <w:tcPr>
            <w:tcW w:w="957" w:type="pct"/>
            <w:shd w:val="clear" w:color="auto" w:fill="auto"/>
            <w:vAlign w:val="center"/>
          </w:tcPr>
          <w:p w14:paraId="4E58340C">
            <w:pPr>
              <w:pStyle w:val="90"/>
            </w:pPr>
            <w:r>
              <w:t>44°50′43″</w:t>
            </w:r>
          </w:p>
        </w:tc>
        <w:tc>
          <w:tcPr>
            <w:tcW w:w="568" w:type="pct"/>
            <w:shd w:val="clear" w:color="auto" w:fill="auto"/>
            <w:vAlign w:val="center"/>
          </w:tcPr>
          <w:p w14:paraId="6BE7F708">
            <w:pPr>
              <w:pStyle w:val="90"/>
            </w:pPr>
            <w:r>
              <w:rPr>
                <w:rFonts w:hint="eastAsia"/>
              </w:rPr>
              <w:t>4</w:t>
            </w:r>
            <w:r>
              <w:t>0</w:t>
            </w:r>
          </w:p>
        </w:tc>
        <w:tc>
          <w:tcPr>
            <w:tcW w:w="1428" w:type="pct"/>
            <w:vMerge w:val="continue"/>
            <w:shd w:val="clear" w:color="auto" w:fill="auto"/>
            <w:vAlign w:val="center"/>
          </w:tcPr>
          <w:p w14:paraId="47364023">
            <w:pPr>
              <w:pStyle w:val="90"/>
            </w:pPr>
          </w:p>
        </w:tc>
      </w:tr>
      <w:tr w14:paraId="06901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5652DE3D">
            <w:pPr>
              <w:pStyle w:val="90"/>
            </w:pPr>
            <w:r>
              <w:t>邦德生物</w:t>
            </w:r>
          </w:p>
        </w:tc>
        <w:tc>
          <w:tcPr>
            <w:tcW w:w="956" w:type="pct"/>
            <w:shd w:val="clear" w:color="auto" w:fill="auto"/>
            <w:vAlign w:val="center"/>
          </w:tcPr>
          <w:p w14:paraId="0B4A7C4A">
            <w:pPr>
              <w:pStyle w:val="90"/>
            </w:pPr>
            <w:r>
              <w:t>84°51'39"</w:t>
            </w:r>
          </w:p>
        </w:tc>
        <w:tc>
          <w:tcPr>
            <w:tcW w:w="957" w:type="pct"/>
            <w:shd w:val="clear" w:color="auto" w:fill="auto"/>
            <w:vAlign w:val="center"/>
          </w:tcPr>
          <w:p w14:paraId="14C0955F">
            <w:pPr>
              <w:pStyle w:val="90"/>
            </w:pPr>
            <w:r>
              <w:t>44°50'6"</w:t>
            </w:r>
          </w:p>
        </w:tc>
        <w:tc>
          <w:tcPr>
            <w:tcW w:w="568" w:type="pct"/>
            <w:shd w:val="clear" w:color="auto" w:fill="auto"/>
            <w:vAlign w:val="center"/>
          </w:tcPr>
          <w:p w14:paraId="2FFC2330">
            <w:pPr>
              <w:pStyle w:val="90"/>
            </w:pPr>
            <w:r>
              <w:rPr>
                <w:rFonts w:hint="eastAsia"/>
              </w:rPr>
              <w:t>3</w:t>
            </w:r>
            <w:r>
              <w:t>0</w:t>
            </w:r>
          </w:p>
        </w:tc>
        <w:tc>
          <w:tcPr>
            <w:tcW w:w="1428" w:type="pct"/>
            <w:vMerge w:val="continue"/>
            <w:shd w:val="clear" w:color="auto" w:fill="auto"/>
            <w:vAlign w:val="center"/>
          </w:tcPr>
          <w:p w14:paraId="7239530E">
            <w:pPr>
              <w:pStyle w:val="90"/>
            </w:pPr>
          </w:p>
        </w:tc>
      </w:tr>
      <w:tr w14:paraId="59A92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67391A8A">
            <w:pPr>
              <w:pStyle w:val="90"/>
            </w:pPr>
            <w:r>
              <w:rPr>
                <w:rFonts w:hint="eastAsia"/>
              </w:rPr>
              <w:t>1</w:t>
            </w:r>
            <w:r>
              <w:t>30</w:t>
            </w:r>
            <w:r>
              <w:rPr>
                <w:rFonts w:hint="eastAsia"/>
              </w:rPr>
              <w:t>团15连水井</w:t>
            </w:r>
          </w:p>
        </w:tc>
        <w:tc>
          <w:tcPr>
            <w:tcW w:w="956" w:type="pct"/>
            <w:shd w:val="clear" w:color="auto" w:fill="auto"/>
            <w:vAlign w:val="center"/>
          </w:tcPr>
          <w:p w14:paraId="2B420B83">
            <w:pPr>
              <w:pStyle w:val="90"/>
            </w:pPr>
            <w:r>
              <w:t>84°50'14.36"</w:t>
            </w:r>
          </w:p>
        </w:tc>
        <w:tc>
          <w:tcPr>
            <w:tcW w:w="957" w:type="pct"/>
            <w:shd w:val="clear" w:color="auto" w:fill="auto"/>
            <w:vAlign w:val="center"/>
          </w:tcPr>
          <w:p w14:paraId="1DF736D7">
            <w:pPr>
              <w:pStyle w:val="90"/>
            </w:pPr>
            <w:r>
              <w:t>44°48'30.38"</w:t>
            </w:r>
          </w:p>
        </w:tc>
        <w:tc>
          <w:tcPr>
            <w:tcW w:w="568" w:type="pct"/>
            <w:shd w:val="clear" w:color="auto" w:fill="auto"/>
            <w:vAlign w:val="center"/>
          </w:tcPr>
          <w:p w14:paraId="6F4954B7">
            <w:pPr>
              <w:pStyle w:val="90"/>
            </w:pPr>
            <w:r>
              <w:t>47</w:t>
            </w:r>
          </w:p>
        </w:tc>
        <w:tc>
          <w:tcPr>
            <w:tcW w:w="1428" w:type="pct"/>
            <w:shd w:val="clear" w:color="auto" w:fill="auto"/>
            <w:vAlign w:val="center"/>
          </w:tcPr>
          <w:p w14:paraId="7C60B7CF">
            <w:pPr>
              <w:pStyle w:val="90"/>
            </w:pPr>
            <w:r>
              <w:rPr>
                <w:rFonts w:hint="eastAsia"/>
              </w:rPr>
              <w:t>委托监测</w:t>
            </w:r>
          </w:p>
        </w:tc>
      </w:tr>
      <w:tr w14:paraId="3A73B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426991C3">
            <w:pPr>
              <w:pStyle w:val="90"/>
            </w:pPr>
            <w:r>
              <w:t>水位（南12点）</w:t>
            </w:r>
          </w:p>
        </w:tc>
        <w:tc>
          <w:tcPr>
            <w:tcW w:w="956" w:type="pct"/>
            <w:shd w:val="clear" w:color="auto" w:fill="auto"/>
            <w:vAlign w:val="center"/>
          </w:tcPr>
          <w:p w14:paraId="60DD1631">
            <w:pPr>
              <w:pStyle w:val="90"/>
            </w:pPr>
            <w:r>
              <w:t>84°52′53″</w:t>
            </w:r>
          </w:p>
        </w:tc>
        <w:tc>
          <w:tcPr>
            <w:tcW w:w="957" w:type="pct"/>
            <w:shd w:val="clear" w:color="auto" w:fill="auto"/>
            <w:vAlign w:val="center"/>
          </w:tcPr>
          <w:p w14:paraId="265FE1F6">
            <w:pPr>
              <w:pStyle w:val="90"/>
            </w:pPr>
            <w:r>
              <w:t>44°47′03″</w:t>
            </w:r>
          </w:p>
        </w:tc>
        <w:tc>
          <w:tcPr>
            <w:tcW w:w="568" w:type="pct"/>
            <w:shd w:val="clear" w:color="auto" w:fill="auto"/>
            <w:vAlign w:val="center"/>
          </w:tcPr>
          <w:p w14:paraId="4F082B61">
            <w:pPr>
              <w:pStyle w:val="90"/>
            </w:pPr>
            <w:r>
              <w:rPr>
                <w:rFonts w:hint="eastAsia"/>
              </w:rPr>
              <w:t>4</w:t>
            </w:r>
            <w:r>
              <w:t>0</w:t>
            </w:r>
          </w:p>
        </w:tc>
        <w:tc>
          <w:tcPr>
            <w:tcW w:w="1428" w:type="pct"/>
            <w:vMerge w:val="restart"/>
            <w:shd w:val="clear" w:color="auto" w:fill="auto"/>
            <w:vAlign w:val="center"/>
          </w:tcPr>
          <w:p w14:paraId="7E973038">
            <w:pPr>
              <w:pStyle w:val="90"/>
            </w:pPr>
            <w:r>
              <w:rPr>
                <w:rFonts w:hint="eastAsia"/>
              </w:rPr>
              <w:t>引用《胡杨河经济技术开发区化工园区地下水环境状况调查评估报告》数据</w:t>
            </w:r>
          </w:p>
        </w:tc>
      </w:tr>
      <w:tr w14:paraId="05FC5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7881A8E5">
            <w:pPr>
              <w:pStyle w:val="90"/>
            </w:pPr>
            <w:r>
              <w:t>水位（南11点）</w:t>
            </w:r>
          </w:p>
        </w:tc>
        <w:tc>
          <w:tcPr>
            <w:tcW w:w="956" w:type="pct"/>
            <w:shd w:val="clear" w:color="auto" w:fill="auto"/>
            <w:vAlign w:val="center"/>
          </w:tcPr>
          <w:p w14:paraId="39284983">
            <w:pPr>
              <w:pStyle w:val="90"/>
            </w:pPr>
            <w:r>
              <w:t>84°52′52″</w:t>
            </w:r>
          </w:p>
        </w:tc>
        <w:tc>
          <w:tcPr>
            <w:tcW w:w="957" w:type="pct"/>
            <w:shd w:val="clear" w:color="auto" w:fill="auto"/>
            <w:vAlign w:val="center"/>
          </w:tcPr>
          <w:p w14:paraId="2B6AFC50">
            <w:pPr>
              <w:pStyle w:val="90"/>
            </w:pPr>
            <w:r>
              <w:t>44°47′54″</w:t>
            </w:r>
          </w:p>
        </w:tc>
        <w:tc>
          <w:tcPr>
            <w:tcW w:w="568" w:type="pct"/>
            <w:shd w:val="clear" w:color="auto" w:fill="auto"/>
            <w:vAlign w:val="center"/>
          </w:tcPr>
          <w:p w14:paraId="29190285">
            <w:pPr>
              <w:pStyle w:val="90"/>
            </w:pPr>
            <w:r>
              <w:rPr>
                <w:rFonts w:hint="eastAsia"/>
              </w:rPr>
              <w:t>4</w:t>
            </w:r>
            <w:r>
              <w:t>0</w:t>
            </w:r>
          </w:p>
        </w:tc>
        <w:tc>
          <w:tcPr>
            <w:tcW w:w="1427" w:type="pct"/>
            <w:vMerge w:val="continue"/>
            <w:shd w:val="clear" w:color="auto" w:fill="auto"/>
            <w:vAlign w:val="center"/>
          </w:tcPr>
          <w:p w14:paraId="13B89668">
            <w:pPr>
              <w:pStyle w:val="90"/>
            </w:pPr>
          </w:p>
        </w:tc>
      </w:tr>
      <w:tr w14:paraId="26487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15A5EF03">
            <w:pPr>
              <w:pStyle w:val="90"/>
            </w:pPr>
            <w:r>
              <w:t>水位（南8点）</w:t>
            </w:r>
          </w:p>
        </w:tc>
        <w:tc>
          <w:tcPr>
            <w:tcW w:w="956" w:type="pct"/>
            <w:shd w:val="clear" w:color="auto" w:fill="auto"/>
            <w:vAlign w:val="center"/>
          </w:tcPr>
          <w:p w14:paraId="7733A47A">
            <w:pPr>
              <w:pStyle w:val="90"/>
            </w:pPr>
            <w:r>
              <w:t>84°53′12″</w:t>
            </w:r>
          </w:p>
        </w:tc>
        <w:tc>
          <w:tcPr>
            <w:tcW w:w="957" w:type="pct"/>
            <w:shd w:val="clear" w:color="auto" w:fill="auto"/>
            <w:vAlign w:val="center"/>
          </w:tcPr>
          <w:p w14:paraId="52ABE9D0">
            <w:pPr>
              <w:pStyle w:val="90"/>
            </w:pPr>
            <w:r>
              <w:t>44°48′28″</w:t>
            </w:r>
          </w:p>
        </w:tc>
        <w:tc>
          <w:tcPr>
            <w:tcW w:w="568" w:type="pct"/>
            <w:shd w:val="clear" w:color="auto" w:fill="auto"/>
            <w:vAlign w:val="center"/>
          </w:tcPr>
          <w:p w14:paraId="16BFA082">
            <w:pPr>
              <w:pStyle w:val="90"/>
            </w:pPr>
            <w:r>
              <w:rPr>
                <w:rFonts w:hint="eastAsia"/>
              </w:rPr>
              <w:t>4</w:t>
            </w:r>
            <w:r>
              <w:t>0</w:t>
            </w:r>
          </w:p>
        </w:tc>
        <w:tc>
          <w:tcPr>
            <w:tcW w:w="1427" w:type="pct"/>
            <w:vMerge w:val="continue"/>
            <w:shd w:val="clear" w:color="auto" w:fill="auto"/>
            <w:vAlign w:val="center"/>
          </w:tcPr>
          <w:p w14:paraId="56888768">
            <w:pPr>
              <w:pStyle w:val="90"/>
            </w:pPr>
          </w:p>
        </w:tc>
      </w:tr>
      <w:tr w14:paraId="1FAB7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400913D3">
            <w:pPr>
              <w:pStyle w:val="90"/>
            </w:pPr>
            <w:r>
              <w:t>水位（南7点）</w:t>
            </w:r>
          </w:p>
        </w:tc>
        <w:tc>
          <w:tcPr>
            <w:tcW w:w="956" w:type="pct"/>
            <w:shd w:val="clear" w:color="auto" w:fill="auto"/>
            <w:vAlign w:val="center"/>
          </w:tcPr>
          <w:p w14:paraId="4B3E8629">
            <w:pPr>
              <w:pStyle w:val="90"/>
            </w:pPr>
            <w:r>
              <w:t>84°52′47″</w:t>
            </w:r>
          </w:p>
        </w:tc>
        <w:tc>
          <w:tcPr>
            <w:tcW w:w="957" w:type="pct"/>
            <w:shd w:val="clear" w:color="auto" w:fill="auto"/>
            <w:vAlign w:val="center"/>
          </w:tcPr>
          <w:p w14:paraId="63EA8646">
            <w:pPr>
              <w:pStyle w:val="90"/>
            </w:pPr>
            <w:r>
              <w:t>44°48′59″</w:t>
            </w:r>
          </w:p>
        </w:tc>
        <w:tc>
          <w:tcPr>
            <w:tcW w:w="568" w:type="pct"/>
            <w:shd w:val="clear" w:color="auto" w:fill="auto"/>
            <w:vAlign w:val="center"/>
          </w:tcPr>
          <w:p w14:paraId="0FD18356">
            <w:pPr>
              <w:pStyle w:val="90"/>
            </w:pPr>
            <w:r>
              <w:rPr>
                <w:rFonts w:hint="eastAsia"/>
              </w:rPr>
              <w:t>4</w:t>
            </w:r>
            <w:r>
              <w:t>0</w:t>
            </w:r>
          </w:p>
        </w:tc>
        <w:tc>
          <w:tcPr>
            <w:tcW w:w="1427" w:type="pct"/>
            <w:vMerge w:val="continue"/>
            <w:shd w:val="clear" w:color="auto" w:fill="auto"/>
            <w:vAlign w:val="center"/>
          </w:tcPr>
          <w:p w14:paraId="1D82F178">
            <w:pPr>
              <w:pStyle w:val="90"/>
            </w:pPr>
          </w:p>
        </w:tc>
      </w:tr>
      <w:tr w14:paraId="2381E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0F504B48">
            <w:pPr>
              <w:pStyle w:val="90"/>
            </w:pPr>
            <w:r>
              <w:t>水位（苏通化工）</w:t>
            </w:r>
          </w:p>
        </w:tc>
        <w:tc>
          <w:tcPr>
            <w:tcW w:w="956" w:type="pct"/>
            <w:shd w:val="clear" w:color="auto" w:fill="auto"/>
            <w:vAlign w:val="center"/>
          </w:tcPr>
          <w:p w14:paraId="31BF4A8F">
            <w:pPr>
              <w:pStyle w:val="90"/>
            </w:pPr>
            <w:r>
              <w:t>84°52'29"</w:t>
            </w:r>
          </w:p>
        </w:tc>
        <w:tc>
          <w:tcPr>
            <w:tcW w:w="957" w:type="pct"/>
            <w:shd w:val="clear" w:color="auto" w:fill="auto"/>
            <w:vAlign w:val="center"/>
          </w:tcPr>
          <w:p w14:paraId="471C20E9">
            <w:pPr>
              <w:pStyle w:val="90"/>
            </w:pPr>
            <w:r>
              <w:t>44°50'49"</w:t>
            </w:r>
          </w:p>
        </w:tc>
        <w:tc>
          <w:tcPr>
            <w:tcW w:w="568" w:type="pct"/>
            <w:shd w:val="clear" w:color="auto" w:fill="auto"/>
            <w:vAlign w:val="center"/>
          </w:tcPr>
          <w:p w14:paraId="6F884BE4">
            <w:pPr>
              <w:pStyle w:val="90"/>
            </w:pPr>
            <w:r>
              <w:rPr>
                <w:rFonts w:hint="eastAsia"/>
              </w:rPr>
              <w:t>3</w:t>
            </w:r>
            <w:r>
              <w:t>0</w:t>
            </w:r>
          </w:p>
        </w:tc>
        <w:tc>
          <w:tcPr>
            <w:tcW w:w="1427" w:type="pct"/>
            <w:vMerge w:val="continue"/>
            <w:shd w:val="clear" w:color="auto" w:fill="auto"/>
            <w:vAlign w:val="center"/>
          </w:tcPr>
          <w:p w14:paraId="1DD1B697">
            <w:pPr>
              <w:pStyle w:val="90"/>
            </w:pPr>
          </w:p>
        </w:tc>
      </w:tr>
    </w:tbl>
    <w:p w14:paraId="0C017331">
      <w:pPr>
        <w:ind w:firstLine="480"/>
      </w:pPr>
      <w:r>
        <w:rPr>
          <w:rFonts w:hint="eastAsia"/>
        </w:rPr>
        <w:t>本次引用数据来自《胡杨河经济技术开发区化工园区地下水环境状况调查评估报告》之中，上述引用的点位与本项目的位置关系如下：南9点位于项目厂区西北方向0</w:t>
      </w:r>
      <w:r>
        <w:t>.06</w:t>
      </w:r>
      <w:r>
        <w:rPr>
          <w:rFonts w:hint="eastAsia"/>
        </w:rPr>
        <w:t>km（侧游）、南6点位于项目厂区东北方向0</w:t>
      </w:r>
      <w:r>
        <w:t>.37</w:t>
      </w:r>
      <w:r>
        <w:rPr>
          <w:rFonts w:hint="eastAsia"/>
        </w:rPr>
        <w:t>km（侧游）、南5点位于项目厂区南侧1</w:t>
      </w:r>
      <w:r>
        <w:t>.6</w:t>
      </w:r>
      <w:r>
        <w:rPr>
          <w:rFonts w:hint="eastAsia"/>
        </w:rPr>
        <w:t>km（上游）、邦德生物点位于项目区北侧2</w:t>
      </w:r>
      <w:r>
        <w:t>.21</w:t>
      </w:r>
      <w:r>
        <w:rPr>
          <w:rFonts w:hint="eastAsia"/>
        </w:rPr>
        <w:t>km（下游）。数据监测时间是202</w:t>
      </w:r>
      <w:r>
        <w:t>3</w:t>
      </w:r>
      <w:r>
        <w:rPr>
          <w:rFonts w:hint="eastAsia"/>
        </w:rPr>
        <w:t>年</w:t>
      </w:r>
      <w:r>
        <w:t>7</w:t>
      </w:r>
      <w:r>
        <w:rPr>
          <w:rFonts w:hint="eastAsia"/>
        </w:rPr>
        <w:t>月</w:t>
      </w:r>
      <w:r>
        <w:t>24</w:t>
      </w:r>
      <w:r>
        <w:rPr>
          <w:rFonts w:hint="eastAsia"/>
        </w:rPr>
        <w:t>日，综上所述，本次引用数据在有效期内，且满足监测点分布要求。</w:t>
      </w:r>
    </w:p>
    <w:p w14:paraId="7D0B6809">
      <w:pPr>
        <w:ind w:firstLine="480"/>
      </w:pPr>
      <w:r>
        <w:rPr>
          <w:rFonts w:hint="eastAsia"/>
        </w:rPr>
        <w:t>（2）监测因子</w:t>
      </w:r>
    </w:p>
    <w:p w14:paraId="02528185">
      <w:pPr>
        <w:ind w:firstLine="480"/>
      </w:pPr>
      <w:r>
        <w:rPr>
          <w:rFonts w:hint="eastAsia"/>
        </w:rPr>
        <w:t>①</w:t>
      </w: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rPr>
          <w:rFonts w:hint="eastAsia"/>
        </w:rPr>
        <w:t>、</w:t>
      </w:r>
      <w:r>
        <w:t>HCO</w:t>
      </w:r>
      <w:r>
        <w:rPr>
          <w:vertAlign w:val="superscript"/>
        </w:rPr>
        <w:t>3-</w:t>
      </w:r>
      <w:r>
        <w:rPr>
          <w:rFonts w:hint="eastAsia"/>
        </w:rPr>
        <w:t>、</w:t>
      </w:r>
      <w:r>
        <w:t>Cl-</w:t>
      </w:r>
      <w:r>
        <w:rPr>
          <w:rFonts w:hint="eastAsia"/>
        </w:rPr>
        <w:t>、</w:t>
      </w:r>
      <w:r>
        <w:t>SO</w:t>
      </w:r>
      <w:r>
        <w:rPr>
          <w:vertAlign w:val="subscript"/>
        </w:rPr>
        <w:t>4</w:t>
      </w:r>
      <w:r>
        <w:rPr>
          <w:vertAlign w:val="superscript"/>
        </w:rPr>
        <w:t>2-</w:t>
      </w:r>
    </w:p>
    <w:p w14:paraId="513D5589">
      <w:pPr>
        <w:ind w:firstLine="480"/>
      </w:pPr>
      <w:r>
        <w:rPr>
          <w:rFonts w:hint="eastAsia"/>
        </w:rPr>
        <w:t>②</w:t>
      </w:r>
      <w:r>
        <w:t>pH、总硬度（以CaCO</w:t>
      </w:r>
      <w:r>
        <w:rPr>
          <w:vertAlign w:val="subscript"/>
        </w:rPr>
        <w:t>3</w:t>
      </w:r>
      <w:r>
        <w:t>计）、溶解性总固体、硫酸盐、氯化物、挥发性酚类（以苯酚计）、耗氧量（COD</w:t>
      </w:r>
      <w:r>
        <w:rPr>
          <w:vertAlign w:val="subscript"/>
        </w:rPr>
        <w:t>Mn</w:t>
      </w:r>
      <w:r>
        <w:t>法，以O</w:t>
      </w:r>
      <w:r>
        <w:rPr>
          <w:vertAlign w:val="subscript"/>
        </w:rPr>
        <w:t>2</w:t>
      </w:r>
      <w:r>
        <w:t>计）、氨氮（以N计）、硫化物、钠、总大肠菌群、细菌总数、亚硝酸盐（以N计）、硝酸盐（以N计）、氰化物、氟化物、汞、砷、硒、镉、铬（六价）、铅</w:t>
      </w:r>
      <w:r>
        <w:rPr>
          <w:rFonts w:hint="eastAsia"/>
        </w:rPr>
        <w:t>。</w:t>
      </w:r>
    </w:p>
    <w:p w14:paraId="4CD7276D">
      <w:pPr>
        <w:ind w:firstLine="480"/>
      </w:pPr>
      <w:r>
        <w:rPr>
          <w:rFonts w:hint="eastAsia"/>
        </w:rPr>
        <w:t>③水位、井深。</w:t>
      </w:r>
    </w:p>
    <w:p w14:paraId="1FCE1B03">
      <w:pPr>
        <w:ind w:firstLine="480"/>
      </w:pPr>
      <w:r>
        <w:rPr>
          <w:rFonts w:hint="eastAsia"/>
        </w:rPr>
        <w:t>（3）评价方法</w:t>
      </w:r>
    </w:p>
    <w:p w14:paraId="47686DCB">
      <w:pPr>
        <w:ind w:firstLine="480"/>
      </w:pPr>
      <w:r>
        <w:t>评价方法采用单因子标准指数法，具体如下。</w:t>
      </w:r>
    </w:p>
    <w:p w14:paraId="09B27E2C">
      <w:pPr>
        <w:ind w:firstLine="480"/>
      </w:pPr>
      <w:r>
        <w:rPr>
          <w:rFonts w:hint="eastAsia" w:ascii="宋体" w:hAnsi="宋体" w:cs="宋体"/>
        </w:rPr>
        <w:t>①</w:t>
      </w:r>
      <w:r>
        <w:t>单因子i在j点的标准指标</w:t>
      </w:r>
    </w:p>
    <w:p w14:paraId="44915351">
      <w:pPr>
        <w:adjustRightInd w:val="0"/>
        <w:snapToGrid w:val="0"/>
        <w:ind w:firstLine="480"/>
        <w:jc w:val="center"/>
        <w:rPr>
          <w:kern w:val="0"/>
          <w:szCs w:val="20"/>
        </w:rPr>
      </w:pPr>
      <w:r>
        <w:rPr>
          <w:kern w:val="0"/>
          <w:position w:val="-30"/>
          <w:szCs w:val="20"/>
        </w:rPr>
        <w:drawing>
          <wp:inline distT="0" distB="0" distL="114300" distR="114300">
            <wp:extent cx="561975" cy="466725"/>
            <wp:effectExtent l="0" t="0" r="9525" b="8255"/>
            <wp:docPr id="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pic:cNvPicPr>
                      <a:picLocks noChangeAspect="1"/>
                    </pic:cNvPicPr>
                  </pic:nvPicPr>
                  <pic:blipFill>
                    <a:blip r:embed="rId69"/>
                    <a:stretch>
                      <a:fillRect/>
                    </a:stretch>
                  </pic:blipFill>
                  <pic:spPr>
                    <a:xfrm>
                      <a:off x="0" y="0"/>
                      <a:ext cx="561975" cy="466725"/>
                    </a:xfrm>
                    <a:prstGeom prst="rect">
                      <a:avLst/>
                    </a:prstGeom>
                    <a:noFill/>
                    <a:ln>
                      <a:noFill/>
                    </a:ln>
                  </pic:spPr>
                </pic:pic>
              </a:graphicData>
            </a:graphic>
          </wp:inline>
        </w:drawing>
      </w:r>
    </w:p>
    <w:p w14:paraId="41FDA8F2">
      <w:pPr>
        <w:ind w:firstLine="480"/>
      </w:pPr>
      <w:r>
        <w:rPr>
          <w:rFonts w:hint="eastAsia" w:ascii="宋体" w:hAnsi="宋体" w:cs="宋体"/>
        </w:rPr>
        <w:t>②</w:t>
      </w:r>
      <w:r>
        <w:t>对于评价因子pH值评价模式如下：</w:t>
      </w:r>
    </w:p>
    <w:p w14:paraId="47F7D6E8">
      <w:pPr>
        <w:adjustRightInd w:val="0"/>
        <w:snapToGrid w:val="0"/>
        <w:ind w:firstLine="480"/>
        <w:jc w:val="center"/>
        <w:rPr>
          <w:kern w:val="0"/>
          <w:szCs w:val="20"/>
        </w:rPr>
      </w:pPr>
      <w:r>
        <w:rPr>
          <w:kern w:val="0"/>
          <w:position w:val="-30"/>
          <w:szCs w:val="20"/>
        </w:rPr>
        <w:drawing>
          <wp:inline distT="0" distB="0" distL="114300" distR="114300">
            <wp:extent cx="1114425" cy="428625"/>
            <wp:effectExtent l="0" t="0" r="0" b="8890"/>
            <wp:docPr id="3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9"/>
                    <pic:cNvPicPr>
                      <a:picLocks noChangeAspect="1"/>
                    </pic:cNvPicPr>
                  </pic:nvPicPr>
                  <pic:blipFill>
                    <a:blip r:embed="rId70"/>
                    <a:stretch>
                      <a:fillRect/>
                    </a:stretch>
                  </pic:blipFill>
                  <pic:spPr>
                    <a:xfrm>
                      <a:off x="0" y="0"/>
                      <a:ext cx="1114425" cy="428625"/>
                    </a:xfrm>
                    <a:prstGeom prst="rect">
                      <a:avLst/>
                    </a:prstGeom>
                    <a:noFill/>
                    <a:ln>
                      <a:noFill/>
                    </a:ln>
                  </pic:spPr>
                </pic:pic>
              </a:graphicData>
            </a:graphic>
          </wp:inline>
        </w:drawing>
      </w:r>
      <w:r>
        <w:rPr>
          <w:kern w:val="0"/>
          <w:szCs w:val="20"/>
        </w:rPr>
        <w:tab/>
      </w:r>
      <w:r>
        <w:rPr>
          <w:kern w:val="0"/>
          <w:szCs w:val="20"/>
        </w:rPr>
        <w:t>pH</w:t>
      </w:r>
      <w:r>
        <w:rPr>
          <w:kern w:val="0"/>
          <w:szCs w:val="20"/>
          <w:lang w:val="en-GB"/>
        </w:rPr>
        <w:t>≤</w:t>
      </w:r>
      <w:r>
        <w:rPr>
          <w:kern w:val="0"/>
          <w:szCs w:val="20"/>
        </w:rPr>
        <w:t>7.0</w:t>
      </w:r>
    </w:p>
    <w:p w14:paraId="2A2CD378">
      <w:pPr>
        <w:adjustRightInd w:val="0"/>
        <w:snapToGrid w:val="0"/>
        <w:ind w:firstLine="480"/>
        <w:jc w:val="center"/>
        <w:rPr>
          <w:kern w:val="0"/>
          <w:szCs w:val="20"/>
        </w:rPr>
      </w:pPr>
      <w:r>
        <w:rPr>
          <w:kern w:val="0"/>
          <w:position w:val="-30"/>
          <w:szCs w:val="20"/>
        </w:rPr>
        <w:drawing>
          <wp:inline distT="0" distB="0" distL="114300" distR="114300">
            <wp:extent cx="1076325" cy="428625"/>
            <wp:effectExtent l="0" t="0" r="9525" b="8890"/>
            <wp:docPr id="3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0"/>
                    <pic:cNvPicPr>
                      <a:picLocks noChangeAspect="1"/>
                    </pic:cNvPicPr>
                  </pic:nvPicPr>
                  <pic:blipFill>
                    <a:blip r:embed="rId71"/>
                    <a:stretch>
                      <a:fillRect/>
                    </a:stretch>
                  </pic:blipFill>
                  <pic:spPr>
                    <a:xfrm>
                      <a:off x="0" y="0"/>
                      <a:ext cx="1076325" cy="428625"/>
                    </a:xfrm>
                    <a:prstGeom prst="rect">
                      <a:avLst/>
                    </a:prstGeom>
                    <a:noFill/>
                    <a:ln>
                      <a:noFill/>
                    </a:ln>
                  </pic:spPr>
                </pic:pic>
              </a:graphicData>
            </a:graphic>
          </wp:inline>
        </w:drawing>
      </w:r>
      <w:r>
        <w:rPr>
          <w:kern w:val="0"/>
          <w:szCs w:val="20"/>
        </w:rPr>
        <w:t xml:space="preserve"> </w:t>
      </w:r>
      <w:r>
        <w:rPr>
          <w:kern w:val="0"/>
          <w:szCs w:val="20"/>
        </w:rPr>
        <w:tab/>
      </w:r>
      <w:r>
        <w:rPr>
          <w:kern w:val="0"/>
          <w:szCs w:val="20"/>
        </w:rPr>
        <w:t>pH</w:t>
      </w:r>
      <w:r>
        <w:rPr>
          <w:kern w:val="0"/>
          <w:szCs w:val="20"/>
          <w:lang w:val="en-GB"/>
        </w:rPr>
        <w:t>＞</w:t>
      </w:r>
      <w:r>
        <w:rPr>
          <w:kern w:val="0"/>
          <w:szCs w:val="20"/>
        </w:rPr>
        <w:t>7.0</w:t>
      </w:r>
    </w:p>
    <w:p w14:paraId="51A54E92">
      <w:pPr>
        <w:ind w:firstLine="480"/>
      </w:pPr>
      <w:r>
        <w:t>式中：</w:t>
      </w:r>
      <w:r>
        <w:rPr>
          <w:position w:val="-14"/>
        </w:rPr>
        <w:drawing>
          <wp:inline distT="0" distB="0" distL="114300" distR="114300">
            <wp:extent cx="190500" cy="238125"/>
            <wp:effectExtent l="0" t="0" r="0" b="7620"/>
            <wp:docPr id="3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1"/>
                    <pic:cNvPicPr>
                      <a:picLocks noChangeAspect="1"/>
                    </pic:cNvPicPr>
                  </pic:nvPicPr>
                  <pic:blipFill>
                    <a:blip r:embed="rId72"/>
                    <a:stretch>
                      <a:fillRect/>
                    </a:stretch>
                  </pic:blipFill>
                  <pic:spPr>
                    <a:xfrm>
                      <a:off x="0" y="0"/>
                      <a:ext cx="190500" cy="238125"/>
                    </a:xfrm>
                    <a:prstGeom prst="rect">
                      <a:avLst/>
                    </a:prstGeom>
                    <a:noFill/>
                    <a:ln>
                      <a:noFill/>
                    </a:ln>
                  </pic:spPr>
                </pic:pic>
              </a:graphicData>
            </a:graphic>
          </wp:inline>
        </w:drawing>
      </w:r>
      <w:r>
        <w:t>—单项评价因子i在j点的标准指数；</w:t>
      </w:r>
    </w:p>
    <w:p w14:paraId="3350C577">
      <w:pPr>
        <w:adjustRightInd w:val="0"/>
        <w:snapToGrid w:val="0"/>
        <w:ind w:firstLine="1200" w:firstLineChars="500"/>
        <w:rPr>
          <w:kern w:val="0"/>
          <w:szCs w:val="20"/>
        </w:rPr>
      </w:pPr>
      <w:r>
        <w:rPr>
          <w:kern w:val="0"/>
          <w:position w:val="-14"/>
          <w:szCs w:val="20"/>
        </w:rPr>
        <w:drawing>
          <wp:inline distT="0" distB="0" distL="114300" distR="114300">
            <wp:extent cx="200025" cy="238125"/>
            <wp:effectExtent l="0" t="0" r="9525" b="7620"/>
            <wp:docPr id="3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2"/>
                    <pic:cNvPicPr>
                      <a:picLocks noChangeAspect="1"/>
                    </pic:cNvPicPr>
                  </pic:nvPicPr>
                  <pic:blipFill>
                    <a:blip r:embed="rId73"/>
                    <a:stretch>
                      <a:fillRect/>
                    </a:stretch>
                  </pic:blipFill>
                  <pic:spPr>
                    <a:xfrm>
                      <a:off x="0" y="0"/>
                      <a:ext cx="200025" cy="238125"/>
                    </a:xfrm>
                    <a:prstGeom prst="rect">
                      <a:avLst/>
                    </a:prstGeom>
                    <a:noFill/>
                    <a:ln>
                      <a:noFill/>
                    </a:ln>
                  </pic:spPr>
                </pic:pic>
              </a:graphicData>
            </a:graphic>
          </wp:inline>
        </w:drawing>
      </w:r>
      <w:r>
        <w:rPr>
          <w:kern w:val="0"/>
          <w:szCs w:val="20"/>
        </w:rPr>
        <w:t>—污染物i在监测点j的浓度，mg/L；</w:t>
      </w:r>
    </w:p>
    <w:p w14:paraId="548E0425">
      <w:pPr>
        <w:adjustRightInd w:val="0"/>
        <w:snapToGrid w:val="0"/>
        <w:ind w:firstLine="1200" w:firstLineChars="500"/>
        <w:rPr>
          <w:kern w:val="0"/>
          <w:szCs w:val="20"/>
        </w:rPr>
      </w:pPr>
      <w:r>
        <w:rPr>
          <w:kern w:val="0"/>
          <w:szCs w:val="20"/>
        </w:rPr>
        <w:drawing>
          <wp:inline distT="0" distB="0" distL="114300" distR="114300">
            <wp:extent cx="209550" cy="209550"/>
            <wp:effectExtent l="0" t="0" r="0" b="0"/>
            <wp:docPr id="3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3"/>
                    <pic:cNvPicPr>
                      <a:picLocks noChangeAspect="1"/>
                    </pic:cNvPicPr>
                  </pic:nvPicPr>
                  <pic:blipFill>
                    <a:blip r:embed="rId74"/>
                    <a:stretch>
                      <a:fillRect/>
                    </a:stretch>
                  </pic:blipFill>
                  <pic:spPr>
                    <a:xfrm>
                      <a:off x="0" y="0"/>
                      <a:ext cx="209550" cy="209550"/>
                    </a:xfrm>
                    <a:prstGeom prst="rect">
                      <a:avLst/>
                    </a:prstGeom>
                    <a:noFill/>
                    <a:ln>
                      <a:noFill/>
                    </a:ln>
                  </pic:spPr>
                </pic:pic>
              </a:graphicData>
            </a:graphic>
          </wp:inline>
        </w:drawing>
      </w:r>
      <w:r>
        <w:rPr>
          <w:kern w:val="0"/>
          <w:szCs w:val="20"/>
        </w:rPr>
        <w:t>—参数i的水质标准，mg/L；</w:t>
      </w:r>
    </w:p>
    <w:p w14:paraId="676F470A">
      <w:pPr>
        <w:adjustRightInd w:val="0"/>
        <w:snapToGrid w:val="0"/>
        <w:ind w:firstLine="1200" w:firstLineChars="500"/>
        <w:rPr>
          <w:kern w:val="0"/>
          <w:szCs w:val="20"/>
        </w:rPr>
      </w:pPr>
      <w:r>
        <w:rPr>
          <w:kern w:val="0"/>
          <w:position w:val="-14"/>
          <w:szCs w:val="20"/>
        </w:rPr>
        <w:drawing>
          <wp:inline distT="0" distB="0" distL="114300" distR="114300">
            <wp:extent cx="257175" cy="238125"/>
            <wp:effectExtent l="0" t="0" r="0" b="7620"/>
            <wp:docPr id="3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4"/>
                    <pic:cNvPicPr>
                      <a:picLocks noChangeAspect="1"/>
                    </pic:cNvPicPr>
                  </pic:nvPicPr>
                  <pic:blipFill>
                    <a:blip r:embed="rId75"/>
                    <a:stretch>
                      <a:fillRect/>
                    </a:stretch>
                  </pic:blipFill>
                  <pic:spPr>
                    <a:xfrm>
                      <a:off x="0" y="0"/>
                      <a:ext cx="257175" cy="238125"/>
                    </a:xfrm>
                    <a:prstGeom prst="rect">
                      <a:avLst/>
                    </a:prstGeom>
                    <a:noFill/>
                    <a:ln>
                      <a:noFill/>
                    </a:ln>
                  </pic:spPr>
                </pic:pic>
              </a:graphicData>
            </a:graphic>
          </wp:inline>
        </w:drawing>
      </w:r>
      <w:r>
        <w:rPr>
          <w:kern w:val="0"/>
          <w:szCs w:val="20"/>
        </w:rPr>
        <w:t>—pH值的标准指数；</w:t>
      </w:r>
    </w:p>
    <w:p w14:paraId="5F5AD6C0">
      <w:pPr>
        <w:adjustRightInd w:val="0"/>
        <w:snapToGrid w:val="0"/>
        <w:ind w:firstLine="1080" w:firstLineChars="450"/>
        <w:rPr>
          <w:kern w:val="0"/>
          <w:szCs w:val="20"/>
        </w:rPr>
      </w:pPr>
      <w:r>
        <w:rPr>
          <w:kern w:val="0"/>
          <w:position w:val="-10"/>
          <w:szCs w:val="20"/>
        </w:rPr>
        <w:t xml:space="preserve"> </w:t>
      </w:r>
      <w:r>
        <w:rPr>
          <w:kern w:val="0"/>
          <w:position w:val="-10"/>
          <w:szCs w:val="20"/>
        </w:rPr>
        <w:drawing>
          <wp:inline distT="0" distB="0" distL="114300" distR="114300">
            <wp:extent cx="257175" cy="200025"/>
            <wp:effectExtent l="0" t="0" r="9525" b="6985"/>
            <wp:docPr id="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5"/>
                    <pic:cNvPicPr>
                      <a:picLocks noChangeAspect="1"/>
                    </pic:cNvPicPr>
                  </pic:nvPicPr>
                  <pic:blipFill>
                    <a:blip r:embed="rId76"/>
                    <a:stretch>
                      <a:fillRect/>
                    </a:stretch>
                  </pic:blipFill>
                  <pic:spPr>
                    <a:xfrm>
                      <a:off x="0" y="0"/>
                      <a:ext cx="257175" cy="200025"/>
                    </a:xfrm>
                    <a:prstGeom prst="rect">
                      <a:avLst/>
                    </a:prstGeom>
                    <a:noFill/>
                    <a:ln>
                      <a:noFill/>
                    </a:ln>
                  </pic:spPr>
                </pic:pic>
              </a:graphicData>
            </a:graphic>
          </wp:inline>
        </w:drawing>
      </w:r>
      <w:r>
        <w:rPr>
          <w:kern w:val="0"/>
          <w:szCs w:val="20"/>
        </w:rPr>
        <w:t>—pH值的监测浓度；</w:t>
      </w:r>
    </w:p>
    <w:p w14:paraId="01426DAF">
      <w:pPr>
        <w:adjustRightInd w:val="0"/>
        <w:snapToGrid w:val="0"/>
        <w:ind w:firstLine="1080" w:firstLineChars="450"/>
        <w:rPr>
          <w:kern w:val="0"/>
          <w:szCs w:val="20"/>
        </w:rPr>
      </w:pPr>
      <w:r>
        <w:rPr>
          <w:kern w:val="0"/>
          <w:position w:val="-12"/>
          <w:szCs w:val="20"/>
        </w:rPr>
        <w:t xml:space="preserve"> </w:t>
      </w:r>
      <w:r>
        <w:rPr>
          <w:kern w:val="0"/>
          <w:position w:val="-12"/>
          <w:szCs w:val="20"/>
        </w:rPr>
        <w:drawing>
          <wp:inline distT="0" distB="0" distL="114300" distR="114300">
            <wp:extent cx="381000" cy="209550"/>
            <wp:effectExtent l="0" t="0" r="0" b="0"/>
            <wp:docPr id="3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6"/>
                    <pic:cNvPicPr>
                      <a:picLocks noChangeAspect="1"/>
                    </pic:cNvPicPr>
                  </pic:nvPicPr>
                  <pic:blipFill>
                    <a:blip r:embed="rId77"/>
                    <a:stretch>
                      <a:fillRect/>
                    </a:stretch>
                  </pic:blipFill>
                  <pic:spPr>
                    <a:xfrm>
                      <a:off x="0" y="0"/>
                      <a:ext cx="381000" cy="209550"/>
                    </a:xfrm>
                    <a:prstGeom prst="rect">
                      <a:avLst/>
                    </a:prstGeom>
                    <a:noFill/>
                    <a:ln>
                      <a:noFill/>
                    </a:ln>
                  </pic:spPr>
                </pic:pic>
              </a:graphicData>
            </a:graphic>
          </wp:inline>
        </w:drawing>
      </w:r>
      <w:r>
        <w:rPr>
          <w:kern w:val="0"/>
          <w:szCs w:val="20"/>
        </w:rPr>
        <w:t>—地下水水质标准中规定的pH值下限；</w:t>
      </w:r>
    </w:p>
    <w:p w14:paraId="272B861F">
      <w:pPr>
        <w:ind w:firstLine="480"/>
      </w:pPr>
      <w:r>
        <w:rPr>
          <w:position w:val="-12"/>
          <w:szCs w:val="24"/>
        </w:rPr>
        <w:t xml:space="preserve">       </w:t>
      </w:r>
      <w:r>
        <w:rPr>
          <w:position w:val="-12"/>
          <w:szCs w:val="24"/>
        </w:rPr>
        <w:drawing>
          <wp:inline distT="0" distB="0" distL="114300" distR="114300">
            <wp:extent cx="352425" cy="209550"/>
            <wp:effectExtent l="0" t="0" r="9525" b="0"/>
            <wp:docPr id="3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7"/>
                    <pic:cNvPicPr>
                      <a:picLocks noChangeAspect="1"/>
                    </pic:cNvPicPr>
                  </pic:nvPicPr>
                  <pic:blipFill>
                    <a:blip r:embed="rId78"/>
                    <a:stretch>
                      <a:fillRect/>
                    </a:stretch>
                  </pic:blipFill>
                  <pic:spPr>
                    <a:xfrm>
                      <a:off x="0" y="0"/>
                      <a:ext cx="352425" cy="209550"/>
                    </a:xfrm>
                    <a:prstGeom prst="rect">
                      <a:avLst/>
                    </a:prstGeom>
                    <a:noFill/>
                    <a:ln>
                      <a:noFill/>
                    </a:ln>
                  </pic:spPr>
                </pic:pic>
              </a:graphicData>
            </a:graphic>
          </wp:inline>
        </w:drawing>
      </w:r>
      <w:r>
        <w:rPr>
          <w:szCs w:val="24"/>
        </w:rPr>
        <w:t>—地下水水质标准中规定的pH值上限。</w:t>
      </w:r>
    </w:p>
    <w:p w14:paraId="0FB9E480">
      <w:pPr>
        <w:ind w:firstLine="480"/>
      </w:pPr>
      <w:r>
        <w:rPr>
          <w:rFonts w:hint="eastAsia"/>
        </w:rPr>
        <w:t>（4）监测结果</w:t>
      </w:r>
    </w:p>
    <w:p w14:paraId="20CF7C17">
      <w:pPr>
        <w:ind w:firstLine="480"/>
      </w:pPr>
      <w:r>
        <w:rPr>
          <w:rFonts w:hint="eastAsia"/>
        </w:rPr>
        <w:t>本项目地下水监测</w:t>
      </w:r>
      <w:r>
        <w:t>结果及分析见</w:t>
      </w:r>
      <w:r>
        <w:rPr>
          <w:rFonts w:hint="eastAsia"/>
        </w:rPr>
        <w:t>表4</w:t>
      </w:r>
      <w:r>
        <w:t>.3-4。</w:t>
      </w:r>
    </w:p>
    <w:p w14:paraId="34CFC70B">
      <w:pPr>
        <w:ind w:firstLine="480"/>
      </w:pPr>
      <w:r>
        <w:rPr>
          <w:rFonts w:hint="eastAsia"/>
        </w:rPr>
        <w:t>监测结果显示：南9点、南6点、1</w:t>
      </w:r>
      <w:r>
        <w:t>30</w:t>
      </w:r>
      <w:r>
        <w:rPr>
          <w:rFonts w:hint="eastAsia"/>
        </w:rPr>
        <w:t>团1</w:t>
      </w:r>
      <w:r>
        <w:t>5</w:t>
      </w:r>
      <w:r>
        <w:rPr>
          <w:rFonts w:hint="eastAsia"/>
        </w:rPr>
        <w:t>连水井监测点总硬度超标；南6点、</w:t>
      </w:r>
      <w:r>
        <w:t>南5</w:t>
      </w:r>
      <w:r>
        <w:rPr>
          <w:rFonts w:hint="eastAsia"/>
        </w:rPr>
        <w:t>点、邦德生物、1</w:t>
      </w:r>
      <w:r>
        <w:t>30</w:t>
      </w:r>
      <w:r>
        <w:rPr>
          <w:rFonts w:hint="eastAsia"/>
        </w:rPr>
        <w:t>团1</w:t>
      </w:r>
      <w:r>
        <w:t>5</w:t>
      </w:r>
      <w:r>
        <w:rPr>
          <w:rFonts w:hint="eastAsia"/>
        </w:rPr>
        <w:t>连水井监测点溶解性总固体超标；南9点、南6点、</w:t>
      </w:r>
      <w:r>
        <w:t>南5</w:t>
      </w:r>
      <w:r>
        <w:rPr>
          <w:rFonts w:hint="eastAsia"/>
        </w:rPr>
        <w:t>点、邦德生物、1</w:t>
      </w:r>
      <w:r>
        <w:t>30</w:t>
      </w:r>
      <w:r>
        <w:rPr>
          <w:rFonts w:hint="eastAsia"/>
        </w:rPr>
        <w:t>团1</w:t>
      </w:r>
      <w:r>
        <w:t>5</w:t>
      </w:r>
      <w:r>
        <w:rPr>
          <w:rFonts w:hint="eastAsia"/>
        </w:rPr>
        <w:t>连水井监测点硫酸盐超标；南6点、</w:t>
      </w:r>
      <w:r>
        <w:t>南5</w:t>
      </w:r>
      <w:r>
        <w:rPr>
          <w:rFonts w:hint="eastAsia"/>
        </w:rPr>
        <w:t>点、邦德生物、1</w:t>
      </w:r>
      <w:r>
        <w:t>30</w:t>
      </w:r>
      <w:r>
        <w:rPr>
          <w:rFonts w:hint="eastAsia"/>
        </w:rPr>
        <w:t>团1</w:t>
      </w:r>
      <w:r>
        <w:t>5</w:t>
      </w:r>
      <w:r>
        <w:rPr>
          <w:rFonts w:hint="eastAsia"/>
        </w:rPr>
        <w:t>连水井监测点氯化物超标，其余各监测点的各项监测因子均满足《地下水质量标准》（GB/T14848-</w:t>
      </w:r>
      <w:r>
        <w:t>2017</w:t>
      </w:r>
      <w:r>
        <w:rPr>
          <w:rFonts w:hint="eastAsia"/>
        </w:rPr>
        <w:t>）中</w:t>
      </w:r>
      <w:r>
        <w:t>Ⅲ</w:t>
      </w:r>
      <w:r>
        <w:rPr>
          <w:rFonts w:hint="eastAsia"/>
        </w:rPr>
        <w:t>类标准限值的要求。</w:t>
      </w:r>
    </w:p>
    <w:p w14:paraId="4B4150A0">
      <w:pPr>
        <w:ind w:firstLine="480"/>
      </w:pPr>
      <w:r>
        <w:rPr>
          <w:rFonts w:hint="eastAsia"/>
        </w:rPr>
        <w:t>根据收集的</w:t>
      </w:r>
      <w:r>
        <w:t>《新疆邦德生物科技有限公司17万吨/年有机混合料综合利用项目环境影响报告书》</w:t>
      </w:r>
      <w:r>
        <w:rPr>
          <w:rFonts w:hint="eastAsia"/>
        </w:rPr>
        <w:t>、《新疆永续环境科技有限公司3</w:t>
      </w:r>
      <w:r>
        <w:t>0</w:t>
      </w:r>
      <w:r>
        <w:rPr>
          <w:rFonts w:hint="eastAsia"/>
        </w:rPr>
        <w:t>万吨/年工业固废综合利用产业园项目（一期）环境影响报告书》、《五五工业园区2×3</w:t>
      </w:r>
      <w:r>
        <w:t>50</w:t>
      </w:r>
      <w:r>
        <w:rPr>
          <w:rFonts w:hint="eastAsia"/>
        </w:rPr>
        <w:t>MW热电联产项目环境影响报告书》及《3</w:t>
      </w:r>
      <w:r>
        <w:t>0000</w:t>
      </w:r>
      <w:r>
        <w:rPr>
          <w:rFonts w:hint="eastAsia"/>
        </w:rPr>
        <w:t>吨/年废矿物油处理生成润滑油基础油及5</w:t>
      </w:r>
      <w:r>
        <w:t>000</w:t>
      </w:r>
      <w:r>
        <w:rPr>
          <w:rFonts w:hint="eastAsia"/>
        </w:rPr>
        <w:t>吨/年羟基己酸生产二元酸项目环境影响报告书》等资料中的近十年本项目所在区域地下水监测数据可知，本项目所在区域地下水中溶解性总固体、总硬度、硫酸盐和氯化物超标主要与所在区域土壤岩性和水文地质原生条件有关，自然背景值较高，非污染引起。</w:t>
      </w:r>
    </w:p>
    <w:p w14:paraId="6E86EDD6">
      <w:pPr>
        <w:ind w:firstLine="480"/>
      </w:pPr>
      <w:r>
        <w:rPr>
          <w:rFonts w:hint="eastAsia"/>
        </w:rPr>
        <w:t>地下水水位监测结果见表4</w:t>
      </w:r>
      <w:r>
        <w:t>.3-5</w:t>
      </w:r>
      <w:r>
        <w:rPr>
          <w:rFonts w:hint="eastAsia"/>
        </w:rPr>
        <w:t>。</w:t>
      </w:r>
    </w:p>
    <w:p w14:paraId="273E712D">
      <w:pPr>
        <w:pStyle w:val="47"/>
        <w:spacing w:before="65"/>
      </w:pPr>
      <w:r>
        <w:rPr>
          <w:rFonts w:hint="eastAsia"/>
        </w:rPr>
        <w:t>表4</w:t>
      </w:r>
      <w:r>
        <w:t xml:space="preserve">.3-5   </w:t>
      </w:r>
      <w:r>
        <w:rPr>
          <w:rFonts w:hint="eastAsia"/>
        </w:rPr>
        <w:t>地下水水位监测结果统计表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06"/>
        <w:gridCol w:w="1669"/>
        <w:gridCol w:w="1671"/>
        <w:gridCol w:w="992"/>
        <w:gridCol w:w="2492"/>
      </w:tblGrid>
      <w:tr w14:paraId="2F373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3D542DFC">
            <w:pPr>
              <w:pStyle w:val="90"/>
            </w:pPr>
            <w:r>
              <w:t>编号</w:t>
            </w:r>
          </w:p>
        </w:tc>
        <w:tc>
          <w:tcPr>
            <w:tcW w:w="1913" w:type="pct"/>
            <w:gridSpan w:val="2"/>
            <w:shd w:val="clear" w:color="auto" w:fill="auto"/>
            <w:vAlign w:val="center"/>
          </w:tcPr>
          <w:p w14:paraId="3A947E4E">
            <w:pPr>
              <w:pStyle w:val="90"/>
            </w:pPr>
            <w:r>
              <w:t>位置/坐标</w:t>
            </w:r>
          </w:p>
        </w:tc>
        <w:tc>
          <w:tcPr>
            <w:tcW w:w="568" w:type="pct"/>
            <w:shd w:val="clear" w:color="auto" w:fill="auto"/>
            <w:vAlign w:val="center"/>
          </w:tcPr>
          <w:p w14:paraId="0A4CBD3D">
            <w:pPr>
              <w:pStyle w:val="90"/>
            </w:pPr>
            <w:r>
              <w:rPr>
                <w:rFonts w:hint="eastAsia"/>
              </w:rPr>
              <w:t>水位/m</w:t>
            </w:r>
          </w:p>
        </w:tc>
        <w:tc>
          <w:tcPr>
            <w:tcW w:w="1427" w:type="pct"/>
            <w:shd w:val="clear" w:color="auto" w:fill="auto"/>
            <w:vAlign w:val="center"/>
          </w:tcPr>
          <w:p w14:paraId="78075494">
            <w:pPr>
              <w:pStyle w:val="90"/>
            </w:pPr>
            <w:r>
              <w:rPr>
                <w:rFonts w:hint="eastAsia"/>
              </w:rPr>
              <w:t>备注</w:t>
            </w:r>
          </w:p>
        </w:tc>
      </w:tr>
      <w:tr w14:paraId="051D1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4460A181">
            <w:pPr>
              <w:pStyle w:val="90"/>
            </w:pPr>
            <w:r>
              <w:t>南9点</w:t>
            </w:r>
          </w:p>
        </w:tc>
        <w:tc>
          <w:tcPr>
            <w:tcW w:w="956" w:type="pct"/>
            <w:shd w:val="clear" w:color="auto" w:fill="auto"/>
            <w:vAlign w:val="center"/>
          </w:tcPr>
          <w:p w14:paraId="283E2ABE">
            <w:pPr>
              <w:pStyle w:val="90"/>
            </w:pPr>
            <w:r>
              <w:t>84°51′33″</w:t>
            </w:r>
          </w:p>
        </w:tc>
        <w:tc>
          <w:tcPr>
            <w:tcW w:w="957" w:type="pct"/>
            <w:shd w:val="clear" w:color="auto" w:fill="auto"/>
            <w:vAlign w:val="center"/>
          </w:tcPr>
          <w:p w14:paraId="6E91555D">
            <w:pPr>
              <w:pStyle w:val="90"/>
            </w:pPr>
            <w:r>
              <w:t>44°48′27″</w:t>
            </w:r>
          </w:p>
        </w:tc>
        <w:tc>
          <w:tcPr>
            <w:tcW w:w="568" w:type="pct"/>
            <w:shd w:val="clear" w:color="auto" w:fill="auto"/>
            <w:vAlign w:val="center"/>
          </w:tcPr>
          <w:p w14:paraId="4FFEC73F">
            <w:pPr>
              <w:pStyle w:val="90"/>
            </w:pPr>
            <w:r>
              <w:rPr>
                <w:rFonts w:hint="eastAsia"/>
              </w:rPr>
              <w:t>3</w:t>
            </w:r>
            <w:r>
              <w:t>17.6</w:t>
            </w:r>
          </w:p>
        </w:tc>
        <w:tc>
          <w:tcPr>
            <w:tcW w:w="1428" w:type="pct"/>
            <w:vMerge w:val="restart"/>
            <w:shd w:val="clear" w:color="auto" w:fill="auto"/>
            <w:vAlign w:val="center"/>
          </w:tcPr>
          <w:p w14:paraId="1D18B113">
            <w:pPr>
              <w:pStyle w:val="90"/>
            </w:pPr>
            <w:r>
              <w:rPr>
                <w:rFonts w:hint="eastAsia"/>
              </w:rPr>
              <w:t>引用《胡杨河经济技术开发区化工园区地下水环境状况调查评估报告》数据</w:t>
            </w:r>
          </w:p>
        </w:tc>
      </w:tr>
      <w:tr w14:paraId="62D07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1AA3D673">
            <w:pPr>
              <w:pStyle w:val="90"/>
            </w:pPr>
            <w:r>
              <w:t>南6点</w:t>
            </w:r>
          </w:p>
        </w:tc>
        <w:tc>
          <w:tcPr>
            <w:tcW w:w="956" w:type="pct"/>
            <w:shd w:val="clear" w:color="auto" w:fill="auto"/>
            <w:vAlign w:val="center"/>
          </w:tcPr>
          <w:p w14:paraId="7EDEB840">
            <w:pPr>
              <w:pStyle w:val="90"/>
            </w:pPr>
            <w:r>
              <w:t>84°51′53″</w:t>
            </w:r>
          </w:p>
        </w:tc>
        <w:tc>
          <w:tcPr>
            <w:tcW w:w="957" w:type="pct"/>
            <w:shd w:val="clear" w:color="auto" w:fill="auto"/>
            <w:vAlign w:val="center"/>
          </w:tcPr>
          <w:p w14:paraId="7F4C762C">
            <w:pPr>
              <w:pStyle w:val="90"/>
            </w:pPr>
            <w:r>
              <w:t>44°48′58″</w:t>
            </w:r>
          </w:p>
        </w:tc>
        <w:tc>
          <w:tcPr>
            <w:tcW w:w="568" w:type="pct"/>
            <w:shd w:val="clear" w:color="auto" w:fill="auto"/>
            <w:vAlign w:val="center"/>
          </w:tcPr>
          <w:p w14:paraId="23F38988">
            <w:pPr>
              <w:pStyle w:val="90"/>
            </w:pPr>
            <w:r>
              <w:rPr>
                <w:rFonts w:hint="eastAsia"/>
              </w:rPr>
              <w:t>3</w:t>
            </w:r>
            <w:r>
              <w:t>14.7</w:t>
            </w:r>
          </w:p>
        </w:tc>
        <w:tc>
          <w:tcPr>
            <w:tcW w:w="1428" w:type="pct"/>
            <w:vMerge w:val="continue"/>
            <w:shd w:val="clear" w:color="auto" w:fill="auto"/>
            <w:vAlign w:val="center"/>
          </w:tcPr>
          <w:p w14:paraId="26358BC8">
            <w:pPr>
              <w:pStyle w:val="90"/>
            </w:pPr>
          </w:p>
        </w:tc>
      </w:tr>
      <w:tr w14:paraId="7CDAA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1210F933">
            <w:pPr>
              <w:pStyle w:val="90"/>
            </w:pPr>
            <w:r>
              <w:t>南5点</w:t>
            </w:r>
          </w:p>
        </w:tc>
        <w:tc>
          <w:tcPr>
            <w:tcW w:w="956" w:type="pct"/>
            <w:shd w:val="clear" w:color="auto" w:fill="auto"/>
            <w:vAlign w:val="center"/>
          </w:tcPr>
          <w:p w14:paraId="1D9E7E98">
            <w:pPr>
              <w:pStyle w:val="90"/>
            </w:pPr>
            <w:r>
              <w:t>84°51′13″</w:t>
            </w:r>
          </w:p>
        </w:tc>
        <w:tc>
          <w:tcPr>
            <w:tcW w:w="957" w:type="pct"/>
            <w:shd w:val="clear" w:color="auto" w:fill="auto"/>
            <w:vAlign w:val="center"/>
          </w:tcPr>
          <w:p w14:paraId="746E00C0">
            <w:pPr>
              <w:pStyle w:val="90"/>
            </w:pPr>
            <w:r>
              <w:t>44°50′43″</w:t>
            </w:r>
          </w:p>
        </w:tc>
        <w:tc>
          <w:tcPr>
            <w:tcW w:w="568" w:type="pct"/>
            <w:shd w:val="clear" w:color="auto" w:fill="auto"/>
            <w:vAlign w:val="center"/>
          </w:tcPr>
          <w:p w14:paraId="4AC89C3F">
            <w:pPr>
              <w:pStyle w:val="90"/>
            </w:pPr>
            <w:r>
              <w:rPr>
                <w:rFonts w:hint="eastAsia"/>
              </w:rPr>
              <w:t>3</w:t>
            </w:r>
            <w:r>
              <w:t>07.9</w:t>
            </w:r>
          </w:p>
        </w:tc>
        <w:tc>
          <w:tcPr>
            <w:tcW w:w="1428" w:type="pct"/>
            <w:vMerge w:val="continue"/>
            <w:shd w:val="clear" w:color="auto" w:fill="auto"/>
            <w:vAlign w:val="center"/>
          </w:tcPr>
          <w:p w14:paraId="7F382165">
            <w:pPr>
              <w:pStyle w:val="90"/>
            </w:pPr>
          </w:p>
        </w:tc>
      </w:tr>
      <w:tr w14:paraId="155C3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735259E1">
            <w:pPr>
              <w:pStyle w:val="90"/>
            </w:pPr>
            <w:r>
              <w:t>邦德生物</w:t>
            </w:r>
          </w:p>
        </w:tc>
        <w:tc>
          <w:tcPr>
            <w:tcW w:w="956" w:type="pct"/>
            <w:shd w:val="clear" w:color="auto" w:fill="auto"/>
            <w:vAlign w:val="center"/>
          </w:tcPr>
          <w:p w14:paraId="73891EC5">
            <w:pPr>
              <w:pStyle w:val="90"/>
            </w:pPr>
            <w:r>
              <w:t>84°51'39"</w:t>
            </w:r>
          </w:p>
        </w:tc>
        <w:tc>
          <w:tcPr>
            <w:tcW w:w="957" w:type="pct"/>
            <w:shd w:val="clear" w:color="auto" w:fill="auto"/>
            <w:vAlign w:val="center"/>
          </w:tcPr>
          <w:p w14:paraId="40BAA21D">
            <w:pPr>
              <w:pStyle w:val="90"/>
            </w:pPr>
            <w:r>
              <w:t>44°50'6"</w:t>
            </w:r>
          </w:p>
        </w:tc>
        <w:tc>
          <w:tcPr>
            <w:tcW w:w="568" w:type="pct"/>
            <w:shd w:val="clear" w:color="auto" w:fill="auto"/>
            <w:vAlign w:val="center"/>
          </w:tcPr>
          <w:p w14:paraId="465AD484">
            <w:pPr>
              <w:pStyle w:val="90"/>
            </w:pPr>
            <w:r>
              <w:rPr>
                <w:rFonts w:hint="eastAsia"/>
              </w:rPr>
              <w:t>3</w:t>
            </w:r>
            <w:r>
              <w:t>07</w:t>
            </w:r>
          </w:p>
        </w:tc>
        <w:tc>
          <w:tcPr>
            <w:tcW w:w="1428" w:type="pct"/>
            <w:vMerge w:val="continue"/>
            <w:shd w:val="clear" w:color="auto" w:fill="auto"/>
            <w:vAlign w:val="center"/>
          </w:tcPr>
          <w:p w14:paraId="472832AA">
            <w:pPr>
              <w:pStyle w:val="90"/>
            </w:pPr>
          </w:p>
        </w:tc>
      </w:tr>
      <w:tr w14:paraId="09A49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0588A165">
            <w:pPr>
              <w:pStyle w:val="90"/>
            </w:pPr>
            <w:r>
              <w:rPr>
                <w:rFonts w:hint="eastAsia"/>
              </w:rPr>
              <w:t>1</w:t>
            </w:r>
            <w:r>
              <w:t>30</w:t>
            </w:r>
            <w:r>
              <w:rPr>
                <w:rFonts w:hint="eastAsia"/>
              </w:rPr>
              <w:t>团15连水井</w:t>
            </w:r>
          </w:p>
        </w:tc>
        <w:tc>
          <w:tcPr>
            <w:tcW w:w="956" w:type="pct"/>
            <w:shd w:val="clear" w:color="auto" w:fill="auto"/>
            <w:vAlign w:val="center"/>
          </w:tcPr>
          <w:p w14:paraId="01C80B6F">
            <w:pPr>
              <w:pStyle w:val="90"/>
            </w:pPr>
            <w:r>
              <w:t>84°50'14.36"</w:t>
            </w:r>
          </w:p>
        </w:tc>
        <w:tc>
          <w:tcPr>
            <w:tcW w:w="957" w:type="pct"/>
            <w:shd w:val="clear" w:color="auto" w:fill="auto"/>
            <w:vAlign w:val="center"/>
          </w:tcPr>
          <w:p w14:paraId="3D884A68">
            <w:pPr>
              <w:pStyle w:val="90"/>
            </w:pPr>
            <w:r>
              <w:t>44°48'30.38"</w:t>
            </w:r>
          </w:p>
        </w:tc>
        <w:tc>
          <w:tcPr>
            <w:tcW w:w="568" w:type="pct"/>
            <w:shd w:val="clear" w:color="auto" w:fill="auto"/>
            <w:vAlign w:val="center"/>
          </w:tcPr>
          <w:p w14:paraId="08EF276A">
            <w:pPr>
              <w:pStyle w:val="90"/>
            </w:pPr>
            <w:r>
              <w:rPr>
                <w:rFonts w:hint="eastAsia"/>
              </w:rPr>
              <w:t>3</w:t>
            </w:r>
            <w:r>
              <w:t>12.4</w:t>
            </w:r>
          </w:p>
        </w:tc>
        <w:tc>
          <w:tcPr>
            <w:tcW w:w="1428" w:type="pct"/>
            <w:shd w:val="clear" w:color="auto" w:fill="auto"/>
            <w:vAlign w:val="center"/>
          </w:tcPr>
          <w:p w14:paraId="71760957">
            <w:pPr>
              <w:pStyle w:val="90"/>
            </w:pPr>
            <w:r>
              <w:rPr>
                <w:rFonts w:hint="eastAsia"/>
              </w:rPr>
              <w:t>委托监测</w:t>
            </w:r>
          </w:p>
        </w:tc>
      </w:tr>
      <w:tr w14:paraId="25CDC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74CBF6B3">
            <w:pPr>
              <w:pStyle w:val="90"/>
            </w:pPr>
            <w:r>
              <w:t>水位（南12点）</w:t>
            </w:r>
          </w:p>
        </w:tc>
        <w:tc>
          <w:tcPr>
            <w:tcW w:w="956" w:type="pct"/>
            <w:shd w:val="clear" w:color="auto" w:fill="auto"/>
            <w:vAlign w:val="center"/>
          </w:tcPr>
          <w:p w14:paraId="31548838">
            <w:pPr>
              <w:pStyle w:val="90"/>
            </w:pPr>
            <w:r>
              <w:t>84°52′53″</w:t>
            </w:r>
          </w:p>
        </w:tc>
        <w:tc>
          <w:tcPr>
            <w:tcW w:w="957" w:type="pct"/>
            <w:shd w:val="clear" w:color="auto" w:fill="auto"/>
            <w:vAlign w:val="center"/>
          </w:tcPr>
          <w:p w14:paraId="063BA7B6">
            <w:pPr>
              <w:pStyle w:val="90"/>
            </w:pPr>
            <w:r>
              <w:t>44°47′03″</w:t>
            </w:r>
          </w:p>
        </w:tc>
        <w:tc>
          <w:tcPr>
            <w:tcW w:w="568" w:type="pct"/>
            <w:shd w:val="clear" w:color="auto" w:fill="auto"/>
            <w:vAlign w:val="center"/>
          </w:tcPr>
          <w:p w14:paraId="07153193">
            <w:pPr>
              <w:pStyle w:val="90"/>
            </w:pPr>
            <w:r>
              <w:rPr>
                <w:rFonts w:hint="eastAsia"/>
              </w:rPr>
              <w:t>3</w:t>
            </w:r>
            <w:r>
              <w:t>21.6</w:t>
            </w:r>
          </w:p>
        </w:tc>
        <w:tc>
          <w:tcPr>
            <w:tcW w:w="1428" w:type="pct"/>
            <w:vMerge w:val="restart"/>
            <w:shd w:val="clear" w:color="auto" w:fill="auto"/>
            <w:vAlign w:val="center"/>
          </w:tcPr>
          <w:p w14:paraId="08D2836C">
            <w:pPr>
              <w:pStyle w:val="90"/>
            </w:pPr>
            <w:r>
              <w:rPr>
                <w:rFonts w:hint="eastAsia"/>
              </w:rPr>
              <w:t>引用《胡杨河经济技术开发区化工园区地下水环境状况调查评估报告》数据</w:t>
            </w:r>
          </w:p>
        </w:tc>
      </w:tr>
      <w:tr w14:paraId="24258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5B28FE02">
            <w:pPr>
              <w:pStyle w:val="90"/>
            </w:pPr>
            <w:r>
              <w:t>水位（南11点）</w:t>
            </w:r>
          </w:p>
        </w:tc>
        <w:tc>
          <w:tcPr>
            <w:tcW w:w="956" w:type="pct"/>
            <w:shd w:val="clear" w:color="auto" w:fill="auto"/>
            <w:vAlign w:val="center"/>
          </w:tcPr>
          <w:p w14:paraId="1E567218">
            <w:pPr>
              <w:pStyle w:val="90"/>
            </w:pPr>
            <w:r>
              <w:t>84°52′52″</w:t>
            </w:r>
          </w:p>
        </w:tc>
        <w:tc>
          <w:tcPr>
            <w:tcW w:w="957" w:type="pct"/>
            <w:shd w:val="clear" w:color="auto" w:fill="auto"/>
            <w:vAlign w:val="center"/>
          </w:tcPr>
          <w:p w14:paraId="7BAF46A3">
            <w:pPr>
              <w:pStyle w:val="90"/>
            </w:pPr>
            <w:r>
              <w:t>44°47′54″</w:t>
            </w:r>
          </w:p>
        </w:tc>
        <w:tc>
          <w:tcPr>
            <w:tcW w:w="568" w:type="pct"/>
            <w:shd w:val="clear" w:color="auto" w:fill="auto"/>
            <w:vAlign w:val="center"/>
          </w:tcPr>
          <w:p w14:paraId="370410FC">
            <w:pPr>
              <w:pStyle w:val="90"/>
            </w:pPr>
            <w:r>
              <w:rPr>
                <w:rFonts w:hint="eastAsia"/>
              </w:rPr>
              <w:t>3</w:t>
            </w:r>
            <w:r>
              <w:t>17.1</w:t>
            </w:r>
          </w:p>
        </w:tc>
        <w:tc>
          <w:tcPr>
            <w:tcW w:w="1427" w:type="pct"/>
            <w:vMerge w:val="continue"/>
            <w:shd w:val="clear" w:color="auto" w:fill="auto"/>
            <w:vAlign w:val="center"/>
          </w:tcPr>
          <w:p w14:paraId="7B77BB35">
            <w:pPr>
              <w:pStyle w:val="90"/>
            </w:pPr>
          </w:p>
        </w:tc>
      </w:tr>
      <w:tr w14:paraId="7C077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3E6BC115">
            <w:pPr>
              <w:pStyle w:val="90"/>
            </w:pPr>
            <w:r>
              <w:t>水位（南8点）</w:t>
            </w:r>
          </w:p>
        </w:tc>
        <w:tc>
          <w:tcPr>
            <w:tcW w:w="956" w:type="pct"/>
            <w:shd w:val="clear" w:color="auto" w:fill="auto"/>
            <w:vAlign w:val="center"/>
          </w:tcPr>
          <w:p w14:paraId="6C164808">
            <w:pPr>
              <w:pStyle w:val="90"/>
            </w:pPr>
            <w:r>
              <w:t>84°53′12″</w:t>
            </w:r>
          </w:p>
        </w:tc>
        <w:tc>
          <w:tcPr>
            <w:tcW w:w="957" w:type="pct"/>
            <w:shd w:val="clear" w:color="auto" w:fill="auto"/>
            <w:vAlign w:val="center"/>
          </w:tcPr>
          <w:p w14:paraId="490BD058">
            <w:pPr>
              <w:pStyle w:val="90"/>
            </w:pPr>
            <w:r>
              <w:t>44°48′28″</w:t>
            </w:r>
          </w:p>
        </w:tc>
        <w:tc>
          <w:tcPr>
            <w:tcW w:w="568" w:type="pct"/>
            <w:shd w:val="clear" w:color="auto" w:fill="auto"/>
            <w:vAlign w:val="center"/>
          </w:tcPr>
          <w:p w14:paraId="2ECF1D4D">
            <w:pPr>
              <w:pStyle w:val="90"/>
            </w:pPr>
            <w:r>
              <w:rPr>
                <w:rFonts w:hint="eastAsia"/>
              </w:rPr>
              <w:t>3</w:t>
            </w:r>
            <w:r>
              <w:t>14.3</w:t>
            </w:r>
          </w:p>
        </w:tc>
        <w:tc>
          <w:tcPr>
            <w:tcW w:w="1427" w:type="pct"/>
            <w:vMerge w:val="continue"/>
            <w:shd w:val="clear" w:color="auto" w:fill="auto"/>
            <w:vAlign w:val="center"/>
          </w:tcPr>
          <w:p w14:paraId="4EA2A1C9">
            <w:pPr>
              <w:pStyle w:val="90"/>
            </w:pPr>
          </w:p>
        </w:tc>
      </w:tr>
      <w:tr w14:paraId="59BB7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1EBB7718">
            <w:pPr>
              <w:pStyle w:val="90"/>
            </w:pPr>
            <w:r>
              <w:t>水位（南7点）</w:t>
            </w:r>
          </w:p>
        </w:tc>
        <w:tc>
          <w:tcPr>
            <w:tcW w:w="956" w:type="pct"/>
            <w:shd w:val="clear" w:color="auto" w:fill="auto"/>
            <w:vAlign w:val="center"/>
          </w:tcPr>
          <w:p w14:paraId="6FB0F233">
            <w:pPr>
              <w:pStyle w:val="90"/>
            </w:pPr>
            <w:r>
              <w:t>84°52′47″</w:t>
            </w:r>
          </w:p>
        </w:tc>
        <w:tc>
          <w:tcPr>
            <w:tcW w:w="957" w:type="pct"/>
            <w:shd w:val="clear" w:color="auto" w:fill="auto"/>
            <w:vAlign w:val="center"/>
          </w:tcPr>
          <w:p w14:paraId="7A3B9ABB">
            <w:pPr>
              <w:pStyle w:val="90"/>
            </w:pPr>
            <w:r>
              <w:t>44°48′59″</w:t>
            </w:r>
          </w:p>
        </w:tc>
        <w:tc>
          <w:tcPr>
            <w:tcW w:w="568" w:type="pct"/>
            <w:shd w:val="clear" w:color="auto" w:fill="auto"/>
            <w:vAlign w:val="center"/>
          </w:tcPr>
          <w:p w14:paraId="01482727">
            <w:pPr>
              <w:pStyle w:val="90"/>
            </w:pPr>
            <w:r>
              <w:rPr>
                <w:rFonts w:hint="eastAsia"/>
              </w:rPr>
              <w:t>3</w:t>
            </w:r>
            <w:r>
              <w:t>15.7</w:t>
            </w:r>
          </w:p>
        </w:tc>
        <w:tc>
          <w:tcPr>
            <w:tcW w:w="1427" w:type="pct"/>
            <w:vMerge w:val="continue"/>
            <w:shd w:val="clear" w:color="auto" w:fill="auto"/>
            <w:vAlign w:val="center"/>
          </w:tcPr>
          <w:p w14:paraId="567100A2">
            <w:pPr>
              <w:pStyle w:val="90"/>
            </w:pPr>
          </w:p>
        </w:tc>
      </w:tr>
      <w:tr w14:paraId="67000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92" w:type="pct"/>
            <w:shd w:val="clear" w:color="auto" w:fill="auto"/>
            <w:vAlign w:val="center"/>
          </w:tcPr>
          <w:p w14:paraId="4F1671D7">
            <w:pPr>
              <w:pStyle w:val="90"/>
            </w:pPr>
            <w:r>
              <w:t>水位（苏通化工）</w:t>
            </w:r>
          </w:p>
        </w:tc>
        <w:tc>
          <w:tcPr>
            <w:tcW w:w="956" w:type="pct"/>
            <w:shd w:val="clear" w:color="auto" w:fill="auto"/>
            <w:vAlign w:val="center"/>
          </w:tcPr>
          <w:p w14:paraId="211A90D1">
            <w:pPr>
              <w:pStyle w:val="90"/>
            </w:pPr>
            <w:r>
              <w:t>84°52'29"</w:t>
            </w:r>
          </w:p>
        </w:tc>
        <w:tc>
          <w:tcPr>
            <w:tcW w:w="957" w:type="pct"/>
            <w:shd w:val="clear" w:color="auto" w:fill="auto"/>
            <w:vAlign w:val="center"/>
          </w:tcPr>
          <w:p w14:paraId="6BB3BB30">
            <w:pPr>
              <w:pStyle w:val="90"/>
            </w:pPr>
            <w:r>
              <w:t>44°50'49"</w:t>
            </w:r>
          </w:p>
        </w:tc>
        <w:tc>
          <w:tcPr>
            <w:tcW w:w="568" w:type="pct"/>
            <w:shd w:val="clear" w:color="auto" w:fill="auto"/>
            <w:vAlign w:val="center"/>
          </w:tcPr>
          <w:p w14:paraId="26817F9F">
            <w:pPr>
              <w:pStyle w:val="90"/>
            </w:pPr>
            <w:r>
              <w:rPr>
                <w:rFonts w:hint="eastAsia"/>
              </w:rPr>
              <w:t>3</w:t>
            </w:r>
            <w:r>
              <w:t>10</w:t>
            </w:r>
          </w:p>
        </w:tc>
        <w:tc>
          <w:tcPr>
            <w:tcW w:w="1427" w:type="pct"/>
            <w:vMerge w:val="continue"/>
            <w:shd w:val="clear" w:color="auto" w:fill="auto"/>
            <w:vAlign w:val="center"/>
          </w:tcPr>
          <w:p w14:paraId="5DF28C96">
            <w:pPr>
              <w:pStyle w:val="90"/>
            </w:pPr>
          </w:p>
        </w:tc>
      </w:tr>
    </w:tbl>
    <w:p w14:paraId="085269C7">
      <w:pPr>
        <w:ind w:firstLine="360"/>
        <w:rPr>
          <w:rFonts w:ascii="黑体" w:hAnsi="黑体" w:eastAsia="黑体"/>
          <w:i/>
          <w:sz w:val="18"/>
          <w:szCs w:val="18"/>
        </w:rPr>
      </w:pPr>
      <w:r>
        <w:rPr>
          <w:rFonts w:hint="eastAsia" w:ascii="黑体" w:hAnsi="黑体" w:eastAsia="黑体"/>
          <w:i/>
          <w:sz w:val="18"/>
          <w:szCs w:val="18"/>
        </w:rPr>
        <w:t>注：水位是地下水水平面高出基准海平面的高度。</w:t>
      </w:r>
    </w:p>
    <w:p w14:paraId="42011D47">
      <w:pPr>
        <w:ind w:firstLine="480"/>
      </w:pPr>
    </w:p>
    <w:p w14:paraId="2C78F6FB">
      <w:pPr>
        <w:ind w:firstLine="480"/>
      </w:pPr>
    </w:p>
    <w:p w14:paraId="144D86E6">
      <w:pPr>
        <w:ind w:firstLine="480"/>
        <w:rPr>
          <w:szCs w:val="24"/>
        </w:rPr>
        <w:sectPr>
          <w:footerReference r:id="rId24"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078E5655">
      <w:pPr>
        <w:pStyle w:val="47"/>
        <w:spacing w:before="65"/>
      </w:pPr>
      <w:r>
        <w:rPr>
          <w:rFonts w:hint="eastAsia"/>
        </w:rPr>
        <w:t>表4</w:t>
      </w:r>
      <w:r>
        <w:t xml:space="preserve">.3-4   </w:t>
      </w:r>
      <w:r>
        <w:rPr>
          <w:rFonts w:hint="eastAsia"/>
        </w:rPr>
        <w:t xml:space="preserve">地下水监测结果统计表 </w:t>
      </w:r>
      <w:r>
        <w:t xml:space="preserve">  </w:t>
      </w:r>
      <w:r>
        <w:rPr>
          <w:rFonts w:hint="eastAsia"/>
        </w:rPr>
        <w:t>单位：mg</w:t>
      </w:r>
      <w:r>
        <w:t>/</w:t>
      </w:r>
      <w:r>
        <w:rPr>
          <w:rFonts w:hint="eastAsia"/>
        </w:rPr>
        <w:t>L（pH除外）</w:t>
      </w:r>
    </w:p>
    <w:tbl>
      <w:tblPr>
        <w:tblStyle w:val="30"/>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1"/>
        <w:gridCol w:w="1415"/>
        <w:gridCol w:w="1600"/>
        <w:gridCol w:w="1013"/>
        <w:gridCol w:w="1181"/>
        <w:gridCol w:w="1226"/>
        <w:gridCol w:w="991"/>
        <w:gridCol w:w="1027"/>
        <w:gridCol w:w="988"/>
        <w:gridCol w:w="1025"/>
        <w:gridCol w:w="918"/>
        <w:gridCol w:w="1027"/>
        <w:gridCol w:w="916"/>
      </w:tblGrid>
      <w:tr w14:paraId="5400E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Merge w:val="restart"/>
            <w:vAlign w:val="center"/>
          </w:tcPr>
          <w:p w14:paraId="5D14FF61">
            <w:pPr>
              <w:pStyle w:val="90"/>
            </w:pPr>
            <w:r>
              <w:t>序号</w:t>
            </w:r>
          </w:p>
        </w:tc>
        <w:tc>
          <w:tcPr>
            <w:tcW w:w="507" w:type="pct"/>
            <w:vMerge w:val="restart"/>
            <w:vAlign w:val="center"/>
          </w:tcPr>
          <w:p w14:paraId="3FD248AD">
            <w:pPr>
              <w:pStyle w:val="90"/>
            </w:pPr>
            <w:r>
              <w:t>监测项目</w:t>
            </w:r>
          </w:p>
        </w:tc>
        <w:tc>
          <w:tcPr>
            <w:tcW w:w="573" w:type="pct"/>
            <w:vMerge w:val="restart"/>
            <w:vAlign w:val="center"/>
          </w:tcPr>
          <w:p w14:paraId="2EFFC617">
            <w:pPr>
              <w:pStyle w:val="90"/>
            </w:pPr>
            <w:r>
              <w:t>地下水环境质量标准</w:t>
            </w:r>
          </w:p>
        </w:tc>
        <w:tc>
          <w:tcPr>
            <w:tcW w:w="786" w:type="pct"/>
            <w:gridSpan w:val="2"/>
            <w:vAlign w:val="center"/>
          </w:tcPr>
          <w:p w14:paraId="351475DE">
            <w:pPr>
              <w:pStyle w:val="90"/>
            </w:pPr>
            <w:r>
              <w:t>南9</w:t>
            </w:r>
            <w:r>
              <w:rPr>
                <w:rFonts w:hint="eastAsia"/>
              </w:rPr>
              <w:t>点</w:t>
            </w:r>
          </w:p>
        </w:tc>
        <w:tc>
          <w:tcPr>
            <w:tcW w:w="794" w:type="pct"/>
            <w:gridSpan w:val="2"/>
            <w:vAlign w:val="center"/>
          </w:tcPr>
          <w:p w14:paraId="2B5C6B48">
            <w:pPr>
              <w:pStyle w:val="90"/>
            </w:pPr>
            <w:r>
              <w:t>南</w:t>
            </w:r>
            <w:r>
              <w:rPr>
                <w:rFonts w:hint="eastAsia"/>
              </w:rPr>
              <w:t>6点</w:t>
            </w:r>
          </w:p>
        </w:tc>
        <w:tc>
          <w:tcPr>
            <w:tcW w:w="722" w:type="pct"/>
            <w:gridSpan w:val="2"/>
            <w:vAlign w:val="center"/>
          </w:tcPr>
          <w:p w14:paraId="534F758C">
            <w:pPr>
              <w:pStyle w:val="90"/>
            </w:pPr>
            <w:r>
              <w:t>南5</w:t>
            </w:r>
            <w:r>
              <w:rPr>
                <w:rFonts w:hint="eastAsia"/>
              </w:rPr>
              <w:t>点</w:t>
            </w:r>
          </w:p>
        </w:tc>
        <w:tc>
          <w:tcPr>
            <w:tcW w:w="696" w:type="pct"/>
            <w:gridSpan w:val="2"/>
            <w:vAlign w:val="center"/>
          </w:tcPr>
          <w:p w14:paraId="3D4EA775">
            <w:pPr>
              <w:pStyle w:val="90"/>
            </w:pPr>
            <w:r>
              <w:rPr>
                <w:rFonts w:hint="eastAsia"/>
              </w:rPr>
              <w:t>邦德生物</w:t>
            </w:r>
          </w:p>
        </w:tc>
        <w:tc>
          <w:tcPr>
            <w:tcW w:w="696" w:type="pct"/>
            <w:gridSpan w:val="2"/>
            <w:vAlign w:val="center"/>
          </w:tcPr>
          <w:p w14:paraId="1F8CFF79">
            <w:pPr>
              <w:pStyle w:val="90"/>
            </w:pPr>
            <w:r>
              <w:rPr>
                <w:rFonts w:hint="eastAsia"/>
              </w:rPr>
              <w:t>1</w:t>
            </w:r>
            <w:r>
              <w:t>30</w:t>
            </w:r>
            <w:r>
              <w:rPr>
                <w:rFonts w:hint="eastAsia"/>
              </w:rPr>
              <w:t>团15连水井</w:t>
            </w:r>
          </w:p>
        </w:tc>
      </w:tr>
      <w:tr w14:paraId="17483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Merge w:val="continue"/>
            <w:vAlign w:val="center"/>
          </w:tcPr>
          <w:p w14:paraId="4B478D26">
            <w:pPr>
              <w:pStyle w:val="90"/>
            </w:pPr>
          </w:p>
        </w:tc>
        <w:tc>
          <w:tcPr>
            <w:tcW w:w="507" w:type="pct"/>
            <w:vMerge w:val="continue"/>
            <w:vAlign w:val="center"/>
          </w:tcPr>
          <w:p w14:paraId="77B3DD15">
            <w:pPr>
              <w:pStyle w:val="90"/>
            </w:pPr>
          </w:p>
        </w:tc>
        <w:tc>
          <w:tcPr>
            <w:tcW w:w="573" w:type="pct"/>
            <w:vMerge w:val="continue"/>
            <w:vAlign w:val="center"/>
          </w:tcPr>
          <w:p w14:paraId="1ACA278E">
            <w:pPr>
              <w:pStyle w:val="90"/>
            </w:pPr>
          </w:p>
        </w:tc>
        <w:tc>
          <w:tcPr>
            <w:tcW w:w="363" w:type="pct"/>
            <w:vAlign w:val="center"/>
          </w:tcPr>
          <w:p w14:paraId="0473D5CF">
            <w:pPr>
              <w:pStyle w:val="90"/>
            </w:pPr>
            <w:r>
              <w:t>监测结果</w:t>
            </w:r>
          </w:p>
        </w:tc>
        <w:tc>
          <w:tcPr>
            <w:tcW w:w="423" w:type="pct"/>
            <w:vAlign w:val="center"/>
          </w:tcPr>
          <w:p w14:paraId="3F0E2F4A">
            <w:pPr>
              <w:pStyle w:val="90"/>
            </w:pPr>
            <w:r>
              <w:t>标准指数</w:t>
            </w:r>
          </w:p>
        </w:tc>
        <w:tc>
          <w:tcPr>
            <w:tcW w:w="439" w:type="pct"/>
            <w:vAlign w:val="center"/>
          </w:tcPr>
          <w:p w14:paraId="7265201F">
            <w:pPr>
              <w:pStyle w:val="90"/>
            </w:pPr>
            <w:r>
              <w:t>监测结果</w:t>
            </w:r>
          </w:p>
        </w:tc>
        <w:tc>
          <w:tcPr>
            <w:tcW w:w="355" w:type="pct"/>
            <w:vAlign w:val="center"/>
          </w:tcPr>
          <w:p w14:paraId="205C402B">
            <w:pPr>
              <w:pStyle w:val="90"/>
            </w:pPr>
            <w:r>
              <w:t>标准指数</w:t>
            </w:r>
          </w:p>
        </w:tc>
        <w:tc>
          <w:tcPr>
            <w:tcW w:w="368" w:type="pct"/>
            <w:vAlign w:val="center"/>
          </w:tcPr>
          <w:p w14:paraId="24DD019F">
            <w:pPr>
              <w:pStyle w:val="90"/>
            </w:pPr>
            <w:r>
              <w:t>监测结果</w:t>
            </w:r>
          </w:p>
        </w:tc>
        <w:tc>
          <w:tcPr>
            <w:tcW w:w="354" w:type="pct"/>
            <w:vAlign w:val="center"/>
          </w:tcPr>
          <w:p w14:paraId="2A6CDDD1">
            <w:pPr>
              <w:pStyle w:val="90"/>
            </w:pPr>
            <w:r>
              <w:t>标准指数</w:t>
            </w:r>
          </w:p>
        </w:tc>
        <w:tc>
          <w:tcPr>
            <w:tcW w:w="367" w:type="pct"/>
            <w:vAlign w:val="center"/>
          </w:tcPr>
          <w:p w14:paraId="05201691">
            <w:pPr>
              <w:pStyle w:val="90"/>
            </w:pPr>
            <w:r>
              <w:t>监测结果</w:t>
            </w:r>
          </w:p>
        </w:tc>
        <w:tc>
          <w:tcPr>
            <w:tcW w:w="329" w:type="pct"/>
            <w:vAlign w:val="center"/>
          </w:tcPr>
          <w:p w14:paraId="749982A5">
            <w:pPr>
              <w:pStyle w:val="90"/>
            </w:pPr>
            <w:r>
              <w:t>标准指数</w:t>
            </w:r>
          </w:p>
        </w:tc>
        <w:tc>
          <w:tcPr>
            <w:tcW w:w="368" w:type="pct"/>
            <w:vAlign w:val="center"/>
          </w:tcPr>
          <w:p w14:paraId="1296D9D0">
            <w:pPr>
              <w:pStyle w:val="90"/>
            </w:pPr>
            <w:r>
              <w:t>监测结果</w:t>
            </w:r>
          </w:p>
        </w:tc>
        <w:tc>
          <w:tcPr>
            <w:tcW w:w="328" w:type="pct"/>
            <w:vAlign w:val="center"/>
          </w:tcPr>
          <w:p w14:paraId="79263619">
            <w:pPr>
              <w:pStyle w:val="90"/>
            </w:pPr>
            <w:r>
              <w:t>标准指数</w:t>
            </w:r>
          </w:p>
        </w:tc>
      </w:tr>
      <w:tr w14:paraId="5DB52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558E7ADA">
            <w:pPr>
              <w:pStyle w:val="90"/>
              <w:numPr>
                <w:ilvl w:val="0"/>
                <w:numId w:val="24"/>
              </w:numPr>
            </w:pPr>
          </w:p>
        </w:tc>
        <w:tc>
          <w:tcPr>
            <w:tcW w:w="507" w:type="pct"/>
            <w:vAlign w:val="center"/>
          </w:tcPr>
          <w:p w14:paraId="4E1E832A">
            <w:pPr>
              <w:pStyle w:val="90"/>
            </w:pPr>
            <w:r>
              <w:t>pH值</w:t>
            </w:r>
          </w:p>
        </w:tc>
        <w:tc>
          <w:tcPr>
            <w:tcW w:w="573" w:type="pct"/>
            <w:vAlign w:val="center"/>
          </w:tcPr>
          <w:p w14:paraId="77BB94CC">
            <w:pPr>
              <w:pStyle w:val="90"/>
            </w:pPr>
            <w:r>
              <w:t>6.5≤pH≤8.5</w:t>
            </w:r>
          </w:p>
        </w:tc>
        <w:tc>
          <w:tcPr>
            <w:tcW w:w="363" w:type="pct"/>
            <w:vAlign w:val="center"/>
          </w:tcPr>
          <w:p w14:paraId="6D5F6907">
            <w:pPr>
              <w:pStyle w:val="90"/>
            </w:pPr>
            <w:r>
              <w:t>8</w:t>
            </w:r>
          </w:p>
        </w:tc>
        <w:tc>
          <w:tcPr>
            <w:tcW w:w="423" w:type="pct"/>
            <w:vAlign w:val="center"/>
          </w:tcPr>
          <w:p w14:paraId="38E98456">
            <w:pPr>
              <w:pStyle w:val="90"/>
            </w:pPr>
            <w:r>
              <w:t>0.67</w:t>
            </w:r>
          </w:p>
        </w:tc>
        <w:tc>
          <w:tcPr>
            <w:tcW w:w="439" w:type="pct"/>
            <w:vAlign w:val="center"/>
          </w:tcPr>
          <w:p w14:paraId="23579DFA">
            <w:pPr>
              <w:pStyle w:val="90"/>
            </w:pPr>
            <w:r>
              <w:t>8.1</w:t>
            </w:r>
          </w:p>
        </w:tc>
        <w:tc>
          <w:tcPr>
            <w:tcW w:w="355" w:type="pct"/>
            <w:vAlign w:val="center"/>
          </w:tcPr>
          <w:p w14:paraId="7B77A0B3">
            <w:pPr>
              <w:pStyle w:val="90"/>
            </w:pPr>
            <w:r>
              <w:t>0.73</w:t>
            </w:r>
          </w:p>
        </w:tc>
        <w:tc>
          <w:tcPr>
            <w:tcW w:w="368" w:type="pct"/>
            <w:vAlign w:val="center"/>
          </w:tcPr>
          <w:p w14:paraId="70D9B380">
            <w:pPr>
              <w:pStyle w:val="90"/>
            </w:pPr>
            <w:r>
              <w:t>7.9</w:t>
            </w:r>
          </w:p>
        </w:tc>
        <w:tc>
          <w:tcPr>
            <w:tcW w:w="354" w:type="pct"/>
            <w:vAlign w:val="center"/>
          </w:tcPr>
          <w:p w14:paraId="67B8F989">
            <w:pPr>
              <w:pStyle w:val="90"/>
            </w:pPr>
            <w:r>
              <w:t>0.6</w:t>
            </w:r>
          </w:p>
        </w:tc>
        <w:tc>
          <w:tcPr>
            <w:tcW w:w="367" w:type="pct"/>
            <w:vAlign w:val="center"/>
          </w:tcPr>
          <w:p w14:paraId="11BE2145">
            <w:pPr>
              <w:pStyle w:val="90"/>
            </w:pPr>
            <w:r>
              <w:t>6.9</w:t>
            </w:r>
          </w:p>
        </w:tc>
        <w:tc>
          <w:tcPr>
            <w:tcW w:w="329" w:type="pct"/>
            <w:vAlign w:val="center"/>
          </w:tcPr>
          <w:p w14:paraId="30F9D113">
            <w:pPr>
              <w:pStyle w:val="90"/>
            </w:pPr>
            <w:r>
              <w:t>0.6</w:t>
            </w:r>
          </w:p>
        </w:tc>
        <w:tc>
          <w:tcPr>
            <w:tcW w:w="368" w:type="pct"/>
            <w:vAlign w:val="center"/>
          </w:tcPr>
          <w:p w14:paraId="2CF031C6">
            <w:pPr>
              <w:pStyle w:val="90"/>
            </w:pPr>
            <w:r>
              <w:rPr>
                <w:rFonts w:hint="eastAsia"/>
              </w:rPr>
              <w:t>7</w:t>
            </w:r>
            <w:r>
              <w:t>.3</w:t>
            </w:r>
          </w:p>
        </w:tc>
        <w:tc>
          <w:tcPr>
            <w:tcW w:w="328" w:type="pct"/>
            <w:vAlign w:val="center"/>
          </w:tcPr>
          <w:p w14:paraId="1E9EF71C">
            <w:pPr>
              <w:pStyle w:val="90"/>
            </w:pPr>
          </w:p>
        </w:tc>
      </w:tr>
      <w:tr w14:paraId="56FC6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027B867B">
            <w:pPr>
              <w:pStyle w:val="90"/>
              <w:numPr>
                <w:ilvl w:val="0"/>
                <w:numId w:val="24"/>
              </w:numPr>
            </w:pPr>
          </w:p>
        </w:tc>
        <w:tc>
          <w:tcPr>
            <w:tcW w:w="507" w:type="pct"/>
            <w:vAlign w:val="center"/>
          </w:tcPr>
          <w:p w14:paraId="3393EA29">
            <w:pPr>
              <w:pStyle w:val="90"/>
            </w:pPr>
            <w:r>
              <w:t>总硬度</w:t>
            </w:r>
          </w:p>
        </w:tc>
        <w:tc>
          <w:tcPr>
            <w:tcW w:w="573" w:type="pct"/>
            <w:vAlign w:val="center"/>
          </w:tcPr>
          <w:p w14:paraId="150DD90D">
            <w:pPr>
              <w:pStyle w:val="90"/>
            </w:pPr>
            <w:r>
              <w:t>≤450mg/L</w:t>
            </w:r>
          </w:p>
        </w:tc>
        <w:tc>
          <w:tcPr>
            <w:tcW w:w="363" w:type="pct"/>
            <w:shd w:val="clear" w:color="auto" w:fill="D9D9D9"/>
            <w:vAlign w:val="center"/>
          </w:tcPr>
          <w:p w14:paraId="67D91EC9">
            <w:pPr>
              <w:pStyle w:val="90"/>
            </w:pPr>
            <w:r>
              <w:t>489</w:t>
            </w:r>
          </w:p>
        </w:tc>
        <w:tc>
          <w:tcPr>
            <w:tcW w:w="423" w:type="pct"/>
            <w:shd w:val="clear" w:color="auto" w:fill="D9D9D9"/>
            <w:vAlign w:val="center"/>
          </w:tcPr>
          <w:p w14:paraId="5C97EEBF">
            <w:pPr>
              <w:pStyle w:val="90"/>
            </w:pPr>
            <w:r>
              <w:t>1.09</w:t>
            </w:r>
          </w:p>
        </w:tc>
        <w:tc>
          <w:tcPr>
            <w:tcW w:w="439" w:type="pct"/>
            <w:shd w:val="clear" w:color="auto" w:fill="D9D9D9"/>
            <w:vAlign w:val="center"/>
          </w:tcPr>
          <w:p w14:paraId="48188B15">
            <w:pPr>
              <w:pStyle w:val="90"/>
            </w:pPr>
            <w:r>
              <w:t>493</w:t>
            </w:r>
          </w:p>
        </w:tc>
        <w:tc>
          <w:tcPr>
            <w:tcW w:w="355" w:type="pct"/>
            <w:shd w:val="clear" w:color="auto" w:fill="D9D9D9"/>
            <w:vAlign w:val="center"/>
          </w:tcPr>
          <w:p w14:paraId="2891FCC8">
            <w:pPr>
              <w:pStyle w:val="90"/>
            </w:pPr>
            <w:r>
              <w:t>1.10</w:t>
            </w:r>
          </w:p>
        </w:tc>
        <w:tc>
          <w:tcPr>
            <w:tcW w:w="368" w:type="pct"/>
            <w:vAlign w:val="center"/>
          </w:tcPr>
          <w:p w14:paraId="45B060AD">
            <w:pPr>
              <w:pStyle w:val="90"/>
            </w:pPr>
            <w:r>
              <w:t>393</w:t>
            </w:r>
          </w:p>
        </w:tc>
        <w:tc>
          <w:tcPr>
            <w:tcW w:w="354" w:type="pct"/>
            <w:vAlign w:val="center"/>
          </w:tcPr>
          <w:p w14:paraId="641472AD">
            <w:pPr>
              <w:pStyle w:val="90"/>
            </w:pPr>
            <w:r>
              <w:t>0.87</w:t>
            </w:r>
          </w:p>
        </w:tc>
        <w:tc>
          <w:tcPr>
            <w:tcW w:w="367" w:type="pct"/>
            <w:vAlign w:val="center"/>
          </w:tcPr>
          <w:p w14:paraId="578086E0">
            <w:pPr>
              <w:pStyle w:val="90"/>
            </w:pPr>
            <w:r>
              <w:t>184</w:t>
            </w:r>
          </w:p>
        </w:tc>
        <w:tc>
          <w:tcPr>
            <w:tcW w:w="329" w:type="pct"/>
            <w:vAlign w:val="center"/>
          </w:tcPr>
          <w:p w14:paraId="79699456">
            <w:pPr>
              <w:pStyle w:val="90"/>
            </w:pPr>
            <w:r>
              <w:t>0.41</w:t>
            </w:r>
          </w:p>
        </w:tc>
        <w:tc>
          <w:tcPr>
            <w:tcW w:w="368" w:type="pct"/>
            <w:shd w:val="clear" w:color="auto" w:fill="D9D9D9"/>
            <w:vAlign w:val="center"/>
          </w:tcPr>
          <w:p w14:paraId="12B2971C">
            <w:pPr>
              <w:pStyle w:val="90"/>
            </w:pPr>
            <w:r>
              <w:rPr>
                <w:rFonts w:hint="eastAsia"/>
              </w:rPr>
              <w:t>6</w:t>
            </w:r>
            <w:r>
              <w:t>58</w:t>
            </w:r>
          </w:p>
        </w:tc>
        <w:tc>
          <w:tcPr>
            <w:tcW w:w="328" w:type="pct"/>
            <w:shd w:val="clear" w:color="auto" w:fill="D9D9D9"/>
            <w:vAlign w:val="center"/>
          </w:tcPr>
          <w:p w14:paraId="665EFB4D">
            <w:pPr>
              <w:pStyle w:val="90"/>
            </w:pPr>
            <w:r>
              <w:rPr>
                <w:rFonts w:hint="eastAsia"/>
              </w:rPr>
              <w:t>1</w:t>
            </w:r>
            <w:r>
              <w:t>.46</w:t>
            </w:r>
          </w:p>
        </w:tc>
      </w:tr>
      <w:tr w14:paraId="78E33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62E1AD25">
            <w:pPr>
              <w:pStyle w:val="90"/>
              <w:numPr>
                <w:ilvl w:val="0"/>
                <w:numId w:val="24"/>
              </w:numPr>
            </w:pPr>
          </w:p>
        </w:tc>
        <w:tc>
          <w:tcPr>
            <w:tcW w:w="507" w:type="pct"/>
            <w:vAlign w:val="center"/>
          </w:tcPr>
          <w:p w14:paraId="6AFA15EE">
            <w:pPr>
              <w:pStyle w:val="90"/>
            </w:pPr>
            <w:r>
              <w:t>溶解性总固体</w:t>
            </w:r>
          </w:p>
        </w:tc>
        <w:tc>
          <w:tcPr>
            <w:tcW w:w="573" w:type="pct"/>
            <w:vAlign w:val="center"/>
          </w:tcPr>
          <w:p w14:paraId="7F9AA814">
            <w:pPr>
              <w:pStyle w:val="90"/>
            </w:pPr>
            <w:r>
              <w:t>≤1000mg/L</w:t>
            </w:r>
          </w:p>
        </w:tc>
        <w:tc>
          <w:tcPr>
            <w:tcW w:w="363" w:type="pct"/>
            <w:vAlign w:val="center"/>
          </w:tcPr>
          <w:p w14:paraId="7CD0F6CC">
            <w:pPr>
              <w:pStyle w:val="90"/>
            </w:pPr>
            <w:r>
              <w:t>976</w:t>
            </w:r>
          </w:p>
        </w:tc>
        <w:tc>
          <w:tcPr>
            <w:tcW w:w="423" w:type="pct"/>
            <w:vAlign w:val="center"/>
          </w:tcPr>
          <w:p w14:paraId="33280756">
            <w:pPr>
              <w:pStyle w:val="90"/>
            </w:pPr>
            <w:r>
              <w:t>0.98</w:t>
            </w:r>
          </w:p>
        </w:tc>
        <w:tc>
          <w:tcPr>
            <w:tcW w:w="439" w:type="pct"/>
            <w:shd w:val="clear" w:color="auto" w:fill="D9D9D9"/>
            <w:vAlign w:val="center"/>
          </w:tcPr>
          <w:p w14:paraId="76474464">
            <w:pPr>
              <w:pStyle w:val="90"/>
            </w:pPr>
            <w:r>
              <w:t>1.12×10</w:t>
            </w:r>
            <w:r>
              <w:rPr>
                <w:vertAlign w:val="superscript"/>
              </w:rPr>
              <w:t>3</w:t>
            </w:r>
          </w:p>
        </w:tc>
        <w:tc>
          <w:tcPr>
            <w:tcW w:w="355" w:type="pct"/>
            <w:shd w:val="clear" w:color="auto" w:fill="D9D9D9"/>
            <w:vAlign w:val="center"/>
          </w:tcPr>
          <w:p w14:paraId="35AE4B59">
            <w:pPr>
              <w:pStyle w:val="90"/>
            </w:pPr>
            <w:r>
              <w:t>1.12</w:t>
            </w:r>
          </w:p>
        </w:tc>
        <w:tc>
          <w:tcPr>
            <w:tcW w:w="368" w:type="pct"/>
            <w:shd w:val="clear" w:color="auto" w:fill="D9D9D9"/>
            <w:vAlign w:val="center"/>
          </w:tcPr>
          <w:p w14:paraId="650BFE40">
            <w:pPr>
              <w:pStyle w:val="90"/>
            </w:pPr>
            <w:r>
              <w:t>1.08×10</w:t>
            </w:r>
            <w:r>
              <w:rPr>
                <w:vertAlign w:val="superscript"/>
              </w:rPr>
              <w:t>3</w:t>
            </w:r>
          </w:p>
        </w:tc>
        <w:tc>
          <w:tcPr>
            <w:tcW w:w="354" w:type="pct"/>
            <w:shd w:val="clear" w:color="auto" w:fill="D9D9D9"/>
            <w:vAlign w:val="center"/>
          </w:tcPr>
          <w:p w14:paraId="0DD145D6">
            <w:pPr>
              <w:pStyle w:val="90"/>
            </w:pPr>
            <w:r>
              <w:t>1.08</w:t>
            </w:r>
          </w:p>
        </w:tc>
        <w:tc>
          <w:tcPr>
            <w:tcW w:w="367" w:type="pct"/>
            <w:shd w:val="clear" w:color="auto" w:fill="D9D9D9"/>
            <w:vAlign w:val="center"/>
          </w:tcPr>
          <w:p w14:paraId="5A3BDE49">
            <w:pPr>
              <w:pStyle w:val="90"/>
            </w:pPr>
            <w:r>
              <w:t>2730</w:t>
            </w:r>
          </w:p>
        </w:tc>
        <w:tc>
          <w:tcPr>
            <w:tcW w:w="329" w:type="pct"/>
            <w:shd w:val="clear" w:color="auto" w:fill="D9D9D9"/>
            <w:vAlign w:val="center"/>
          </w:tcPr>
          <w:p w14:paraId="70F442CB">
            <w:pPr>
              <w:pStyle w:val="90"/>
            </w:pPr>
            <w:r>
              <w:t>2.73</w:t>
            </w:r>
          </w:p>
        </w:tc>
        <w:tc>
          <w:tcPr>
            <w:tcW w:w="368" w:type="pct"/>
            <w:shd w:val="clear" w:color="auto" w:fill="D9D9D9"/>
            <w:vAlign w:val="center"/>
          </w:tcPr>
          <w:p w14:paraId="2EA13580">
            <w:pPr>
              <w:pStyle w:val="90"/>
            </w:pPr>
            <w:r>
              <w:rPr>
                <w:rFonts w:hint="eastAsia"/>
              </w:rPr>
              <w:t>1</w:t>
            </w:r>
            <w:r>
              <w:t>556</w:t>
            </w:r>
          </w:p>
        </w:tc>
        <w:tc>
          <w:tcPr>
            <w:tcW w:w="328" w:type="pct"/>
            <w:shd w:val="clear" w:color="auto" w:fill="D9D9D9"/>
            <w:vAlign w:val="center"/>
          </w:tcPr>
          <w:p w14:paraId="1E541511">
            <w:pPr>
              <w:pStyle w:val="90"/>
            </w:pPr>
            <w:r>
              <w:rPr>
                <w:rFonts w:hint="eastAsia"/>
              </w:rPr>
              <w:t>1.</w:t>
            </w:r>
            <w:r>
              <w:t>56</w:t>
            </w:r>
          </w:p>
        </w:tc>
      </w:tr>
      <w:tr w14:paraId="40244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AD3973C">
            <w:pPr>
              <w:pStyle w:val="90"/>
              <w:numPr>
                <w:ilvl w:val="0"/>
                <w:numId w:val="24"/>
              </w:numPr>
            </w:pPr>
          </w:p>
        </w:tc>
        <w:tc>
          <w:tcPr>
            <w:tcW w:w="507" w:type="pct"/>
            <w:vAlign w:val="center"/>
          </w:tcPr>
          <w:p w14:paraId="15EDCBB5">
            <w:pPr>
              <w:pStyle w:val="90"/>
            </w:pPr>
            <w:r>
              <w:t>挥发性酚类</w:t>
            </w:r>
          </w:p>
        </w:tc>
        <w:tc>
          <w:tcPr>
            <w:tcW w:w="573" w:type="pct"/>
            <w:vAlign w:val="center"/>
          </w:tcPr>
          <w:p w14:paraId="36C4D867">
            <w:pPr>
              <w:pStyle w:val="90"/>
            </w:pPr>
            <w:r>
              <w:t>≤0.002mg/L</w:t>
            </w:r>
          </w:p>
        </w:tc>
        <w:tc>
          <w:tcPr>
            <w:tcW w:w="363" w:type="pct"/>
            <w:vAlign w:val="center"/>
          </w:tcPr>
          <w:p w14:paraId="0B3416A8">
            <w:pPr>
              <w:pStyle w:val="90"/>
            </w:pPr>
            <w:r>
              <w:t>＜0.0003</w:t>
            </w:r>
          </w:p>
        </w:tc>
        <w:tc>
          <w:tcPr>
            <w:tcW w:w="423" w:type="pct"/>
            <w:vAlign w:val="center"/>
          </w:tcPr>
          <w:p w14:paraId="091C42E8">
            <w:pPr>
              <w:pStyle w:val="90"/>
            </w:pPr>
            <w:r>
              <w:t>0.15</w:t>
            </w:r>
          </w:p>
        </w:tc>
        <w:tc>
          <w:tcPr>
            <w:tcW w:w="439" w:type="pct"/>
            <w:vAlign w:val="center"/>
          </w:tcPr>
          <w:p w14:paraId="1A287465">
            <w:pPr>
              <w:pStyle w:val="90"/>
            </w:pPr>
            <w:r>
              <w:t>＜0.0003</w:t>
            </w:r>
          </w:p>
        </w:tc>
        <w:tc>
          <w:tcPr>
            <w:tcW w:w="355" w:type="pct"/>
            <w:vAlign w:val="center"/>
          </w:tcPr>
          <w:p w14:paraId="139C513C">
            <w:pPr>
              <w:pStyle w:val="90"/>
            </w:pPr>
            <w:r>
              <w:t>0.15</w:t>
            </w:r>
          </w:p>
        </w:tc>
        <w:tc>
          <w:tcPr>
            <w:tcW w:w="368" w:type="pct"/>
            <w:vAlign w:val="center"/>
          </w:tcPr>
          <w:p w14:paraId="72F9A4BC">
            <w:pPr>
              <w:pStyle w:val="90"/>
            </w:pPr>
            <w:r>
              <w:t>＜0.0003</w:t>
            </w:r>
          </w:p>
        </w:tc>
        <w:tc>
          <w:tcPr>
            <w:tcW w:w="354" w:type="pct"/>
            <w:vAlign w:val="center"/>
          </w:tcPr>
          <w:p w14:paraId="2ADB3D67">
            <w:pPr>
              <w:pStyle w:val="90"/>
            </w:pPr>
            <w:r>
              <w:t>0.15</w:t>
            </w:r>
          </w:p>
        </w:tc>
        <w:tc>
          <w:tcPr>
            <w:tcW w:w="367" w:type="pct"/>
            <w:vAlign w:val="center"/>
          </w:tcPr>
          <w:p w14:paraId="404B862A">
            <w:pPr>
              <w:pStyle w:val="90"/>
            </w:pPr>
            <w:r>
              <w:t>＜0.0003</w:t>
            </w:r>
          </w:p>
        </w:tc>
        <w:tc>
          <w:tcPr>
            <w:tcW w:w="329" w:type="pct"/>
            <w:vAlign w:val="center"/>
          </w:tcPr>
          <w:p w14:paraId="07E59419">
            <w:pPr>
              <w:pStyle w:val="90"/>
            </w:pPr>
            <w:r>
              <w:t>0.15</w:t>
            </w:r>
          </w:p>
        </w:tc>
        <w:tc>
          <w:tcPr>
            <w:tcW w:w="368" w:type="pct"/>
            <w:vAlign w:val="center"/>
          </w:tcPr>
          <w:p w14:paraId="15789173">
            <w:pPr>
              <w:pStyle w:val="90"/>
            </w:pPr>
            <w:r>
              <w:t>＜0.0003</w:t>
            </w:r>
          </w:p>
        </w:tc>
        <w:tc>
          <w:tcPr>
            <w:tcW w:w="328" w:type="pct"/>
            <w:vAlign w:val="center"/>
          </w:tcPr>
          <w:p w14:paraId="26372EBD">
            <w:pPr>
              <w:pStyle w:val="90"/>
            </w:pPr>
            <w:r>
              <w:t>0.15</w:t>
            </w:r>
          </w:p>
        </w:tc>
      </w:tr>
      <w:tr w14:paraId="1A3E7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C35559C">
            <w:pPr>
              <w:pStyle w:val="90"/>
              <w:numPr>
                <w:ilvl w:val="0"/>
                <w:numId w:val="24"/>
              </w:numPr>
            </w:pPr>
          </w:p>
        </w:tc>
        <w:tc>
          <w:tcPr>
            <w:tcW w:w="507" w:type="pct"/>
            <w:vAlign w:val="center"/>
          </w:tcPr>
          <w:p w14:paraId="0041681C">
            <w:pPr>
              <w:pStyle w:val="90"/>
            </w:pPr>
            <w:r>
              <w:t>耗氧量</w:t>
            </w:r>
          </w:p>
        </w:tc>
        <w:tc>
          <w:tcPr>
            <w:tcW w:w="573" w:type="pct"/>
            <w:vAlign w:val="center"/>
          </w:tcPr>
          <w:p w14:paraId="5E253D5B">
            <w:pPr>
              <w:pStyle w:val="90"/>
            </w:pPr>
            <w:r>
              <w:t>≤3.0mg/L</w:t>
            </w:r>
          </w:p>
        </w:tc>
        <w:tc>
          <w:tcPr>
            <w:tcW w:w="363" w:type="pct"/>
            <w:vAlign w:val="center"/>
          </w:tcPr>
          <w:p w14:paraId="2C061EF4">
            <w:pPr>
              <w:pStyle w:val="90"/>
            </w:pPr>
            <w:r>
              <w:t>0.85</w:t>
            </w:r>
          </w:p>
        </w:tc>
        <w:tc>
          <w:tcPr>
            <w:tcW w:w="423" w:type="pct"/>
            <w:vAlign w:val="center"/>
          </w:tcPr>
          <w:p w14:paraId="47EA41D9">
            <w:pPr>
              <w:pStyle w:val="90"/>
            </w:pPr>
            <w:r>
              <w:t>0.28</w:t>
            </w:r>
          </w:p>
        </w:tc>
        <w:tc>
          <w:tcPr>
            <w:tcW w:w="439" w:type="pct"/>
            <w:vAlign w:val="center"/>
          </w:tcPr>
          <w:p w14:paraId="4263F8DF">
            <w:pPr>
              <w:pStyle w:val="90"/>
            </w:pPr>
            <w:r>
              <w:t>0.74</w:t>
            </w:r>
          </w:p>
        </w:tc>
        <w:tc>
          <w:tcPr>
            <w:tcW w:w="355" w:type="pct"/>
            <w:vAlign w:val="center"/>
          </w:tcPr>
          <w:p w14:paraId="20983B36">
            <w:pPr>
              <w:pStyle w:val="90"/>
            </w:pPr>
            <w:r>
              <w:t>0.25</w:t>
            </w:r>
          </w:p>
        </w:tc>
        <w:tc>
          <w:tcPr>
            <w:tcW w:w="368" w:type="pct"/>
            <w:vAlign w:val="center"/>
          </w:tcPr>
          <w:p w14:paraId="3186E67A">
            <w:pPr>
              <w:pStyle w:val="90"/>
            </w:pPr>
            <w:r>
              <w:t>0.75</w:t>
            </w:r>
          </w:p>
        </w:tc>
        <w:tc>
          <w:tcPr>
            <w:tcW w:w="354" w:type="pct"/>
            <w:vAlign w:val="center"/>
          </w:tcPr>
          <w:p w14:paraId="34C17B5D">
            <w:pPr>
              <w:pStyle w:val="90"/>
            </w:pPr>
            <w:r>
              <w:t>0.25</w:t>
            </w:r>
          </w:p>
        </w:tc>
        <w:tc>
          <w:tcPr>
            <w:tcW w:w="367" w:type="pct"/>
            <w:vAlign w:val="center"/>
          </w:tcPr>
          <w:p w14:paraId="66D486E9">
            <w:pPr>
              <w:pStyle w:val="90"/>
            </w:pPr>
            <w:r>
              <w:t>2.83</w:t>
            </w:r>
          </w:p>
        </w:tc>
        <w:tc>
          <w:tcPr>
            <w:tcW w:w="329" w:type="pct"/>
            <w:vAlign w:val="center"/>
          </w:tcPr>
          <w:p w14:paraId="404D4F6C">
            <w:pPr>
              <w:pStyle w:val="90"/>
            </w:pPr>
            <w:r>
              <w:t>0.94</w:t>
            </w:r>
          </w:p>
        </w:tc>
        <w:tc>
          <w:tcPr>
            <w:tcW w:w="368" w:type="pct"/>
            <w:vAlign w:val="center"/>
          </w:tcPr>
          <w:p w14:paraId="149A99BF">
            <w:pPr>
              <w:pStyle w:val="90"/>
            </w:pPr>
            <w:r>
              <w:rPr>
                <w:rFonts w:hint="eastAsia"/>
              </w:rPr>
              <w:t>2.</w:t>
            </w:r>
            <w:r>
              <w:t>3</w:t>
            </w:r>
          </w:p>
        </w:tc>
        <w:tc>
          <w:tcPr>
            <w:tcW w:w="328" w:type="pct"/>
            <w:vAlign w:val="center"/>
          </w:tcPr>
          <w:p w14:paraId="6CE4D93B">
            <w:pPr>
              <w:pStyle w:val="90"/>
            </w:pPr>
            <w:r>
              <w:t>0.77</w:t>
            </w:r>
          </w:p>
        </w:tc>
      </w:tr>
      <w:tr w14:paraId="6B38D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4E1FC730">
            <w:pPr>
              <w:pStyle w:val="90"/>
              <w:numPr>
                <w:ilvl w:val="0"/>
                <w:numId w:val="24"/>
              </w:numPr>
            </w:pPr>
          </w:p>
        </w:tc>
        <w:tc>
          <w:tcPr>
            <w:tcW w:w="507" w:type="pct"/>
            <w:vAlign w:val="center"/>
          </w:tcPr>
          <w:p w14:paraId="1D985BD9">
            <w:pPr>
              <w:pStyle w:val="90"/>
            </w:pPr>
            <w:r>
              <w:t>氨氮</w:t>
            </w:r>
          </w:p>
        </w:tc>
        <w:tc>
          <w:tcPr>
            <w:tcW w:w="573" w:type="pct"/>
            <w:vAlign w:val="center"/>
          </w:tcPr>
          <w:p w14:paraId="2DC87D61">
            <w:pPr>
              <w:pStyle w:val="90"/>
            </w:pPr>
            <w:r>
              <w:t>≤0.50mg/L</w:t>
            </w:r>
          </w:p>
        </w:tc>
        <w:tc>
          <w:tcPr>
            <w:tcW w:w="363" w:type="pct"/>
            <w:vAlign w:val="center"/>
          </w:tcPr>
          <w:p w14:paraId="590A4431">
            <w:pPr>
              <w:pStyle w:val="90"/>
            </w:pPr>
            <w:r>
              <w:t>0.051</w:t>
            </w:r>
          </w:p>
        </w:tc>
        <w:tc>
          <w:tcPr>
            <w:tcW w:w="423" w:type="pct"/>
            <w:vAlign w:val="center"/>
          </w:tcPr>
          <w:p w14:paraId="2BE58BC8">
            <w:pPr>
              <w:pStyle w:val="90"/>
            </w:pPr>
            <w:r>
              <w:t>0.10</w:t>
            </w:r>
          </w:p>
        </w:tc>
        <w:tc>
          <w:tcPr>
            <w:tcW w:w="439" w:type="pct"/>
            <w:vAlign w:val="center"/>
          </w:tcPr>
          <w:p w14:paraId="4CB0E07B">
            <w:pPr>
              <w:pStyle w:val="90"/>
            </w:pPr>
            <w:r>
              <w:t>＜0.025</w:t>
            </w:r>
          </w:p>
        </w:tc>
        <w:tc>
          <w:tcPr>
            <w:tcW w:w="355" w:type="pct"/>
            <w:vAlign w:val="center"/>
          </w:tcPr>
          <w:p w14:paraId="72889DD0">
            <w:pPr>
              <w:pStyle w:val="90"/>
            </w:pPr>
            <w:r>
              <w:t>0.05</w:t>
            </w:r>
          </w:p>
        </w:tc>
        <w:tc>
          <w:tcPr>
            <w:tcW w:w="368" w:type="pct"/>
            <w:vAlign w:val="center"/>
          </w:tcPr>
          <w:p w14:paraId="37782329">
            <w:pPr>
              <w:pStyle w:val="90"/>
            </w:pPr>
            <w:r>
              <w:t>＜0.025</w:t>
            </w:r>
          </w:p>
        </w:tc>
        <w:tc>
          <w:tcPr>
            <w:tcW w:w="354" w:type="pct"/>
            <w:vAlign w:val="center"/>
          </w:tcPr>
          <w:p w14:paraId="62E45535">
            <w:pPr>
              <w:pStyle w:val="90"/>
            </w:pPr>
            <w:r>
              <w:t>0.05</w:t>
            </w:r>
          </w:p>
        </w:tc>
        <w:tc>
          <w:tcPr>
            <w:tcW w:w="367" w:type="pct"/>
            <w:vAlign w:val="center"/>
          </w:tcPr>
          <w:p w14:paraId="360F3993">
            <w:pPr>
              <w:pStyle w:val="90"/>
            </w:pPr>
            <w:r>
              <w:t>0.333</w:t>
            </w:r>
          </w:p>
        </w:tc>
        <w:tc>
          <w:tcPr>
            <w:tcW w:w="329" w:type="pct"/>
            <w:vAlign w:val="center"/>
          </w:tcPr>
          <w:p w14:paraId="2EA7951A">
            <w:pPr>
              <w:pStyle w:val="90"/>
            </w:pPr>
            <w:r>
              <w:t>0.67</w:t>
            </w:r>
          </w:p>
        </w:tc>
        <w:tc>
          <w:tcPr>
            <w:tcW w:w="368" w:type="pct"/>
            <w:vAlign w:val="center"/>
          </w:tcPr>
          <w:p w14:paraId="0125B937">
            <w:pPr>
              <w:pStyle w:val="90"/>
            </w:pPr>
            <w:r>
              <w:rPr>
                <w:rFonts w:hint="eastAsia"/>
              </w:rPr>
              <w:t>0.</w:t>
            </w:r>
            <w:r>
              <w:t>110</w:t>
            </w:r>
          </w:p>
        </w:tc>
        <w:tc>
          <w:tcPr>
            <w:tcW w:w="328" w:type="pct"/>
            <w:vAlign w:val="center"/>
          </w:tcPr>
          <w:p w14:paraId="095ED318">
            <w:pPr>
              <w:pStyle w:val="90"/>
            </w:pPr>
            <w:r>
              <w:rPr>
                <w:rFonts w:hint="eastAsia"/>
              </w:rPr>
              <w:t>0</w:t>
            </w:r>
            <w:r>
              <w:t>.22</w:t>
            </w:r>
          </w:p>
        </w:tc>
      </w:tr>
      <w:tr w14:paraId="33E34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7D388F93">
            <w:pPr>
              <w:pStyle w:val="90"/>
              <w:numPr>
                <w:ilvl w:val="0"/>
                <w:numId w:val="24"/>
              </w:numPr>
            </w:pPr>
          </w:p>
        </w:tc>
        <w:tc>
          <w:tcPr>
            <w:tcW w:w="507" w:type="pct"/>
            <w:vAlign w:val="center"/>
          </w:tcPr>
          <w:p w14:paraId="3C30F0AB">
            <w:pPr>
              <w:pStyle w:val="90"/>
            </w:pPr>
            <w:r>
              <w:t>硫化物</w:t>
            </w:r>
          </w:p>
        </w:tc>
        <w:tc>
          <w:tcPr>
            <w:tcW w:w="573" w:type="pct"/>
            <w:vAlign w:val="center"/>
          </w:tcPr>
          <w:p w14:paraId="3B707C77">
            <w:pPr>
              <w:pStyle w:val="90"/>
            </w:pPr>
            <w:r>
              <w:t>≤0.02mg/L</w:t>
            </w:r>
          </w:p>
        </w:tc>
        <w:tc>
          <w:tcPr>
            <w:tcW w:w="363" w:type="pct"/>
            <w:vAlign w:val="center"/>
          </w:tcPr>
          <w:p w14:paraId="4E36638E">
            <w:pPr>
              <w:pStyle w:val="90"/>
            </w:pPr>
            <w:r>
              <w:t>＜0.003</w:t>
            </w:r>
          </w:p>
        </w:tc>
        <w:tc>
          <w:tcPr>
            <w:tcW w:w="423" w:type="pct"/>
            <w:vAlign w:val="center"/>
          </w:tcPr>
          <w:p w14:paraId="6827B3C1">
            <w:pPr>
              <w:pStyle w:val="90"/>
            </w:pPr>
            <w:r>
              <w:t>0.15</w:t>
            </w:r>
          </w:p>
        </w:tc>
        <w:tc>
          <w:tcPr>
            <w:tcW w:w="439" w:type="pct"/>
            <w:vAlign w:val="center"/>
          </w:tcPr>
          <w:p w14:paraId="793055D3">
            <w:pPr>
              <w:pStyle w:val="90"/>
            </w:pPr>
            <w:r>
              <w:t>＜0.003</w:t>
            </w:r>
          </w:p>
        </w:tc>
        <w:tc>
          <w:tcPr>
            <w:tcW w:w="355" w:type="pct"/>
            <w:vAlign w:val="center"/>
          </w:tcPr>
          <w:p w14:paraId="57B7AFEC">
            <w:pPr>
              <w:pStyle w:val="90"/>
            </w:pPr>
            <w:r>
              <w:t>0.15</w:t>
            </w:r>
          </w:p>
        </w:tc>
        <w:tc>
          <w:tcPr>
            <w:tcW w:w="368" w:type="pct"/>
            <w:vAlign w:val="center"/>
          </w:tcPr>
          <w:p w14:paraId="3CDEE755">
            <w:pPr>
              <w:pStyle w:val="90"/>
            </w:pPr>
            <w:r>
              <w:t>＜0.003</w:t>
            </w:r>
          </w:p>
        </w:tc>
        <w:tc>
          <w:tcPr>
            <w:tcW w:w="354" w:type="pct"/>
            <w:vAlign w:val="center"/>
          </w:tcPr>
          <w:p w14:paraId="7AEEBE03">
            <w:pPr>
              <w:pStyle w:val="90"/>
            </w:pPr>
            <w:r>
              <w:t>0.15</w:t>
            </w:r>
          </w:p>
        </w:tc>
        <w:tc>
          <w:tcPr>
            <w:tcW w:w="367" w:type="pct"/>
            <w:vAlign w:val="center"/>
          </w:tcPr>
          <w:p w14:paraId="51E70A63">
            <w:pPr>
              <w:pStyle w:val="90"/>
            </w:pPr>
            <w:r>
              <w:t>＜0.003</w:t>
            </w:r>
          </w:p>
        </w:tc>
        <w:tc>
          <w:tcPr>
            <w:tcW w:w="329" w:type="pct"/>
            <w:vAlign w:val="center"/>
          </w:tcPr>
          <w:p w14:paraId="084D8A47">
            <w:pPr>
              <w:pStyle w:val="90"/>
            </w:pPr>
            <w:r>
              <w:t>0.15</w:t>
            </w:r>
          </w:p>
        </w:tc>
        <w:tc>
          <w:tcPr>
            <w:tcW w:w="368" w:type="pct"/>
            <w:vAlign w:val="center"/>
          </w:tcPr>
          <w:p w14:paraId="25423634">
            <w:pPr>
              <w:pStyle w:val="90"/>
            </w:pPr>
            <w:r>
              <w:t>＜0.003</w:t>
            </w:r>
          </w:p>
        </w:tc>
        <w:tc>
          <w:tcPr>
            <w:tcW w:w="328" w:type="pct"/>
            <w:vAlign w:val="center"/>
          </w:tcPr>
          <w:p w14:paraId="6EBD1AB3">
            <w:pPr>
              <w:pStyle w:val="90"/>
            </w:pPr>
            <w:r>
              <w:t>0.15</w:t>
            </w:r>
          </w:p>
        </w:tc>
      </w:tr>
      <w:tr w14:paraId="7F053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435BE780">
            <w:pPr>
              <w:pStyle w:val="90"/>
              <w:numPr>
                <w:ilvl w:val="0"/>
                <w:numId w:val="24"/>
              </w:numPr>
            </w:pPr>
          </w:p>
        </w:tc>
        <w:tc>
          <w:tcPr>
            <w:tcW w:w="507" w:type="pct"/>
            <w:vAlign w:val="center"/>
          </w:tcPr>
          <w:p w14:paraId="51DFCAEE">
            <w:pPr>
              <w:pStyle w:val="90"/>
            </w:pPr>
            <w:r>
              <w:t>总大肠菌群</w:t>
            </w:r>
          </w:p>
        </w:tc>
        <w:tc>
          <w:tcPr>
            <w:tcW w:w="573" w:type="pct"/>
            <w:vAlign w:val="center"/>
          </w:tcPr>
          <w:p w14:paraId="2CB4668E">
            <w:pPr>
              <w:pStyle w:val="90"/>
            </w:pPr>
            <w:r>
              <w:t>≤MPN/100mL</w:t>
            </w:r>
          </w:p>
        </w:tc>
        <w:tc>
          <w:tcPr>
            <w:tcW w:w="363" w:type="pct"/>
            <w:vAlign w:val="center"/>
          </w:tcPr>
          <w:p w14:paraId="4455BF09">
            <w:pPr>
              <w:pStyle w:val="90"/>
            </w:pPr>
            <w:r>
              <w:t>未检出</w:t>
            </w:r>
          </w:p>
        </w:tc>
        <w:tc>
          <w:tcPr>
            <w:tcW w:w="423" w:type="pct"/>
            <w:vAlign w:val="center"/>
          </w:tcPr>
          <w:p w14:paraId="4C2AE746">
            <w:pPr>
              <w:pStyle w:val="90"/>
            </w:pPr>
            <w:r>
              <w:t>/</w:t>
            </w:r>
          </w:p>
        </w:tc>
        <w:tc>
          <w:tcPr>
            <w:tcW w:w="439" w:type="pct"/>
            <w:vAlign w:val="center"/>
          </w:tcPr>
          <w:p w14:paraId="20AA80F4">
            <w:pPr>
              <w:pStyle w:val="90"/>
            </w:pPr>
            <w:r>
              <w:t>未检出</w:t>
            </w:r>
          </w:p>
        </w:tc>
        <w:tc>
          <w:tcPr>
            <w:tcW w:w="355" w:type="pct"/>
            <w:vAlign w:val="center"/>
          </w:tcPr>
          <w:p w14:paraId="2C65DD67">
            <w:pPr>
              <w:pStyle w:val="90"/>
            </w:pPr>
            <w:r>
              <w:t>/</w:t>
            </w:r>
          </w:p>
        </w:tc>
        <w:tc>
          <w:tcPr>
            <w:tcW w:w="368" w:type="pct"/>
            <w:vAlign w:val="center"/>
          </w:tcPr>
          <w:p w14:paraId="6F7DDD4F">
            <w:pPr>
              <w:pStyle w:val="90"/>
            </w:pPr>
            <w:r>
              <w:t>未检出</w:t>
            </w:r>
          </w:p>
        </w:tc>
        <w:tc>
          <w:tcPr>
            <w:tcW w:w="354" w:type="pct"/>
            <w:vAlign w:val="center"/>
          </w:tcPr>
          <w:p w14:paraId="3E852594">
            <w:pPr>
              <w:pStyle w:val="90"/>
            </w:pPr>
            <w:r>
              <w:t>/</w:t>
            </w:r>
          </w:p>
        </w:tc>
        <w:tc>
          <w:tcPr>
            <w:tcW w:w="367" w:type="pct"/>
            <w:vAlign w:val="center"/>
          </w:tcPr>
          <w:p w14:paraId="01EC65F4">
            <w:pPr>
              <w:pStyle w:val="90"/>
            </w:pPr>
            <w:r>
              <w:t>未检出</w:t>
            </w:r>
          </w:p>
        </w:tc>
        <w:tc>
          <w:tcPr>
            <w:tcW w:w="329" w:type="pct"/>
            <w:vAlign w:val="center"/>
          </w:tcPr>
          <w:p w14:paraId="4AF08A5E">
            <w:pPr>
              <w:pStyle w:val="90"/>
            </w:pPr>
            <w:r>
              <w:t>/</w:t>
            </w:r>
          </w:p>
        </w:tc>
        <w:tc>
          <w:tcPr>
            <w:tcW w:w="368" w:type="pct"/>
            <w:vAlign w:val="center"/>
          </w:tcPr>
          <w:p w14:paraId="095904BB">
            <w:pPr>
              <w:pStyle w:val="90"/>
            </w:pPr>
            <w:r>
              <w:t>未检出</w:t>
            </w:r>
          </w:p>
        </w:tc>
        <w:tc>
          <w:tcPr>
            <w:tcW w:w="328" w:type="pct"/>
            <w:vAlign w:val="center"/>
          </w:tcPr>
          <w:p w14:paraId="6ACFF916">
            <w:pPr>
              <w:pStyle w:val="90"/>
            </w:pPr>
            <w:r>
              <w:t>/</w:t>
            </w:r>
          </w:p>
        </w:tc>
      </w:tr>
      <w:tr w14:paraId="55C98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16119C9">
            <w:pPr>
              <w:pStyle w:val="90"/>
              <w:numPr>
                <w:ilvl w:val="0"/>
                <w:numId w:val="24"/>
              </w:numPr>
            </w:pPr>
          </w:p>
        </w:tc>
        <w:tc>
          <w:tcPr>
            <w:tcW w:w="507" w:type="pct"/>
            <w:vAlign w:val="center"/>
          </w:tcPr>
          <w:p w14:paraId="16715B62">
            <w:pPr>
              <w:pStyle w:val="90"/>
            </w:pPr>
            <w:r>
              <w:t>细菌总数</w:t>
            </w:r>
          </w:p>
        </w:tc>
        <w:tc>
          <w:tcPr>
            <w:tcW w:w="573" w:type="pct"/>
            <w:vAlign w:val="center"/>
          </w:tcPr>
          <w:p w14:paraId="545367FD">
            <w:pPr>
              <w:pStyle w:val="90"/>
            </w:pPr>
            <w:r>
              <w:t>≤100CFU/mL</w:t>
            </w:r>
          </w:p>
        </w:tc>
        <w:tc>
          <w:tcPr>
            <w:tcW w:w="363" w:type="pct"/>
            <w:vAlign w:val="center"/>
          </w:tcPr>
          <w:p w14:paraId="7BD2FD05">
            <w:pPr>
              <w:pStyle w:val="90"/>
            </w:pPr>
            <w:r>
              <w:t>17</w:t>
            </w:r>
          </w:p>
        </w:tc>
        <w:tc>
          <w:tcPr>
            <w:tcW w:w="423" w:type="pct"/>
            <w:vAlign w:val="center"/>
          </w:tcPr>
          <w:p w14:paraId="2D1E44AB">
            <w:pPr>
              <w:pStyle w:val="90"/>
            </w:pPr>
            <w:r>
              <w:t>0.17</w:t>
            </w:r>
          </w:p>
        </w:tc>
        <w:tc>
          <w:tcPr>
            <w:tcW w:w="439" w:type="pct"/>
            <w:vAlign w:val="center"/>
          </w:tcPr>
          <w:p w14:paraId="6A8C3902">
            <w:pPr>
              <w:pStyle w:val="90"/>
            </w:pPr>
            <w:r>
              <w:t>15</w:t>
            </w:r>
          </w:p>
        </w:tc>
        <w:tc>
          <w:tcPr>
            <w:tcW w:w="355" w:type="pct"/>
            <w:vAlign w:val="center"/>
          </w:tcPr>
          <w:p w14:paraId="6D10F385">
            <w:pPr>
              <w:pStyle w:val="90"/>
            </w:pPr>
            <w:r>
              <w:t>0.15</w:t>
            </w:r>
          </w:p>
        </w:tc>
        <w:tc>
          <w:tcPr>
            <w:tcW w:w="368" w:type="pct"/>
            <w:vAlign w:val="center"/>
          </w:tcPr>
          <w:p w14:paraId="0712EF55">
            <w:pPr>
              <w:pStyle w:val="90"/>
            </w:pPr>
            <w:r>
              <w:t>21</w:t>
            </w:r>
          </w:p>
        </w:tc>
        <w:tc>
          <w:tcPr>
            <w:tcW w:w="354" w:type="pct"/>
            <w:vAlign w:val="center"/>
          </w:tcPr>
          <w:p w14:paraId="344B70DE">
            <w:pPr>
              <w:pStyle w:val="90"/>
            </w:pPr>
            <w:r>
              <w:t>0.21</w:t>
            </w:r>
          </w:p>
        </w:tc>
        <w:tc>
          <w:tcPr>
            <w:tcW w:w="367" w:type="pct"/>
            <w:vAlign w:val="center"/>
          </w:tcPr>
          <w:p w14:paraId="4DECBF14">
            <w:pPr>
              <w:pStyle w:val="90"/>
            </w:pPr>
            <w:r>
              <w:t>16</w:t>
            </w:r>
          </w:p>
        </w:tc>
        <w:tc>
          <w:tcPr>
            <w:tcW w:w="329" w:type="pct"/>
            <w:vAlign w:val="center"/>
          </w:tcPr>
          <w:p w14:paraId="0F73CD22">
            <w:pPr>
              <w:pStyle w:val="90"/>
            </w:pPr>
            <w:r>
              <w:t>0.16</w:t>
            </w:r>
          </w:p>
        </w:tc>
        <w:tc>
          <w:tcPr>
            <w:tcW w:w="368" w:type="pct"/>
            <w:vAlign w:val="center"/>
          </w:tcPr>
          <w:p w14:paraId="01D80DAA">
            <w:pPr>
              <w:pStyle w:val="90"/>
            </w:pPr>
            <w:r>
              <w:rPr>
                <w:rFonts w:hint="eastAsia"/>
              </w:rPr>
              <w:t>15</w:t>
            </w:r>
          </w:p>
        </w:tc>
        <w:tc>
          <w:tcPr>
            <w:tcW w:w="328" w:type="pct"/>
            <w:vAlign w:val="center"/>
          </w:tcPr>
          <w:p w14:paraId="7B9607E0">
            <w:pPr>
              <w:pStyle w:val="90"/>
            </w:pPr>
            <w:r>
              <w:rPr>
                <w:rFonts w:hint="eastAsia"/>
              </w:rPr>
              <w:t>0.</w:t>
            </w:r>
            <w:r>
              <w:t>15</w:t>
            </w:r>
          </w:p>
        </w:tc>
      </w:tr>
      <w:tr w14:paraId="0947F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792FEDF3">
            <w:pPr>
              <w:pStyle w:val="90"/>
              <w:numPr>
                <w:ilvl w:val="0"/>
                <w:numId w:val="24"/>
              </w:numPr>
            </w:pPr>
          </w:p>
        </w:tc>
        <w:tc>
          <w:tcPr>
            <w:tcW w:w="507" w:type="pct"/>
            <w:vAlign w:val="center"/>
          </w:tcPr>
          <w:p w14:paraId="175C3764">
            <w:pPr>
              <w:pStyle w:val="90"/>
            </w:pPr>
            <w:r>
              <w:t>硝酸盐</w:t>
            </w:r>
          </w:p>
        </w:tc>
        <w:tc>
          <w:tcPr>
            <w:tcW w:w="573" w:type="pct"/>
            <w:vAlign w:val="center"/>
          </w:tcPr>
          <w:p w14:paraId="73F11F09">
            <w:pPr>
              <w:pStyle w:val="90"/>
            </w:pPr>
            <w:r>
              <w:t>≤20.0mg/L</w:t>
            </w:r>
          </w:p>
        </w:tc>
        <w:tc>
          <w:tcPr>
            <w:tcW w:w="363" w:type="pct"/>
            <w:vAlign w:val="center"/>
          </w:tcPr>
          <w:p w14:paraId="6A1197C5">
            <w:pPr>
              <w:pStyle w:val="90"/>
            </w:pPr>
            <w:r>
              <w:t>0.023</w:t>
            </w:r>
          </w:p>
        </w:tc>
        <w:tc>
          <w:tcPr>
            <w:tcW w:w="423" w:type="pct"/>
            <w:vAlign w:val="center"/>
          </w:tcPr>
          <w:p w14:paraId="6528607B">
            <w:pPr>
              <w:pStyle w:val="90"/>
            </w:pPr>
            <w:r>
              <w:t>0.023</w:t>
            </w:r>
          </w:p>
        </w:tc>
        <w:tc>
          <w:tcPr>
            <w:tcW w:w="439" w:type="pct"/>
            <w:vAlign w:val="center"/>
          </w:tcPr>
          <w:p w14:paraId="3810E9BD">
            <w:pPr>
              <w:pStyle w:val="90"/>
            </w:pPr>
            <w:r>
              <w:t>8.11</w:t>
            </w:r>
          </w:p>
        </w:tc>
        <w:tc>
          <w:tcPr>
            <w:tcW w:w="355" w:type="pct"/>
            <w:vAlign w:val="center"/>
          </w:tcPr>
          <w:p w14:paraId="314E16C8">
            <w:pPr>
              <w:pStyle w:val="90"/>
            </w:pPr>
            <w:r>
              <w:t>0.41</w:t>
            </w:r>
          </w:p>
        </w:tc>
        <w:tc>
          <w:tcPr>
            <w:tcW w:w="368" w:type="pct"/>
            <w:vAlign w:val="center"/>
          </w:tcPr>
          <w:p w14:paraId="37AC2D53">
            <w:pPr>
              <w:pStyle w:val="90"/>
            </w:pPr>
            <w:r>
              <w:t>7.28</w:t>
            </w:r>
          </w:p>
        </w:tc>
        <w:tc>
          <w:tcPr>
            <w:tcW w:w="354" w:type="pct"/>
            <w:vAlign w:val="center"/>
          </w:tcPr>
          <w:p w14:paraId="40EE6EC5">
            <w:pPr>
              <w:pStyle w:val="90"/>
            </w:pPr>
            <w:r>
              <w:t>0.36</w:t>
            </w:r>
          </w:p>
        </w:tc>
        <w:tc>
          <w:tcPr>
            <w:tcW w:w="367" w:type="pct"/>
            <w:vAlign w:val="center"/>
          </w:tcPr>
          <w:p w14:paraId="5DFEF156">
            <w:pPr>
              <w:pStyle w:val="90"/>
            </w:pPr>
            <w:r>
              <w:t>0.041</w:t>
            </w:r>
          </w:p>
        </w:tc>
        <w:tc>
          <w:tcPr>
            <w:tcW w:w="329" w:type="pct"/>
            <w:vAlign w:val="center"/>
          </w:tcPr>
          <w:p w14:paraId="7AC57E99">
            <w:pPr>
              <w:pStyle w:val="90"/>
            </w:pPr>
            <w:r>
              <w:t>0.041</w:t>
            </w:r>
          </w:p>
        </w:tc>
        <w:tc>
          <w:tcPr>
            <w:tcW w:w="368" w:type="pct"/>
            <w:vAlign w:val="center"/>
          </w:tcPr>
          <w:p w14:paraId="5ED3A42F">
            <w:pPr>
              <w:pStyle w:val="90"/>
            </w:pPr>
            <w:r>
              <w:rPr>
                <w:rFonts w:hint="eastAsia"/>
              </w:rPr>
              <w:t>0.</w:t>
            </w:r>
            <w:r>
              <w:t>90</w:t>
            </w:r>
          </w:p>
        </w:tc>
        <w:tc>
          <w:tcPr>
            <w:tcW w:w="328" w:type="pct"/>
            <w:vAlign w:val="center"/>
          </w:tcPr>
          <w:p w14:paraId="645116FB">
            <w:pPr>
              <w:pStyle w:val="90"/>
            </w:pPr>
            <w:r>
              <w:t>0.05</w:t>
            </w:r>
          </w:p>
        </w:tc>
      </w:tr>
      <w:tr w14:paraId="03CA4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7EF22BEF">
            <w:pPr>
              <w:pStyle w:val="90"/>
              <w:numPr>
                <w:ilvl w:val="0"/>
                <w:numId w:val="24"/>
              </w:numPr>
            </w:pPr>
          </w:p>
        </w:tc>
        <w:tc>
          <w:tcPr>
            <w:tcW w:w="507" w:type="pct"/>
            <w:vAlign w:val="center"/>
          </w:tcPr>
          <w:p w14:paraId="7F5DB8F4">
            <w:pPr>
              <w:pStyle w:val="90"/>
            </w:pPr>
            <w:r>
              <w:t>亚硝酸盐</w:t>
            </w:r>
          </w:p>
        </w:tc>
        <w:tc>
          <w:tcPr>
            <w:tcW w:w="573" w:type="pct"/>
            <w:vAlign w:val="center"/>
          </w:tcPr>
          <w:p w14:paraId="06C7DE61">
            <w:pPr>
              <w:pStyle w:val="90"/>
            </w:pPr>
            <w:r>
              <w:t>≤1.00mg/L</w:t>
            </w:r>
          </w:p>
        </w:tc>
        <w:tc>
          <w:tcPr>
            <w:tcW w:w="363" w:type="pct"/>
            <w:vAlign w:val="center"/>
          </w:tcPr>
          <w:p w14:paraId="511FFEB4">
            <w:pPr>
              <w:pStyle w:val="90"/>
            </w:pPr>
            <w:r>
              <w:t>12.3</w:t>
            </w:r>
          </w:p>
        </w:tc>
        <w:tc>
          <w:tcPr>
            <w:tcW w:w="423" w:type="pct"/>
            <w:vAlign w:val="center"/>
          </w:tcPr>
          <w:p w14:paraId="378805B6">
            <w:pPr>
              <w:pStyle w:val="90"/>
            </w:pPr>
            <w:r>
              <w:t>0.62</w:t>
            </w:r>
          </w:p>
        </w:tc>
        <w:tc>
          <w:tcPr>
            <w:tcW w:w="439" w:type="pct"/>
            <w:vAlign w:val="center"/>
          </w:tcPr>
          <w:p w14:paraId="73ED7F0D">
            <w:pPr>
              <w:pStyle w:val="90"/>
            </w:pPr>
            <w:r>
              <w:t>＜0.001</w:t>
            </w:r>
          </w:p>
        </w:tc>
        <w:tc>
          <w:tcPr>
            <w:tcW w:w="355" w:type="pct"/>
            <w:vAlign w:val="center"/>
          </w:tcPr>
          <w:p w14:paraId="0C6E0E8D">
            <w:pPr>
              <w:pStyle w:val="90"/>
            </w:pPr>
            <w:r>
              <w:t>0.001</w:t>
            </w:r>
          </w:p>
        </w:tc>
        <w:tc>
          <w:tcPr>
            <w:tcW w:w="368" w:type="pct"/>
            <w:vAlign w:val="center"/>
          </w:tcPr>
          <w:p w14:paraId="05ADBB4C">
            <w:pPr>
              <w:pStyle w:val="90"/>
            </w:pPr>
            <w:r>
              <w:t>＜0.001</w:t>
            </w:r>
          </w:p>
        </w:tc>
        <w:tc>
          <w:tcPr>
            <w:tcW w:w="354" w:type="pct"/>
            <w:vAlign w:val="center"/>
          </w:tcPr>
          <w:p w14:paraId="3BD4E84E">
            <w:pPr>
              <w:pStyle w:val="90"/>
            </w:pPr>
            <w:r>
              <w:t>0.001</w:t>
            </w:r>
          </w:p>
        </w:tc>
        <w:tc>
          <w:tcPr>
            <w:tcW w:w="367" w:type="pct"/>
            <w:vAlign w:val="center"/>
          </w:tcPr>
          <w:p w14:paraId="203EE4A1">
            <w:pPr>
              <w:pStyle w:val="90"/>
            </w:pPr>
            <w:r>
              <w:t>2.40</w:t>
            </w:r>
          </w:p>
        </w:tc>
        <w:tc>
          <w:tcPr>
            <w:tcW w:w="329" w:type="pct"/>
            <w:vAlign w:val="center"/>
          </w:tcPr>
          <w:p w14:paraId="18FA51C8">
            <w:pPr>
              <w:pStyle w:val="90"/>
            </w:pPr>
            <w:r>
              <w:t>0.12</w:t>
            </w:r>
          </w:p>
        </w:tc>
        <w:tc>
          <w:tcPr>
            <w:tcW w:w="368" w:type="pct"/>
            <w:vAlign w:val="center"/>
          </w:tcPr>
          <w:p w14:paraId="370AA67C">
            <w:pPr>
              <w:pStyle w:val="90"/>
            </w:pPr>
            <w:r>
              <w:rPr>
                <w:rFonts w:hint="eastAsia"/>
              </w:rPr>
              <w:t>0</w:t>
            </w:r>
            <w:r>
              <w:t>.004</w:t>
            </w:r>
          </w:p>
        </w:tc>
        <w:tc>
          <w:tcPr>
            <w:tcW w:w="328" w:type="pct"/>
            <w:vAlign w:val="center"/>
          </w:tcPr>
          <w:p w14:paraId="2B1A630C">
            <w:pPr>
              <w:pStyle w:val="90"/>
            </w:pPr>
            <w:r>
              <w:rPr>
                <w:rFonts w:hint="eastAsia"/>
              </w:rPr>
              <w:t>0.</w:t>
            </w:r>
            <w:r>
              <w:t>004</w:t>
            </w:r>
          </w:p>
        </w:tc>
      </w:tr>
      <w:tr w14:paraId="71CEE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07E3730A">
            <w:pPr>
              <w:pStyle w:val="90"/>
              <w:numPr>
                <w:ilvl w:val="0"/>
                <w:numId w:val="24"/>
              </w:numPr>
            </w:pPr>
          </w:p>
        </w:tc>
        <w:tc>
          <w:tcPr>
            <w:tcW w:w="507" w:type="pct"/>
            <w:vAlign w:val="center"/>
          </w:tcPr>
          <w:p w14:paraId="0225B939">
            <w:pPr>
              <w:pStyle w:val="90"/>
            </w:pPr>
            <w:r>
              <w:t>氰化物</w:t>
            </w:r>
          </w:p>
        </w:tc>
        <w:tc>
          <w:tcPr>
            <w:tcW w:w="573" w:type="pct"/>
            <w:vAlign w:val="center"/>
          </w:tcPr>
          <w:p w14:paraId="5E46A03B">
            <w:pPr>
              <w:pStyle w:val="90"/>
            </w:pPr>
            <w:r>
              <w:t>≤0.05mg/L</w:t>
            </w:r>
          </w:p>
        </w:tc>
        <w:tc>
          <w:tcPr>
            <w:tcW w:w="363" w:type="pct"/>
            <w:vAlign w:val="center"/>
          </w:tcPr>
          <w:p w14:paraId="7D4B670D">
            <w:pPr>
              <w:pStyle w:val="90"/>
            </w:pPr>
            <w:r>
              <w:t>＜0.004</w:t>
            </w:r>
          </w:p>
        </w:tc>
        <w:tc>
          <w:tcPr>
            <w:tcW w:w="423" w:type="pct"/>
            <w:vAlign w:val="center"/>
          </w:tcPr>
          <w:p w14:paraId="6BB31000">
            <w:pPr>
              <w:pStyle w:val="90"/>
            </w:pPr>
            <w:r>
              <w:t>0.08</w:t>
            </w:r>
          </w:p>
        </w:tc>
        <w:tc>
          <w:tcPr>
            <w:tcW w:w="439" w:type="pct"/>
            <w:vAlign w:val="center"/>
          </w:tcPr>
          <w:p w14:paraId="63C92116">
            <w:pPr>
              <w:pStyle w:val="90"/>
            </w:pPr>
            <w:r>
              <w:t>＜0.004</w:t>
            </w:r>
          </w:p>
        </w:tc>
        <w:tc>
          <w:tcPr>
            <w:tcW w:w="355" w:type="pct"/>
            <w:vAlign w:val="center"/>
          </w:tcPr>
          <w:p w14:paraId="720D20A3">
            <w:pPr>
              <w:pStyle w:val="90"/>
            </w:pPr>
            <w:r>
              <w:t>0.08</w:t>
            </w:r>
          </w:p>
        </w:tc>
        <w:tc>
          <w:tcPr>
            <w:tcW w:w="368" w:type="pct"/>
            <w:vAlign w:val="center"/>
          </w:tcPr>
          <w:p w14:paraId="43D21D12">
            <w:pPr>
              <w:pStyle w:val="90"/>
            </w:pPr>
            <w:r>
              <w:t>＜0.004</w:t>
            </w:r>
          </w:p>
        </w:tc>
        <w:tc>
          <w:tcPr>
            <w:tcW w:w="354" w:type="pct"/>
            <w:vAlign w:val="center"/>
          </w:tcPr>
          <w:p w14:paraId="6E5C153A">
            <w:pPr>
              <w:pStyle w:val="90"/>
            </w:pPr>
            <w:r>
              <w:t>0.08</w:t>
            </w:r>
          </w:p>
        </w:tc>
        <w:tc>
          <w:tcPr>
            <w:tcW w:w="367" w:type="pct"/>
            <w:vAlign w:val="center"/>
          </w:tcPr>
          <w:p w14:paraId="063120CD">
            <w:pPr>
              <w:pStyle w:val="90"/>
            </w:pPr>
            <w:r>
              <w:t>＜0.004</w:t>
            </w:r>
          </w:p>
        </w:tc>
        <w:tc>
          <w:tcPr>
            <w:tcW w:w="329" w:type="pct"/>
            <w:vAlign w:val="center"/>
          </w:tcPr>
          <w:p w14:paraId="32F2A058">
            <w:pPr>
              <w:pStyle w:val="90"/>
            </w:pPr>
            <w:r>
              <w:t>0.08</w:t>
            </w:r>
          </w:p>
        </w:tc>
        <w:tc>
          <w:tcPr>
            <w:tcW w:w="368" w:type="pct"/>
            <w:vAlign w:val="center"/>
          </w:tcPr>
          <w:p w14:paraId="6420518D">
            <w:pPr>
              <w:pStyle w:val="90"/>
            </w:pPr>
            <w:r>
              <w:rPr>
                <w:rFonts w:hint="eastAsia"/>
              </w:rPr>
              <w:t>0.</w:t>
            </w:r>
            <w:r>
              <w:t>002</w:t>
            </w:r>
          </w:p>
        </w:tc>
        <w:tc>
          <w:tcPr>
            <w:tcW w:w="328" w:type="pct"/>
            <w:vAlign w:val="center"/>
          </w:tcPr>
          <w:p w14:paraId="39CE728F">
            <w:pPr>
              <w:pStyle w:val="90"/>
            </w:pPr>
            <w:r>
              <w:rPr>
                <w:rFonts w:hint="eastAsia"/>
              </w:rPr>
              <w:t>0.</w:t>
            </w:r>
            <w:r>
              <w:t>04</w:t>
            </w:r>
          </w:p>
        </w:tc>
      </w:tr>
      <w:tr w14:paraId="17D1A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1DDC333A">
            <w:pPr>
              <w:pStyle w:val="90"/>
              <w:numPr>
                <w:ilvl w:val="0"/>
                <w:numId w:val="24"/>
              </w:numPr>
            </w:pPr>
          </w:p>
        </w:tc>
        <w:tc>
          <w:tcPr>
            <w:tcW w:w="507" w:type="pct"/>
            <w:vAlign w:val="center"/>
          </w:tcPr>
          <w:p w14:paraId="4C48ED62">
            <w:pPr>
              <w:pStyle w:val="90"/>
            </w:pPr>
            <w:r>
              <w:t>氟化物</w:t>
            </w:r>
          </w:p>
        </w:tc>
        <w:tc>
          <w:tcPr>
            <w:tcW w:w="573" w:type="pct"/>
            <w:vAlign w:val="center"/>
          </w:tcPr>
          <w:p w14:paraId="3171E5E6">
            <w:pPr>
              <w:pStyle w:val="90"/>
            </w:pPr>
            <w:r>
              <w:t>≤1.0mg/L</w:t>
            </w:r>
          </w:p>
        </w:tc>
        <w:tc>
          <w:tcPr>
            <w:tcW w:w="363" w:type="pct"/>
            <w:vAlign w:val="center"/>
          </w:tcPr>
          <w:p w14:paraId="72628FB5">
            <w:pPr>
              <w:pStyle w:val="90"/>
            </w:pPr>
            <w:r>
              <w:t>0.87</w:t>
            </w:r>
          </w:p>
        </w:tc>
        <w:tc>
          <w:tcPr>
            <w:tcW w:w="423" w:type="pct"/>
            <w:vAlign w:val="center"/>
          </w:tcPr>
          <w:p w14:paraId="4E92D464">
            <w:pPr>
              <w:pStyle w:val="90"/>
            </w:pPr>
            <w:r>
              <w:t>0.87</w:t>
            </w:r>
          </w:p>
        </w:tc>
        <w:tc>
          <w:tcPr>
            <w:tcW w:w="439" w:type="pct"/>
            <w:vAlign w:val="center"/>
          </w:tcPr>
          <w:p w14:paraId="45288D34">
            <w:pPr>
              <w:pStyle w:val="90"/>
            </w:pPr>
            <w:r>
              <w:t>0.87</w:t>
            </w:r>
          </w:p>
        </w:tc>
        <w:tc>
          <w:tcPr>
            <w:tcW w:w="355" w:type="pct"/>
            <w:vAlign w:val="center"/>
          </w:tcPr>
          <w:p w14:paraId="1EB1C87B">
            <w:pPr>
              <w:pStyle w:val="90"/>
            </w:pPr>
            <w:r>
              <w:t>0.87</w:t>
            </w:r>
          </w:p>
        </w:tc>
        <w:tc>
          <w:tcPr>
            <w:tcW w:w="368" w:type="pct"/>
            <w:vAlign w:val="center"/>
          </w:tcPr>
          <w:p w14:paraId="2C51E034">
            <w:pPr>
              <w:pStyle w:val="90"/>
            </w:pPr>
            <w:r>
              <w:t>0.43</w:t>
            </w:r>
          </w:p>
        </w:tc>
        <w:tc>
          <w:tcPr>
            <w:tcW w:w="354" w:type="pct"/>
            <w:vAlign w:val="center"/>
          </w:tcPr>
          <w:p w14:paraId="16EBCE31">
            <w:pPr>
              <w:pStyle w:val="90"/>
            </w:pPr>
            <w:r>
              <w:t>0.43</w:t>
            </w:r>
          </w:p>
        </w:tc>
        <w:tc>
          <w:tcPr>
            <w:tcW w:w="367" w:type="pct"/>
            <w:vAlign w:val="center"/>
          </w:tcPr>
          <w:p w14:paraId="1C58709B">
            <w:pPr>
              <w:pStyle w:val="90"/>
            </w:pPr>
            <w:r>
              <w:t>0.88</w:t>
            </w:r>
          </w:p>
        </w:tc>
        <w:tc>
          <w:tcPr>
            <w:tcW w:w="329" w:type="pct"/>
            <w:vAlign w:val="center"/>
          </w:tcPr>
          <w:p w14:paraId="2B6F137A">
            <w:pPr>
              <w:pStyle w:val="90"/>
            </w:pPr>
            <w:r>
              <w:t>0.88</w:t>
            </w:r>
          </w:p>
        </w:tc>
        <w:tc>
          <w:tcPr>
            <w:tcW w:w="368" w:type="pct"/>
            <w:vAlign w:val="center"/>
          </w:tcPr>
          <w:p w14:paraId="0CF1D07C">
            <w:pPr>
              <w:pStyle w:val="90"/>
            </w:pPr>
            <w:r>
              <w:rPr>
                <w:rFonts w:hint="eastAsia"/>
              </w:rPr>
              <w:t>0.</w:t>
            </w:r>
            <w:r>
              <w:t>49</w:t>
            </w:r>
          </w:p>
        </w:tc>
        <w:tc>
          <w:tcPr>
            <w:tcW w:w="328" w:type="pct"/>
            <w:vAlign w:val="center"/>
          </w:tcPr>
          <w:p w14:paraId="1C14DDB2">
            <w:pPr>
              <w:pStyle w:val="90"/>
            </w:pPr>
            <w:r>
              <w:rPr>
                <w:rFonts w:hint="eastAsia"/>
              </w:rPr>
              <w:t>0.</w:t>
            </w:r>
            <w:r>
              <w:t>49</w:t>
            </w:r>
          </w:p>
        </w:tc>
      </w:tr>
      <w:tr w14:paraId="246C3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70951321">
            <w:pPr>
              <w:pStyle w:val="90"/>
              <w:numPr>
                <w:ilvl w:val="0"/>
                <w:numId w:val="24"/>
              </w:numPr>
            </w:pPr>
          </w:p>
        </w:tc>
        <w:tc>
          <w:tcPr>
            <w:tcW w:w="507" w:type="pct"/>
            <w:vAlign w:val="center"/>
          </w:tcPr>
          <w:p w14:paraId="33287FDB">
            <w:pPr>
              <w:pStyle w:val="90"/>
            </w:pPr>
            <w:r>
              <w:t>汞</w:t>
            </w:r>
          </w:p>
        </w:tc>
        <w:tc>
          <w:tcPr>
            <w:tcW w:w="573" w:type="pct"/>
            <w:vAlign w:val="center"/>
          </w:tcPr>
          <w:p w14:paraId="0ADA84B5">
            <w:pPr>
              <w:pStyle w:val="90"/>
            </w:pPr>
            <w:r>
              <w:t>≤1μg/L</w:t>
            </w:r>
          </w:p>
        </w:tc>
        <w:tc>
          <w:tcPr>
            <w:tcW w:w="363" w:type="pct"/>
            <w:vAlign w:val="center"/>
          </w:tcPr>
          <w:p w14:paraId="5FB0C1F9">
            <w:pPr>
              <w:pStyle w:val="90"/>
            </w:pPr>
            <w:r>
              <w:t>0.31</w:t>
            </w:r>
          </w:p>
        </w:tc>
        <w:tc>
          <w:tcPr>
            <w:tcW w:w="423" w:type="pct"/>
            <w:vAlign w:val="center"/>
          </w:tcPr>
          <w:p w14:paraId="1A9164C7">
            <w:pPr>
              <w:pStyle w:val="90"/>
            </w:pPr>
            <w:r>
              <w:t>0.31</w:t>
            </w:r>
          </w:p>
        </w:tc>
        <w:tc>
          <w:tcPr>
            <w:tcW w:w="439" w:type="pct"/>
            <w:vAlign w:val="center"/>
          </w:tcPr>
          <w:p w14:paraId="3D552106">
            <w:pPr>
              <w:pStyle w:val="90"/>
            </w:pPr>
            <w:r>
              <w:t>0.65</w:t>
            </w:r>
          </w:p>
        </w:tc>
        <w:tc>
          <w:tcPr>
            <w:tcW w:w="355" w:type="pct"/>
            <w:vAlign w:val="center"/>
          </w:tcPr>
          <w:p w14:paraId="6083DA1E">
            <w:pPr>
              <w:pStyle w:val="90"/>
            </w:pPr>
            <w:r>
              <w:t>0.65</w:t>
            </w:r>
          </w:p>
        </w:tc>
        <w:tc>
          <w:tcPr>
            <w:tcW w:w="368" w:type="pct"/>
            <w:vAlign w:val="center"/>
          </w:tcPr>
          <w:p w14:paraId="55ACA20F">
            <w:pPr>
              <w:pStyle w:val="90"/>
            </w:pPr>
            <w:r>
              <w:t>0.51</w:t>
            </w:r>
          </w:p>
        </w:tc>
        <w:tc>
          <w:tcPr>
            <w:tcW w:w="354" w:type="pct"/>
            <w:vAlign w:val="center"/>
          </w:tcPr>
          <w:p w14:paraId="08887F6A">
            <w:pPr>
              <w:pStyle w:val="90"/>
            </w:pPr>
            <w:r>
              <w:t>0.51</w:t>
            </w:r>
          </w:p>
        </w:tc>
        <w:tc>
          <w:tcPr>
            <w:tcW w:w="367" w:type="pct"/>
            <w:vAlign w:val="center"/>
          </w:tcPr>
          <w:p w14:paraId="381D2914">
            <w:pPr>
              <w:pStyle w:val="90"/>
            </w:pPr>
            <w:r>
              <w:t>0.64</w:t>
            </w:r>
          </w:p>
        </w:tc>
        <w:tc>
          <w:tcPr>
            <w:tcW w:w="329" w:type="pct"/>
            <w:vAlign w:val="center"/>
          </w:tcPr>
          <w:p w14:paraId="02CF7C45">
            <w:pPr>
              <w:pStyle w:val="90"/>
            </w:pPr>
            <w:r>
              <w:t>0.64</w:t>
            </w:r>
          </w:p>
        </w:tc>
        <w:tc>
          <w:tcPr>
            <w:tcW w:w="368" w:type="pct"/>
            <w:vAlign w:val="center"/>
          </w:tcPr>
          <w:p w14:paraId="25FB1A2B">
            <w:pPr>
              <w:pStyle w:val="90"/>
            </w:pPr>
            <w:r>
              <w:t>&lt;0.04</w:t>
            </w:r>
          </w:p>
        </w:tc>
        <w:tc>
          <w:tcPr>
            <w:tcW w:w="328" w:type="pct"/>
            <w:vAlign w:val="center"/>
          </w:tcPr>
          <w:p w14:paraId="4C209C43">
            <w:pPr>
              <w:pStyle w:val="90"/>
            </w:pPr>
            <w:r>
              <w:rPr>
                <w:rFonts w:hint="eastAsia"/>
              </w:rPr>
              <w:t>0.0</w:t>
            </w:r>
            <w:r>
              <w:t>4</w:t>
            </w:r>
          </w:p>
        </w:tc>
      </w:tr>
      <w:tr w14:paraId="5822E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0770D4EE">
            <w:pPr>
              <w:pStyle w:val="90"/>
              <w:numPr>
                <w:ilvl w:val="0"/>
                <w:numId w:val="24"/>
              </w:numPr>
            </w:pPr>
          </w:p>
        </w:tc>
        <w:tc>
          <w:tcPr>
            <w:tcW w:w="507" w:type="pct"/>
            <w:vAlign w:val="center"/>
          </w:tcPr>
          <w:p w14:paraId="43B9534E">
            <w:pPr>
              <w:pStyle w:val="90"/>
            </w:pPr>
            <w:r>
              <w:t>砷</w:t>
            </w:r>
          </w:p>
        </w:tc>
        <w:tc>
          <w:tcPr>
            <w:tcW w:w="573" w:type="pct"/>
            <w:vAlign w:val="center"/>
          </w:tcPr>
          <w:p w14:paraId="0C8BC349">
            <w:pPr>
              <w:pStyle w:val="90"/>
            </w:pPr>
            <w:r>
              <w:t>≤10μg/L</w:t>
            </w:r>
          </w:p>
        </w:tc>
        <w:tc>
          <w:tcPr>
            <w:tcW w:w="363" w:type="pct"/>
            <w:vAlign w:val="center"/>
          </w:tcPr>
          <w:p w14:paraId="00AE37EA">
            <w:pPr>
              <w:pStyle w:val="90"/>
            </w:pPr>
            <w:r>
              <w:t>2.7</w:t>
            </w:r>
          </w:p>
        </w:tc>
        <w:tc>
          <w:tcPr>
            <w:tcW w:w="423" w:type="pct"/>
            <w:vAlign w:val="center"/>
          </w:tcPr>
          <w:p w14:paraId="346E85FC">
            <w:pPr>
              <w:pStyle w:val="90"/>
            </w:pPr>
            <w:r>
              <w:t>0.27</w:t>
            </w:r>
          </w:p>
        </w:tc>
        <w:tc>
          <w:tcPr>
            <w:tcW w:w="439" w:type="pct"/>
            <w:vAlign w:val="center"/>
          </w:tcPr>
          <w:p w14:paraId="04431274">
            <w:pPr>
              <w:pStyle w:val="90"/>
            </w:pPr>
            <w:r>
              <w:t>2.6</w:t>
            </w:r>
          </w:p>
        </w:tc>
        <w:tc>
          <w:tcPr>
            <w:tcW w:w="355" w:type="pct"/>
            <w:vAlign w:val="center"/>
          </w:tcPr>
          <w:p w14:paraId="650FF0F5">
            <w:pPr>
              <w:pStyle w:val="90"/>
            </w:pPr>
            <w:r>
              <w:t>0.26</w:t>
            </w:r>
          </w:p>
        </w:tc>
        <w:tc>
          <w:tcPr>
            <w:tcW w:w="368" w:type="pct"/>
            <w:vAlign w:val="center"/>
          </w:tcPr>
          <w:p w14:paraId="1D37F813">
            <w:pPr>
              <w:pStyle w:val="90"/>
            </w:pPr>
            <w:r>
              <w:t>2.4</w:t>
            </w:r>
          </w:p>
        </w:tc>
        <w:tc>
          <w:tcPr>
            <w:tcW w:w="354" w:type="pct"/>
            <w:vAlign w:val="center"/>
          </w:tcPr>
          <w:p w14:paraId="39993568">
            <w:pPr>
              <w:pStyle w:val="90"/>
            </w:pPr>
            <w:r>
              <w:t>0.24</w:t>
            </w:r>
          </w:p>
        </w:tc>
        <w:tc>
          <w:tcPr>
            <w:tcW w:w="367" w:type="pct"/>
            <w:vAlign w:val="center"/>
          </w:tcPr>
          <w:p w14:paraId="1F1628A3">
            <w:pPr>
              <w:pStyle w:val="90"/>
            </w:pPr>
            <w:r>
              <w:t>2.1</w:t>
            </w:r>
          </w:p>
        </w:tc>
        <w:tc>
          <w:tcPr>
            <w:tcW w:w="329" w:type="pct"/>
            <w:vAlign w:val="center"/>
          </w:tcPr>
          <w:p w14:paraId="083A55A9">
            <w:pPr>
              <w:pStyle w:val="90"/>
            </w:pPr>
            <w:r>
              <w:t>0.21</w:t>
            </w:r>
          </w:p>
        </w:tc>
        <w:tc>
          <w:tcPr>
            <w:tcW w:w="368" w:type="pct"/>
            <w:vAlign w:val="center"/>
          </w:tcPr>
          <w:p w14:paraId="1DB4EACD">
            <w:pPr>
              <w:pStyle w:val="90"/>
            </w:pPr>
            <w:r>
              <w:rPr>
                <w:rFonts w:hint="eastAsia"/>
              </w:rPr>
              <w:t>1.0</w:t>
            </w:r>
          </w:p>
        </w:tc>
        <w:tc>
          <w:tcPr>
            <w:tcW w:w="328" w:type="pct"/>
            <w:vAlign w:val="center"/>
          </w:tcPr>
          <w:p w14:paraId="3F7EB776">
            <w:pPr>
              <w:pStyle w:val="90"/>
            </w:pPr>
            <w:r>
              <w:rPr>
                <w:rFonts w:hint="eastAsia"/>
              </w:rPr>
              <w:t>0.1</w:t>
            </w:r>
          </w:p>
        </w:tc>
      </w:tr>
      <w:tr w14:paraId="42879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706D49FC">
            <w:pPr>
              <w:pStyle w:val="90"/>
              <w:numPr>
                <w:ilvl w:val="0"/>
                <w:numId w:val="24"/>
              </w:numPr>
            </w:pPr>
          </w:p>
        </w:tc>
        <w:tc>
          <w:tcPr>
            <w:tcW w:w="507" w:type="pct"/>
            <w:vAlign w:val="center"/>
          </w:tcPr>
          <w:p w14:paraId="7DE8F922">
            <w:pPr>
              <w:pStyle w:val="90"/>
            </w:pPr>
            <w:r>
              <w:t>硒</w:t>
            </w:r>
          </w:p>
        </w:tc>
        <w:tc>
          <w:tcPr>
            <w:tcW w:w="573" w:type="pct"/>
            <w:vAlign w:val="center"/>
          </w:tcPr>
          <w:p w14:paraId="35348308">
            <w:pPr>
              <w:pStyle w:val="90"/>
            </w:pPr>
            <w:r>
              <w:t>≤10μg/L</w:t>
            </w:r>
          </w:p>
        </w:tc>
        <w:tc>
          <w:tcPr>
            <w:tcW w:w="363" w:type="pct"/>
            <w:vAlign w:val="center"/>
          </w:tcPr>
          <w:p w14:paraId="2AEBF9BA">
            <w:pPr>
              <w:pStyle w:val="90"/>
            </w:pPr>
            <w:r>
              <w:t>1.5</w:t>
            </w:r>
          </w:p>
        </w:tc>
        <w:tc>
          <w:tcPr>
            <w:tcW w:w="423" w:type="pct"/>
            <w:vAlign w:val="center"/>
          </w:tcPr>
          <w:p w14:paraId="2357801B">
            <w:pPr>
              <w:pStyle w:val="90"/>
            </w:pPr>
            <w:r>
              <w:t>0.15</w:t>
            </w:r>
          </w:p>
        </w:tc>
        <w:tc>
          <w:tcPr>
            <w:tcW w:w="439" w:type="pct"/>
            <w:vAlign w:val="center"/>
          </w:tcPr>
          <w:p w14:paraId="7F00D48A">
            <w:pPr>
              <w:pStyle w:val="90"/>
            </w:pPr>
            <w:r>
              <w:t>1.5</w:t>
            </w:r>
          </w:p>
        </w:tc>
        <w:tc>
          <w:tcPr>
            <w:tcW w:w="355" w:type="pct"/>
            <w:vAlign w:val="center"/>
          </w:tcPr>
          <w:p w14:paraId="7CD490BB">
            <w:pPr>
              <w:pStyle w:val="90"/>
            </w:pPr>
            <w:r>
              <w:t>0.15</w:t>
            </w:r>
          </w:p>
        </w:tc>
        <w:tc>
          <w:tcPr>
            <w:tcW w:w="368" w:type="pct"/>
            <w:vAlign w:val="center"/>
          </w:tcPr>
          <w:p w14:paraId="7F93FCC6">
            <w:pPr>
              <w:pStyle w:val="90"/>
            </w:pPr>
            <w:r>
              <w:t>1.5</w:t>
            </w:r>
          </w:p>
        </w:tc>
        <w:tc>
          <w:tcPr>
            <w:tcW w:w="354" w:type="pct"/>
            <w:vAlign w:val="center"/>
          </w:tcPr>
          <w:p w14:paraId="17349418">
            <w:pPr>
              <w:pStyle w:val="90"/>
            </w:pPr>
            <w:r>
              <w:t>0.15</w:t>
            </w:r>
          </w:p>
        </w:tc>
        <w:tc>
          <w:tcPr>
            <w:tcW w:w="367" w:type="pct"/>
            <w:vAlign w:val="center"/>
          </w:tcPr>
          <w:p w14:paraId="66E5353B">
            <w:pPr>
              <w:pStyle w:val="90"/>
            </w:pPr>
            <w:r>
              <w:t>2.8</w:t>
            </w:r>
          </w:p>
        </w:tc>
        <w:tc>
          <w:tcPr>
            <w:tcW w:w="329" w:type="pct"/>
            <w:vAlign w:val="center"/>
          </w:tcPr>
          <w:p w14:paraId="38538B0B">
            <w:pPr>
              <w:pStyle w:val="90"/>
            </w:pPr>
            <w:r>
              <w:t>0.28</w:t>
            </w:r>
          </w:p>
        </w:tc>
        <w:tc>
          <w:tcPr>
            <w:tcW w:w="368" w:type="pct"/>
            <w:vAlign w:val="center"/>
          </w:tcPr>
          <w:p w14:paraId="22BEA496">
            <w:pPr>
              <w:pStyle w:val="90"/>
            </w:pPr>
            <w:r>
              <w:t>&lt;0.4</w:t>
            </w:r>
          </w:p>
        </w:tc>
        <w:tc>
          <w:tcPr>
            <w:tcW w:w="328" w:type="pct"/>
            <w:vAlign w:val="center"/>
          </w:tcPr>
          <w:p w14:paraId="36959F05">
            <w:pPr>
              <w:pStyle w:val="90"/>
            </w:pPr>
            <w:r>
              <w:rPr>
                <w:rFonts w:hint="eastAsia"/>
              </w:rPr>
              <w:t>0.0</w:t>
            </w:r>
            <w:r>
              <w:t>4</w:t>
            </w:r>
          </w:p>
        </w:tc>
      </w:tr>
      <w:tr w14:paraId="4275A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2E25344">
            <w:pPr>
              <w:pStyle w:val="90"/>
              <w:numPr>
                <w:ilvl w:val="0"/>
                <w:numId w:val="24"/>
              </w:numPr>
            </w:pPr>
          </w:p>
        </w:tc>
        <w:tc>
          <w:tcPr>
            <w:tcW w:w="507" w:type="pct"/>
            <w:vAlign w:val="center"/>
          </w:tcPr>
          <w:p w14:paraId="5CFE39FB">
            <w:pPr>
              <w:pStyle w:val="90"/>
            </w:pPr>
            <w:r>
              <w:t>镉</w:t>
            </w:r>
          </w:p>
        </w:tc>
        <w:tc>
          <w:tcPr>
            <w:tcW w:w="573" w:type="pct"/>
            <w:vAlign w:val="center"/>
          </w:tcPr>
          <w:p w14:paraId="2BECFAD2">
            <w:pPr>
              <w:pStyle w:val="90"/>
            </w:pPr>
            <w:r>
              <w:t>≤5μg/L</w:t>
            </w:r>
          </w:p>
        </w:tc>
        <w:tc>
          <w:tcPr>
            <w:tcW w:w="363" w:type="pct"/>
            <w:vAlign w:val="center"/>
          </w:tcPr>
          <w:p w14:paraId="1A5A2A7F">
            <w:pPr>
              <w:pStyle w:val="90"/>
            </w:pPr>
            <w:r>
              <w:t>＜0.5</w:t>
            </w:r>
          </w:p>
        </w:tc>
        <w:tc>
          <w:tcPr>
            <w:tcW w:w="423" w:type="pct"/>
            <w:vAlign w:val="center"/>
          </w:tcPr>
          <w:p w14:paraId="3B8BCFE1">
            <w:pPr>
              <w:pStyle w:val="90"/>
            </w:pPr>
            <w:r>
              <w:t>0.1</w:t>
            </w:r>
          </w:p>
        </w:tc>
        <w:tc>
          <w:tcPr>
            <w:tcW w:w="439" w:type="pct"/>
            <w:vAlign w:val="center"/>
          </w:tcPr>
          <w:p w14:paraId="4480416B">
            <w:pPr>
              <w:pStyle w:val="90"/>
            </w:pPr>
            <w:r>
              <w:t>＜0.5</w:t>
            </w:r>
          </w:p>
        </w:tc>
        <w:tc>
          <w:tcPr>
            <w:tcW w:w="355" w:type="pct"/>
            <w:vAlign w:val="center"/>
          </w:tcPr>
          <w:p w14:paraId="553BD319">
            <w:pPr>
              <w:pStyle w:val="90"/>
            </w:pPr>
            <w:r>
              <w:t>0.1</w:t>
            </w:r>
          </w:p>
        </w:tc>
        <w:tc>
          <w:tcPr>
            <w:tcW w:w="368" w:type="pct"/>
            <w:vAlign w:val="center"/>
          </w:tcPr>
          <w:p w14:paraId="536EE70B">
            <w:pPr>
              <w:pStyle w:val="90"/>
            </w:pPr>
            <w:r>
              <w:t>＜0.5</w:t>
            </w:r>
          </w:p>
        </w:tc>
        <w:tc>
          <w:tcPr>
            <w:tcW w:w="354" w:type="pct"/>
            <w:vAlign w:val="center"/>
          </w:tcPr>
          <w:p w14:paraId="41FB135D">
            <w:pPr>
              <w:pStyle w:val="90"/>
            </w:pPr>
            <w:r>
              <w:t>0.1</w:t>
            </w:r>
          </w:p>
        </w:tc>
        <w:tc>
          <w:tcPr>
            <w:tcW w:w="367" w:type="pct"/>
            <w:vAlign w:val="center"/>
          </w:tcPr>
          <w:p w14:paraId="1B9F19D3">
            <w:pPr>
              <w:pStyle w:val="90"/>
            </w:pPr>
            <w:r>
              <w:t>＜0.5</w:t>
            </w:r>
          </w:p>
        </w:tc>
        <w:tc>
          <w:tcPr>
            <w:tcW w:w="329" w:type="pct"/>
            <w:vAlign w:val="center"/>
          </w:tcPr>
          <w:p w14:paraId="20353585">
            <w:pPr>
              <w:pStyle w:val="90"/>
            </w:pPr>
            <w:r>
              <w:t>0.1</w:t>
            </w:r>
          </w:p>
        </w:tc>
        <w:tc>
          <w:tcPr>
            <w:tcW w:w="368" w:type="pct"/>
            <w:vAlign w:val="center"/>
          </w:tcPr>
          <w:p w14:paraId="41171AEC">
            <w:pPr>
              <w:pStyle w:val="90"/>
            </w:pPr>
            <w:r>
              <w:t>＜0.5</w:t>
            </w:r>
          </w:p>
        </w:tc>
        <w:tc>
          <w:tcPr>
            <w:tcW w:w="328" w:type="pct"/>
            <w:vAlign w:val="center"/>
          </w:tcPr>
          <w:p w14:paraId="04A9D9E5">
            <w:pPr>
              <w:pStyle w:val="90"/>
            </w:pPr>
            <w:r>
              <w:t>0.1</w:t>
            </w:r>
          </w:p>
        </w:tc>
      </w:tr>
      <w:tr w14:paraId="19EAD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DEB8B58">
            <w:pPr>
              <w:pStyle w:val="90"/>
              <w:numPr>
                <w:ilvl w:val="0"/>
                <w:numId w:val="24"/>
              </w:numPr>
            </w:pPr>
          </w:p>
        </w:tc>
        <w:tc>
          <w:tcPr>
            <w:tcW w:w="507" w:type="pct"/>
            <w:vAlign w:val="center"/>
          </w:tcPr>
          <w:p w14:paraId="03E64675">
            <w:pPr>
              <w:pStyle w:val="90"/>
            </w:pPr>
            <w:r>
              <w:t>六价铬</w:t>
            </w:r>
          </w:p>
        </w:tc>
        <w:tc>
          <w:tcPr>
            <w:tcW w:w="573" w:type="pct"/>
            <w:vAlign w:val="center"/>
          </w:tcPr>
          <w:p w14:paraId="26CA33D2">
            <w:pPr>
              <w:pStyle w:val="90"/>
            </w:pPr>
            <w:r>
              <w:t>≤0.05mg/L</w:t>
            </w:r>
          </w:p>
        </w:tc>
        <w:tc>
          <w:tcPr>
            <w:tcW w:w="363" w:type="pct"/>
            <w:vAlign w:val="center"/>
          </w:tcPr>
          <w:p w14:paraId="36E1E3D8">
            <w:pPr>
              <w:pStyle w:val="90"/>
            </w:pPr>
            <w:r>
              <w:t>0.019</w:t>
            </w:r>
          </w:p>
        </w:tc>
        <w:tc>
          <w:tcPr>
            <w:tcW w:w="423" w:type="pct"/>
            <w:vAlign w:val="center"/>
          </w:tcPr>
          <w:p w14:paraId="07633243">
            <w:pPr>
              <w:pStyle w:val="90"/>
            </w:pPr>
            <w:r>
              <w:t>0.38</w:t>
            </w:r>
          </w:p>
        </w:tc>
        <w:tc>
          <w:tcPr>
            <w:tcW w:w="439" w:type="pct"/>
            <w:vAlign w:val="center"/>
          </w:tcPr>
          <w:p w14:paraId="05701FC1">
            <w:pPr>
              <w:pStyle w:val="90"/>
            </w:pPr>
            <w:r>
              <w:t>0.009</w:t>
            </w:r>
          </w:p>
        </w:tc>
        <w:tc>
          <w:tcPr>
            <w:tcW w:w="355" w:type="pct"/>
            <w:vAlign w:val="center"/>
          </w:tcPr>
          <w:p w14:paraId="1A9B0DD2">
            <w:pPr>
              <w:pStyle w:val="90"/>
            </w:pPr>
            <w:r>
              <w:t>0.18</w:t>
            </w:r>
          </w:p>
        </w:tc>
        <w:tc>
          <w:tcPr>
            <w:tcW w:w="368" w:type="pct"/>
            <w:vAlign w:val="center"/>
          </w:tcPr>
          <w:p w14:paraId="12E83275">
            <w:pPr>
              <w:pStyle w:val="90"/>
            </w:pPr>
            <w:r>
              <w:t>0.01</w:t>
            </w:r>
          </w:p>
        </w:tc>
        <w:tc>
          <w:tcPr>
            <w:tcW w:w="354" w:type="pct"/>
            <w:vAlign w:val="center"/>
          </w:tcPr>
          <w:p w14:paraId="2D88F7DF">
            <w:pPr>
              <w:pStyle w:val="90"/>
            </w:pPr>
            <w:r>
              <w:t>0.2</w:t>
            </w:r>
          </w:p>
        </w:tc>
        <w:tc>
          <w:tcPr>
            <w:tcW w:w="367" w:type="pct"/>
            <w:vAlign w:val="center"/>
          </w:tcPr>
          <w:p w14:paraId="6C1537A5">
            <w:pPr>
              <w:pStyle w:val="90"/>
            </w:pPr>
            <w:r>
              <w:t>0.035</w:t>
            </w:r>
          </w:p>
        </w:tc>
        <w:tc>
          <w:tcPr>
            <w:tcW w:w="329" w:type="pct"/>
            <w:vAlign w:val="center"/>
          </w:tcPr>
          <w:p w14:paraId="342BDEB6">
            <w:pPr>
              <w:pStyle w:val="90"/>
            </w:pPr>
            <w:r>
              <w:t>0.7</w:t>
            </w:r>
          </w:p>
        </w:tc>
        <w:tc>
          <w:tcPr>
            <w:tcW w:w="368" w:type="pct"/>
            <w:vAlign w:val="center"/>
          </w:tcPr>
          <w:p w14:paraId="0F9688FA">
            <w:pPr>
              <w:pStyle w:val="90"/>
            </w:pPr>
            <w:r>
              <w:rPr>
                <w:rFonts w:hint="eastAsia"/>
              </w:rPr>
              <w:t>0.0</w:t>
            </w:r>
            <w:r>
              <w:t>05</w:t>
            </w:r>
          </w:p>
        </w:tc>
        <w:tc>
          <w:tcPr>
            <w:tcW w:w="328" w:type="pct"/>
            <w:vAlign w:val="center"/>
          </w:tcPr>
          <w:p w14:paraId="4F242AE3">
            <w:pPr>
              <w:pStyle w:val="90"/>
            </w:pPr>
            <w:r>
              <w:rPr>
                <w:rFonts w:hint="eastAsia"/>
              </w:rPr>
              <w:t>0.</w:t>
            </w:r>
            <w:r>
              <w:t>1</w:t>
            </w:r>
          </w:p>
        </w:tc>
      </w:tr>
      <w:tr w14:paraId="5D635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00FB996D">
            <w:pPr>
              <w:pStyle w:val="90"/>
              <w:numPr>
                <w:ilvl w:val="0"/>
                <w:numId w:val="24"/>
              </w:numPr>
            </w:pPr>
          </w:p>
        </w:tc>
        <w:tc>
          <w:tcPr>
            <w:tcW w:w="507" w:type="pct"/>
            <w:vAlign w:val="center"/>
          </w:tcPr>
          <w:p w14:paraId="36E04A9F">
            <w:pPr>
              <w:pStyle w:val="90"/>
            </w:pPr>
            <w:r>
              <w:t>铅</w:t>
            </w:r>
          </w:p>
        </w:tc>
        <w:tc>
          <w:tcPr>
            <w:tcW w:w="573" w:type="pct"/>
            <w:vAlign w:val="center"/>
          </w:tcPr>
          <w:p w14:paraId="03C7AA1D">
            <w:pPr>
              <w:pStyle w:val="90"/>
            </w:pPr>
            <w:r>
              <w:t>≤10μg/L</w:t>
            </w:r>
          </w:p>
        </w:tc>
        <w:tc>
          <w:tcPr>
            <w:tcW w:w="363" w:type="pct"/>
            <w:vAlign w:val="center"/>
          </w:tcPr>
          <w:p w14:paraId="1A5CE555">
            <w:pPr>
              <w:pStyle w:val="90"/>
            </w:pPr>
            <w:r>
              <w:t>＜2.5</w:t>
            </w:r>
          </w:p>
        </w:tc>
        <w:tc>
          <w:tcPr>
            <w:tcW w:w="423" w:type="pct"/>
            <w:vAlign w:val="center"/>
          </w:tcPr>
          <w:p w14:paraId="2EEBDA84">
            <w:pPr>
              <w:pStyle w:val="90"/>
            </w:pPr>
            <w:r>
              <w:t>0.25</w:t>
            </w:r>
          </w:p>
        </w:tc>
        <w:tc>
          <w:tcPr>
            <w:tcW w:w="439" w:type="pct"/>
            <w:vAlign w:val="center"/>
          </w:tcPr>
          <w:p w14:paraId="3D7EEAA4">
            <w:pPr>
              <w:pStyle w:val="90"/>
            </w:pPr>
            <w:r>
              <w:t>＜2.5</w:t>
            </w:r>
          </w:p>
        </w:tc>
        <w:tc>
          <w:tcPr>
            <w:tcW w:w="355" w:type="pct"/>
            <w:vAlign w:val="center"/>
          </w:tcPr>
          <w:p w14:paraId="36D443D7">
            <w:pPr>
              <w:pStyle w:val="90"/>
            </w:pPr>
            <w:r>
              <w:t>0.25</w:t>
            </w:r>
          </w:p>
        </w:tc>
        <w:tc>
          <w:tcPr>
            <w:tcW w:w="368" w:type="pct"/>
            <w:vAlign w:val="center"/>
          </w:tcPr>
          <w:p w14:paraId="5E4743DD">
            <w:pPr>
              <w:pStyle w:val="90"/>
            </w:pPr>
            <w:r>
              <w:t>＜2.5</w:t>
            </w:r>
          </w:p>
        </w:tc>
        <w:tc>
          <w:tcPr>
            <w:tcW w:w="354" w:type="pct"/>
            <w:vAlign w:val="center"/>
          </w:tcPr>
          <w:p w14:paraId="4A65EB8E">
            <w:pPr>
              <w:pStyle w:val="90"/>
            </w:pPr>
            <w:r>
              <w:t>0.25</w:t>
            </w:r>
          </w:p>
        </w:tc>
        <w:tc>
          <w:tcPr>
            <w:tcW w:w="367" w:type="pct"/>
            <w:vAlign w:val="center"/>
          </w:tcPr>
          <w:p w14:paraId="3A8B8701">
            <w:pPr>
              <w:pStyle w:val="90"/>
            </w:pPr>
            <w:r>
              <w:t>＜2.5</w:t>
            </w:r>
          </w:p>
        </w:tc>
        <w:tc>
          <w:tcPr>
            <w:tcW w:w="329" w:type="pct"/>
            <w:vAlign w:val="center"/>
          </w:tcPr>
          <w:p w14:paraId="6C4CA82B">
            <w:pPr>
              <w:pStyle w:val="90"/>
            </w:pPr>
            <w:r>
              <w:t>0.25</w:t>
            </w:r>
          </w:p>
        </w:tc>
        <w:tc>
          <w:tcPr>
            <w:tcW w:w="368" w:type="pct"/>
            <w:vAlign w:val="center"/>
          </w:tcPr>
          <w:p w14:paraId="2DA3E34F">
            <w:pPr>
              <w:pStyle w:val="90"/>
            </w:pPr>
            <w:r>
              <w:t>＜2.5</w:t>
            </w:r>
          </w:p>
        </w:tc>
        <w:tc>
          <w:tcPr>
            <w:tcW w:w="328" w:type="pct"/>
            <w:vAlign w:val="center"/>
          </w:tcPr>
          <w:p w14:paraId="2F10320F">
            <w:pPr>
              <w:pStyle w:val="90"/>
            </w:pPr>
            <w:r>
              <w:t>0.25</w:t>
            </w:r>
          </w:p>
        </w:tc>
      </w:tr>
      <w:tr w14:paraId="4E646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48114F3F">
            <w:pPr>
              <w:pStyle w:val="90"/>
              <w:numPr>
                <w:ilvl w:val="0"/>
                <w:numId w:val="24"/>
              </w:numPr>
            </w:pPr>
          </w:p>
        </w:tc>
        <w:tc>
          <w:tcPr>
            <w:tcW w:w="507" w:type="pct"/>
            <w:vAlign w:val="center"/>
          </w:tcPr>
          <w:p w14:paraId="42CF9119">
            <w:pPr>
              <w:pStyle w:val="90"/>
            </w:pPr>
            <w:r>
              <w:rPr>
                <w:rFonts w:hint="eastAsia"/>
              </w:rPr>
              <w:t>钾离子</w:t>
            </w:r>
          </w:p>
        </w:tc>
        <w:tc>
          <w:tcPr>
            <w:tcW w:w="573" w:type="pct"/>
            <w:vAlign w:val="center"/>
          </w:tcPr>
          <w:p w14:paraId="6E65A225">
            <w:pPr>
              <w:pStyle w:val="90"/>
            </w:pPr>
            <w:r>
              <w:rPr>
                <w:rFonts w:hint="eastAsia"/>
              </w:rPr>
              <w:t>/</w:t>
            </w:r>
          </w:p>
        </w:tc>
        <w:tc>
          <w:tcPr>
            <w:tcW w:w="363" w:type="pct"/>
            <w:vAlign w:val="center"/>
          </w:tcPr>
          <w:p w14:paraId="27B28455">
            <w:pPr>
              <w:pStyle w:val="90"/>
            </w:pPr>
            <w:r>
              <w:rPr>
                <w:rFonts w:hint="eastAsia"/>
              </w:rPr>
              <w:t>8</w:t>
            </w:r>
            <w:r>
              <w:t>.80</w:t>
            </w:r>
          </w:p>
        </w:tc>
        <w:tc>
          <w:tcPr>
            <w:tcW w:w="423" w:type="pct"/>
            <w:vAlign w:val="center"/>
          </w:tcPr>
          <w:p w14:paraId="20DA59EA">
            <w:pPr>
              <w:pStyle w:val="90"/>
            </w:pPr>
            <w:r>
              <w:rPr>
                <w:rFonts w:hint="eastAsia"/>
              </w:rPr>
              <w:t>/</w:t>
            </w:r>
          </w:p>
        </w:tc>
        <w:tc>
          <w:tcPr>
            <w:tcW w:w="439" w:type="pct"/>
            <w:vAlign w:val="center"/>
          </w:tcPr>
          <w:p w14:paraId="7D7B6359">
            <w:pPr>
              <w:pStyle w:val="90"/>
            </w:pPr>
            <w:r>
              <w:rPr>
                <w:rFonts w:hint="eastAsia"/>
              </w:rPr>
              <w:t>8</w:t>
            </w:r>
            <w:r>
              <w:t>.91</w:t>
            </w:r>
          </w:p>
        </w:tc>
        <w:tc>
          <w:tcPr>
            <w:tcW w:w="355" w:type="pct"/>
            <w:vAlign w:val="center"/>
          </w:tcPr>
          <w:p w14:paraId="6847C781">
            <w:pPr>
              <w:pStyle w:val="90"/>
            </w:pPr>
            <w:r>
              <w:rPr>
                <w:rFonts w:hint="eastAsia"/>
              </w:rPr>
              <w:t>/</w:t>
            </w:r>
          </w:p>
        </w:tc>
        <w:tc>
          <w:tcPr>
            <w:tcW w:w="368" w:type="pct"/>
            <w:vAlign w:val="center"/>
          </w:tcPr>
          <w:p w14:paraId="4D3A20EA">
            <w:pPr>
              <w:pStyle w:val="90"/>
            </w:pPr>
            <w:r>
              <w:rPr>
                <w:rFonts w:hint="eastAsia"/>
              </w:rPr>
              <w:t>8</w:t>
            </w:r>
            <w:r>
              <w:t>.80</w:t>
            </w:r>
          </w:p>
        </w:tc>
        <w:tc>
          <w:tcPr>
            <w:tcW w:w="354" w:type="pct"/>
            <w:vAlign w:val="center"/>
          </w:tcPr>
          <w:p w14:paraId="1CE3793A">
            <w:pPr>
              <w:pStyle w:val="90"/>
            </w:pPr>
            <w:r>
              <w:rPr>
                <w:rFonts w:hint="eastAsia"/>
              </w:rPr>
              <w:t>/</w:t>
            </w:r>
          </w:p>
        </w:tc>
        <w:tc>
          <w:tcPr>
            <w:tcW w:w="367" w:type="pct"/>
            <w:vAlign w:val="center"/>
          </w:tcPr>
          <w:p w14:paraId="296F6E8D">
            <w:pPr>
              <w:pStyle w:val="90"/>
            </w:pPr>
            <w:r>
              <w:rPr>
                <w:rFonts w:hint="eastAsia"/>
              </w:rPr>
              <w:t>8</w:t>
            </w:r>
            <w:r>
              <w:t>.57</w:t>
            </w:r>
          </w:p>
        </w:tc>
        <w:tc>
          <w:tcPr>
            <w:tcW w:w="329" w:type="pct"/>
            <w:vAlign w:val="center"/>
          </w:tcPr>
          <w:p w14:paraId="2ABA1856">
            <w:pPr>
              <w:pStyle w:val="90"/>
            </w:pPr>
            <w:r>
              <w:rPr>
                <w:rFonts w:hint="eastAsia"/>
              </w:rPr>
              <w:t>/</w:t>
            </w:r>
          </w:p>
        </w:tc>
        <w:tc>
          <w:tcPr>
            <w:tcW w:w="368" w:type="pct"/>
            <w:vAlign w:val="center"/>
          </w:tcPr>
          <w:p w14:paraId="577A8A05">
            <w:pPr>
              <w:pStyle w:val="90"/>
            </w:pPr>
            <w:r>
              <w:rPr>
                <w:rFonts w:hint="eastAsia"/>
              </w:rPr>
              <w:t>1</w:t>
            </w:r>
            <w:r>
              <w:t>.29</w:t>
            </w:r>
          </w:p>
        </w:tc>
        <w:tc>
          <w:tcPr>
            <w:tcW w:w="328" w:type="pct"/>
            <w:vAlign w:val="center"/>
          </w:tcPr>
          <w:p w14:paraId="1F11091F">
            <w:pPr>
              <w:pStyle w:val="90"/>
            </w:pPr>
          </w:p>
        </w:tc>
      </w:tr>
      <w:tr w14:paraId="06C1E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6B36D01A">
            <w:pPr>
              <w:pStyle w:val="90"/>
              <w:numPr>
                <w:ilvl w:val="0"/>
                <w:numId w:val="24"/>
              </w:numPr>
            </w:pPr>
          </w:p>
        </w:tc>
        <w:tc>
          <w:tcPr>
            <w:tcW w:w="507" w:type="pct"/>
            <w:vAlign w:val="center"/>
          </w:tcPr>
          <w:p w14:paraId="57496890">
            <w:pPr>
              <w:pStyle w:val="90"/>
            </w:pPr>
            <w:r>
              <w:rPr>
                <w:rFonts w:hint="eastAsia"/>
              </w:rPr>
              <w:t>钠离子</w:t>
            </w:r>
          </w:p>
        </w:tc>
        <w:tc>
          <w:tcPr>
            <w:tcW w:w="573" w:type="pct"/>
            <w:vAlign w:val="center"/>
          </w:tcPr>
          <w:p w14:paraId="5C7C233F">
            <w:pPr>
              <w:pStyle w:val="90"/>
            </w:pPr>
            <w:r>
              <w:t>≤200mg/L</w:t>
            </w:r>
          </w:p>
        </w:tc>
        <w:tc>
          <w:tcPr>
            <w:tcW w:w="363" w:type="pct"/>
            <w:vAlign w:val="center"/>
          </w:tcPr>
          <w:p w14:paraId="783978EB">
            <w:pPr>
              <w:pStyle w:val="90"/>
            </w:pPr>
            <w:r>
              <w:t>16.6</w:t>
            </w:r>
          </w:p>
        </w:tc>
        <w:tc>
          <w:tcPr>
            <w:tcW w:w="423" w:type="pct"/>
            <w:vAlign w:val="center"/>
          </w:tcPr>
          <w:p w14:paraId="26B3761C">
            <w:pPr>
              <w:pStyle w:val="90"/>
            </w:pPr>
            <w:r>
              <w:t>0.083</w:t>
            </w:r>
          </w:p>
        </w:tc>
        <w:tc>
          <w:tcPr>
            <w:tcW w:w="439" w:type="pct"/>
            <w:vAlign w:val="center"/>
          </w:tcPr>
          <w:p w14:paraId="49DF4C31">
            <w:pPr>
              <w:pStyle w:val="90"/>
            </w:pPr>
            <w:r>
              <w:t>12.7</w:t>
            </w:r>
          </w:p>
        </w:tc>
        <w:tc>
          <w:tcPr>
            <w:tcW w:w="355" w:type="pct"/>
            <w:vAlign w:val="center"/>
          </w:tcPr>
          <w:p w14:paraId="72A221A2">
            <w:pPr>
              <w:pStyle w:val="90"/>
            </w:pPr>
            <w:r>
              <w:t>0.064</w:t>
            </w:r>
          </w:p>
        </w:tc>
        <w:tc>
          <w:tcPr>
            <w:tcW w:w="368" w:type="pct"/>
            <w:vAlign w:val="center"/>
          </w:tcPr>
          <w:p w14:paraId="49F8CD1E">
            <w:pPr>
              <w:pStyle w:val="90"/>
            </w:pPr>
            <w:r>
              <w:t>13.1</w:t>
            </w:r>
          </w:p>
        </w:tc>
        <w:tc>
          <w:tcPr>
            <w:tcW w:w="354" w:type="pct"/>
            <w:vAlign w:val="center"/>
          </w:tcPr>
          <w:p w14:paraId="0D4F5402">
            <w:pPr>
              <w:pStyle w:val="90"/>
            </w:pPr>
            <w:r>
              <w:t>0.066</w:t>
            </w:r>
          </w:p>
        </w:tc>
        <w:tc>
          <w:tcPr>
            <w:tcW w:w="367" w:type="pct"/>
            <w:vAlign w:val="center"/>
          </w:tcPr>
          <w:p w14:paraId="49BC2A6B">
            <w:pPr>
              <w:pStyle w:val="90"/>
            </w:pPr>
            <w:r>
              <w:t>546</w:t>
            </w:r>
          </w:p>
        </w:tc>
        <w:tc>
          <w:tcPr>
            <w:tcW w:w="329" w:type="pct"/>
            <w:vAlign w:val="center"/>
          </w:tcPr>
          <w:p w14:paraId="7FB67C2C">
            <w:pPr>
              <w:pStyle w:val="90"/>
            </w:pPr>
            <w:r>
              <w:t>2.73</w:t>
            </w:r>
          </w:p>
        </w:tc>
        <w:tc>
          <w:tcPr>
            <w:tcW w:w="368" w:type="pct"/>
            <w:vAlign w:val="center"/>
          </w:tcPr>
          <w:p w14:paraId="7D92D8C4">
            <w:pPr>
              <w:pStyle w:val="90"/>
            </w:pPr>
            <w:r>
              <w:rPr>
                <w:rFonts w:hint="eastAsia"/>
              </w:rPr>
              <w:t>2</w:t>
            </w:r>
            <w:r>
              <w:t>33</w:t>
            </w:r>
          </w:p>
        </w:tc>
        <w:tc>
          <w:tcPr>
            <w:tcW w:w="328" w:type="pct"/>
            <w:vAlign w:val="center"/>
          </w:tcPr>
          <w:p w14:paraId="2A8973CD">
            <w:pPr>
              <w:pStyle w:val="90"/>
            </w:pPr>
            <w:r>
              <w:rPr>
                <w:rFonts w:hint="eastAsia"/>
              </w:rPr>
              <w:t>1</w:t>
            </w:r>
            <w:r>
              <w:t>.17</w:t>
            </w:r>
          </w:p>
        </w:tc>
      </w:tr>
      <w:tr w14:paraId="5534F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3E1BE75">
            <w:pPr>
              <w:pStyle w:val="90"/>
              <w:numPr>
                <w:ilvl w:val="0"/>
                <w:numId w:val="24"/>
              </w:numPr>
            </w:pPr>
          </w:p>
        </w:tc>
        <w:tc>
          <w:tcPr>
            <w:tcW w:w="507" w:type="pct"/>
            <w:vAlign w:val="center"/>
          </w:tcPr>
          <w:p w14:paraId="3D3AB4A7">
            <w:pPr>
              <w:pStyle w:val="90"/>
            </w:pPr>
            <w:r>
              <w:rPr>
                <w:rFonts w:hint="eastAsia"/>
              </w:rPr>
              <w:t>钙离子</w:t>
            </w:r>
          </w:p>
        </w:tc>
        <w:tc>
          <w:tcPr>
            <w:tcW w:w="573" w:type="pct"/>
            <w:vAlign w:val="center"/>
          </w:tcPr>
          <w:p w14:paraId="6E029707">
            <w:pPr>
              <w:pStyle w:val="90"/>
            </w:pPr>
            <w:r>
              <w:rPr>
                <w:rFonts w:hint="eastAsia"/>
              </w:rPr>
              <w:t>/</w:t>
            </w:r>
          </w:p>
        </w:tc>
        <w:tc>
          <w:tcPr>
            <w:tcW w:w="363" w:type="pct"/>
            <w:vAlign w:val="center"/>
          </w:tcPr>
          <w:p w14:paraId="399A7300">
            <w:pPr>
              <w:pStyle w:val="90"/>
            </w:pPr>
            <w:r>
              <w:t>231</w:t>
            </w:r>
          </w:p>
        </w:tc>
        <w:tc>
          <w:tcPr>
            <w:tcW w:w="423" w:type="pct"/>
            <w:vAlign w:val="center"/>
          </w:tcPr>
          <w:p w14:paraId="28763804">
            <w:pPr>
              <w:pStyle w:val="90"/>
            </w:pPr>
            <w:r>
              <w:rPr>
                <w:rFonts w:hint="eastAsia"/>
              </w:rPr>
              <w:t>/</w:t>
            </w:r>
          </w:p>
        </w:tc>
        <w:tc>
          <w:tcPr>
            <w:tcW w:w="439" w:type="pct"/>
            <w:vAlign w:val="center"/>
          </w:tcPr>
          <w:p w14:paraId="74649F9F">
            <w:pPr>
              <w:pStyle w:val="90"/>
            </w:pPr>
            <w:r>
              <w:t>181</w:t>
            </w:r>
          </w:p>
        </w:tc>
        <w:tc>
          <w:tcPr>
            <w:tcW w:w="355" w:type="pct"/>
            <w:vAlign w:val="center"/>
          </w:tcPr>
          <w:p w14:paraId="24DA2D67">
            <w:pPr>
              <w:pStyle w:val="90"/>
            </w:pPr>
            <w:r>
              <w:rPr>
                <w:rFonts w:hint="eastAsia"/>
              </w:rPr>
              <w:t>/</w:t>
            </w:r>
          </w:p>
        </w:tc>
        <w:tc>
          <w:tcPr>
            <w:tcW w:w="368" w:type="pct"/>
            <w:vAlign w:val="center"/>
          </w:tcPr>
          <w:p w14:paraId="121A4A2F">
            <w:pPr>
              <w:pStyle w:val="90"/>
            </w:pPr>
            <w:r>
              <w:t>231</w:t>
            </w:r>
          </w:p>
        </w:tc>
        <w:tc>
          <w:tcPr>
            <w:tcW w:w="354" w:type="pct"/>
            <w:vAlign w:val="center"/>
          </w:tcPr>
          <w:p w14:paraId="69D6932E">
            <w:pPr>
              <w:pStyle w:val="90"/>
            </w:pPr>
            <w:r>
              <w:rPr>
                <w:rFonts w:hint="eastAsia"/>
              </w:rPr>
              <w:t>/</w:t>
            </w:r>
          </w:p>
        </w:tc>
        <w:tc>
          <w:tcPr>
            <w:tcW w:w="367" w:type="pct"/>
            <w:vAlign w:val="center"/>
          </w:tcPr>
          <w:p w14:paraId="4EB5BBE7">
            <w:pPr>
              <w:pStyle w:val="90"/>
            </w:pPr>
            <w:r>
              <w:t>256</w:t>
            </w:r>
          </w:p>
        </w:tc>
        <w:tc>
          <w:tcPr>
            <w:tcW w:w="329" w:type="pct"/>
            <w:vAlign w:val="center"/>
          </w:tcPr>
          <w:p w14:paraId="650E1774">
            <w:pPr>
              <w:pStyle w:val="90"/>
            </w:pPr>
            <w:r>
              <w:rPr>
                <w:rFonts w:hint="eastAsia"/>
              </w:rPr>
              <w:t>/</w:t>
            </w:r>
          </w:p>
        </w:tc>
        <w:tc>
          <w:tcPr>
            <w:tcW w:w="368" w:type="pct"/>
            <w:vAlign w:val="center"/>
          </w:tcPr>
          <w:p w14:paraId="2BB214FE">
            <w:pPr>
              <w:pStyle w:val="90"/>
            </w:pPr>
            <w:r>
              <w:rPr>
                <w:rFonts w:hint="eastAsia"/>
              </w:rPr>
              <w:t>2</w:t>
            </w:r>
            <w:r>
              <w:t>33</w:t>
            </w:r>
          </w:p>
        </w:tc>
        <w:tc>
          <w:tcPr>
            <w:tcW w:w="328" w:type="pct"/>
            <w:vAlign w:val="center"/>
          </w:tcPr>
          <w:p w14:paraId="227D74E0">
            <w:pPr>
              <w:pStyle w:val="90"/>
            </w:pPr>
            <w:r>
              <w:rPr>
                <w:rFonts w:hint="eastAsia"/>
              </w:rPr>
              <w:t>/</w:t>
            </w:r>
          </w:p>
        </w:tc>
      </w:tr>
      <w:tr w14:paraId="38867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5DBA61F3">
            <w:pPr>
              <w:pStyle w:val="90"/>
              <w:numPr>
                <w:ilvl w:val="0"/>
                <w:numId w:val="24"/>
              </w:numPr>
            </w:pPr>
          </w:p>
        </w:tc>
        <w:tc>
          <w:tcPr>
            <w:tcW w:w="507" w:type="pct"/>
            <w:vAlign w:val="center"/>
          </w:tcPr>
          <w:p w14:paraId="077F2127">
            <w:pPr>
              <w:pStyle w:val="90"/>
            </w:pPr>
            <w:r>
              <w:rPr>
                <w:rFonts w:hint="eastAsia"/>
              </w:rPr>
              <w:t>镁离子</w:t>
            </w:r>
          </w:p>
        </w:tc>
        <w:tc>
          <w:tcPr>
            <w:tcW w:w="573" w:type="pct"/>
            <w:vAlign w:val="center"/>
          </w:tcPr>
          <w:p w14:paraId="799CF961">
            <w:pPr>
              <w:pStyle w:val="90"/>
            </w:pPr>
            <w:r>
              <w:rPr>
                <w:rFonts w:hint="eastAsia"/>
              </w:rPr>
              <w:t>/</w:t>
            </w:r>
          </w:p>
        </w:tc>
        <w:tc>
          <w:tcPr>
            <w:tcW w:w="363" w:type="pct"/>
            <w:vAlign w:val="center"/>
          </w:tcPr>
          <w:p w14:paraId="2EE0B4FD">
            <w:pPr>
              <w:pStyle w:val="90"/>
            </w:pPr>
            <w:r>
              <w:rPr>
                <w:rFonts w:hint="eastAsia"/>
              </w:rPr>
              <w:t>4</w:t>
            </w:r>
            <w:r>
              <w:t>5.6</w:t>
            </w:r>
          </w:p>
        </w:tc>
        <w:tc>
          <w:tcPr>
            <w:tcW w:w="423" w:type="pct"/>
            <w:vAlign w:val="center"/>
          </w:tcPr>
          <w:p w14:paraId="21AF8D6A">
            <w:pPr>
              <w:pStyle w:val="90"/>
            </w:pPr>
            <w:r>
              <w:rPr>
                <w:rFonts w:hint="eastAsia"/>
              </w:rPr>
              <w:t>/</w:t>
            </w:r>
          </w:p>
        </w:tc>
        <w:tc>
          <w:tcPr>
            <w:tcW w:w="439" w:type="pct"/>
            <w:vAlign w:val="center"/>
          </w:tcPr>
          <w:p w14:paraId="319CF400">
            <w:pPr>
              <w:pStyle w:val="90"/>
            </w:pPr>
            <w:r>
              <w:rPr>
                <w:rFonts w:hint="eastAsia"/>
              </w:rPr>
              <w:t>4</w:t>
            </w:r>
            <w:r>
              <w:t>7.6</w:t>
            </w:r>
          </w:p>
        </w:tc>
        <w:tc>
          <w:tcPr>
            <w:tcW w:w="355" w:type="pct"/>
            <w:vAlign w:val="center"/>
          </w:tcPr>
          <w:p w14:paraId="3941B0D0">
            <w:pPr>
              <w:pStyle w:val="90"/>
            </w:pPr>
            <w:r>
              <w:rPr>
                <w:rFonts w:hint="eastAsia"/>
              </w:rPr>
              <w:t>/</w:t>
            </w:r>
          </w:p>
        </w:tc>
        <w:tc>
          <w:tcPr>
            <w:tcW w:w="368" w:type="pct"/>
            <w:vAlign w:val="center"/>
          </w:tcPr>
          <w:p w14:paraId="28335A93">
            <w:pPr>
              <w:pStyle w:val="90"/>
            </w:pPr>
            <w:r>
              <w:rPr>
                <w:rFonts w:hint="eastAsia"/>
              </w:rPr>
              <w:t>4</w:t>
            </w:r>
            <w:r>
              <w:t>7.5</w:t>
            </w:r>
          </w:p>
        </w:tc>
        <w:tc>
          <w:tcPr>
            <w:tcW w:w="354" w:type="pct"/>
            <w:vAlign w:val="center"/>
          </w:tcPr>
          <w:p w14:paraId="64B35F39">
            <w:pPr>
              <w:pStyle w:val="90"/>
            </w:pPr>
            <w:r>
              <w:rPr>
                <w:rFonts w:hint="eastAsia"/>
              </w:rPr>
              <w:t>/</w:t>
            </w:r>
          </w:p>
        </w:tc>
        <w:tc>
          <w:tcPr>
            <w:tcW w:w="367" w:type="pct"/>
            <w:vAlign w:val="center"/>
          </w:tcPr>
          <w:p w14:paraId="059F2A73">
            <w:pPr>
              <w:pStyle w:val="90"/>
            </w:pPr>
            <w:r>
              <w:rPr>
                <w:rFonts w:hint="eastAsia"/>
              </w:rPr>
              <w:t>4</w:t>
            </w:r>
            <w:r>
              <w:t>7.2</w:t>
            </w:r>
          </w:p>
        </w:tc>
        <w:tc>
          <w:tcPr>
            <w:tcW w:w="329" w:type="pct"/>
            <w:vAlign w:val="center"/>
          </w:tcPr>
          <w:p w14:paraId="7B466ABF">
            <w:pPr>
              <w:pStyle w:val="90"/>
            </w:pPr>
            <w:r>
              <w:rPr>
                <w:rFonts w:hint="eastAsia"/>
              </w:rPr>
              <w:t>/</w:t>
            </w:r>
          </w:p>
        </w:tc>
        <w:tc>
          <w:tcPr>
            <w:tcW w:w="368" w:type="pct"/>
            <w:vAlign w:val="center"/>
          </w:tcPr>
          <w:p w14:paraId="3C28F15B">
            <w:pPr>
              <w:pStyle w:val="90"/>
            </w:pPr>
            <w:r>
              <w:rPr>
                <w:rFonts w:hint="eastAsia"/>
              </w:rPr>
              <w:t>1</w:t>
            </w:r>
            <w:r>
              <w:t>8.0</w:t>
            </w:r>
          </w:p>
        </w:tc>
        <w:tc>
          <w:tcPr>
            <w:tcW w:w="328" w:type="pct"/>
            <w:vAlign w:val="center"/>
          </w:tcPr>
          <w:p w14:paraId="25FDCCD9">
            <w:pPr>
              <w:pStyle w:val="90"/>
            </w:pPr>
            <w:r>
              <w:rPr>
                <w:rFonts w:hint="eastAsia"/>
              </w:rPr>
              <w:t>/</w:t>
            </w:r>
          </w:p>
        </w:tc>
      </w:tr>
      <w:tr w14:paraId="59F31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63CDE820">
            <w:pPr>
              <w:pStyle w:val="90"/>
              <w:numPr>
                <w:ilvl w:val="0"/>
                <w:numId w:val="24"/>
              </w:numPr>
            </w:pPr>
          </w:p>
        </w:tc>
        <w:tc>
          <w:tcPr>
            <w:tcW w:w="507" w:type="pct"/>
            <w:vAlign w:val="center"/>
          </w:tcPr>
          <w:p w14:paraId="4C93303A">
            <w:pPr>
              <w:pStyle w:val="90"/>
            </w:pPr>
            <w:r>
              <w:rPr>
                <w:rFonts w:hint="eastAsia"/>
              </w:rPr>
              <w:t>硫酸盐</w:t>
            </w:r>
          </w:p>
        </w:tc>
        <w:tc>
          <w:tcPr>
            <w:tcW w:w="573" w:type="pct"/>
            <w:vAlign w:val="center"/>
          </w:tcPr>
          <w:p w14:paraId="1915BB9A">
            <w:pPr>
              <w:pStyle w:val="90"/>
            </w:pPr>
            <w:r>
              <w:t>≤250mg/L</w:t>
            </w:r>
          </w:p>
        </w:tc>
        <w:tc>
          <w:tcPr>
            <w:tcW w:w="363" w:type="pct"/>
            <w:vAlign w:val="center"/>
          </w:tcPr>
          <w:p w14:paraId="523CBFEB">
            <w:pPr>
              <w:pStyle w:val="90"/>
            </w:pPr>
            <w:r>
              <w:t>362</w:t>
            </w:r>
          </w:p>
        </w:tc>
        <w:tc>
          <w:tcPr>
            <w:tcW w:w="423" w:type="pct"/>
            <w:vAlign w:val="center"/>
          </w:tcPr>
          <w:p w14:paraId="3460996F">
            <w:pPr>
              <w:pStyle w:val="90"/>
            </w:pPr>
            <w:r>
              <w:t>1.45</w:t>
            </w:r>
          </w:p>
        </w:tc>
        <w:tc>
          <w:tcPr>
            <w:tcW w:w="439" w:type="pct"/>
            <w:vAlign w:val="center"/>
          </w:tcPr>
          <w:p w14:paraId="498F928E">
            <w:pPr>
              <w:pStyle w:val="90"/>
            </w:pPr>
            <w:r>
              <w:t>374</w:t>
            </w:r>
          </w:p>
        </w:tc>
        <w:tc>
          <w:tcPr>
            <w:tcW w:w="355" w:type="pct"/>
            <w:vAlign w:val="center"/>
          </w:tcPr>
          <w:p w14:paraId="03505EF6">
            <w:pPr>
              <w:pStyle w:val="90"/>
            </w:pPr>
            <w:r>
              <w:t>1.45</w:t>
            </w:r>
          </w:p>
        </w:tc>
        <w:tc>
          <w:tcPr>
            <w:tcW w:w="368" w:type="pct"/>
            <w:vAlign w:val="center"/>
          </w:tcPr>
          <w:p w14:paraId="2604EC21">
            <w:pPr>
              <w:pStyle w:val="90"/>
            </w:pPr>
            <w:r>
              <w:t>435</w:t>
            </w:r>
          </w:p>
        </w:tc>
        <w:tc>
          <w:tcPr>
            <w:tcW w:w="354" w:type="pct"/>
            <w:vAlign w:val="center"/>
          </w:tcPr>
          <w:p w14:paraId="327BB4C6">
            <w:pPr>
              <w:pStyle w:val="90"/>
            </w:pPr>
            <w:r>
              <w:t>1.74</w:t>
            </w:r>
          </w:p>
        </w:tc>
        <w:tc>
          <w:tcPr>
            <w:tcW w:w="367" w:type="pct"/>
            <w:vAlign w:val="center"/>
          </w:tcPr>
          <w:p w14:paraId="3A10F2E6">
            <w:pPr>
              <w:pStyle w:val="90"/>
            </w:pPr>
            <w:r>
              <w:t>593</w:t>
            </w:r>
          </w:p>
        </w:tc>
        <w:tc>
          <w:tcPr>
            <w:tcW w:w="329" w:type="pct"/>
            <w:vAlign w:val="center"/>
          </w:tcPr>
          <w:p w14:paraId="6BCAA2A1">
            <w:pPr>
              <w:pStyle w:val="90"/>
            </w:pPr>
            <w:r>
              <w:t>2.37</w:t>
            </w:r>
          </w:p>
        </w:tc>
        <w:tc>
          <w:tcPr>
            <w:tcW w:w="368" w:type="pct"/>
            <w:vAlign w:val="center"/>
          </w:tcPr>
          <w:p w14:paraId="1DFE383B">
            <w:pPr>
              <w:pStyle w:val="90"/>
            </w:pPr>
            <w:r>
              <w:rPr>
                <w:rFonts w:hint="eastAsia"/>
              </w:rPr>
              <w:t>2</w:t>
            </w:r>
            <w:r>
              <w:t>75</w:t>
            </w:r>
          </w:p>
        </w:tc>
        <w:tc>
          <w:tcPr>
            <w:tcW w:w="328" w:type="pct"/>
            <w:vAlign w:val="center"/>
          </w:tcPr>
          <w:p w14:paraId="7270C2DD">
            <w:pPr>
              <w:pStyle w:val="90"/>
            </w:pPr>
            <w:r>
              <w:rPr>
                <w:rFonts w:hint="eastAsia"/>
              </w:rPr>
              <w:t>1</w:t>
            </w:r>
            <w:r>
              <w:t>.1</w:t>
            </w:r>
          </w:p>
        </w:tc>
      </w:tr>
      <w:tr w14:paraId="08014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60DD90DF">
            <w:pPr>
              <w:pStyle w:val="90"/>
              <w:numPr>
                <w:ilvl w:val="0"/>
                <w:numId w:val="24"/>
              </w:numPr>
            </w:pPr>
          </w:p>
        </w:tc>
        <w:tc>
          <w:tcPr>
            <w:tcW w:w="507" w:type="pct"/>
            <w:vAlign w:val="center"/>
          </w:tcPr>
          <w:p w14:paraId="6497E524">
            <w:pPr>
              <w:pStyle w:val="90"/>
            </w:pPr>
            <w:r>
              <w:rPr>
                <w:rFonts w:hint="eastAsia"/>
              </w:rPr>
              <w:t>氯化物</w:t>
            </w:r>
          </w:p>
        </w:tc>
        <w:tc>
          <w:tcPr>
            <w:tcW w:w="573" w:type="pct"/>
            <w:vAlign w:val="center"/>
          </w:tcPr>
          <w:p w14:paraId="01994C00">
            <w:pPr>
              <w:pStyle w:val="90"/>
            </w:pPr>
            <w:r>
              <w:t>≤250mg/L</w:t>
            </w:r>
          </w:p>
        </w:tc>
        <w:tc>
          <w:tcPr>
            <w:tcW w:w="363" w:type="pct"/>
            <w:vAlign w:val="center"/>
          </w:tcPr>
          <w:p w14:paraId="4E6151A9">
            <w:pPr>
              <w:pStyle w:val="90"/>
            </w:pPr>
            <w:r>
              <w:t>211</w:t>
            </w:r>
          </w:p>
        </w:tc>
        <w:tc>
          <w:tcPr>
            <w:tcW w:w="423" w:type="pct"/>
            <w:vAlign w:val="center"/>
          </w:tcPr>
          <w:p w14:paraId="3E3020F6">
            <w:pPr>
              <w:pStyle w:val="90"/>
            </w:pPr>
            <w:r>
              <w:t>0.84</w:t>
            </w:r>
          </w:p>
        </w:tc>
        <w:tc>
          <w:tcPr>
            <w:tcW w:w="439" w:type="pct"/>
            <w:vAlign w:val="center"/>
          </w:tcPr>
          <w:p w14:paraId="5A24EAC3">
            <w:pPr>
              <w:pStyle w:val="90"/>
            </w:pPr>
            <w:r>
              <w:t>481</w:t>
            </w:r>
          </w:p>
        </w:tc>
        <w:tc>
          <w:tcPr>
            <w:tcW w:w="355" w:type="pct"/>
            <w:vAlign w:val="center"/>
          </w:tcPr>
          <w:p w14:paraId="6AEB5C10">
            <w:pPr>
              <w:pStyle w:val="90"/>
            </w:pPr>
            <w:r>
              <w:t>1.92</w:t>
            </w:r>
          </w:p>
        </w:tc>
        <w:tc>
          <w:tcPr>
            <w:tcW w:w="368" w:type="pct"/>
            <w:vAlign w:val="center"/>
          </w:tcPr>
          <w:p w14:paraId="7B5520E8">
            <w:pPr>
              <w:pStyle w:val="90"/>
            </w:pPr>
            <w:r>
              <w:t>351</w:t>
            </w:r>
          </w:p>
        </w:tc>
        <w:tc>
          <w:tcPr>
            <w:tcW w:w="354" w:type="pct"/>
            <w:vAlign w:val="center"/>
          </w:tcPr>
          <w:p w14:paraId="1E8566DB">
            <w:pPr>
              <w:pStyle w:val="90"/>
            </w:pPr>
            <w:r>
              <w:t>1.40</w:t>
            </w:r>
          </w:p>
        </w:tc>
        <w:tc>
          <w:tcPr>
            <w:tcW w:w="367" w:type="pct"/>
            <w:vAlign w:val="center"/>
          </w:tcPr>
          <w:p w14:paraId="7B078924">
            <w:pPr>
              <w:pStyle w:val="90"/>
            </w:pPr>
            <w:r>
              <w:t>1580</w:t>
            </w:r>
          </w:p>
        </w:tc>
        <w:tc>
          <w:tcPr>
            <w:tcW w:w="329" w:type="pct"/>
            <w:vAlign w:val="center"/>
          </w:tcPr>
          <w:p w14:paraId="15644E04">
            <w:pPr>
              <w:pStyle w:val="90"/>
            </w:pPr>
            <w:r>
              <w:t>6.32</w:t>
            </w:r>
          </w:p>
        </w:tc>
        <w:tc>
          <w:tcPr>
            <w:tcW w:w="368" w:type="pct"/>
            <w:vAlign w:val="center"/>
          </w:tcPr>
          <w:p w14:paraId="594A23CB">
            <w:pPr>
              <w:pStyle w:val="90"/>
            </w:pPr>
            <w:r>
              <w:rPr>
                <w:rFonts w:hint="eastAsia"/>
              </w:rPr>
              <w:t>3</w:t>
            </w:r>
            <w:r>
              <w:t>74</w:t>
            </w:r>
          </w:p>
        </w:tc>
        <w:tc>
          <w:tcPr>
            <w:tcW w:w="328" w:type="pct"/>
            <w:vAlign w:val="center"/>
          </w:tcPr>
          <w:p w14:paraId="3BF0429D">
            <w:pPr>
              <w:pStyle w:val="90"/>
            </w:pPr>
            <w:r>
              <w:rPr>
                <w:rFonts w:hint="eastAsia"/>
              </w:rPr>
              <w:t>1</w:t>
            </w:r>
            <w:r>
              <w:t>.50</w:t>
            </w:r>
          </w:p>
        </w:tc>
      </w:tr>
      <w:tr w14:paraId="05A8D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2C644ED3">
            <w:pPr>
              <w:pStyle w:val="90"/>
              <w:numPr>
                <w:ilvl w:val="0"/>
                <w:numId w:val="24"/>
              </w:numPr>
            </w:pPr>
          </w:p>
        </w:tc>
        <w:tc>
          <w:tcPr>
            <w:tcW w:w="507" w:type="pct"/>
            <w:vAlign w:val="center"/>
          </w:tcPr>
          <w:p w14:paraId="23BC96C8">
            <w:pPr>
              <w:pStyle w:val="90"/>
            </w:pPr>
            <w:r>
              <w:rPr>
                <w:rFonts w:hint="eastAsia"/>
              </w:rPr>
              <w:t>碳酸根</w:t>
            </w:r>
          </w:p>
        </w:tc>
        <w:tc>
          <w:tcPr>
            <w:tcW w:w="573" w:type="pct"/>
            <w:vAlign w:val="center"/>
          </w:tcPr>
          <w:p w14:paraId="68B4CA26">
            <w:pPr>
              <w:pStyle w:val="90"/>
            </w:pPr>
            <w:r>
              <w:rPr>
                <w:rFonts w:hint="eastAsia"/>
              </w:rPr>
              <w:t>/</w:t>
            </w:r>
          </w:p>
        </w:tc>
        <w:tc>
          <w:tcPr>
            <w:tcW w:w="363" w:type="pct"/>
            <w:vAlign w:val="center"/>
          </w:tcPr>
          <w:p w14:paraId="3B6586A7">
            <w:pPr>
              <w:pStyle w:val="90"/>
            </w:pPr>
            <w:r>
              <w:rPr>
                <w:rFonts w:hint="eastAsia"/>
              </w:rPr>
              <w:t>未检出</w:t>
            </w:r>
          </w:p>
        </w:tc>
        <w:tc>
          <w:tcPr>
            <w:tcW w:w="423" w:type="pct"/>
            <w:vAlign w:val="center"/>
          </w:tcPr>
          <w:p w14:paraId="6EE6D1C3">
            <w:pPr>
              <w:pStyle w:val="90"/>
            </w:pPr>
            <w:r>
              <w:rPr>
                <w:rFonts w:hint="eastAsia"/>
              </w:rPr>
              <w:t>/</w:t>
            </w:r>
          </w:p>
        </w:tc>
        <w:tc>
          <w:tcPr>
            <w:tcW w:w="439" w:type="pct"/>
            <w:vAlign w:val="center"/>
          </w:tcPr>
          <w:p w14:paraId="1BB12A3F">
            <w:pPr>
              <w:pStyle w:val="90"/>
            </w:pPr>
            <w:r>
              <w:rPr>
                <w:rFonts w:hint="eastAsia"/>
              </w:rPr>
              <w:t>未检出</w:t>
            </w:r>
          </w:p>
        </w:tc>
        <w:tc>
          <w:tcPr>
            <w:tcW w:w="355" w:type="pct"/>
            <w:vAlign w:val="center"/>
          </w:tcPr>
          <w:p w14:paraId="315E0F00">
            <w:pPr>
              <w:pStyle w:val="90"/>
            </w:pPr>
            <w:r>
              <w:rPr>
                <w:rFonts w:hint="eastAsia"/>
              </w:rPr>
              <w:t>/</w:t>
            </w:r>
          </w:p>
        </w:tc>
        <w:tc>
          <w:tcPr>
            <w:tcW w:w="368" w:type="pct"/>
            <w:vAlign w:val="center"/>
          </w:tcPr>
          <w:p w14:paraId="7A68944F">
            <w:pPr>
              <w:pStyle w:val="90"/>
            </w:pPr>
            <w:r>
              <w:rPr>
                <w:rFonts w:hint="eastAsia"/>
              </w:rPr>
              <w:t>未检出</w:t>
            </w:r>
          </w:p>
        </w:tc>
        <w:tc>
          <w:tcPr>
            <w:tcW w:w="354" w:type="pct"/>
            <w:vAlign w:val="center"/>
          </w:tcPr>
          <w:p w14:paraId="686E9CA4">
            <w:pPr>
              <w:pStyle w:val="90"/>
            </w:pPr>
            <w:r>
              <w:rPr>
                <w:rFonts w:hint="eastAsia"/>
              </w:rPr>
              <w:t>/</w:t>
            </w:r>
          </w:p>
        </w:tc>
        <w:tc>
          <w:tcPr>
            <w:tcW w:w="367" w:type="pct"/>
            <w:vAlign w:val="center"/>
          </w:tcPr>
          <w:p w14:paraId="29884584">
            <w:pPr>
              <w:pStyle w:val="90"/>
            </w:pPr>
            <w:r>
              <w:rPr>
                <w:rFonts w:hint="eastAsia"/>
              </w:rPr>
              <w:t>未检出</w:t>
            </w:r>
          </w:p>
        </w:tc>
        <w:tc>
          <w:tcPr>
            <w:tcW w:w="329" w:type="pct"/>
            <w:vAlign w:val="center"/>
          </w:tcPr>
          <w:p w14:paraId="440EDBC5">
            <w:pPr>
              <w:pStyle w:val="90"/>
            </w:pPr>
            <w:r>
              <w:rPr>
                <w:rFonts w:hint="eastAsia"/>
              </w:rPr>
              <w:t>/</w:t>
            </w:r>
          </w:p>
        </w:tc>
        <w:tc>
          <w:tcPr>
            <w:tcW w:w="368" w:type="pct"/>
            <w:vAlign w:val="center"/>
          </w:tcPr>
          <w:p w14:paraId="374590EE">
            <w:pPr>
              <w:pStyle w:val="90"/>
            </w:pPr>
            <w:r>
              <w:rPr>
                <w:rFonts w:hint="eastAsia"/>
              </w:rPr>
              <w:t>未检出</w:t>
            </w:r>
          </w:p>
        </w:tc>
        <w:tc>
          <w:tcPr>
            <w:tcW w:w="328" w:type="pct"/>
            <w:vAlign w:val="center"/>
          </w:tcPr>
          <w:p w14:paraId="0C527689">
            <w:pPr>
              <w:pStyle w:val="90"/>
            </w:pPr>
            <w:r>
              <w:rPr>
                <w:rFonts w:hint="eastAsia"/>
              </w:rPr>
              <w:t>/</w:t>
            </w:r>
          </w:p>
        </w:tc>
      </w:tr>
      <w:tr w14:paraId="59008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26" w:type="pct"/>
            <w:vAlign w:val="center"/>
          </w:tcPr>
          <w:p w14:paraId="7731F13F">
            <w:pPr>
              <w:pStyle w:val="90"/>
              <w:numPr>
                <w:ilvl w:val="0"/>
                <w:numId w:val="24"/>
              </w:numPr>
            </w:pPr>
          </w:p>
        </w:tc>
        <w:tc>
          <w:tcPr>
            <w:tcW w:w="507" w:type="pct"/>
            <w:vAlign w:val="center"/>
          </w:tcPr>
          <w:p w14:paraId="239B53E2">
            <w:pPr>
              <w:pStyle w:val="90"/>
            </w:pPr>
            <w:r>
              <w:rPr>
                <w:rFonts w:hint="eastAsia"/>
              </w:rPr>
              <w:t>碳酸氢根</w:t>
            </w:r>
          </w:p>
        </w:tc>
        <w:tc>
          <w:tcPr>
            <w:tcW w:w="573" w:type="pct"/>
            <w:vAlign w:val="center"/>
          </w:tcPr>
          <w:p w14:paraId="4543D846">
            <w:pPr>
              <w:pStyle w:val="90"/>
            </w:pPr>
            <w:r>
              <w:rPr>
                <w:rFonts w:hint="eastAsia"/>
              </w:rPr>
              <w:t>/</w:t>
            </w:r>
          </w:p>
        </w:tc>
        <w:tc>
          <w:tcPr>
            <w:tcW w:w="363" w:type="pct"/>
            <w:vAlign w:val="center"/>
          </w:tcPr>
          <w:p w14:paraId="0CCF0AC4">
            <w:pPr>
              <w:pStyle w:val="90"/>
            </w:pPr>
            <w:r>
              <w:rPr>
                <w:rFonts w:hint="eastAsia"/>
              </w:rPr>
              <w:t>1</w:t>
            </w:r>
            <w:r>
              <w:t>26</w:t>
            </w:r>
          </w:p>
        </w:tc>
        <w:tc>
          <w:tcPr>
            <w:tcW w:w="423" w:type="pct"/>
            <w:vAlign w:val="center"/>
          </w:tcPr>
          <w:p w14:paraId="65ECE7E0">
            <w:pPr>
              <w:pStyle w:val="90"/>
            </w:pPr>
            <w:r>
              <w:rPr>
                <w:rFonts w:hint="eastAsia"/>
              </w:rPr>
              <w:t>/</w:t>
            </w:r>
          </w:p>
        </w:tc>
        <w:tc>
          <w:tcPr>
            <w:tcW w:w="439" w:type="pct"/>
            <w:vAlign w:val="center"/>
          </w:tcPr>
          <w:p w14:paraId="39293ED8">
            <w:pPr>
              <w:pStyle w:val="90"/>
            </w:pPr>
            <w:r>
              <w:rPr>
                <w:rFonts w:hint="eastAsia"/>
              </w:rPr>
              <w:t>2</w:t>
            </w:r>
            <w:r>
              <w:t>8</w:t>
            </w:r>
          </w:p>
        </w:tc>
        <w:tc>
          <w:tcPr>
            <w:tcW w:w="355" w:type="pct"/>
            <w:vAlign w:val="center"/>
          </w:tcPr>
          <w:p w14:paraId="61C43672">
            <w:pPr>
              <w:pStyle w:val="90"/>
            </w:pPr>
            <w:r>
              <w:rPr>
                <w:rFonts w:hint="eastAsia"/>
              </w:rPr>
              <w:t>/</w:t>
            </w:r>
          </w:p>
        </w:tc>
        <w:tc>
          <w:tcPr>
            <w:tcW w:w="368" w:type="pct"/>
            <w:vAlign w:val="center"/>
          </w:tcPr>
          <w:p w14:paraId="184F805C">
            <w:pPr>
              <w:pStyle w:val="90"/>
            </w:pPr>
            <w:r>
              <w:rPr>
                <w:rFonts w:hint="eastAsia"/>
              </w:rPr>
              <w:t>1</w:t>
            </w:r>
            <w:r>
              <w:t>52</w:t>
            </w:r>
          </w:p>
        </w:tc>
        <w:tc>
          <w:tcPr>
            <w:tcW w:w="354" w:type="pct"/>
            <w:vAlign w:val="center"/>
          </w:tcPr>
          <w:p w14:paraId="31076904">
            <w:pPr>
              <w:pStyle w:val="90"/>
            </w:pPr>
            <w:r>
              <w:rPr>
                <w:rFonts w:hint="eastAsia"/>
              </w:rPr>
              <w:t>/</w:t>
            </w:r>
          </w:p>
        </w:tc>
        <w:tc>
          <w:tcPr>
            <w:tcW w:w="367" w:type="pct"/>
            <w:vAlign w:val="center"/>
          </w:tcPr>
          <w:p w14:paraId="394C75E3">
            <w:pPr>
              <w:pStyle w:val="90"/>
            </w:pPr>
            <w:r>
              <w:rPr>
                <w:rFonts w:hint="eastAsia"/>
              </w:rPr>
              <w:t>2</w:t>
            </w:r>
            <w:r>
              <w:t>78</w:t>
            </w:r>
          </w:p>
        </w:tc>
        <w:tc>
          <w:tcPr>
            <w:tcW w:w="329" w:type="pct"/>
            <w:vAlign w:val="center"/>
          </w:tcPr>
          <w:p w14:paraId="7118F36D">
            <w:pPr>
              <w:pStyle w:val="90"/>
            </w:pPr>
            <w:r>
              <w:rPr>
                <w:rFonts w:hint="eastAsia"/>
              </w:rPr>
              <w:t>/</w:t>
            </w:r>
          </w:p>
        </w:tc>
        <w:tc>
          <w:tcPr>
            <w:tcW w:w="368" w:type="pct"/>
            <w:vAlign w:val="center"/>
          </w:tcPr>
          <w:p w14:paraId="3355F1A8">
            <w:pPr>
              <w:pStyle w:val="90"/>
            </w:pPr>
            <w:r>
              <w:rPr>
                <w:rFonts w:hint="eastAsia"/>
              </w:rPr>
              <w:t>2</w:t>
            </w:r>
            <w:r>
              <w:t>88</w:t>
            </w:r>
          </w:p>
        </w:tc>
        <w:tc>
          <w:tcPr>
            <w:tcW w:w="328" w:type="pct"/>
            <w:vAlign w:val="center"/>
          </w:tcPr>
          <w:p w14:paraId="50D31CC9">
            <w:pPr>
              <w:pStyle w:val="90"/>
            </w:pPr>
            <w:r>
              <w:rPr>
                <w:rFonts w:hint="eastAsia"/>
              </w:rPr>
              <w:t>/</w:t>
            </w:r>
          </w:p>
        </w:tc>
      </w:tr>
    </w:tbl>
    <w:p w14:paraId="035CB90F">
      <w:pPr>
        <w:ind w:firstLine="480"/>
        <w:sectPr>
          <w:footerReference r:id="rId25" w:type="default"/>
          <w:pgSz w:w="16838" w:h="11906" w:orient="landscape"/>
          <w:pgMar w:top="1588" w:right="1440" w:bottom="1588" w:left="1440" w:header="907" w:footer="775" w:gutter="0"/>
          <w:pgBorders>
            <w:top w:val="none" w:sz="0" w:space="0"/>
            <w:left w:val="none" w:sz="0" w:space="0"/>
            <w:bottom w:val="none" w:sz="0" w:space="0"/>
            <w:right w:val="none" w:sz="0" w:space="0"/>
          </w:pgBorders>
          <w:pgNumType w:fmt="numberInDash"/>
          <w:cols w:space="425" w:num="1"/>
          <w:docGrid w:type="linesAndChars" w:linePitch="326" w:charSpace="0"/>
        </w:sectPr>
      </w:pPr>
    </w:p>
    <w:p w14:paraId="10007538">
      <w:pPr>
        <w:pStyle w:val="43"/>
      </w:pPr>
      <w:bookmarkStart w:id="375" w:name="_Toc80973539"/>
      <w:bookmarkStart w:id="376" w:name="_Toc77007813"/>
      <w:bookmarkStart w:id="377" w:name="_Toc80193113"/>
      <w:bookmarkStart w:id="378" w:name="_Toc82518795"/>
      <w:bookmarkStart w:id="379" w:name="_Toc152864207"/>
      <w:bookmarkStart w:id="380" w:name="_Toc81214107"/>
      <w:bookmarkStart w:id="381" w:name="_Toc79515484"/>
      <w:r>
        <w:rPr>
          <w:rFonts w:hint="eastAsia"/>
        </w:rPr>
        <w:t>声环境质量现状调查与评价</w:t>
      </w:r>
      <w:bookmarkEnd w:id="375"/>
      <w:bookmarkEnd w:id="376"/>
      <w:bookmarkEnd w:id="377"/>
      <w:bookmarkEnd w:id="378"/>
      <w:bookmarkEnd w:id="379"/>
      <w:bookmarkEnd w:id="380"/>
      <w:bookmarkEnd w:id="381"/>
    </w:p>
    <w:p w14:paraId="5B31BCD1">
      <w:pPr>
        <w:ind w:firstLine="480"/>
      </w:pPr>
      <w:r>
        <w:rPr>
          <w:rFonts w:hint="eastAsia"/>
        </w:rPr>
        <w:t>本次环评委托新疆锡水金山环境科技有限公司进行了厂界噪声监测，监测时间为202</w:t>
      </w:r>
      <w:r>
        <w:t>3</w:t>
      </w:r>
      <w:r>
        <w:rPr>
          <w:rFonts w:hint="eastAsia"/>
        </w:rPr>
        <w:t>年</w:t>
      </w:r>
      <w:r>
        <w:t>11</w:t>
      </w:r>
      <w:r>
        <w:rPr>
          <w:rFonts w:hint="eastAsia"/>
        </w:rPr>
        <w:t>月</w:t>
      </w:r>
      <w:r>
        <w:t>18</w:t>
      </w:r>
      <w:r>
        <w:rPr>
          <w:rFonts w:hint="eastAsia"/>
        </w:rPr>
        <w:t>日，监测期间周围企业正常生产。</w:t>
      </w:r>
    </w:p>
    <w:p w14:paraId="3245F399">
      <w:pPr>
        <w:ind w:firstLine="480"/>
      </w:pPr>
      <w:r>
        <w:rPr>
          <w:rFonts w:hint="eastAsia"/>
        </w:rPr>
        <w:t>（1）监测布点</w:t>
      </w:r>
    </w:p>
    <w:p w14:paraId="4D2EF340">
      <w:pPr>
        <w:ind w:firstLine="480"/>
      </w:pPr>
      <w:r>
        <w:rPr>
          <w:rFonts w:hint="eastAsia"/>
        </w:rPr>
        <w:t>厂界四周外1m处。</w:t>
      </w:r>
    </w:p>
    <w:p w14:paraId="562C9554">
      <w:pPr>
        <w:ind w:firstLine="480"/>
      </w:pPr>
      <w:r>
        <w:rPr>
          <w:rFonts w:hint="eastAsia"/>
        </w:rPr>
        <w:t>（2）监测项目</w:t>
      </w:r>
    </w:p>
    <w:p w14:paraId="44E2DAE0">
      <w:pPr>
        <w:ind w:firstLine="480"/>
      </w:pPr>
      <w:r>
        <w:rPr>
          <w:rFonts w:hint="eastAsia"/>
        </w:rPr>
        <w:t>等效声级Leq[dB（A）]</w:t>
      </w:r>
    </w:p>
    <w:p w14:paraId="480F7A99">
      <w:pPr>
        <w:ind w:firstLine="480"/>
      </w:pPr>
      <w:r>
        <w:rPr>
          <w:rFonts w:hint="eastAsia"/>
        </w:rPr>
        <w:t>（3）监测时间和频率</w:t>
      </w:r>
    </w:p>
    <w:p w14:paraId="5C6827CB">
      <w:pPr>
        <w:ind w:firstLine="480"/>
      </w:pPr>
      <w:r>
        <w:rPr>
          <w:rFonts w:hint="eastAsia"/>
        </w:rPr>
        <w:t>本项目监测日期为202</w:t>
      </w:r>
      <w:r>
        <w:t>3</w:t>
      </w:r>
      <w:r>
        <w:rPr>
          <w:rFonts w:hint="eastAsia"/>
        </w:rPr>
        <w:t>年</w:t>
      </w:r>
      <w:r>
        <w:t>11</w:t>
      </w:r>
      <w:r>
        <w:rPr>
          <w:rFonts w:hint="eastAsia"/>
        </w:rPr>
        <w:t>月</w:t>
      </w:r>
      <w:r>
        <w:t>18</w:t>
      </w:r>
      <w:r>
        <w:rPr>
          <w:rFonts w:hint="eastAsia"/>
        </w:rPr>
        <w:t>日，分昼夜监测，每个点位每次监测时间为10min。</w:t>
      </w:r>
    </w:p>
    <w:p w14:paraId="47802CA0">
      <w:pPr>
        <w:ind w:firstLine="480"/>
      </w:pPr>
      <w:r>
        <w:rPr>
          <w:rFonts w:hint="eastAsia"/>
        </w:rPr>
        <w:t>（4）评价标准</w:t>
      </w:r>
    </w:p>
    <w:p w14:paraId="6C2C7C34">
      <w:pPr>
        <w:ind w:firstLine="480"/>
      </w:pPr>
      <w:r>
        <w:rPr>
          <w:rFonts w:hint="eastAsia"/>
        </w:rPr>
        <w:t>厂界噪声执行《声环境质量标准》（GB3096-2008）中3类标准。</w:t>
      </w:r>
    </w:p>
    <w:p w14:paraId="5F1325AD">
      <w:pPr>
        <w:ind w:firstLine="480"/>
      </w:pPr>
      <w:r>
        <w:rPr>
          <w:rFonts w:hint="eastAsia"/>
        </w:rPr>
        <w:t>（5）监测结果</w:t>
      </w:r>
    </w:p>
    <w:p w14:paraId="0F358044">
      <w:pPr>
        <w:ind w:firstLine="480"/>
      </w:pPr>
      <w:r>
        <w:rPr>
          <w:rFonts w:hint="eastAsia"/>
        </w:rPr>
        <w:t>本项目监测结果见下表。</w:t>
      </w:r>
    </w:p>
    <w:p w14:paraId="2B1FCF04">
      <w:pPr>
        <w:pStyle w:val="47"/>
        <w:spacing w:before="65"/>
      </w:pPr>
      <w:r>
        <w:rPr>
          <w:rFonts w:hint="eastAsia"/>
        </w:rPr>
        <w:t>表4</w:t>
      </w:r>
      <w:r>
        <w:t xml:space="preserve">.3-5   </w:t>
      </w:r>
      <w:r>
        <w:rPr>
          <w:rFonts w:hint="eastAsia"/>
        </w:rPr>
        <w:t xml:space="preserve">本项目声环境质量现状监测结果一览表 </w:t>
      </w:r>
      <w:r>
        <w:t xml:space="preserve">  </w:t>
      </w:r>
      <w:r>
        <w:rPr>
          <w:rFonts w:hint="eastAsia"/>
        </w:rPr>
        <w:t>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220"/>
        <w:gridCol w:w="1643"/>
        <w:gridCol w:w="1603"/>
        <w:gridCol w:w="1783"/>
        <w:gridCol w:w="1481"/>
      </w:tblGrid>
      <w:tr w14:paraId="7C202A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272" w:type="pct"/>
            <w:vMerge w:val="restart"/>
            <w:tcMar>
              <w:left w:w="0" w:type="dxa"/>
              <w:right w:w="0" w:type="dxa"/>
            </w:tcMar>
            <w:vAlign w:val="center"/>
          </w:tcPr>
          <w:p w14:paraId="46DBCB83">
            <w:pPr>
              <w:adjustRightInd w:val="0"/>
              <w:snapToGrid w:val="0"/>
              <w:spacing w:line="240" w:lineRule="auto"/>
              <w:ind w:firstLine="0" w:firstLineChars="0"/>
              <w:jc w:val="center"/>
              <w:rPr>
                <w:sz w:val="21"/>
                <w:szCs w:val="20"/>
              </w:rPr>
            </w:pPr>
            <w:r>
              <w:rPr>
                <w:sz w:val="21"/>
                <w:szCs w:val="20"/>
              </w:rPr>
              <w:t>监测方位</w:t>
            </w:r>
          </w:p>
        </w:tc>
        <w:tc>
          <w:tcPr>
            <w:tcW w:w="1859" w:type="pct"/>
            <w:gridSpan w:val="2"/>
            <w:tcMar>
              <w:left w:w="0" w:type="dxa"/>
              <w:right w:w="0" w:type="dxa"/>
            </w:tcMar>
            <w:vAlign w:val="center"/>
          </w:tcPr>
          <w:p w14:paraId="69AEC398">
            <w:pPr>
              <w:adjustRightInd w:val="0"/>
              <w:snapToGrid w:val="0"/>
              <w:spacing w:line="240" w:lineRule="auto"/>
              <w:ind w:firstLine="0" w:firstLineChars="0"/>
              <w:jc w:val="center"/>
              <w:rPr>
                <w:sz w:val="21"/>
                <w:szCs w:val="20"/>
              </w:rPr>
            </w:pPr>
            <w:r>
              <w:rPr>
                <w:sz w:val="21"/>
                <w:szCs w:val="20"/>
              </w:rPr>
              <w:t>昼间</w:t>
            </w:r>
          </w:p>
        </w:tc>
        <w:tc>
          <w:tcPr>
            <w:tcW w:w="1869" w:type="pct"/>
            <w:gridSpan w:val="2"/>
            <w:tcMar>
              <w:left w:w="0" w:type="dxa"/>
              <w:right w:w="0" w:type="dxa"/>
            </w:tcMar>
            <w:vAlign w:val="center"/>
          </w:tcPr>
          <w:p w14:paraId="04DD9D37">
            <w:pPr>
              <w:adjustRightInd w:val="0"/>
              <w:snapToGrid w:val="0"/>
              <w:spacing w:line="240" w:lineRule="auto"/>
              <w:ind w:firstLine="0" w:firstLineChars="0"/>
              <w:jc w:val="center"/>
              <w:rPr>
                <w:sz w:val="21"/>
                <w:szCs w:val="20"/>
              </w:rPr>
            </w:pPr>
            <w:r>
              <w:rPr>
                <w:sz w:val="21"/>
                <w:szCs w:val="20"/>
              </w:rPr>
              <w:t>夜间</w:t>
            </w:r>
          </w:p>
        </w:tc>
      </w:tr>
      <w:tr w14:paraId="1C12FB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272" w:type="pct"/>
            <w:vMerge w:val="continue"/>
            <w:tcMar>
              <w:left w:w="0" w:type="dxa"/>
              <w:right w:w="0" w:type="dxa"/>
            </w:tcMar>
            <w:vAlign w:val="center"/>
          </w:tcPr>
          <w:p w14:paraId="275F9444">
            <w:pPr>
              <w:adjustRightInd w:val="0"/>
              <w:snapToGrid w:val="0"/>
              <w:spacing w:line="240" w:lineRule="auto"/>
              <w:ind w:firstLine="0" w:firstLineChars="0"/>
              <w:jc w:val="center"/>
              <w:rPr>
                <w:sz w:val="21"/>
                <w:szCs w:val="20"/>
              </w:rPr>
            </w:pPr>
          </w:p>
        </w:tc>
        <w:tc>
          <w:tcPr>
            <w:tcW w:w="941" w:type="pct"/>
            <w:tcMar>
              <w:left w:w="0" w:type="dxa"/>
              <w:right w:w="0" w:type="dxa"/>
            </w:tcMar>
            <w:vAlign w:val="center"/>
          </w:tcPr>
          <w:p w14:paraId="437B5488">
            <w:pPr>
              <w:adjustRightInd w:val="0"/>
              <w:snapToGrid w:val="0"/>
              <w:spacing w:line="240" w:lineRule="auto"/>
              <w:ind w:firstLine="0" w:firstLineChars="0"/>
              <w:jc w:val="center"/>
              <w:rPr>
                <w:sz w:val="21"/>
                <w:szCs w:val="20"/>
              </w:rPr>
            </w:pPr>
            <w:r>
              <w:rPr>
                <w:sz w:val="21"/>
                <w:szCs w:val="20"/>
              </w:rPr>
              <w:t>监测值</w:t>
            </w:r>
          </w:p>
        </w:tc>
        <w:tc>
          <w:tcPr>
            <w:tcW w:w="918" w:type="pct"/>
            <w:tcMar>
              <w:left w:w="0" w:type="dxa"/>
              <w:right w:w="0" w:type="dxa"/>
            </w:tcMar>
            <w:vAlign w:val="center"/>
          </w:tcPr>
          <w:p w14:paraId="038B927E">
            <w:pPr>
              <w:adjustRightInd w:val="0"/>
              <w:snapToGrid w:val="0"/>
              <w:spacing w:line="240" w:lineRule="auto"/>
              <w:ind w:firstLine="0" w:firstLineChars="0"/>
              <w:jc w:val="center"/>
              <w:rPr>
                <w:sz w:val="21"/>
                <w:szCs w:val="20"/>
              </w:rPr>
            </w:pPr>
            <w:r>
              <w:rPr>
                <w:sz w:val="21"/>
                <w:szCs w:val="20"/>
              </w:rPr>
              <w:t>标准</w:t>
            </w:r>
          </w:p>
        </w:tc>
        <w:tc>
          <w:tcPr>
            <w:tcW w:w="1021" w:type="pct"/>
            <w:tcMar>
              <w:left w:w="0" w:type="dxa"/>
              <w:right w:w="0" w:type="dxa"/>
            </w:tcMar>
            <w:vAlign w:val="center"/>
          </w:tcPr>
          <w:p w14:paraId="0D873892">
            <w:pPr>
              <w:adjustRightInd w:val="0"/>
              <w:snapToGrid w:val="0"/>
              <w:spacing w:line="240" w:lineRule="auto"/>
              <w:ind w:firstLine="0" w:firstLineChars="0"/>
              <w:jc w:val="center"/>
              <w:rPr>
                <w:sz w:val="21"/>
                <w:szCs w:val="20"/>
              </w:rPr>
            </w:pPr>
            <w:r>
              <w:rPr>
                <w:sz w:val="21"/>
                <w:szCs w:val="20"/>
              </w:rPr>
              <w:t>监测值</w:t>
            </w:r>
          </w:p>
        </w:tc>
        <w:tc>
          <w:tcPr>
            <w:tcW w:w="848" w:type="pct"/>
            <w:tcMar>
              <w:left w:w="0" w:type="dxa"/>
              <w:right w:w="0" w:type="dxa"/>
            </w:tcMar>
            <w:vAlign w:val="center"/>
          </w:tcPr>
          <w:p w14:paraId="2E31BDFC">
            <w:pPr>
              <w:adjustRightInd w:val="0"/>
              <w:snapToGrid w:val="0"/>
              <w:spacing w:line="240" w:lineRule="auto"/>
              <w:ind w:firstLine="0" w:firstLineChars="0"/>
              <w:jc w:val="center"/>
              <w:rPr>
                <w:sz w:val="21"/>
                <w:szCs w:val="20"/>
              </w:rPr>
            </w:pPr>
            <w:r>
              <w:rPr>
                <w:sz w:val="21"/>
                <w:szCs w:val="20"/>
              </w:rPr>
              <w:t>标准</w:t>
            </w:r>
          </w:p>
        </w:tc>
      </w:tr>
      <w:tr w14:paraId="7BB4EA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272" w:type="pct"/>
            <w:tcMar>
              <w:left w:w="0" w:type="dxa"/>
              <w:right w:w="0" w:type="dxa"/>
            </w:tcMar>
            <w:vAlign w:val="center"/>
          </w:tcPr>
          <w:p w14:paraId="38D70036">
            <w:pPr>
              <w:adjustRightInd w:val="0"/>
              <w:snapToGrid w:val="0"/>
              <w:spacing w:line="240" w:lineRule="auto"/>
              <w:ind w:firstLine="0" w:firstLineChars="0"/>
              <w:jc w:val="center"/>
              <w:rPr>
                <w:sz w:val="21"/>
                <w:szCs w:val="20"/>
              </w:rPr>
            </w:pPr>
            <w:r>
              <w:rPr>
                <w:sz w:val="21"/>
                <w:szCs w:val="20"/>
              </w:rPr>
              <w:t>厂区东侧</w:t>
            </w:r>
          </w:p>
        </w:tc>
        <w:tc>
          <w:tcPr>
            <w:tcW w:w="941" w:type="pct"/>
            <w:tcMar>
              <w:left w:w="0" w:type="dxa"/>
              <w:right w:w="0" w:type="dxa"/>
            </w:tcMar>
            <w:vAlign w:val="center"/>
          </w:tcPr>
          <w:p w14:paraId="63EE3C3C">
            <w:pPr>
              <w:adjustRightInd w:val="0"/>
              <w:snapToGrid w:val="0"/>
              <w:spacing w:line="240" w:lineRule="auto"/>
              <w:ind w:firstLine="0" w:firstLineChars="0"/>
              <w:jc w:val="center"/>
              <w:rPr>
                <w:bCs/>
                <w:sz w:val="21"/>
                <w:szCs w:val="21"/>
              </w:rPr>
            </w:pPr>
            <w:r>
              <w:rPr>
                <w:rFonts w:hint="eastAsia"/>
                <w:bCs/>
                <w:sz w:val="21"/>
                <w:szCs w:val="21"/>
              </w:rPr>
              <w:t>4</w:t>
            </w:r>
            <w:r>
              <w:rPr>
                <w:bCs/>
                <w:sz w:val="21"/>
                <w:szCs w:val="21"/>
              </w:rPr>
              <w:t>2</w:t>
            </w:r>
          </w:p>
        </w:tc>
        <w:tc>
          <w:tcPr>
            <w:tcW w:w="918" w:type="pct"/>
            <w:vMerge w:val="restart"/>
            <w:tcMar>
              <w:left w:w="0" w:type="dxa"/>
              <w:right w:w="0" w:type="dxa"/>
            </w:tcMar>
            <w:vAlign w:val="center"/>
          </w:tcPr>
          <w:p w14:paraId="59688789">
            <w:pPr>
              <w:adjustRightInd w:val="0"/>
              <w:snapToGrid w:val="0"/>
              <w:spacing w:line="240" w:lineRule="auto"/>
              <w:ind w:firstLine="0" w:firstLineChars="0"/>
              <w:jc w:val="center"/>
              <w:rPr>
                <w:bCs/>
                <w:sz w:val="21"/>
                <w:szCs w:val="21"/>
              </w:rPr>
            </w:pPr>
            <w:r>
              <w:rPr>
                <w:bCs/>
                <w:sz w:val="21"/>
                <w:szCs w:val="21"/>
              </w:rPr>
              <w:t>65</w:t>
            </w:r>
          </w:p>
        </w:tc>
        <w:tc>
          <w:tcPr>
            <w:tcW w:w="1021" w:type="pct"/>
            <w:tcMar>
              <w:left w:w="0" w:type="dxa"/>
              <w:right w:w="0" w:type="dxa"/>
            </w:tcMar>
            <w:vAlign w:val="center"/>
          </w:tcPr>
          <w:p w14:paraId="4650914D">
            <w:pPr>
              <w:adjustRightInd w:val="0"/>
              <w:snapToGrid w:val="0"/>
              <w:spacing w:line="240" w:lineRule="auto"/>
              <w:ind w:firstLine="0" w:firstLineChars="0"/>
              <w:jc w:val="center"/>
              <w:rPr>
                <w:bCs/>
                <w:sz w:val="21"/>
                <w:szCs w:val="21"/>
              </w:rPr>
            </w:pPr>
            <w:r>
              <w:rPr>
                <w:rFonts w:hint="eastAsia"/>
                <w:bCs/>
                <w:sz w:val="21"/>
                <w:szCs w:val="21"/>
              </w:rPr>
              <w:t>3</w:t>
            </w:r>
            <w:r>
              <w:rPr>
                <w:bCs/>
                <w:sz w:val="21"/>
                <w:szCs w:val="21"/>
              </w:rPr>
              <w:t>9</w:t>
            </w:r>
          </w:p>
        </w:tc>
        <w:tc>
          <w:tcPr>
            <w:tcW w:w="848" w:type="pct"/>
            <w:vMerge w:val="restart"/>
            <w:tcMar>
              <w:left w:w="0" w:type="dxa"/>
              <w:right w:w="0" w:type="dxa"/>
            </w:tcMar>
            <w:vAlign w:val="center"/>
          </w:tcPr>
          <w:p w14:paraId="0C91A92B">
            <w:pPr>
              <w:adjustRightInd w:val="0"/>
              <w:snapToGrid w:val="0"/>
              <w:spacing w:line="240" w:lineRule="auto"/>
              <w:ind w:firstLine="0" w:firstLineChars="0"/>
              <w:jc w:val="center"/>
              <w:rPr>
                <w:bCs/>
                <w:sz w:val="21"/>
                <w:szCs w:val="21"/>
              </w:rPr>
            </w:pPr>
            <w:r>
              <w:rPr>
                <w:bCs/>
                <w:sz w:val="21"/>
                <w:szCs w:val="21"/>
              </w:rPr>
              <w:t>55</w:t>
            </w:r>
          </w:p>
        </w:tc>
      </w:tr>
      <w:tr w14:paraId="7B9723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272" w:type="pct"/>
            <w:tcMar>
              <w:left w:w="0" w:type="dxa"/>
              <w:right w:w="0" w:type="dxa"/>
            </w:tcMar>
            <w:vAlign w:val="center"/>
          </w:tcPr>
          <w:p w14:paraId="14F8C9C5">
            <w:pPr>
              <w:adjustRightInd w:val="0"/>
              <w:snapToGrid w:val="0"/>
              <w:spacing w:line="240" w:lineRule="auto"/>
              <w:ind w:firstLine="0" w:firstLineChars="0"/>
              <w:jc w:val="center"/>
              <w:rPr>
                <w:sz w:val="21"/>
                <w:szCs w:val="20"/>
              </w:rPr>
            </w:pPr>
            <w:r>
              <w:rPr>
                <w:sz w:val="21"/>
                <w:szCs w:val="20"/>
              </w:rPr>
              <w:t>厂区南侧</w:t>
            </w:r>
          </w:p>
        </w:tc>
        <w:tc>
          <w:tcPr>
            <w:tcW w:w="941" w:type="pct"/>
            <w:tcMar>
              <w:left w:w="0" w:type="dxa"/>
              <w:right w:w="0" w:type="dxa"/>
            </w:tcMar>
            <w:vAlign w:val="center"/>
          </w:tcPr>
          <w:p w14:paraId="1A7B0302">
            <w:pPr>
              <w:adjustRightInd w:val="0"/>
              <w:snapToGrid w:val="0"/>
              <w:spacing w:line="240" w:lineRule="auto"/>
              <w:ind w:firstLine="0" w:firstLineChars="0"/>
              <w:jc w:val="center"/>
              <w:rPr>
                <w:bCs/>
                <w:sz w:val="21"/>
                <w:szCs w:val="21"/>
              </w:rPr>
            </w:pPr>
            <w:r>
              <w:rPr>
                <w:rFonts w:hint="eastAsia"/>
                <w:bCs/>
                <w:sz w:val="21"/>
                <w:szCs w:val="21"/>
              </w:rPr>
              <w:t>4</w:t>
            </w:r>
            <w:r>
              <w:rPr>
                <w:bCs/>
                <w:sz w:val="21"/>
                <w:szCs w:val="21"/>
              </w:rPr>
              <w:t>1</w:t>
            </w:r>
          </w:p>
        </w:tc>
        <w:tc>
          <w:tcPr>
            <w:tcW w:w="918" w:type="pct"/>
            <w:vMerge w:val="continue"/>
            <w:tcMar>
              <w:left w:w="0" w:type="dxa"/>
              <w:right w:w="0" w:type="dxa"/>
            </w:tcMar>
            <w:vAlign w:val="center"/>
          </w:tcPr>
          <w:p w14:paraId="50926E97">
            <w:pPr>
              <w:adjustRightInd w:val="0"/>
              <w:snapToGrid w:val="0"/>
              <w:spacing w:line="240" w:lineRule="auto"/>
              <w:ind w:firstLine="0" w:firstLineChars="0"/>
              <w:jc w:val="center"/>
              <w:rPr>
                <w:bCs/>
                <w:sz w:val="21"/>
                <w:szCs w:val="21"/>
              </w:rPr>
            </w:pPr>
          </w:p>
        </w:tc>
        <w:tc>
          <w:tcPr>
            <w:tcW w:w="1021" w:type="pct"/>
            <w:tcMar>
              <w:left w:w="0" w:type="dxa"/>
              <w:right w:w="0" w:type="dxa"/>
            </w:tcMar>
            <w:vAlign w:val="center"/>
          </w:tcPr>
          <w:p w14:paraId="7BE822FE">
            <w:pPr>
              <w:adjustRightInd w:val="0"/>
              <w:snapToGrid w:val="0"/>
              <w:spacing w:line="240" w:lineRule="auto"/>
              <w:ind w:firstLine="0" w:firstLineChars="0"/>
              <w:jc w:val="center"/>
              <w:rPr>
                <w:bCs/>
                <w:sz w:val="21"/>
                <w:szCs w:val="21"/>
              </w:rPr>
            </w:pPr>
            <w:r>
              <w:rPr>
                <w:rFonts w:hint="eastAsia"/>
                <w:bCs/>
                <w:sz w:val="21"/>
                <w:szCs w:val="21"/>
              </w:rPr>
              <w:t>3</w:t>
            </w:r>
            <w:r>
              <w:rPr>
                <w:bCs/>
                <w:sz w:val="21"/>
                <w:szCs w:val="21"/>
              </w:rPr>
              <w:t>9</w:t>
            </w:r>
          </w:p>
        </w:tc>
        <w:tc>
          <w:tcPr>
            <w:tcW w:w="848" w:type="pct"/>
            <w:vMerge w:val="continue"/>
            <w:tcMar>
              <w:left w:w="0" w:type="dxa"/>
              <w:right w:w="0" w:type="dxa"/>
            </w:tcMar>
            <w:vAlign w:val="center"/>
          </w:tcPr>
          <w:p w14:paraId="2ADD0677">
            <w:pPr>
              <w:adjustRightInd w:val="0"/>
              <w:snapToGrid w:val="0"/>
              <w:spacing w:line="240" w:lineRule="auto"/>
              <w:ind w:firstLine="0" w:firstLineChars="0"/>
              <w:jc w:val="center"/>
              <w:rPr>
                <w:bCs/>
                <w:sz w:val="21"/>
                <w:szCs w:val="21"/>
              </w:rPr>
            </w:pPr>
          </w:p>
        </w:tc>
      </w:tr>
      <w:tr w14:paraId="1638EF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272" w:type="pct"/>
            <w:tcMar>
              <w:left w:w="0" w:type="dxa"/>
              <w:right w:w="0" w:type="dxa"/>
            </w:tcMar>
            <w:vAlign w:val="center"/>
          </w:tcPr>
          <w:p w14:paraId="545B320A">
            <w:pPr>
              <w:adjustRightInd w:val="0"/>
              <w:snapToGrid w:val="0"/>
              <w:spacing w:line="240" w:lineRule="auto"/>
              <w:ind w:firstLine="0" w:firstLineChars="0"/>
              <w:jc w:val="center"/>
              <w:rPr>
                <w:sz w:val="21"/>
                <w:szCs w:val="20"/>
              </w:rPr>
            </w:pPr>
            <w:r>
              <w:rPr>
                <w:sz w:val="21"/>
                <w:szCs w:val="20"/>
              </w:rPr>
              <w:t>厂区西侧</w:t>
            </w:r>
          </w:p>
        </w:tc>
        <w:tc>
          <w:tcPr>
            <w:tcW w:w="941" w:type="pct"/>
            <w:tcMar>
              <w:left w:w="0" w:type="dxa"/>
              <w:right w:w="0" w:type="dxa"/>
            </w:tcMar>
            <w:vAlign w:val="center"/>
          </w:tcPr>
          <w:p w14:paraId="44D5BCEC">
            <w:pPr>
              <w:adjustRightInd w:val="0"/>
              <w:snapToGrid w:val="0"/>
              <w:spacing w:line="240" w:lineRule="auto"/>
              <w:ind w:firstLine="0" w:firstLineChars="0"/>
              <w:jc w:val="center"/>
              <w:rPr>
                <w:bCs/>
                <w:sz w:val="21"/>
                <w:szCs w:val="21"/>
              </w:rPr>
            </w:pPr>
            <w:r>
              <w:rPr>
                <w:rFonts w:hint="eastAsia"/>
                <w:bCs/>
                <w:sz w:val="21"/>
                <w:szCs w:val="21"/>
              </w:rPr>
              <w:t>4</w:t>
            </w:r>
            <w:r>
              <w:rPr>
                <w:bCs/>
                <w:sz w:val="21"/>
                <w:szCs w:val="21"/>
              </w:rPr>
              <w:t>3</w:t>
            </w:r>
          </w:p>
        </w:tc>
        <w:tc>
          <w:tcPr>
            <w:tcW w:w="918" w:type="pct"/>
            <w:vMerge w:val="continue"/>
            <w:tcMar>
              <w:left w:w="0" w:type="dxa"/>
              <w:right w:w="0" w:type="dxa"/>
            </w:tcMar>
            <w:vAlign w:val="center"/>
          </w:tcPr>
          <w:p w14:paraId="04058D82">
            <w:pPr>
              <w:adjustRightInd w:val="0"/>
              <w:snapToGrid w:val="0"/>
              <w:spacing w:line="240" w:lineRule="auto"/>
              <w:ind w:firstLine="0" w:firstLineChars="0"/>
              <w:jc w:val="center"/>
              <w:rPr>
                <w:bCs/>
                <w:sz w:val="21"/>
                <w:szCs w:val="21"/>
              </w:rPr>
            </w:pPr>
          </w:p>
        </w:tc>
        <w:tc>
          <w:tcPr>
            <w:tcW w:w="1021" w:type="pct"/>
            <w:tcMar>
              <w:left w:w="0" w:type="dxa"/>
              <w:right w:w="0" w:type="dxa"/>
            </w:tcMar>
            <w:vAlign w:val="center"/>
          </w:tcPr>
          <w:p w14:paraId="6B786C00">
            <w:pPr>
              <w:adjustRightInd w:val="0"/>
              <w:snapToGrid w:val="0"/>
              <w:spacing w:line="240" w:lineRule="auto"/>
              <w:ind w:firstLine="0" w:firstLineChars="0"/>
              <w:jc w:val="center"/>
              <w:rPr>
                <w:bCs/>
                <w:sz w:val="21"/>
                <w:szCs w:val="21"/>
              </w:rPr>
            </w:pPr>
            <w:r>
              <w:rPr>
                <w:rFonts w:hint="eastAsia"/>
                <w:bCs/>
                <w:sz w:val="21"/>
                <w:szCs w:val="21"/>
              </w:rPr>
              <w:t>3</w:t>
            </w:r>
            <w:r>
              <w:rPr>
                <w:bCs/>
                <w:sz w:val="21"/>
                <w:szCs w:val="21"/>
              </w:rPr>
              <w:t>8</w:t>
            </w:r>
          </w:p>
        </w:tc>
        <w:tc>
          <w:tcPr>
            <w:tcW w:w="848" w:type="pct"/>
            <w:vMerge w:val="continue"/>
            <w:tcMar>
              <w:left w:w="0" w:type="dxa"/>
              <w:right w:w="0" w:type="dxa"/>
            </w:tcMar>
            <w:vAlign w:val="center"/>
          </w:tcPr>
          <w:p w14:paraId="5ED9F580">
            <w:pPr>
              <w:adjustRightInd w:val="0"/>
              <w:snapToGrid w:val="0"/>
              <w:spacing w:line="240" w:lineRule="auto"/>
              <w:ind w:firstLine="0" w:firstLineChars="0"/>
              <w:jc w:val="center"/>
              <w:rPr>
                <w:bCs/>
                <w:sz w:val="21"/>
                <w:szCs w:val="21"/>
              </w:rPr>
            </w:pPr>
          </w:p>
        </w:tc>
      </w:tr>
      <w:tr w14:paraId="39219A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32" w:hRule="atLeast"/>
          <w:tblHeader/>
          <w:jc w:val="center"/>
        </w:trPr>
        <w:tc>
          <w:tcPr>
            <w:tcW w:w="1272" w:type="pct"/>
            <w:tcMar>
              <w:left w:w="0" w:type="dxa"/>
              <w:right w:w="0" w:type="dxa"/>
            </w:tcMar>
            <w:vAlign w:val="center"/>
          </w:tcPr>
          <w:p w14:paraId="723B04C6">
            <w:pPr>
              <w:adjustRightInd w:val="0"/>
              <w:snapToGrid w:val="0"/>
              <w:spacing w:line="240" w:lineRule="auto"/>
              <w:ind w:firstLine="0" w:firstLineChars="0"/>
              <w:jc w:val="center"/>
              <w:rPr>
                <w:sz w:val="21"/>
                <w:szCs w:val="20"/>
              </w:rPr>
            </w:pPr>
            <w:r>
              <w:rPr>
                <w:sz w:val="21"/>
                <w:szCs w:val="20"/>
              </w:rPr>
              <w:t>厂区北侧</w:t>
            </w:r>
          </w:p>
        </w:tc>
        <w:tc>
          <w:tcPr>
            <w:tcW w:w="941" w:type="pct"/>
            <w:tcMar>
              <w:left w:w="0" w:type="dxa"/>
              <w:right w:w="0" w:type="dxa"/>
            </w:tcMar>
            <w:vAlign w:val="center"/>
          </w:tcPr>
          <w:p w14:paraId="09624824">
            <w:pPr>
              <w:adjustRightInd w:val="0"/>
              <w:snapToGrid w:val="0"/>
              <w:spacing w:line="240" w:lineRule="auto"/>
              <w:ind w:firstLine="0" w:firstLineChars="0"/>
              <w:jc w:val="center"/>
              <w:rPr>
                <w:bCs/>
                <w:sz w:val="21"/>
                <w:szCs w:val="21"/>
              </w:rPr>
            </w:pPr>
            <w:r>
              <w:rPr>
                <w:rFonts w:hint="eastAsia"/>
                <w:bCs/>
                <w:sz w:val="21"/>
                <w:szCs w:val="21"/>
              </w:rPr>
              <w:t>4</w:t>
            </w:r>
            <w:r>
              <w:rPr>
                <w:bCs/>
                <w:sz w:val="21"/>
                <w:szCs w:val="21"/>
              </w:rPr>
              <w:t>1</w:t>
            </w:r>
          </w:p>
        </w:tc>
        <w:tc>
          <w:tcPr>
            <w:tcW w:w="918" w:type="pct"/>
            <w:vMerge w:val="continue"/>
            <w:tcMar>
              <w:left w:w="0" w:type="dxa"/>
              <w:right w:w="0" w:type="dxa"/>
            </w:tcMar>
            <w:vAlign w:val="center"/>
          </w:tcPr>
          <w:p w14:paraId="1906DE14">
            <w:pPr>
              <w:adjustRightInd w:val="0"/>
              <w:snapToGrid w:val="0"/>
              <w:spacing w:line="240" w:lineRule="auto"/>
              <w:ind w:firstLine="0" w:firstLineChars="0"/>
              <w:jc w:val="center"/>
              <w:rPr>
                <w:bCs/>
                <w:sz w:val="21"/>
                <w:szCs w:val="21"/>
              </w:rPr>
            </w:pPr>
          </w:p>
        </w:tc>
        <w:tc>
          <w:tcPr>
            <w:tcW w:w="1021" w:type="pct"/>
            <w:tcMar>
              <w:left w:w="0" w:type="dxa"/>
              <w:right w:w="0" w:type="dxa"/>
            </w:tcMar>
            <w:vAlign w:val="center"/>
          </w:tcPr>
          <w:p w14:paraId="56D2083F">
            <w:pPr>
              <w:adjustRightInd w:val="0"/>
              <w:snapToGrid w:val="0"/>
              <w:spacing w:line="240" w:lineRule="auto"/>
              <w:ind w:firstLine="0" w:firstLineChars="0"/>
              <w:jc w:val="center"/>
              <w:rPr>
                <w:bCs/>
                <w:sz w:val="21"/>
                <w:szCs w:val="21"/>
              </w:rPr>
            </w:pPr>
            <w:r>
              <w:rPr>
                <w:rFonts w:hint="eastAsia"/>
                <w:bCs/>
                <w:sz w:val="21"/>
                <w:szCs w:val="21"/>
              </w:rPr>
              <w:t>3</w:t>
            </w:r>
            <w:r>
              <w:rPr>
                <w:bCs/>
                <w:sz w:val="21"/>
                <w:szCs w:val="21"/>
              </w:rPr>
              <w:t>8</w:t>
            </w:r>
          </w:p>
        </w:tc>
        <w:tc>
          <w:tcPr>
            <w:tcW w:w="848" w:type="pct"/>
            <w:vMerge w:val="continue"/>
            <w:tcMar>
              <w:left w:w="0" w:type="dxa"/>
              <w:right w:w="0" w:type="dxa"/>
            </w:tcMar>
            <w:vAlign w:val="center"/>
          </w:tcPr>
          <w:p w14:paraId="1E28CCEC">
            <w:pPr>
              <w:adjustRightInd w:val="0"/>
              <w:snapToGrid w:val="0"/>
              <w:spacing w:line="240" w:lineRule="auto"/>
              <w:ind w:firstLine="0" w:firstLineChars="0"/>
              <w:jc w:val="center"/>
              <w:rPr>
                <w:bCs/>
                <w:sz w:val="21"/>
                <w:szCs w:val="21"/>
              </w:rPr>
            </w:pPr>
          </w:p>
        </w:tc>
      </w:tr>
    </w:tbl>
    <w:p w14:paraId="5BA28B8E">
      <w:pPr>
        <w:ind w:firstLine="480"/>
      </w:pPr>
      <w:r>
        <w:t>由噪声监测结果表明，项目区厂界四周噪声值均可达到《声环境质量标准》（GB3096-2008）3类标准限值要求</w:t>
      </w:r>
      <w:r>
        <w:rPr>
          <w:rFonts w:hint="eastAsia"/>
        </w:rPr>
        <w:t>，本项目声环境</w:t>
      </w:r>
      <w:r>
        <w:t>质量良好。</w:t>
      </w:r>
    </w:p>
    <w:p w14:paraId="17CAA21E">
      <w:pPr>
        <w:pStyle w:val="43"/>
      </w:pPr>
      <w:bookmarkStart w:id="382" w:name="_Toc81214108"/>
      <w:bookmarkStart w:id="383" w:name="_Toc80193114"/>
      <w:bookmarkStart w:id="384" w:name="_Toc77007814"/>
      <w:bookmarkStart w:id="385" w:name="_Toc82518796"/>
      <w:bookmarkStart w:id="386" w:name="_Toc152864208"/>
      <w:bookmarkStart w:id="387" w:name="_Toc79515485"/>
      <w:bookmarkStart w:id="388" w:name="_Toc80973540"/>
      <w:r>
        <w:rPr>
          <w:rFonts w:hint="eastAsia"/>
        </w:rPr>
        <w:t>土壤环境质量现状调查与评价</w:t>
      </w:r>
      <w:bookmarkEnd w:id="382"/>
      <w:bookmarkEnd w:id="383"/>
      <w:bookmarkEnd w:id="384"/>
      <w:bookmarkEnd w:id="385"/>
      <w:bookmarkEnd w:id="386"/>
      <w:bookmarkEnd w:id="387"/>
      <w:bookmarkEnd w:id="388"/>
    </w:p>
    <w:p w14:paraId="38AD24D2">
      <w:pPr>
        <w:ind w:firstLine="480"/>
      </w:pPr>
      <w:r>
        <w:rPr>
          <w:rFonts w:hint="eastAsia"/>
        </w:rPr>
        <w:t>（1）监测布点</w:t>
      </w:r>
    </w:p>
    <w:p w14:paraId="5653E711">
      <w:pPr>
        <w:ind w:firstLine="480"/>
      </w:pPr>
      <w:r>
        <w:rPr>
          <w:rFonts w:hint="eastAsia"/>
        </w:rPr>
        <w:t>本次土壤环境质量现状监测委托新疆锡水金山环境科技有限公司开展。土壤现状监测点位布设共6个，其中厂区占地范围内4个，占地范围外2个具体见下表。</w:t>
      </w:r>
    </w:p>
    <w:p w14:paraId="61961932">
      <w:pPr>
        <w:pStyle w:val="47"/>
        <w:spacing w:before="65"/>
      </w:pPr>
      <w:r>
        <w:rPr>
          <w:rFonts w:hint="eastAsia"/>
        </w:rPr>
        <w:t>表4</w:t>
      </w:r>
      <w:r>
        <w:t xml:space="preserve">.3-6   </w:t>
      </w:r>
      <w:r>
        <w:rPr>
          <w:rFonts w:hint="eastAsia"/>
        </w:rPr>
        <w:t>土壤监测布点一览表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6"/>
        <w:gridCol w:w="1638"/>
        <w:gridCol w:w="1641"/>
        <w:gridCol w:w="2558"/>
        <w:gridCol w:w="1317"/>
        <w:gridCol w:w="760"/>
      </w:tblGrid>
      <w:tr w14:paraId="11AD4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8" w:type="pct"/>
            <w:shd w:val="clear" w:color="auto" w:fill="auto"/>
            <w:vAlign w:val="center"/>
          </w:tcPr>
          <w:p w14:paraId="78499F99">
            <w:pPr>
              <w:pStyle w:val="90"/>
            </w:pPr>
            <w:r>
              <w:rPr>
                <w:rFonts w:hint="eastAsia"/>
              </w:rPr>
              <w:t>编号</w:t>
            </w:r>
          </w:p>
        </w:tc>
        <w:tc>
          <w:tcPr>
            <w:tcW w:w="1879" w:type="pct"/>
            <w:gridSpan w:val="2"/>
            <w:shd w:val="clear" w:color="auto" w:fill="auto"/>
            <w:vAlign w:val="center"/>
          </w:tcPr>
          <w:p w14:paraId="1BB6227F">
            <w:pPr>
              <w:pStyle w:val="90"/>
            </w:pPr>
            <w:r>
              <w:rPr>
                <w:rFonts w:hint="eastAsia"/>
              </w:rPr>
              <w:t>位置/坐标</w:t>
            </w:r>
          </w:p>
        </w:tc>
        <w:tc>
          <w:tcPr>
            <w:tcW w:w="1465" w:type="pct"/>
            <w:shd w:val="clear" w:color="auto" w:fill="auto"/>
            <w:vAlign w:val="center"/>
          </w:tcPr>
          <w:p w14:paraId="586325AD">
            <w:pPr>
              <w:pStyle w:val="90"/>
            </w:pPr>
            <w:r>
              <w:rPr>
                <w:rFonts w:hint="eastAsia"/>
              </w:rPr>
              <w:t>监测因子</w:t>
            </w:r>
          </w:p>
        </w:tc>
        <w:tc>
          <w:tcPr>
            <w:tcW w:w="753" w:type="pct"/>
            <w:shd w:val="clear" w:color="auto" w:fill="auto"/>
            <w:vAlign w:val="center"/>
          </w:tcPr>
          <w:p w14:paraId="066A2BFC">
            <w:pPr>
              <w:pStyle w:val="90"/>
            </w:pPr>
            <w:r>
              <w:rPr>
                <w:rFonts w:hint="eastAsia"/>
              </w:rPr>
              <w:t>评价标准</w:t>
            </w:r>
          </w:p>
        </w:tc>
        <w:tc>
          <w:tcPr>
            <w:tcW w:w="435" w:type="pct"/>
            <w:shd w:val="clear" w:color="auto" w:fill="auto"/>
            <w:vAlign w:val="center"/>
          </w:tcPr>
          <w:p w14:paraId="5D47F62F">
            <w:pPr>
              <w:pStyle w:val="90"/>
            </w:pPr>
            <w:r>
              <w:rPr>
                <w:rFonts w:hint="eastAsia"/>
              </w:rPr>
              <w:t>备注</w:t>
            </w:r>
          </w:p>
        </w:tc>
      </w:tr>
      <w:tr w14:paraId="2D640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8" w:type="pct"/>
            <w:shd w:val="clear" w:color="auto" w:fill="auto"/>
            <w:vAlign w:val="center"/>
          </w:tcPr>
          <w:p w14:paraId="272C0A91">
            <w:pPr>
              <w:pStyle w:val="90"/>
            </w:pPr>
            <w:r>
              <w:rPr>
                <w:rFonts w:hint="eastAsia" w:ascii="Segoe UI Emoji" w:hAnsi="Segoe UI Emoji" w:eastAsia="Segoe UI Emoji" w:cs="Segoe UI Emoji"/>
              </w:rPr>
              <w:t>△</w:t>
            </w:r>
            <w:r>
              <w:t>1</w:t>
            </w:r>
          </w:p>
        </w:tc>
        <w:tc>
          <w:tcPr>
            <w:tcW w:w="939" w:type="pct"/>
            <w:shd w:val="clear" w:color="auto" w:fill="auto"/>
            <w:vAlign w:val="center"/>
          </w:tcPr>
          <w:p w14:paraId="1CA1FA57">
            <w:pPr>
              <w:pStyle w:val="90"/>
            </w:pPr>
            <w:r>
              <w:rPr>
                <w:rFonts w:hint="eastAsia"/>
              </w:rPr>
              <w:t>E</w:t>
            </w:r>
            <w:r>
              <w:t xml:space="preserve"> 84°51'33.59"</w:t>
            </w:r>
          </w:p>
        </w:tc>
        <w:tc>
          <w:tcPr>
            <w:tcW w:w="940" w:type="pct"/>
            <w:shd w:val="clear" w:color="auto" w:fill="auto"/>
            <w:vAlign w:val="center"/>
          </w:tcPr>
          <w:p w14:paraId="78682E72">
            <w:pPr>
              <w:pStyle w:val="90"/>
            </w:pPr>
            <w:r>
              <w:rPr>
                <w:rFonts w:hint="eastAsia"/>
              </w:rPr>
              <w:t>N</w:t>
            </w:r>
            <w:r>
              <w:t xml:space="preserve"> 44°48'44.94"</w:t>
            </w:r>
          </w:p>
        </w:tc>
        <w:tc>
          <w:tcPr>
            <w:tcW w:w="1465" w:type="pct"/>
            <w:vMerge w:val="restart"/>
            <w:shd w:val="clear" w:color="auto" w:fill="auto"/>
            <w:vAlign w:val="center"/>
          </w:tcPr>
          <w:p w14:paraId="4FA59E0B">
            <w:pPr>
              <w:pStyle w:val="90"/>
            </w:pPr>
            <w:r>
              <w:rPr>
                <w:rFonts w:hint="eastAsia"/>
              </w:rPr>
              <w:t>砷、镉、铬（六价）、铜、铅、汞、镍、石油烃</w:t>
            </w:r>
          </w:p>
        </w:tc>
        <w:tc>
          <w:tcPr>
            <w:tcW w:w="753" w:type="pct"/>
            <w:vMerge w:val="restart"/>
            <w:shd w:val="clear" w:color="auto" w:fill="auto"/>
            <w:vAlign w:val="center"/>
          </w:tcPr>
          <w:p w14:paraId="43152F6A">
            <w:pPr>
              <w:pStyle w:val="90"/>
            </w:pPr>
            <w:r>
              <w:t>GB36600-2018</w:t>
            </w:r>
            <w:r>
              <w:rPr>
                <w:rFonts w:hint="eastAsia"/>
              </w:rPr>
              <w:t>筛选值二类用地</w:t>
            </w:r>
          </w:p>
        </w:tc>
        <w:tc>
          <w:tcPr>
            <w:tcW w:w="435" w:type="pct"/>
            <w:vMerge w:val="restart"/>
            <w:shd w:val="clear" w:color="auto" w:fill="auto"/>
            <w:vAlign w:val="center"/>
          </w:tcPr>
          <w:p w14:paraId="28D4BBD1">
            <w:pPr>
              <w:pStyle w:val="90"/>
            </w:pPr>
            <w:r>
              <w:rPr>
                <w:rFonts w:hint="eastAsia"/>
              </w:rPr>
              <w:t>柱状样</w:t>
            </w:r>
          </w:p>
        </w:tc>
      </w:tr>
      <w:tr w14:paraId="2E462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8" w:type="pct"/>
            <w:shd w:val="clear" w:color="auto" w:fill="auto"/>
            <w:vAlign w:val="center"/>
          </w:tcPr>
          <w:p w14:paraId="34A4D5EE">
            <w:pPr>
              <w:pStyle w:val="90"/>
            </w:pPr>
            <w:r>
              <w:rPr>
                <w:rFonts w:hint="eastAsia" w:ascii="Segoe UI Emoji" w:hAnsi="Segoe UI Emoji" w:eastAsia="Segoe UI Emoji" w:cs="Segoe UI Emoji"/>
              </w:rPr>
              <w:t>△</w:t>
            </w:r>
            <w:r>
              <w:t>2</w:t>
            </w:r>
          </w:p>
        </w:tc>
        <w:tc>
          <w:tcPr>
            <w:tcW w:w="939" w:type="pct"/>
            <w:shd w:val="clear" w:color="auto" w:fill="auto"/>
            <w:vAlign w:val="center"/>
          </w:tcPr>
          <w:p w14:paraId="3E542097">
            <w:pPr>
              <w:pStyle w:val="90"/>
            </w:pPr>
            <w:r>
              <w:rPr>
                <w:rFonts w:hint="eastAsia"/>
              </w:rPr>
              <w:t>E</w:t>
            </w:r>
            <w:r>
              <w:t xml:space="preserve"> 84°51'30.84"</w:t>
            </w:r>
          </w:p>
        </w:tc>
        <w:tc>
          <w:tcPr>
            <w:tcW w:w="940" w:type="pct"/>
            <w:shd w:val="clear" w:color="auto" w:fill="auto"/>
            <w:vAlign w:val="center"/>
          </w:tcPr>
          <w:p w14:paraId="2FC60278">
            <w:pPr>
              <w:pStyle w:val="90"/>
            </w:pPr>
            <w:r>
              <w:rPr>
                <w:rFonts w:hint="eastAsia"/>
              </w:rPr>
              <w:t>N</w:t>
            </w:r>
            <w:r>
              <w:t xml:space="preserve"> 44°48'50.32"</w:t>
            </w:r>
          </w:p>
        </w:tc>
        <w:tc>
          <w:tcPr>
            <w:tcW w:w="1465" w:type="pct"/>
            <w:vMerge w:val="continue"/>
            <w:shd w:val="clear" w:color="auto" w:fill="auto"/>
            <w:vAlign w:val="center"/>
          </w:tcPr>
          <w:p w14:paraId="41327199">
            <w:pPr>
              <w:pStyle w:val="90"/>
            </w:pPr>
          </w:p>
        </w:tc>
        <w:tc>
          <w:tcPr>
            <w:tcW w:w="753" w:type="pct"/>
            <w:vMerge w:val="continue"/>
            <w:shd w:val="clear" w:color="auto" w:fill="auto"/>
            <w:vAlign w:val="center"/>
          </w:tcPr>
          <w:p w14:paraId="36F6EB0E">
            <w:pPr>
              <w:pStyle w:val="90"/>
            </w:pPr>
          </w:p>
        </w:tc>
        <w:tc>
          <w:tcPr>
            <w:tcW w:w="435" w:type="pct"/>
            <w:vMerge w:val="continue"/>
            <w:shd w:val="clear" w:color="auto" w:fill="auto"/>
            <w:vAlign w:val="center"/>
          </w:tcPr>
          <w:p w14:paraId="7646CCE3">
            <w:pPr>
              <w:pStyle w:val="90"/>
            </w:pPr>
          </w:p>
        </w:tc>
      </w:tr>
      <w:tr w14:paraId="2CB8C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68" w:type="pct"/>
            <w:shd w:val="clear" w:color="auto" w:fill="auto"/>
            <w:vAlign w:val="center"/>
          </w:tcPr>
          <w:p w14:paraId="14994AB2">
            <w:pPr>
              <w:pStyle w:val="90"/>
            </w:pPr>
            <w:r>
              <w:rPr>
                <w:rFonts w:hint="eastAsia" w:ascii="Segoe UI Emoji" w:hAnsi="Segoe UI Emoji" w:eastAsia="Segoe UI Emoji" w:cs="Segoe UI Emoji"/>
              </w:rPr>
              <w:t>△</w:t>
            </w:r>
            <w:r>
              <w:t>3</w:t>
            </w:r>
          </w:p>
        </w:tc>
        <w:tc>
          <w:tcPr>
            <w:tcW w:w="939" w:type="pct"/>
            <w:shd w:val="clear" w:color="auto" w:fill="auto"/>
            <w:vAlign w:val="center"/>
          </w:tcPr>
          <w:p w14:paraId="3C1984E0">
            <w:pPr>
              <w:pStyle w:val="90"/>
            </w:pPr>
            <w:r>
              <w:rPr>
                <w:rFonts w:hint="eastAsia"/>
              </w:rPr>
              <w:t>E</w:t>
            </w:r>
            <w:r>
              <w:t xml:space="preserve"> 84°51'36.37"</w:t>
            </w:r>
          </w:p>
        </w:tc>
        <w:tc>
          <w:tcPr>
            <w:tcW w:w="940" w:type="pct"/>
            <w:shd w:val="clear" w:color="auto" w:fill="auto"/>
            <w:vAlign w:val="center"/>
          </w:tcPr>
          <w:p w14:paraId="702A20F2">
            <w:pPr>
              <w:pStyle w:val="90"/>
            </w:pPr>
            <w:r>
              <w:rPr>
                <w:rFonts w:hint="eastAsia"/>
              </w:rPr>
              <w:t>N</w:t>
            </w:r>
            <w:r>
              <w:t xml:space="preserve"> 44°48'51.80"</w:t>
            </w:r>
          </w:p>
        </w:tc>
        <w:tc>
          <w:tcPr>
            <w:tcW w:w="1465" w:type="pct"/>
            <w:vMerge w:val="continue"/>
            <w:shd w:val="clear" w:color="auto" w:fill="auto"/>
            <w:vAlign w:val="center"/>
          </w:tcPr>
          <w:p w14:paraId="174CC91C">
            <w:pPr>
              <w:pStyle w:val="90"/>
            </w:pPr>
          </w:p>
        </w:tc>
        <w:tc>
          <w:tcPr>
            <w:tcW w:w="753" w:type="pct"/>
            <w:vMerge w:val="continue"/>
            <w:shd w:val="clear" w:color="auto" w:fill="auto"/>
            <w:vAlign w:val="center"/>
          </w:tcPr>
          <w:p w14:paraId="2584BFCD">
            <w:pPr>
              <w:pStyle w:val="90"/>
            </w:pPr>
          </w:p>
        </w:tc>
        <w:tc>
          <w:tcPr>
            <w:tcW w:w="435" w:type="pct"/>
            <w:vMerge w:val="continue"/>
            <w:shd w:val="clear" w:color="auto" w:fill="auto"/>
            <w:vAlign w:val="center"/>
          </w:tcPr>
          <w:p w14:paraId="26B8B23D">
            <w:pPr>
              <w:pStyle w:val="90"/>
            </w:pPr>
          </w:p>
        </w:tc>
      </w:tr>
      <w:tr w14:paraId="007CD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68" w:type="pct"/>
            <w:shd w:val="clear" w:color="auto" w:fill="auto"/>
            <w:vAlign w:val="center"/>
          </w:tcPr>
          <w:p w14:paraId="57FC1320">
            <w:pPr>
              <w:pStyle w:val="90"/>
            </w:pPr>
            <w:r>
              <w:rPr>
                <w:rFonts w:hint="eastAsia" w:ascii="Segoe UI Emoji" w:hAnsi="Segoe UI Emoji" w:eastAsia="Segoe UI Emoji" w:cs="Segoe UI Emoji"/>
              </w:rPr>
              <w:t>△</w:t>
            </w:r>
            <w:r>
              <w:t>4</w:t>
            </w:r>
          </w:p>
        </w:tc>
        <w:tc>
          <w:tcPr>
            <w:tcW w:w="939" w:type="pct"/>
            <w:shd w:val="clear" w:color="auto" w:fill="auto"/>
            <w:vAlign w:val="center"/>
          </w:tcPr>
          <w:p w14:paraId="62569041">
            <w:pPr>
              <w:pStyle w:val="90"/>
            </w:pPr>
            <w:r>
              <w:rPr>
                <w:rFonts w:hint="eastAsia"/>
              </w:rPr>
              <w:t>E</w:t>
            </w:r>
            <w:r>
              <w:t xml:space="preserve"> 84°51'35.19"</w:t>
            </w:r>
          </w:p>
        </w:tc>
        <w:tc>
          <w:tcPr>
            <w:tcW w:w="940" w:type="pct"/>
            <w:shd w:val="clear" w:color="auto" w:fill="auto"/>
            <w:vAlign w:val="center"/>
          </w:tcPr>
          <w:p w14:paraId="552134C3">
            <w:pPr>
              <w:pStyle w:val="90"/>
            </w:pPr>
            <w:r>
              <w:rPr>
                <w:rFonts w:hint="eastAsia"/>
              </w:rPr>
              <w:t>N</w:t>
            </w:r>
            <w:r>
              <w:t xml:space="preserve"> 44°48'48.26"</w:t>
            </w:r>
          </w:p>
        </w:tc>
        <w:tc>
          <w:tcPr>
            <w:tcW w:w="1465" w:type="pct"/>
            <w:shd w:val="clear" w:color="auto" w:fill="auto"/>
            <w:vAlign w:val="center"/>
          </w:tcPr>
          <w:p w14:paraId="474272C8">
            <w:pPr>
              <w:pStyle w:val="90"/>
            </w:pPr>
            <w:r>
              <w:rPr>
                <w:rFonts w:hint="eastAsia"/>
              </w:rPr>
              <w:t>pH、基本4</w:t>
            </w:r>
            <w:r>
              <w:t>5</w:t>
            </w:r>
            <w:r>
              <w:rPr>
                <w:rFonts w:hint="eastAsia"/>
              </w:rPr>
              <w:t>项、石油烃</w:t>
            </w:r>
          </w:p>
        </w:tc>
        <w:tc>
          <w:tcPr>
            <w:tcW w:w="753" w:type="pct"/>
            <w:vMerge w:val="continue"/>
            <w:shd w:val="clear" w:color="auto" w:fill="auto"/>
            <w:vAlign w:val="center"/>
          </w:tcPr>
          <w:p w14:paraId="552F3F8A">
            <w:pPr>
              <w:pStyle w:val="90"/>
            </w:pPr>
          </w:p>
        </w:tc>
        <w:tc>
          <w:tcPr>
            <w:tcW w:w="435" w:type="pct"/>
            <w:vMerge w:val="restart"/>
            <w:shd w:val="clear" w:color="auto" w:fill="auto"/>
            <w:vAlign w:val="center"/>
          </w:tcPr>
          <w:p w14:paraId="712A3625">
            <w:pPr>
              <w:pStyle w:val="90"/>
            </w:pPr>
            <w:r>
              <w:rPr>
                <w:rFonts w:hint="eastAsia"/>
              </w:rPr>
              <w:t>表层样</w:t>
            </w:r>
          </w:p>
        </w:tc>
      </w:tr>
      <w:tr w14:paraId="1D647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8" w:type="pct"/>
            <w:shd w:val="clear" w:color="auto" w:fill="auto"/>
            <w:vAlign w:val="center"/>
          </w:tcPr>
          <w:p w14:paraId="701CD54B">
            <w:pPr>
              <w:pStyle w:val="90"/>
            </w:pPr>
            <w:r>
              <w:rPr>
                <w:rFonts w:hint="eastAsia" w:ascii="Segoe UI Emoji" w:hAnsi="Segoe UI Emoji" w:eastAsia="Segoe UI Emoji" w:cs="Segoe UI Emoji"/>
              </w:rPr>
              <w:t>△</w:t>
            </w:r>
            <w:r>
              <w:t>5</w:t>
            </w:r>
          </w:p>
        </w:tc>
        <w:tc>
          <w:tcPr>
            <w:tcW w:w="939" w:type="pct"/>
            <w:shd w:val="clear" w:color="auto" w:fill="auto"/>
            <w:vAlign w:val="center"/>
          </w:tcPr>
          <w:p w14:paraId="53CBBAAD">
            <w:pPr>
              <w:pStyle w:val="90"/>
            </w:pPr>
            <w:r>
              <w:rPr>
                <w:rFonts w:hint="eastAsia"/>
              </w:rPr>
              <w:t>E</w:t>
            </w:r>
            <w:r>
              <w:t xml:space="preserve"> 84°51'18.95"</w:t>
            </w:r>
          </w:p>
        </w:tc>
        <w:tc>
          <w:tcPr>
            <w:tcW w:w="940" w:type="pct"/>
            <w:shd w:val="clear" w:color="auto" w:fill="auto"/>
            <w:vAlign w:val="center"/>
          </w:tcPr>
          <w:p w14:paraId="72A6B249">
            <w:pPr>
              <w:pStyle w:val="90"/>
            </w:pPr>
            <w:r>
              <w:rPr>
                <w:rFonts w:hint="eastAsia"/>
              </w:rPr>
              <w:t>N</w:t>
            </w:r>
            <w:r>
              <w:t xml:space="preserve"> 44°48'54.35"</w:t>
            </w:r>
          </w:p>
        </w:tc>
        <w:tc>
          <w:tcPr>
            <w:tcW w:w="1465" w:type="pct"/>
            <w:shd w:val="clear" w:color="auto" w:fill="auto"/>
            <w:vAlign w:val="center"/>
          </w:tcPr>
          <w:p w14:paraId="7E16FC1B">
            <w:pPr>
              <w:pStyle w:val="90"/>
            </w:pPr>
            <w:r>
              <w:rPr>
                <w:rFonts w:hint="eastAsia"/>
              </w:rPr>
              <w:t>pH、镉、汞、砷、铅、铬、铜、镍、锌</w:t>
            </w:r>
          </w:p>
        </w:tc>
        <w:tc>
          <w:tcPr>
            <w:tcW w:w="753" w:type="pct"/>
            <w:shd w:val="clear" w:color="auto" w:fill="auto"/>
            <w:vAlign w:val="center"/>
          </w:tcPr>
          <w:p w14:paraId="422E30A5">
            <w:pPr>
              <w:pStyle w:val="90"/>
            </w:pPr>
            <w:r>
              <w:t>GB15618-2018</w:t>
            </w:r>
            <w:r>
              <w:rPr>
                <w:rFonts w:hint="eastAsia"/>
              </w:rPr>
              <w:t>表1</w:t>
            </w:r>
          </w:p>
        </w:tc>
        <w:tc>
          <w:tcPr>
            <w:tcW w:w="435" w:type="pct"/>
            <w:vMerge w:val="continue"/>
            <w:shd w:val="clear" w:color="auto" w:fill="auto"/>
            <w:vAlign w:val="center"/>
          </w:tcPr>
          <w:p w14:paraId="1950F0F5">
            <w:pPr>
              <w:pStyle w:val="90"/>
            </w:pPr>
          </w:p>
        </w:tc>
      </w:tr>
      <w:tr w14:paraId="08AC8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8" w:type="pct"/>
            <w:shd w:val="clear" w:color="auto" w:fill="auto"/>
            <w:vAlign w:val="center"/>
          </w:tcPr>
          <w:p w14:paraId="6ABB3A22">
            <w:pPr>
              <w:pStyle w:val="90"/>
            </w:pPr>
            <w:r>
              <w:rPr>
                <w:rFonts w:hint="eastAsia" w:ascii="Segoe UI Emoji" w:hAnsi="Segoe UI Emoji" w:eastAsia="Segoe UI Emoji" w:cs="Segoe UI Emoji"/>
              </w:rPr>
              <w:t>△</w:t>
            </w:r>
            <w:r>
              <w:t>6</w:t>
            </w:r>
          </w:p>
        </w:tc>
        <w:tc>
          <w:tcPr>
            <w:tcW w:w="939" w:type="pct"/>
            <w:shd w:val="clear" w:color="auto" w:fill="auto"/>
            <w:vAlign w:val="center"/>
          </w:tcPr>
          <w:p w14:paraId="1A5959F1">
            <w:pPr>
              <w:pStyle w:val="90"/>
            </w:pPr>
            <w:r>
              <w:rPr>
                <w:rFonts w:hint="eastAsia"/>
              </w:rPr>
              <w:t>E</w:t>
            </w:r>
            <w:r>
              <w:t xml:space="preserve"> 84°51'42.10"</w:t>
            </w:r>
          </w:p>
        </w:tc>
        <w:tc>
          <w:tcPr>
            <w:tcW w:w="940" w:type="pct"/>
            <w:shd w:val="clear" w:color="auto" w:fill="auto"/>
            <w:vAlign w:val="center"/>
          </w:tcPr>
          <w:p w14:paraId="5893FB92">
            <w:pPr>
              <w:pStyle w:val="90"/>
            </w:pPr>
            <w:r>
              <w:rPr>
                <w:rFonts w:hint="eastAsia"/>
              </w:rPr>
              <w:t>N</w:t>
            </w:r>
            <w:r>
              <w:t xml:space="preserve"> 44°48'43.05"</w:t>
            </w:r>
          </w:p>
        </w:tc>
        <w:tc>
          <w:tcPr>
            <w:tcW w:w="1465" w:type="pct"/>
            <w:shd w:val="clear" w:color="auto" w:fill="auto"/>
            <w:vAlign w:val="center"/>
          </w:tcPr>
          <w:p w14:paraId="5439F106">
            <w:pPr>
              <w:pStyle w:val="90"/>
            </w:pPr>
            <w:r>
              <w:rPr>
                <w:rFonts w:hint="eastAsia"/>
              </w:rPr>
              <w:t>砷、镉、铬（六价）、铜、铅、汞、镍、石油烃</w:t>
            </w:r>
          </w:p>
        </w:tc>
        <w:tc>
          <w:tcPr>
            <w:tcW w:w="753" w:type="pct"/>
            <w:shd w:val="clear" w:color="auto" w:fill="auto"/>
            <w:vAlign w:val="center"/>
          </w:tcPr>
          <w:p w14:paraId="5D6F6857">
            <w:pPr>
              <w:pStyle w:val="90"/>
            </w:pPr>
            <w:r>
              <w:t>GB36600-2018</w:t>
            </w:r>
            <w:r>
              <w:rPr>
                <w:rFonts w:hint="eastAsia"/>
              </w:rPr>
              <w:t>筛选值二类用地</w:t>
            </w:r>
          </w:p>
        </w:tc>
        <w:tc>
          <w:tcPr>
            <w:tcW w:w="435" w:type="pct"/>
            <w:vMerge w:val="continue"/>
            <w:shd w:val="clear" w:color="auto" w:fill="auto"/>
            <w:vAlign w:val="center"/>
          </w:tcPr>
          <w:p w14:paraId="52456EF4">
            <w:pPr>
              <w:pStyle w:val="90"/>
            </w:pPr>
          </w:p>
        </w:tc>
      </w:tr>
    </w:tbl>
    <w:p w14:paraId="72D5018F">
      <w:pPr>
        <w:ind w:firstLine="480"/>
      </w:pPr>
      <w:r>
        <w:rPr>
          <w:rFonts w:hint="eastAsia"/>
        </w:rPr>
        <w:t>（2）监测项目</w:t>
      </w:r>
    </w:p>
    <w:p w14:paraId="1F1A123E">
      <w:pPr>
        <w:ind w:firstLine="480"/>
      </w:pPr>
      <w:r>
        <w:rPr>
          <w:rFonts w:hint="eastAsia"/>
        </w:rPr>
        <w:t>具体监测项目见下表。</w:t>
      </w:r>
    </w:p>
    <w:p w14:paraId="6D6A20D3">
      <w:pPr>
        <w:pStyle w:val="47"/>
        <w:spacing w:before="65"/>
      </w:pPr>
      <w:r>
        <w:rPr>
          <w:rFonts w:hint="eastAsia"/>
        </w:rPr>
        <w:t>表4</w:t>
      </w:r>
      <w:r>
        <w:t xml:space="preserve">.3-7   </w:t>
      </w:r>
      <w:r>
        <w:rPr>
          <w:rFonts w:hint="eastAsia"/>
        </w:rPr>
        <w:t>土壤监测因子一览表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31"/>
        <w:gridCol w:w="1062"/>
        <w:gridCol w:w="2102"/>
        <w:gridCol w:w="4335"/>
      </w:tblGrid>
      <w:tr w14:paraId="3A6783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6BB1E4A4">
            <w:pPr>
              <w:snapToGrid w:val="0"/>
              <w:spacing w:line="240" w:lineRule="auto"/>
              <w:ind w:firstLine="0" w:firstLineChars="0"/>
              <w:jc w:val="center"/>
              <w:rPr>
                <w:bCs/>
                <w:sz w:val="21"/>
                <w:szCs w:val="21"/>
              </w:rPr>
            </w:pPr>
            <w:r>
              <w:rPr>
                <w:bCs/>
                <w:sz w:val="21"/>
                <w:szCs w:val="21"/>
              </w:rPr>
              <w:t>编号</w:t>
            </w:r>
          </w:p>
        </w:tc>
        <w:tc>
          <w:tcPr>
            <w:tcW w:w="1812" w:type="pct"/>
            <w:gridSpan w:val="2"/>
            <w:tcMar>
              <w:left w:w="0" w:type="dxa"/>
              <w:right w:w="0" w:type="dxa"/>
            </w:tcMar>
            <w:vAlign w:val="center"/>
          </w:tcPr>
          <w:p w14:paraId="1FB1A334">
            <w:pPr>
              <w:snapToGrid w:val="0"/>
              <w:spacing w:line="240" w:lineRule="auto"/>
              <w:ind w:firstLine="0" w:firstLineChars="0"/>
              <w:jc w:val="center"/>
              <w:rPr>
                <w:bCs/>
                <w:sz w:val="21"/>
                <w:szCs w:val="21"/>
              </w:rPr>
            </w:pPr>
            <w:r>
              <w:rPr>
                <w:bCs/>
                <w:sz w:val="21"/>
                <w:szCs w:val="21"/>
              </w:rPr>
              <w:t>监测点位置</w:t>
            </w:r>
          </w:p>
        </w:tc>
        <w:tc>
          <w:tcPr>
            <w:tcW w:w="2483" w:type="pct"/>
            <w:tcMar>
              <w:left w:w="0" w:type="dxa"/>
              <w:right w:w="0" w:type="dxa"/>
            </w:tcMar>
            <w:vAlign w:val="center"/>
          </w:tcPr>
          <w:p w14:paraId="7361D874">
            <w:pPr>
              <w:snapToGrid w:val="0"/>
              <w:spacing w:line="240" w:lineRule="auto"/>
              <w:ind w:firstLine="0" w:firstLineChars="0"/>
              <w:jc w:val="center"/>
              <w:rPr>
                <w:bCs/>
                <w:sz w:val="21"/>
                <w:szCs w:val="21"/>
              </w:rPr>
            </w:pPr>
            <w:r>
              <w:rPr>
                <w:rFonts w:hint="eastAsia"/>
                <w:bCs/>
                <w:sz w:val="21"/>
                <w:szCs w:val="21"/>
              </w:rPr>
              <w:t>监测因子</w:t>
            </w:r>
          </w:p>
        </w:tc>
      </w:tr>
      <w:tr w14:paraId="31C71E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2F17147D">
            <w:pPr>
              <w:pStyle w:val="90"/>
            </w:pPr>
            <w:r>
              <w:rPr>
                <w:rFonts w:hint="eastAsia" w:ascii="Segoe UI Emoji" w:hAnsi="Segoe UI Emoji" w:eastAsia="Segoe UI Emoji" w:cs="Segoe UI Emoji"/>
              </w:rPr>
              <w:t>△</w:t>
            </w:r>
            <w:r>
              <w:t>1</w:t>
            </w:r>
          </w:p>
        </w:tc>
        <w:tc>
          <w:tcPr>
            <w:tcW w:w="608" w:type="pct"/>
            <w:vMerge w:val="restart"/>
            <w:tcMar>
              <w:left w:w="0" w:type="dxa"/>
              <w:right w:w="0" w:type="dxa"/>
            </w:tcMar>
            <w:vAlign w:val="center"/>
          </w:tcPr>
          <w:p w14:paraId="3626E782">
            <w:pPr>
              <w:spacing w:line="240" w:lineRule="auto"/>
              <w:ind w:firstLine="0" w:firstLineChars="0"/>
              <w:contextualSpacing/>
              <w:jc w:val="center"/>
              <w:rPr>
                <w:b/>
                <w:bCs/>
                <w:sz w:val="21"/>
                <w:szCs w:val="21"/>
              </w:rPr>
            </w:pPr>
            <w:r>
              <w:rPr>
                <w:rFonts w:hint="eastAsia"/>
                <w:sz w:val="21"/>
                <w:szCs w:val="21"/>
              </w:rPr>
              <w:t>占地范围内</w:t>
            </w:r>
          </w:p>
        </w:tc>
        <w:tc>
          <w:tcPr>
            <w:tcW w:w="1204" w:type="pct"/>
            <w:tcMar>
              <w:left w:w="0" w:type="dxa"/>
              <w:right w:w="0" w:type="dxa"/>
            </w:tcMar>
            <w:vAlign w:val="center"/>
          </w:tcPr>
          <w:p w14:paraId="76CA882B">
            <w:pPr>
              <w:snapToGrid w:val="0"/>
              <w:spacing w:line="240" w:lineRule="auto"/>
              <w:ind w:firstLine="0" w:firstLineChars="0"/>
              <w:jc w:val="center"/>
              <w:rPr>
                <w:b/>
                <w:bCs/>
                <w:sz w:val="21"/>
                <w:szCs w:val="21"/>
              </w:rPr>
            </w:pPr>
            <w:r>
              <w:rPr>
                <w:rFonts w:hint="eastAsia"/>
                <w:sz w:val="21"/>
                <w:szCs w:val="21"/>
              </w:rPr>
              <w:t>项目区所在地范围内</w:t>
            </w:r>
          </w:p>
        </w:tc>
        <w:tc>
          <w:tcPr>
            <w:tcW w:w="2483" w:type="pct"/>
            <w:vMerge w:val="restart"/>
            <w:tcMar>
              <w:left w:w="0" w:type="dxa"/>
              <w:right w:w="0" w:type="dxa"/>
            </w:tcMar>
            <w:vAlign w:val="center"/>
          </w:tcPr>
          <w:p w14:paraId="185B545A">
            <w:pPr>
              <w:snapToGrid w:val="0"/>
              <w:spacing w:line="240" w:lineRule="auto"/>
              <w:ind w:firstLine="0" w:firstLineChars="0"/>
              <w:jc w:val="center"/>
              <w:rPr>
                <w:sz w:val="21"/>
                <w:szCs w:val="21"/>
              </w:rPr>
            </w:pPr>
            <w:r>
              <w:rPr>
                <w:rFonts w:hint="eastAsia"/>
                <w:sz w:val="21"/>
                <w:szCs w:val="21"/>
              </w:rPr>
              <w:t>砷、镉、铬（六价）、铜、铅、汞、镍、石油烃</w:t>
            </w:r>
          </w:p>
        </w:tc>
      </w:tr>
      <w:tr w14:paraId="0E1301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64C61F09">
            <w:pPr>
              <w:pStyle w:val="90"/>
            </w:pPr>
            <w:r>
              <w:rPr>
                <w:rFonts w:hint="eastAsia" w:ascii="Segoe UI Emoji" w:hAnsi="Segoe UI Emoji" w:eastAsia="Segoe UI Emoji" w:cs="Segoe UI Emoji"/>
              </w:rPr>
              <w:t>△</w:t>
            </w:r>
            <w:r>
              <w:t>2</w:t>
            </w:r>
          </w:p>
        </w:tc>
        <w:tc>
          <w:tcPr>
            <w:tcW w:w="608" w:type="pct"/>
            <w:vMerge w:val="continue"/>
            <w:tcMar>
              <w:left w:w="0" w:type="dxa"/>
              <w:right w:w="0" w:type="dxa"/>
            </w:tcMar>
            <w:vAlign w:val="center"/>
          </w:tcPr>
          <w:p w14:paraId="4E152054">
            <w:pPr>
              <w:spacing w:line="240" w:lineRule="auto"/>
              <w:ind w:firstLine="0" w:firstLineChars="0"/>
              <w:contextualSpacing/>
              <w:jc w:val="center"/>
              <w:rPr>
                <w:sz w:val="21"/>
                <w:szCs w:val="21"/>
              </w:rPr>
            </w:pPr>
          </w:p>
        </w:tc>
        <w:tc>
          <w:tcPr>
            <w:tcW w:w="1204" w:type="pct"/>
            <w:tcMar>
              <w:left w:w="0" w:type="dxa"/>
              <w:right w:w="0" w:type="dxa"/>
            </w:tcMar>
            <w:vAlign w:val="center"/>
          </w:tcPr>
          <w:p w14:paraId="3634D01E">
            <w:pPr>
              <w:snapToGrid w:val="0"/>
              <w:spacing w:line="240" w:lineRule="auto"/>
              <w:ind w:firstLine="0" w:firstLineChars="0"/>
              <w:jc w:val="center"/>
              <w:rPr>
                <w:b/>
                <w:bCs/>
                <w:sz w:val="21"/>
                <w:szCs w:val="21"/>
              </w:rPr>
            </w:pPr>
            <w:r>
              <w:rPr>
                <w:rFonts w:hint="eastAsia"/>
                <w:sz w:val="21"/>
                <w:szCs w:val="21"/>
              </w:rPr>
              <w:t>项目区所在地范围内</w:t>
            </w:r>
          </w:p>
        </w:tc>
        <w:tc>
          <w:tcPr>
            <w:tcW w:w="2483" w:type="pct"/>
            <w:vMerge w:val="continue"/>
            <w:tcMar>
              <w:left w:w="0" w:type="dxa"/>
              <w:right w:w="0" w:type="dxa"/>
            </w:tcMar>
            <w:vAlign w:val="center"/>
          </w:tcPr>
          <w:p w14:paraId="7957244F">
            <w:pPr>
              <w:snapToGrid w:val="0"/>
              <w:spacing w:line="240" w:lineRule="auto"/>
              <w:ind w:firstLine="0" w:firstLineChars="0"/>
              <w:jc w:val="center"/>
              <w:rPr>
                <w:sz w:val="21"/>
                <w:szCs w:val="21"/>
              </w:rPr>
            </w:pPr>
          </w:p>
        </w:tc>
      </w:tr>
      <w:tr w14:paraId="0EFB68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19E94162">
            <w:pPr>
              <w:pStyle w:val="90"/>
            </w:pPr>
            <w:r>
              <w:rPr>
                <w:rFonts w:hint="eastAsia" w:ascii="Segoe UI Emoji" w:hAnsi="Segoe UI Emoji" w:eastAsia="Segoe UI Emoji" w:cs="Segoe UI Emoji"/>
              </w:rPr>
              <w:t>△</w:t>
            </w:r>
            <w:r>
              <w:t>3</w:t>
            </w:r>
          </w:p>
        </w:tc>
        <w:tc>
          <w:tcPr>
            <w:tcW w:w="608" w:type="pct"/>
            <w:vMerge w:val="continue"/>
            <w:tcMar>
              <w:left w:w="0" w:type="dxa"/>
              <w:right w:w="0" w:type="dxa"/>
            </w:tcMar>
            <w:vAlign w:val="center"/>
          </w:tcPr>
          <w:p w14:paraId="5D502108">
            <w:pPr>
              <w:spacing w:line="240" w:lineRule="auto"/>
              <w:ind w:firstLine="0" w:firstLineChars="0"/>
              <w:contextualSpacing/>
              <w:jc w:val="center"/>
              <w:rPr>
                <w:sz w:val="21"/>
                <w:szCs w:val="21"/>
              </w:rPr>
            </w:pPr>
          </w:p>
        </w:tc>
        <w:tc>
          <w:tcPr>
            <w:tcW w:w="1204" w:type="pct"/>
            <w:tcMar>
              <w:left w:w="0" w:type="dxa"/>
              <w:right w:w="0" w:type="dxa"/>
            </w:tcMar>
            <w:vAlign w:val="center"/>
          </w:tcPr>
          <w:p w14:paraId="3D1089B2">
            <w:pPr>
              <w:snapToGrid w:val="0"/>
              <w:spacing w:line="240" w:lineRule="auto"/>
              <w:ind w:firstLine="0" w:firstLineChars="0"/>
              <w:jc w:val="center"/>
              <w:rPr>
                <w:b/>
                <w:bCs/>
                <w:sz w:val="21"/>
                <w:szCs w:val="21"/>
              </w:rPr>
            </w:pPr>
            <w:r>
              <w:rPr>
                <w:rFonts w:hint="eastAsia"/>
                <w:sz w:val="21"/>
                <w:szCs w:val="21"/>
              </w:rPr>
              <w:t>项目区所在地范围内</w:t>
            </w:r>
          </w:p>
        </w:tc>
        <w:tc>
          <w:tcPr>
            <w:tcW w:w="2483" w:type="pct"/>
            <w:vMerge w:val="continue"/>
            <w:tcMar>
              <w:left w:w="0" w:type="dxa"/>
              <w:right w:w="0" w:type="dxa"/>
            </w:tcMar>
            <w:vAlign w:val="center"/>
          </w:tcPr>
          <w:p w14:paraId="2A352DD1">
            <w:pPr>
              <w:snapToGrid w:val="0"/>
              <w:spacing w:line="240" w:lineRule="auto"/>
              <w:ind w:firstLine="0" w:firstLineChars="0"/>
              <w:jc w:val="center"/>
              <w:rPr>
                <w:sz w:val="21"/>
                <w:szCs w:val="21"/>
              </w:rPr>
            </w:pPr>
          </w:p>
        </w:tc>
      </w:tr>
      <w:tr w14:paraId="7F71EB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31D56B07">
            <w:pPr>
              <w:pStyle w:val="90"/>
            </w:pPr>
            <w:r>
              <w:rPr>
                <w:rFonts w:hint="eastAsia" w:ascii="Segoe UI Emoji" w:hAnsi="Segoe UI Emoji" w:eastAsia="Segoe UI Emoji" w:cs="Segoe UI Emoji"/>
              </w:rPr>
              <w:t>△</w:t>
            </w:r>
            <w:r>
              <w:t>4</w:t>
            </w:r>
          </w:p>
        </w:tc>
        <w:tc>
          <w:tcPr>
            <w:tcW w:w="608" w:type="pct"/>
            <w:vMerge w:val="continue"/>
            <w:tcMar>
              <w:left w:w="0" w:type="dxa"/>
              <w:right w:w="0" w:type="dxa"/>
            </w:tcMar>
            <w:vAlign w:val="center"/>
          </w:tcPr>
          <w:p w14:paraId="0959B642">
            <w:pPr>
              <w:spacing w:line="240" w:lineRule="auto"/>
              <w:ind w:firstLine="0" w:firstLineChars="0"/>
              <w:contextualSpacing/>
              <w:jc w:val="center"/>
              <w:rPr>
                <w:sz w:val="21"/>
                <w:szCs w:val="21"/>
              </w:rPr>
            </w:pPr>
          </w:p>
        </w:tc>
        <w:tc>
          <w:tcPr>
            <w:tcW w:w="1204" w:type="pct"/>
            <w:tcMar>
              <w:left w:w="0" w:type="dxa"/>
              <w:right w:w="0" w:type="dxa"/>
            </w:tcMar>
            <w:vAlign w:val="center"/>
          </w:tcPr>
          <w:p w14:paraId="67BFBD11">
            <w:pPr>
              <w:snapToGrid w:val="0"/>
              <w:spacing w:line="240" w:lineRule="auto"/>
              <w:ind w:firstLine="0" w:firstLineChars="0"/>
              <w:jc w:val="center"/>
              <w:rPr>
                <w:sz w:val="21"/>
                <w:szCs w:val="21"/>
              </w:rPr>
            </w:pPr>
            <w:r>
              <w:rPr>
                <w:rFonts w:hint="eastAsia"/>
                <w:sz w:val="21"/>
                <w:szCs w:val="21"/>
              </w:rPr>
              <w:t>项目区所在地范围内</w:t>
            </w:r>
          </w:p>
        </w:tc>
        <w:tc>
          <w:tcPr>
            <w:tcW w:w="2483" w:type="pct"/>
            <w:tcMar>
              <w:left w:w="0" w:type="dxa"/>
              <w:right w:w="0" w:type="dxa"/>
            </w:tcMar>
            <w:vAlign w:val="center"/>
          </w:tcPr>
          <w:p w14:paraId="4C01E61B">
            <w:pPr>
              <w:snapToGrid w:val="0"/>
              <w:spacing w:line="240" w:lineRule="auto"/>
              <w:ind w:firstLine="0" w:firstLineChars="0"/>
              <w:jc w:val="center"/>
              <w:rPr>
                <w:sz w:val="21"/>
                <w:szCs w:val="21"/>
              </w:rPr>
            </w:pPr>
            <w:r>
              <w:rPr>
                <w:rFonts w:hint="eastAsia"/>
                <w:sz w:val="21"/>
                <w:szCs w:val="21"/>
              </w:rPr>
              <w:t>《土壤环境质量 建设用地土壤污染风险管控标准（试行）》（GB36600-2018）表1中的基本45项。</w:t>
            </w:r>
          </w:p>
        </w:tc>
      </w:tr>
      <w:tr w14:paraId="0E2598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4B28D553">
            <w:pPr>
              <w:pStyle w:val="90"/>
            </w:pPr>
            <w:r>
              <w:rPr>
                <w:rFonts w:hint="eastAsia" w:ascii="Segoe UI Emoji" w:hAnsi="Segoe UI Emoji" w:eastAsia="Segoe UI Emoji" w:cs="Segoe UI Emoji"/>
              </w:rPr>
              <w:t>△</w:t>
            </w:r>
            <w:r>
              <w:t>5</w:t>
            </w:r>
          </w:p>
        </w:tc>
        <w:tc>
          <w:tcPr>
            <w:tcW w:w="608" w:type="pct"/>
            <w:vMerge w:val="restart"/>
            <w:tcMar>
              <w:left w:w="0" w:type="dxa"/>
              <w:right w:w="0" w:type="dxa"/>
            </w:tcMar>
            <w:vAlign w:val="center"/>
          </w:tcPr>
          <w:p w14:paraId="479C462A">
            <w:pPr>
              <w:spacing w:line="240" w:lineRule="auto"/>
              <w:ind w:firstLine="0" w:firstLineChars="0"/>
              <w:contextualSpacing/>
              <w:jc w:val="center"/>
              <w:rPr>
                <w:sz w:val="21"/>
                <w:szCs w:val="21"/>
              </w:rPr>
            </w:pPr>
            <w:r>
              <w:rPr>
                <w:rFonts w:hint="eastAsia"/>
                <w:sz w:val="21"/>
                <w:szCs w:val="21"/>
              </w:rPr>
              <w:t>占地范围外</w:t>
            </w:r>
          </w:p>
        </w:tc>
        <w:tc>
          <w:tcPr>
            <w:tcW w:w="1204" w:type="pct"/>
            <w:tcMar>
              <w:left w:w="0" w:type="dxa"/>
              <w:right w:w="0" w:type="dxa"/>
            </w:tcMar>
            <w:vAlign w:val="center"/>
          </w:tcPr>
          <w:p w14:paraId="07069559">
            <w:pPr>
              <w:spacing w:line="240" w:lineRule="auto"/>
              <w:ind w:firstLine="0" w:firstLineChars="0"/>
              <w:contextualSpacing/>
              <w:jc w:val="center"/>
              <w:rPr>
                <w:sz w:val="21"/>
                <w:szCs w:val="21"/>
              </w:rPr>
            </w:pPr>
            <w:r>
              <w:rPr>
                <w:sz w:val="21"/>
                <w:szCs w:val="21"/>
              </w:rPr>
              <w:t>项目区</w:t>
            </w:r>
            <w:r>
              <w:rPr>
                <w:rFonts w:hint="eastAsia"/>
                <w:sz w:val="21"/>
                <w:szCs w:val="21"/>
              </w:rPr>
              <w:t>西</w:t>
            </w:r>
            <w:r>
              <w:rPr>
                <w:sz w:val="21"/>
                <w:szCs w:val="21"/>
              </w:rPr>
              <w:t>北方向，</w:t>
            </w:r>
            <w:r>
              <w:rPr>
                <w:rFonts w:hint="eastAsia"/>
                <w:sz w:val="21"/>
                <w:szCs w:val="21"/>
              </w:rPr>
              <w:t>5</w:t>
            </w:r>
            <w:r>
              <w:rPr>
                <w:sz w:val="21"/>
                <w:szCs w:val="21"/>
              </w:rPr>
              <w:t>1.5m处。</w:t>
            </w:r>
          </w:p>
        </w:tc>
        <w:tc>
          <w:tcPr>
            <w:tcW w:w="2483" w:type="pct"/>
            <w:tcMar>
              <w:left w:w="0" w:type="dxa"/>
              <w:right w:w="0" w:type="dxa"/>
            </w:tcMar>
            <w:vAlign w:val="center"/>
          </w:tcPr>
          <w:p w14:paraId="63EB469C">
            <w:pPr>
              <w:spacing w:line="240" w:lineRule="auto"/>
              <w:ind w:firstLine="0" w:firstLineChars="0"/>
              <w:contextualSpacing/>
              <w:jc w:val="center"/>
              <w:rPr>
                <w:sz w:val="21"/>
                <w:szCs w:val="21"/>
              </w:rPr>
            </w:pPr>
            <w:r>
              <w:rPr>
                <w:rFonts w:hint="eastAsia"/>
                <w:sz w:val="21"/>
                <w:szCs w:val="21"/>
              </w:rPr>
              <w:t>砷、镉、铬（六价）、铜、铅、汞、镍、石油烃</w:t>
            </w:r>
          </w:p>
        </w:tc>
      </w:tr>
      <w:tr w14:paraId="089035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5" w:type="pct"/>
            <w:tcMar>
              <w:left w:w="0" w:type="dxa"/>
              <w:right w:w="0" w:type="dxa"/>
            </w:tcMar>
            <w:vAlign w:val="center"/>
          </w:tcPr>
          <w:p w14:paraId="1DCB7A60">
            <w:pPr>
              <w:pStyle w:val="90"/>
            </w:pPr>
            <w:r>
              <w:rPr>
                <w:rFonts w:hint="eastAsia" w:ascii="Segoe UI Emoji" w:hAnsi="Segoe UI Emoji" w:eastAsia="Segoe UI Emoji" w:cs="Segoe UI Emoji"/>
              </w:rPr>
              <w:t>△</w:t>
            </w:r>
            <w:r>
              <w:t>6</w:t>
            </w:r>
          </w:p>
        </w:tc>
        <w:tc>
          <w:tcPr>
            <w:tcW w:w="608" w:type="pct"/>
            <w:vMerge w:val="continue"/>
            <w:tcMar>
              <w:left w:w="0" w:type="dxa"/>
              <w:right w:w="0" w:type="dxa"/>
            </w:tcMar>
            <w:vAlign w:val="center"/>
          </w:tcPr>
          <w:p w14:paraId="62838E36">
            <w:pPr>
              <w:spacing w:line="240" w:lineRule="auto"/>
              <w:ind w:firstLine="0" w:firstLineChars="0"/>
              <w:contextualSpacing/>
              <w:jc w:val="center"/>
              <w:rPr>
                <w:sz w:val="21"/>
                <w:szCs w:val="21"/>
              </w:rPr>
            </w:pPr>
          </w:p>
        </w:tc>
        <w:tc>
          <w:tcPr>
            <w:tcW w:w="1204" w:type="pct"/>
            <w:tcMar>
              <w:left w:w="0" w:type="dxa"/>
              <w:right w:w="0" w:type="dxa"/>
            </w:tcMar>
            <w:vAlign w:val="center"/>
          </w:tcPr>
          <w:p w14:paraId="2BBDE3AF">
            <w:pPr>
              <w:spacing w:line="240" w:lineRule="auto"/>
              <w:ind w:firstLine="0" w:firstLineChars="0"/>
              <w:contextualSpacing/>
              <w:jc w:val="center"/>
              <w:rPr>
                <w:sz w:val="21"/>
                <w:szCs w:val="21"/>
              </w:rPr>
            </w:pPr>
            <w:r>
              <w:rPr>
                <w:sz w:val="21"/>
                <w:szCs w:val="21"/>
              </w:rPr>
              <w:t>项目区</w:t>
            </w:r>
            <w:r>
              <w:rPr>
                <w:rFonts w:hint="eastAsia"/>
                <w:sz w:val="21"/>
                <w:szCs w:val="21"/>
              </w:rPr>
              <w:t>东南</w:t>
            </w:r>
            <w:r>
              <w:rPr>
                <w:sz w:val="21"/>
                <w:szCs w:val="21"/>
              </w:rPr>
              <w:t>方向，21.5m处。</w:t>
            </w:r>
          </w:p>
        </w:tc>
        <w:tc>
          <w:tcPr>
            <w:tcW w:w="2483" w:type="pct"/>
            <w:tcMar>
              <w:left w:w="0" w:type="dxa"/>
              <w:right w:w="0" w:type="dxa"/>
            </w:tcMar>
            <w:vAlign w:val="center"/>
          </w:tcPr>
          <w:p w14:paraId="212A6ED0">
            <w:pPr>
              <w:spacing w:line="240" w:lineRule="auto"/>
              <w:ind w:firstLine="0" w:firstLineChars="0"/>
              <w:contextualSpacing/>
              <w:jc w:val="center"/>
              <w:rPr>
                <w:sz w:val="21"/>
                <w:szCs w:val="21"/>
              </w:rPr>
            </w:pPr>
            <w:r>
              <w:rPr>
                <w:rFonts w:hint="eastAsia"/>
                <w:sz w:val="21"/>
                <w:szCs w:val="21"/>
              </w:rPr>
              <w:t>砷、镉、铬（六价）、铜、铅、汞、镍、石油烃</w:t>
            </w:r>
          </w:p>
        </w:tc>
      </w:tr>
    </w:tbl>
    <w:p w14:paraId="0C5C6CC9">
      <w:pPr>
        <w:ind w:firstLine="480"/>
      </w:pPr>
      <w:r>
        <w:rPr>
          <w:rFonts w:hint="eastAsia"/>
        </w:rPr>
        <w:t>（3）评价标准</w:t>
      </w:r>
    </w:p>
    <w:p w14:paraId="3AA66559">
      <w:pPr>
        <w:ind w:firstLine="480"/>
      </w:pPr>
      <w:r>
        <w:t>采用《土壤环境质量 建设用地土壤污染风险管控标准（试行）》（GB36600-2018）表1、表2中第二类用地筛选值进行评价。</w:t>
      </w:r>
    </w:p>
    <w:p w14:paraId="120B969B">
      <w:pPr>
        <w:ind w:firstLine="480"/>
      </w:pPr>
      <w:r>
        <w:rPr>
          <w:rFonts w:hint="eastAsia"/>
        </w:rPr>
        <w:t>（4）监测结果</w:t>
      </w:r>
    </w:p>
    <w:p w14:paraId="7F643314">
      <w:pPr>
        <w:ind w:firstLine="480"/>
      </w:pPr>
      <w:r>
        <w:rPr>
          <w:rFonts w:hint="eastAsia"/>
        </w:rPr>
        <w:t>本项目土壤环境质量现状监测结果见表4</w:t>
      </w:r>
      <w:r>
        <w:t>.3-8</w:t>
      </w:r>
      <w:r>
        <w:rPr>
          <w:rFonts w:hint="eastAsia"/>
        </w:rPr>
        <w:t>和表4</w:t>
      </w:r>
      <w:r>
        <w:t>.3-9</w:t>
      </w:r>
      <w:r>
        <w:rPr>
          <w:rFonts w:hint="eastAsia"/>
        </w:rPr>
        <w:t>。</w:t>
      </w:r>
    </w:p>
    <w:p w14:paraId="5F597D3D">
      <w:pPr>
        <w:pStyle w:val="47"/>
        <w:spacing w:before="65"/>
      </w:pPr>
      <w:r>
        <w:rPr>
          <w:rFonts w:hint="eastAsia"/>
        </w:rPr>
        <w:t>表4</w:t>
      </w:r>
      <w:r>
        <w:t xml:space="preserve">.3-8   </w:t>
      </w:r>
      <w:r>
        <w:rPr>
          <w:rFonts w:hint="eastAsia"/>
        </w:rPr>
        <w:t xml:space="preserve">土壤环境质量现状监测结果统计表 </w:t>
      </w:r>
      <w:r>
        <w:t xml:space="preserve">   </w:t>
      </w:r>
      <w:r>
        <w:rPr>
          <w:rFonts w:hint="eastAsia"/>
        </w:rPr>
        <w:t>单位：mg</w:t>
      </w:r>
      <w:r>
        <w:t>/</w:t>
      </w:r>
      <w:r>
        <w:rPr>
          <w:rFonts w:hint="eastAsia"/>
        </w:rPr>
        <w:t>kg</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42"/>
        <w:gridCol w:w="2172"/>
        <w:gridCol w:w="1161"/>
        <w:gridCol w:w="1138"/>
        <w:gridCol w:w="1140"/>
        <w:gridCol w:w="1140"/>
        <w:gridCol w:w="1137"/>
      </w:tblGrid>
      <w:tr w14:paraId="648DFD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jc w:val="center"/>
        </w:trPr>
        <w:tc>
          <w:tcPr>
            <w:tcW w:w="482" w:type="pct"/>
            <w:tcMar>
              <w:left w:w="0" w:type="dxa"/>
              <w:right w:w="0" w:type="dxa"/>
            </w:tcMar>
            <w:vAlign w:val="center"/>
          </w:tcPr>
          <w:p w14:paraId="5AC5C02A">
            <w:pPr>
              <w:adjustRightInd w:val="0"/>
              <w:snapToGrid w:val="0"/>
              <w:spacing w:line="240" w:lineRule="auto"/>
              <w:ind w:firstLine="0" w:firstLineChars="0"/>
              <w:jc w:val="center"/>
              <w:rPr>
                <w:sz w:val="21"/>
                <w:szCs w:val="20"/>
              </w:rPr>
            </w:pPr>
            <w:r>
              <w:rPr>
                <w:rFonts w:hint="eastAsia"/>
                <w:sz w:val="21"/>
                <w:szCs w:val="20"/>
              </w:rPr>
              <w:t>序号</w:t>
            </w:r>
          </w:p>
        </w:tc>
        <w:tc>
          <w:tcPr>
            <w:tcW w:w="1244" w:type="pct"/>
            <w:tcMar>
              <w:left w:w="0" w:type="dxa"/>
              <w:right w:w="0" w:type="dxa"/>
            </w:tcMar>
            <w:vAlign w:val="center"/>
          </w:tcPr>
          <w:p w14:paraId="045DD55C">
            <w:pPr>
              <w:adjustRightInd w:val="0"/>
              <w:snapToGrid w:val="0"/>
              <w:spacing w:line="240" w:lineRule="auto"/>
              <w:ind w:firstLine="0" w:firstLineChars="0"/>
              <w:jc w:val="center"/>
              <w:rPr>
                <w:sz w:val="21"/>
                <w:szCs w:val="20"/>
              </w:rPr>
            </w:pPr>
            <w:r>
              <w:rPr>
                <w:sz w:val="21"/>
                <w:szCs w:val="20"/>
              </w:rPr>
              <w:t>监测项目</w:t>
            </w:r>
          </w:p>
        </w:tc>
        <w:tc>
          <w:tcPr>
            <w:tcW w:w="665" w:type="pct"/>
            <w:tcMar>
              <w:left w:w="0" w:type="dxa"/>
              <w:right w:w="0" w:type="dxa"/>
            </w:tcMar>
            <w:vAlign w:val="center"/>
          </w:tcPr>
          <w:p w14:paraId="1AA7060E">
            <w:pPr>
              <w:adjustRightInd w:val="0"/>
              <w:snapToGrid w:val="0"/>
              <w:spacing w:line="240" w:lineRule="auto"/>
              <w:ind w:firstLine="0" w:firstLineChars="0"/>
              <w:jc w:val="center"/>
              <w:rPr>
                <w:sz w:val="21"/>
                <w:szCs w:val="20"/>
              </w:rPr>
            </w:pPr>
            <w:r>
              <w:rPr>
                <w:sz w:val="21"/>
                <w:szCs w:val="20"/>
              </w:rPr>
              <w:t>评价标准</w:t>
            </w:r>
          </w:p>
        </w:tc>
        <w:tc>
          <w:tcPr>
            <w:tcW w:w="652" w:type="pct"/>
            <w:tcMar>
              <w:left w:w="0" w:type="dxa"/>
              <w:right w:w="0" w:type="dxa"/>
            </w:tcMar>
            <w:vAlign w:val="center"/>
          </w:tcPr>
          <w:p w14:paraId="236CA5A6">
            <w:pPr>
              <w:adjustRightInd w:val="0"/>
              <w:snapToGrid w:val="0"/>
              <w:spacing w:line="240" w:lineRule="auto"/>
              <w:ind w:firstLine="0" w:firstLineChars="0"/>
              <w:jc w:val="center"/>
              <w:rPr>
                <w:sz w:val="21"/>
                <w:szCs w:val="20"/>
              </w:rPr>
            </w:pPr>
            <w:r>
              <w:rPr>
                <w:rFonts w:hint="eastAsia" w:ascii="Segoe UI Emoji" w:hAnsi="Segoe UI Emoji" w:eastAsia="Segoe UI Emoji" w:cs="Segoe UI Emoji"/>
                <w:sz w:val="21"/>
                <w:szCs w:val="20"/>
              </w:rPr>
              <w:t>△</w:t>
            </w:r>
            <w:r>
              <w:rPr>
                <w:sz w:val="21"/>
                <w:szCs w:val="20"/>
              </w:rPr>
              <w:t>4</w:t>
            </w:r>
          </w:p>
        </w:tc>
        <w:tc>
          <w:tcPr>
            <w:tcW w:w="653" w:type="pct"/>
            <w:tcMar>
              <w:left w:w="0" w:type="dxa"/>
              <w:right w:w="0" w:type="dxa"/>
            </w:tcMar>
            <w:vAlign w:val="center"/>
          </w:tcPr>
          <w:p w14:paraId="16B59045">
            <w:pPr>
              <w:adjustRightInd w:val="0"/>
              <w:snapToGrid w:val="0"/>
              <w:spacing w:line="240" w:lineRule="auto"/>
              <w:ind w:firstLine="0" w:firstLineChars="0"/>
              <w:jc w:val="center"/>
              <w:rPr>
                <w:sz w:val="21"/>
                <w:szCs w:val="20"/>
              </w:rPr>
            </w:pPr>
            <w:r>
              <w:rPr>
                <w:sz w:val="21"/>
                <w:szCs w:val="20"/>
              </w:rPr>
              <w:t>标准指数</w:t>
            </w:r>
          </w:p>
        </w:tc>
        <w:tc>
          <w:tcPr>
            <w:tcW w:w="653" w:type="pct"/>
            <w:tcMar>
              <w:left w:w="0" w:type="dxa"/>
              <w:right w:w="0" w:type="dxa"/>
            </w:tcMar>
            <w:vAlign w:val="center"/>
          </w:tcPr>
          <w:p w14:paraId="6D1AEFC1">
            <w:pPr>
              <w:adjustRightInd w:val="0"/>
              <w:snapToGrid w:val="0"/>
              <w:spacing w:line="240" w:lineRule="auto"/>
              <w:ind w:firstLine="0" w:firstLineChars="0"/>
              <w:jc w:val="center"/>
              <w:rPr>
                <w:sz w:val="21"/>
                <w:szCs w:val="20"/>
              </w:rPr>
            </w:pPr>
            <w:r>
              <w:rPr>
                <w:rFonts w:hint="eastAsia" w:ascii="Segoe UI Emoji" w:hAnsi="Segoe UI Emoji" w:eastAsia="Segoe UI Emoji" w:cs="Segoe UI Emoji"/>
                <w:sz w:val="21"/>
                <w:szCs w:val="20"/>
              </w:rPr>
              <w:t>△</w:t>
            </w:r>
            <w:r>
              <w:rPr>
                <w:sz w:val="21"/>
                <w:szCs w:val="20"/>
              </w:rPr>
              <w:t>5</w:t>
            </w:r>
          </w:p>
        </w:tc>
        <w:tc>
          <w:tcPr>
            <w:tcW w:w="651" w:type="pct"/>
            <w:tcMar>
              <w:left w:w="0" w:type="dxa"/>
              <w:right w:w="0" w:type="dxa"/>
            </w:tcMar>
            <w:vAlign w:val="center"/>
          </w:tcPr>
          <w:p w14:paraId="74D520D1">
            <w:pPr>
              <w:adjustRightInd w:val="0"/>
              <w:snapToGrid w:val="0"/>
              <w:spacing w:line="240" w:lineRule="auto"/>
              <w:ind w:firstLine="0" w:firstLineChars="0"/>
              <w:jc w:val="center"/>
              <w:rPr>
                <w:sz w:val="21"/>
                <w:szCs w:val="20"/>
              </w:rPr>
            </w:pPr>
            <w:r>
              <w:rPr>
                <w:sz w:val="21"/>
                <w:szCs w:val="20"/>
              </w:rPr>
              <w:t>标准指数</w:t>
            </w:r>
          </w:p>
        </w:tc>
      </w:tr>
      <w:tr w14:paraId="2CFCEC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6DE1CC6">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12444D91">
            <w:pPr>
              <w:adjustRightInd w:val="0"/>
              <w:snapToGrid w:val="0"/>
              <w:spacing w:line="240" w:lineRule="auto"/>
              <w:ind w:firstLine="0" w:firstLineChars="0"/>
              <w:jc w:val="center"/>
              <w:rPr>
                <w:sz w:val="21"/>
                <w:szCs w:val="20"/>
              </w:rPr>
            </w:pPr>
            <w:r>
              <w:rPr>
                <w:rFonts w:hint="eastAsia"/>
                <w:sz w:val="21"/>
                <w:szCs w:val="20"/>
              </w:rPr>
              <w:t>pH</w:t>
            </w:r>
          </w:p>
        </w:tc>
        <w:tc>
          <w:tcPr>
            <w:tcW w:w="665" w:type="pct"/>
            <w:tcMar>
              <w:left w:w="0" w:type="dxa"/>
              <w:right w:w="0" w:type="dxa"/>
            </w:tcMar>
            <w:vAlign w:val="center"/>
          </w:tcPr>
          <w:p w14:paraId="0823F877">
            <w:pPr>
              <w:adjustRightInd w:val="0"/>
              <w:snapToGrid w:val="0"/>
              <w:spacing w:line="240" w:lineRule="auto"/>
              <w:ind w:firstLine="0" w:firstLineChars="0"/>
              <w:jc w:val="center"/>
              <w:rPr>
                <w:sz w:val="21"/>
                <w:szCs w:val="20"/>
              </w:rPr>
            </w:pPr>
            <w:r>
              <w:rPr>
                <w:rFonts w:hint="eastAsia"/>
                <w:sz w:val="21"/>
                <w:szCs w:val="20"/>
              </w:rPr>
              <w:t>/</w:t>
            </w:r>
          </w:p>
        </w:tc>
        <w:tc>
          <w:tcPr>
            <w:tcW w:w="652" w:type="pct"/>
            <w:tcMar>
              <w:left w:w="0" w:type="dxa"/>
              <w:right w:w="0" w:type="dxa"/>
            </w:tcMar>
            <w:vAlign w:val="center"/>
          </w:tcPr>
          <w:p w14:paraId="533B60B1">
            <w:pPr>
              <w:adjustRightInd w:val="0"/>
              <w:snapToGrid w:val="0"/>
              <w:spacing w:line="240" w:lineRule="auto"/>
              <w:ind w:firstLine="0" w:firstLineChars="0"/>
              <w:jc w:val="center"/>
              <w:rPr>
                <w:sz w:val="21"/>
                <w:szCs w:val="20"/>
              </w:rPr>
            </w:pPr>
            <w:r>
              <w:rPr>
                <w:rFonts w:hint="eastAsia"/>
                <w:sz w:val="21"/>
                <w:szCs w:val="20"/>
              </w:rPr>
              <w:t>7</w:t>
            </w:r>
            <w:r>
              <w:rPr>
                <w:sz w:val="21"/>
                <w:szCs w:val="20"/>
              </w:rPr>
              <w:t>.99</w:t>
            </w:r>
          </w:p>
        </w:tc>
        <w:tc>
          <w:tcPr>
            <w:tcW w:w="653" w:type="pct"/>
            <w:tcMar>
              <w:left w:w="0" w:type="dxa"/>
              <w:right w:w="0" w:type="dxa"/>
            </w:tcMar>
            <w:vAlign w:val="center"/>
          </w:tcPr>
          <w:p w14:paraId="200C08B3">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6BED5C22">
            <w:pPr>
              <w:adjustRightInd w:val="0"/>
              <w:snapToGrid w:val="0"/>
              <w:spacing w:line="240" w:lineRule="auto"/>
              <w:ind w:firstLine="0" w:firstLineChars="0"/>
              <w:jc w:val="center"/>
              <w:rPr>
                <w:sz w:val="21"/>
                <w:szCs w:val="20"/>
              </w:rPr>
            </w:pPr>
            <w:r>
              <w:rPr>
                <w:rFonts w:hint="eastAsia"/>
                <w:sz w:val="21"/>
                <w:szCs w:val="20"/>
              </w:rPr>
              <w:t>8</w:t>
            </w:r>
            <w:r>
              <w:rPr>
                <w:sz w:val="21"/>
                <w:szCs w:val="20"/>
              </w:rPr>
              <w:t>.06</w:t>
            </w:r>
          </w:p>
        </w:tc>
        <w:tc>
          <w:tcPr>
            <w:tcW w:w="651" w:type="pct"/>
            <w:tcMar>
              <w:left w:w="0" w:type="dxa"/>
              <w:right w:w="0" w:type="dxa"/>
            </w:tcMar>
            <w:vAlign w:val="center"/>
          </w:tcPr>
          <w:p w14:paraId="79AC5BDE">
            <w:pPr>
              <w:adjustRightInd w:val="0"/>
              <w:snapToGrid w:val="0"/>
              <w:spacing w:line="240" w:lineRule="auto"/>
              <w:ind w:firstLine="0" w:firstLineChars="0"/>
              <w:jc w:val="center"/>
              <w:rPr>
                <w:sz w:val="21"/>
                <w:szCs w:val="20"/>
              </w:rPr>
            </w:pPr>
            <w:r>
              <w:rPr>
                <w:rFonts w:hint="eastAsia"/>
                <w:sz w:val="21"/>
                <w:szCs w:val="20"/>
              </w:rPr>
              <w:t>/</w:t>
            </w:r>
          </w:p>
        </w:tc>
      </w:tr>
      <w:tr w14:paraId="7336B5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E35B01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4268C56">
            <w:pPr>
              <w:adjustRightInd w:val="0"/>
              <w:snapToGrid w:val="0"/>
              <w:spacing w:line="240" w:lineRule="auto"/>
              <w:ind w:firstLine="0" w:firstLineChars="0"/>
              <w:jc w:val="center"/>
              <w:rPr>
                <w:sz w:val="21"/>
                <w:szCs w:val="20"/>
              </w:rPr>
            </w:pPr>
            <w:r>
              <w:rPr>
                <w:sz w:val="21"/>
                <w:szCs w:val="20"/>
              </w:rPr>
              <w:t>砷</w:t>
            </w:r>
          </w:p>
        </w:tc>
        <w:tc>
          <w:tcPr>
            <w:tcW w:w="665" w:type="pct"/>
            <w:tcMar>
              <w:left w:w="0" w:type="dxa"/>
              <w:right w:w="0" w:type="dxa"/>
            </w:tcMar>
            <w:vAlign w:val="center"/>
          </w:tcPr>
          <w:p w14:paraId="6162C192">
            <w:pPr>
              <w:adjustRightInd w:val="0"/>
              <w:snapToGrid w:val="0"/>
              <w:spacing w:line="240" w:lineRule="auto"/>
              <w:ind w:firstLine="0" w:firstLineChars="0"/>
              <w:jc w:val="center"/>
              <w:rPr>
                <w:sz w:val="21"/>
                <w:szCs w:val="20"/>
              </w:rPr>
            </w:pPr>
            <w:r>
              <w:rPr>
                <w:sz w:val="21"/>
                <w:szCs w:val="20"/>
              </w:rPr>
              <w:t>60</w:t>
            </w:r>
          </w:p>
        </w:tc>
        <w:tc>
          <w:tcPr>
            <w:tcW w:w="652" w:type="pct"/>
            <w:tcMar>
              <w:left w:w="0" w:type="dxa"/>
              <w:right w:w="0" w:type="dxa"/>
            </w:tcMar>
            <w:vAlign w:val="center"/>
          </w:tcPr>
          <w:p w14:paraId="219DF850">
            <w:pPr>
              <w:adjustRightInd w:val="0"/>
              <w:snapToGrid w:val="0"/>
              <w:spacing w:line="240" w:lineRule="auto"/>
              <w:ind w:firstLine="0" w:firstLineChars="0"/>
              <w:jc w:val="center"/>
              <w:rPr>
                <w:sz w:val="21"/>
                <w:szCs w:val="20"/>
              </w:rPr>
            </w:pPr>
            <w:r>
              <w:rPr>
                <w:sz w:val="21"/>
                <w:szCs w:val="20"/>
              </w:rPr>
              <w:t>10.50</w:t>
            </w:r>
          </w:p>
        </w:tc>
        <w:tc>
          <w:tcPr>
            <w:tcW w:w="653" w:type="pct"/>
            <w:tcMar>
              <w:left w:w="0" w:type="dxa"/>
              <w:right w:w="0" w:type="dxa"/>
            </w:tcMar>
            <w:vAlign w:val="center"/>
          </w:tcPr>
          <w:p w14:paraId="4675A304">
            <w:pPr>
              <w:pStyle w:val="90"/>
              <w:rPr>
                <w:kern w:val="0"/>
              </w:rPr>
            </w:pPr>
            <w:r>
              <w:t>0.175</w:t>
            </w:r>
          </w:p>
        </w:tc>
        <w:tc>
          <w:tcPr>
            <w:tcW w:w="653" w:type="pct"/>
            <w:tcMar>
              <w:left w:w="0" w:type="dxa"/>
              <w:right w:w="0" w:type="dxa"/>
            </w:tcMar>
            <w:vAlign w:val="center"/>
          </w:tcPr>
          <w:p w14:paraId="161DA556">
            <w:pPr>
              <w:adjustRightInd w:val="0"/>
              <w:snapToGrid w:val="0"/>
              <w:spacing w:line="240" w:lineRule="auto"/>
              <w:ind w:firstLine="0" w:firstLineChars="0"/>
              <w:jc w:val="center"/>
              <w:rPr>
                <w:sz w:val="21"/>
                <w:szCs w:val="20"/>
              </w:rPr>
            </w:pPr>
            <w:r>
              <w:rPr>
                <w:rFonts w:hint="eastAsia"/>
                <w:sz w:val="21"/>
                <w:szCs w:val="20"/>
              </w:rPr>
              <w:t>1</w:t>
            </w:r>
            <w:r>
              <w:rPr>
                <w:sz w:val="21"/>
                <w:szCs w:val="20"/>
              </w:rPr>
              <w:t>0.59</w:t>
            </w:r>
          </w:p>
        </w:tc>
        <w:tc>
          <w:tcPr>
            <w:tcW w:w="651" w:type="pct"/>
            <w:tcMar>
              <w:left w:w="0" w:type="dxa"/>
              <w:right w:w="0" w:type="dxa"/>
            </w:tcMar>
            <w:vAlign w:val="bottom"/>
          </w:tcPr>
          <w:p w14:paraId="4B816890">
            <w:pPr>
              <w:pStyle w:val="90"/>
              <w:rPr>
                <w:kern w:val="0"/>
              </w:rPr>
            </w:pPr>
            <w:r>
              <w:rPr>
                <w:rFonts w:hint="eastAsia"/>
              </w:rPr>
              <w:t>0.177</w:t>
            </w:r>
          </w:p>
        </w:tc>
      </w:tr>
      <w:tr w14:paraId="413DCE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6342E016">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0215CF5">
            <w:pPr>
              <w:adjustRightInd w:val="0"/>
              <w:snapToGrid w:val="0"/>
              <w:spacing w:line="240" w:lineRule="auto"/>
              <w:ind w:firstLine="0" w:firstLineChars="0"/>
              <w:jc w:val="center"/>
              <w:rPr>
                <w:sz w:val="21"/>
                <w:szCs w:val="20"/>
              </w:rPr>
            </w:pPr>
            <w:r>
              <w:rPr>
                <w:sz w:val="21"/>
                <w:szCs w:val="20"/>
              </w:rPr>
              <w:t>镉</w:t>
            </w:r>
          </w:p>
        </w:tc>
        <w:tc>
          <w:tcPr>
            <w:tcW w:w="665" w:type="pct"/>
            <w:tcMar>
              <w:left w:w="0" w:type="dxa"/>
              <w:right w:w="0" w:type="dxa"/>
            </w:tcMar>
            <w:vAlign w:val="center"/>
          </w:tcPr>
          <w:p w14:paraId="35B5B208">
            <w:pPr>
              <w:adjustRightInd w:val="0"/>
              <w:snapToGrid w:val="0"/>
              <w:spacing w:line="240" w:lineRule="auto"/>
              <w:ind w:firstLine="0" w:firstLineChars="0"/>
              <w:jc w:val="center"/>
              <w:rPr>
                <w:sz w:val="21"/>
                <w:szCs w:val="20"/>
              </w:rPr>
            </w:pPr>
            <w:r>
              <w:rPr>
                <w:sz w:val="21"/>
                <w:szCs w:val="20"/>
              </w:rPr>
              <w:t>65</w:t>
            </w:r>
          </w:p>
        </w:tc>
        <w:tc>
          <w:tcPr>
            <w:tcW w:w="652" w:type="pct"/>
            <w:tcMar>
              <w:left w:w="0" w:type="dxa"/>
              <w:right w:w="0" w:type="dxa"/>
            </w:tcMar>
            <w:vAlign w:val="center"/>
          </w:tcPr>
          <w:p w14:paraId="4F08F2ED">
            <w:pPr>
              <w:adjustRightInd w:val="0"/>
              <w:snapToGrid w:val="0"/>
              <w:spacing w:line="240" w:lineRule="auto"/>
              <w:ind w:firstLine="0" w:firstLineChars="0"/>
              <w:jc w:val="center"/>
              <w:rPr>
                <w:sz w:val="21"/>
                <w:szCs w:val="20"/>
              </w:rPr>
            </w:pPr>
            <w:r>
              <w:rPr>
                <w:sz w:val="21"/>
                <w:szCs w:val="20"/>
              </w:rPr>
              <w:t>0.10</w:t>
            </w:r>
          </w:p>
        </w:tc>
        <w:tc>
          <w:tcPr>
            <w:tcW w:w="653" w:type="pct"/>
            <w:tcMar>
              <w:left w:w="0" w:type="dxa"/>
              <w:right w:w="0" w:type="dxa"/>
            </w:tcMar>
            <w:vAlign w:val="center"/>
          </w:tcPr>
          <w:p w14:paraId="03B52C98">
            <w:pPr>
              <w:pStyle w:val="90"/>
            </w:pPr>
            <w:r>
              <w:t>0.002</w:t>
            </w:r>
          </w:p>
        </w:tc>
        <w:tc>
          <w:tcPr>
            <w:tcW w:w="653" w:type="pct"/>
            <w:tcMar>
              <w:left w:w="0" w:type="dxa"/>
              <w:right w:w="0" w:type="dxa"/>
            </w:tcMar>
            <w:vAlign w:val="center"/>
          </w:tcPr>
          <w:p w14:paraId="2B925959">
            <w:pPr>
              <w:adjustRightInd w:val="0"/>
              <w:snapToGrid w:val="0"/>
              <w:spacing w:line="240" w:lineRule="auto"/>
              <w:ind w:firstLine="0" w:firstLineChars="0"/>
              <w:jc w:val="center"/>
              <w:rPr>
                <w:sz w:val="21"/>
                <w:szCs w:val="20"/>
              </w:rPr>
            </w:pPr>
            <w:r>
              <w:rPr>
                <w:rFonts w:hint="eastAsia"/>
                <w:sz w:val="21"/>
                <w:szCs w:val="20"/>
              </w:rPr>
              <w:t>0</w:t>
            </w:r>
            <w:r>
              <w:rPr>
                <w:sz w:val="21"/>
                <w:szCs w:val="20"/>
              </w:rPr>
              <w:t>.10</w:t>
            </w:r>
          </w:p>
        </w:tc>
        <w:tc>
          <w:tcPr>
            <w:tcW w:w="651" w:type="pct"/>
            <w:tcMar>
              <w:left w:w="0" w:type="dxa"/>
              <w:right w:w="0" w:type="dxa"/>
            </w:tcMar>
            <w:vAlign w:val="bottom"/>
          </w:tcPr>
          <w:p w14:paraId="77186D2F">
            <w:pPr>
              <w:pStyle w:val="90"/>
            </w:pPr>
            <w:r>
              <w:rPr>
                <w:rFonts w:hint="eastAsia"/>
              </w:rPr>
              <w:t>0.002</w:t>
            </w:r>
          </w:p>
        </w:tc>
      </w:tr>
      <w:tr w14:paraId="3EEABE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60FF1CE">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E7901EB">
            <w:pPr>
              <w:adjustRightInd w:val="0"/>
              <w:snapToGrid w:val="0"/>
              <w:spacing w:line="240" w:lineRule="auto"/>
              <w:ind w:firstLine="0" w:firstLineChars="0"/>
              <w:jc w:val="center"/>
              <w:rPr>
                <w:sz w:val="21"/>
                <w:szCs w:val="20"/>
              </w:rPr>
            </w:pPr>
            <w:r>
              <w:rPr>
                <w:sz w:val="21"/>
                <w:szCs w:val="20"/>
              </w:rPr>
              <w:t>铬（六价）</w:t>
            </w:r>
          </w:p>
        </w:tc>
        <w:tc>
          <w:tcPr>
            <w:tcW w:w="665" w:type="pct"/>
            <w:tcMar>
              <w:left w:w="0" w:type="dxa"/>
              <w:right w:w="0" w:type="dxa"/>
            </w:tcMar>
            <w:vAlign w:val="center"/>
          </w:tcPr>
          <w:p w14:paraId="43DC512D">
            <w:pPr>
              <w:adjustRightInd w:val="0"/>
              <w:snapToGrid w:val="0"/>
              <w:spacing w:line="240" w:lineRule="auto"/>
              <w:ind w:firstLine="0" w:firstLineChars="0"/>
              <w:jc w:val="center"/>
              <w:rPr>
                <w:sz w:val="21"/>
                <w:szCs w:val="20"/>
              </w:rPr>
            </w:pPr>
            <w:r>
              <w:rPr>
                <w:sz w:val="21"/>
                <w:szCs w:val="20"/>
              </w:rPr>
              <w:t>5.7</w:t>
            </w:r>
          </w:p>
        </w:tc>
        <w:tc>
          <w:tcPr>
            <w:tcW w:w="652" w:type="pct"/>
            <w:tcMar>
              <w:left w:w="0" w:type="dxa"/>
              <w:right w:w="0" w:type="dxa"/>
            </w:tcMar>
            <w:vAlign w:val="center"/>
          </w:tcPr>
          <w:p w14:paraId="0B9472F4">
            <w:pPr>
              <w:adjustRightInd w:val="0"/>
              <w:snapToGrid w:val="0"/>
              <w:spacing w:line="240" w:lineRule="auto"/>
              <w:ind w:firstLine="0" w:firstLineChars="0"/>
              <w:jc w:val="center"/>
              <w:rPr>
                <w:sz w:val="21"/>
                <w:szCs w:val="20"/>
              </w:rPr>
            </w:pPr>
            <w:r>
              <w:rPr>
                <w:rFonts w:hint="eastAsia"/>
                <w:sz w:val="21"/>
                <w:szCs w:val="21"/>
              </w:rPr>
              <w:t>0</w:t>
            </w:r>
            <w:r>
              <w:rPr>
                <w:sz w:val="21"/>
                <w:szCs w:val="21"/>
              </w:rPr>
              <w:t>.6</w:t>
            </w:r>
          </w:p>
        </w:tc>
        <w:tc>
          <w:tcPr>
            <w:tcW w:w="653" w:type="pct"/>
            <w:tcMar>
              <w:left w:w="0" w:type="dxa"/>
              <w:right w:w="0" w:type="dxa"/>
            </w:tcMar>
            <w:vAlign w:val="center"/>
          </w:tcPr>
          <w:p w14:paraId="2B8C3D98">
            <w:pPr>
              <w:pStyle w:val="90"/>
            </w:pPr>
            <w:r>
              <w:t>0.105</w:t>
            </w:r>
          </w:p>
        </w:tc>
        <w:tc>
          <w:tcPr>
            <w:tcW w:w="653" w:type="pct"/>
            <w:tcMar>
              <w:left w:w="0" w:type="dxa"/>
              <w:right w:w="0" w:type="dxa"/>
            </w:tcMar>
            <w:vAlign w:val="center"/>
          </w:tcPr>
          <w:p w14:paraId="67FB115F">
            <w:pPr>
              <w:adjustRightInd w:val="0"/>
              <w:snapToGrid w:val="0"/>
              <w:spacing w:line="240" w:lineRule="auto"/>
              <w:ind w:firstLine="0" w:firstLineChars="0"/>
              <w:jc w:val="center"/>
              <w:rPr>
                <w:sz w:val="21"/>
                <w:szCs w:val="20"/>
              </w:rPr>
            </w:pPr>
            <w:r>
              <w:rPr>
                <w:sz w:val="21"/>
                <w:szCs w:val="20"/>
              </w:rPr>
              <w:t>0.6</w:t>
            </w:r>
          </w:p>
        </w:tc>
        <w:tc>
          <w:tcPr>
            <w:tcW w:w="651" w:type="pct"/>
            <w:tcMar>
              <w:left w:w="0" w:type="dxa"/>
              <w:right w:w="0" w:type="dxa"/>
            </w:tcMar>
            <w:vAlign w:val="bottom"/>
          </w:tcPr>
          <w:p w14:paraId="139C3E15">
            <w:pPr>
              <w:pStyle w:val="90"/>
            </w:pPr>
            <w:r>
              <w:rPr>
                <w:rFonts w:hint="eastAsia"/>
              </w:rPr>
              <w:t>0.105</w:t>
            </w:r>
          </w:p>
        </w:tc>
      </w:tr>
      <w:tr w14:paraId="50484A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C266E34">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66419609">
            <w:pPr>
              <w:adjustRightInd w:val="0"/>
              <w:snapToGrid w:val="0"/>
              <w:spacing w:line="240" w:lineRule="auto"/>
              <w:ind w:firstLine="0" w:firstLineChars="0"/>
              <w:jc w:val="center"/>
              <w:rPr>
                <w:sz w:val="21"/>
                <w:szCs w:val="20"/>
              </w:rPr>
            </w:pPr>
            <w:r>
              <w:rPr>
                <w:sz w:val="21"/>
                <w:szCs w:val="20"/>
              </w:rPr>
              <w:t>铜</w:t>
            </w:r>
          </w:p>
        </w:tc>
        <w:tc>
          <w:tcPr>
            <w:tcW w:w="665" w:type="pct"/>
            <w:tcMar>
              <w:left w:w="0" w:type="dxa"/>
              <w:right w:w="0" w:type="dxa"/>
            </w:tcMar>
            <w:vAlign w:val="center"/>
          </w:tcPr>
          <w:p w14:paraId="28D50A78">
            <w:pPr>
              <w:adjustRightInd w:val="0"/>
              <w:snapToGrid w:val="0"/>
              <w:spacing w:line="240" w:lineRule="auto"/>
              <w:ind w:firstLine="0" w:firstLineChars="0"/>
              <w:jc w:val="center"/>
              <w:rPr>
                <w:sz w:val="21"/>
                <w:szCs w:val="20"/>
              </w:rPr>
            </w:pPr>
            <w:r>
              <w:rPr>
                <w:sz w:val="21"/>
                <w:szCs w:val="20"/>
              </w:rPr>
              <w:t>18000</w:t>
            </w:r>
          </w:p>
        </w:tc>
        <w:tc>
          <w:tcPr>
            <w:tcW w:w="652" w:type="pct"/>
            <w:tcMar>
              <w:left w:w="0" w:type="dxa"/>
              <w:right w:w="0" w:type="dxa"/>
            </w:tcMar>
            <w:vAlign w:val="center"/>
          </w:tcPr>
          <w:p w14:paraId="5427993F">
            <w:pPr>
              <w:adjustRightInd w:val="0"/>
              <w:snapToGrid w:val="0"/>
              <w:spacing w:line="240" w:lineRule="auto"/>
              <w:ind w:firstLine="0" w:firstLineChars="0"/>
              <w:jc w:val="center"/>
              <w:rPr>
                <w:sz w:val="21"/>
                <w:szCs w:val="20"/>
              </w:rPr>
            </w:pPr>
            <w:r>
              <w:rPr>
                <w:sz w:val="21"/>
                <w:szCs w:val="20"/>
              </w:rPr>
              <w:t>27</w:t>
            </w:r>
          </w:p>
        </w:tc>
        <w:tc>
          <w:tcPr>
            <w:tcW w:w="653" w:type="pct"/>
            <w:tcMar>
              <w:left w:w="0" w:type="dxa"/>
              <w:right w:w="0" w:type="dxa"/>
            </w:tcMar>
            <w:vAlign w:val="center"/>
          </w:tcPr>
          <w:p w14:paraId="483E2BB9">
            <w:pPr>
              <w:pStyle w:val="90"/>
            </w:pPr>
            <w:r>
              <w:t>0.002</w:t>
            </w:r>
          </w:p>
        </w:tc>
        <w:tc>
          <w:tcPr>
            <w:tcW w:w="653" w:type="pct"/>
            <w:tcMar>
              <w:left w:w="0" w:type="dxa"/>
              <w:right w:w="0" w:type="dxa"/>
            </w:tcMar>
            <w:vAlign w:val="center"/>
          </w:tcPr>
          <w:p w14:paraId="3BC8EF65">
            <w:pPr>
              <w:adjustRightInd w:val="0"/>
              <w:snapToGrid w:val="0"/>
              <w:spacing w:line="240" w:lineRule="auto"/>
              <w:ind w:firstLine="0" w:firstLineChars="0"/>
              <w:jc w:val="center"/>
              <w:rPr>
                <w:sz w:val="21"/>
                <w:szCs w:val="20"/>
              </w:rPr>
            </w:pPr>
            <w:r>
              <w:rPr>
                <w:rFonts w:hint="eastAsia"/>
                <w:sz w:val="21"/>
                <w:szCs w:val="20"/>
              </w:rPr>
              <w:t>2</w:t>
            </w:r>
            <w:r>
              <w:rPr>
                <w:sz w:val="21"/>
                <w:szCs w:val="20"/>
              </w:rPr>
              <w:t>3</w:t>
            </w:r>
          </w:p>
        </w:tc>
        <w:tc>
          <w:tcPr>
            <w:tcW w:w="651" w:type="pct"/>
            <w:tcMar>
              <w:left w:w="0" w:type="dxa"/>
              <w:right w:w="0" w:type="dxa"/>
            </w:tcMar>
            <w:vAlign w:val="bottom"/>
          </w:tcPr>
          <w:p w14:paraId="3159428C">
            <w:pPr>
              <w:pStyle w:val="90"/>
            </w:pPr>
            <w:r>
              <w:rPr>
                <w:rFonts w:hint="eastAsia"/>
              </w:rPr>
              <w:t>0.001</w:t>
            </w:r>
          </w:p>
        </w:tc>
      </w:tr>
      <w:tr w14:paraId="4EE750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762685F">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471628F">
            <w:pPr>
              <w:adjustRightInd w:val="0"/>
              <w:snapToGrid w:val="0"/>
              <w:spacing w:line="240" w:lineRule="auto"/>
              <w:ind w:firstLine="0" w:firstLineChars="0"/>
              <w:jc w:val="center"/>
              <w:rPr>
                <w:sz w:val="21"/>
                <w:szCs w:val="20"/>
              </w:rPr>
            </w:pPr>
            <w:r>
              <w:rPr>
                <w:sz w:val="21"/>
                <w:szCs w:val="20"/>
              </w:rPr>
              <w:t>铅</w:t>
            </w:r>
          </w:p>
        </w:tc>
        <w:tc>
          <w:tcPr>
            <w:tcW w:w="665" w:type="pct"/>
            <w:tcMar>
              <w:left w:w="0" w:type="dxa"/>
              <w:right w:w="0" w:type="dxa"/>
            </w:tcMar>
            <w:vAlign w:val="center"/>
          </w:tcPr>
          <w:p w14:paraId="78491A99">
            <w:pPr>
              <w:adjustRightInd w:val="0"/>
              <w:snapToGrid w:val="0"/>
              <w:spacing w:line="240" w:lineRule="auto"/>
              <w:ind w:firstLine="0" w:firstLineChars="0"/>
              <w:jc w:val="center"/>
              <w:rPr>
                <w:sz w:val="21"/>
                <w:szCs w:val="20"/>
              </w:rPr>
            </w:pPr>
            <w:r>
              <w:rPr>
                <w:sz w:val="21"/>
                <w:szCs w:val="20"/>
              </w:rPr>
              <w:t>800</w:t>
            </w:r>
          </w:p>
        </w:tc>
        <w:tc>
          <w:tcPr>
            <w:tcW w:w="652" w:type="pct"/>
            <w:tcMar>
              <w:left w:w="0" w:type="dxa"/>
              <w:right w:w="0" w:type="dxa"/>
            </w:tcMar>
            <w:vAlign w:val="center"/>
          </w:tcPr>
          <w:p w14:paraId="4B6D4762">
            <w:pPr>
              <w:adjustRightInd w:val="0"/>
              <w:snapToGrid w:val="0"/>
              <w:spacing w:line="240" w:lineRule="auto"/>
              <w:ind w:firstLine="0" w:firstLineChars="0"/>
              <w:jc w:val="center"/>
              <w:rPr>
                <w:sz w:val="21"/>
                <w:szCs w:val="20"/>
              </w:rPr>
            </w:pPr>
            <w:r>
              <w:rPr>
                <w:rFonts w:hint="eastAsia"/>
                <w:sz w:val="21"/>
                <w:szCs w:val="20"/>
              </w:rPr>
              <w:t>2</w:t>
            </w:r>
            <w:r>
              <w:rPr>
                <w:sz w:val="21"/>
                <w:szCs w:val="20"/>
              </w:rPr>
              <w:t>8</w:t>
            </w:r>
          </w:p>
        </w:tc>
        <w:tc>
          <w:tcPr>
            <w:tcW w:w="653" w:type="pct"/>
            <w:tcMar>
              <w:left w:w="0" w:type="dxa"/>
              <w:right w:w="0" w:type="dxa"/>
            </w:tcMar>
            <w:vAlign w:val="center"/>
          </w:tcPr>
          <w:p w14:paraId="1EDAB4A4">
            <w:pPr>
              <w:pStyle w:val="90"/>
            </w:pPr>
            <w:r>
              <w:t>0.035</w:t>
            </w:r>
          </w:p>
        </w:tc>
        <w:tc>
          <w:tcPr>
            <w:tcW w:w="653" w:type="pct"/>
            <w:tcMar>
              <w:left w:w="0" w:type="dxa"/>
              <w:right w:w="0" w:type="dxa"/>
            </w:tcMar>
            <w:vAlign w:val="center"/>
          </w:tcPr>
          <w:p w14:paraId="7A533A09">
            <w:pPr>
              <w:adjustRightInd w:val="0"/>
              <w:snapToGrid w:val="0"/>
              <w:spacing w:line="240" w:lineRule="auto"/>
              <w:ind w:firstLine="0" w:firstLineChars="0"/>
              <w:jc w:val="center"/>
              <w:rPr>
                <w:sz w:val="21"/>
                <w:szCs w:val="20"/>
              </w:rPr>
            </w:pPr>
            <w:r>
              <w:rPr>
                <w:rFonts w:hint="eastAsia"/>
                <w:sz w:val="21"/>
                <w:szCs w:val="20"/>
              </w:rPr>
              <w:t>2</w:t>
            </w:r>
            <w:r>
              <w:rPr>
                <w:sz w:val="21"/>
                <w:szCs w:val="20"/>
              </w:rPr>
              <w:t>4</w:t>
            </w:r>
          </w:p>
        </w:tc>
        <w:tc>
          <w:tcPr>
            <w:tcW w:w="651" w:type="pct"/>
            <w:tcMar>
              <w:left w:w="0" w:type="dxa"/>
              <w:right w:w="0" w:type="dxa"/>
            </w:tcMar>
            <w:vAlign w:val="bottom"/>
          </w:tcPr>
          <w:p w14:paraId="67321207">
            <w:pPr>
              <w:pStyle w:val="90"/>
            </w:pPr>
            <w:r>
              <w:rPr>
                <w:rFonts w:hint="eastAsia"/>
              </w:rPr>
              <w:t>0.030</w:t>
            </w:r>
          </w:p>
        </w:tc>
      </w:tr>
      <w:tr w14:paraId="434896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C73F08D">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64120BF">
            <w:pPr>
              <w:adjustRightInd w:val="0"/>
              <w:snapToGrid w:val="0"/>
              <w:spacing w:line="240" w:lineRule="auto"/>
              <w:ind w:firstLine="0" w:firstLineChars="0"/>
              <w:jc w:val="center"/>
              <w:rPr>
                <w:sz w:val="21"/>
                <w:szCs w:val="20"/>
              </w:rPr>
            </w:pPr>
            <w:r>
              <w:rPr>
                <w:sz w:val="21"/>
                <w:szCs w:val="20"/>
              </w:rPr>
              <w:t>汞</w:t>
            </w:r>
          </w:p>
        </w:tc>
        <w:tc>
          <w:tcPr>
            <w:tcW w:w="665" w:type="pct"/>
            <w:tcMar>
              <w:left w:w="0" w:type="dxa"/>
              <w:right w:w="0" w:type="dxa"/>
            </w:tcMar>
            <w:vAlign w:val="center"/>
          </w:tcPr>
          <w:p w14:paraId="22BE6FB1">
            <w:pPr>
              <w:adjustRightInd w:val="0"/>
              <w:snapToGrid w:val="0"/>
              <w:spacing w:line="240" w:lineRule="auto"/>
              <w:ind w:firstLine="0" w:firstLineChars="0"/>
              <w:jc w:val="center"/>
              <w:rPr>
                <w:sz w:val="21"/>
                <w:szCs w:val="20"/>
              </w:rPr>
            </w:pPr>
            <w:r>
              <w:rPr>
                <w:sz w:val="21"/>
                <w:szCs w:val="20"/>
              </w:rPr>
              <w:t>38</w:t>
            </w:r>
          </w:p>
        </w:tc>
        <w:tc>
          <w:tcPr>
            <w:tcW w:w="652" w:type="pct"/>
            <w:tcMar>
              <w:left w:w="0" w:type="dxa"/>
              <w:right w:w="0" w:type="dxa"/>
            </w:tcMar>
            <w:vAlign w:val="center"/>
          </w:tcPr>
          <w:p w14:paraId="21EDB618">
            <w:pPr>
              <w:adjustRightInd w:val="0"/>
              <w:snapToGrid w:val="0"/>
              <w:spacing w:line="240" w:lineRule="auto"/>
              <w:ind w:firstLine="0" w:firstLineChars="0"/>
              <w:jc w:val="center"/>
              <w:rPr>
                <w:sz w:val="21"/>
                <w:szCs w:val="20"/>
              </w:rPr>
            </w:pPr>
            <w:r>
              <w:rPr>
                <w:sz w:val="21"/>
                <w:szCs w:val="20"/>
              </w:rPr>
              <w:t>0.219</w:t>
            </w:r>
          </w:p>
        </w:tc>
        <w:tc>
          <w:tcPr>
            <w:tcW w:w="653" w:type="pct"/>
            <w:tcMar>
              <w:left w:w="0" w:type="dxa"/>
              <w:right w:w="0" w:type="dxa"/>
            </w:tcMar>
            <w:vAlign w:val="center"/>
          </w:tcPr>
          <w:p w14:paraId="5D81DA66">
            <w:pPr>
              <w:pStyle w:val="90"/>
            </w:pPr>
            <w:r>
              <w:t>0.006</w:t>
            </w:r>
          </w:p>
        </w:tc>
        <w:tc>
          <w:tcPr>
            <w:tcW w:w="653" w:type="pct"/>
            <w:tcMar>
              <w:left w:w="0" w:type="dxa"/>
              <w:right w:w="0" w:type="dxa"/>
            </w:tcMar>
            <w:vAlign w:val="center"/>
          </w:tcPr>
          <w:p w14:paraId="50A90CAB">
            <w:pPr>
              <w:adjustRightInd w:val="0"/>
              <w:snapToGrid w:val="0"/>
              <w:spacing w:line="240" w:lineRule="auto"/>
              <w:ind w:firstLine="0" w:firstLineChars="0"/>
              <w:jc w:val="center"/>
              <w:rPr>
                <w:sz w:val="21"/>
                <w:szCs w:val="20"/>
              </w:rPr>
            </w:pPr>
            <w:r>
              <w:rPr>
                <w:rFonts w:hint="eastAsia"/>
                <w:sz w:val="21"/>
                <w:szCs w:val="20"/>
              </w:rPr>
              <w:t>0</w:t>
            </w:r>
            <w:r>
              <w:rPr>
                <w:sz w:val="21"/>
                <w:szCs w:val="20"/>
              </w:rPr>
              <w:t>.220</w:t>
            </w:r>
          </w:p>
        </w:tc>
        <w:tc>
          <w:tcPr>
            <w:tcW w:w="651" w:type="pct"/>
            <w:tcMar>
              <w:left w:w="0" w:type="dxa"/>
              <w:right w:w="0" w:type="dxa"/>
            </w:tcMar>
            <w:vAlign w:val="bottom"/>
          </w:tcPr>
          <w:p w14:paraId="2093A5D6">
            <w:pPr>
              <w:pStyle w:val="90"/>
            </w:pPr>
            <w:r>
              <w:rPr>
                <w:rFonts w:hint="eastAsia"/>
              </w:rPr>
              <w:t>0.006</w:t>
            </w:r>
          </w:p>
        </w:tc>
      </w:tr>
      <w:tr w14:paraId="3B6464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E07D100">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1E1CC81C">
            <w:pPr>
              <w:adjustRightInd w:val="0"/>
              <w:snapToGrid w:val="0"/>
              <w:spacing w:line="240" w:lineRule="auto"/>
              <w:ind w:firstLine="0" w:firstLineChars="0"/>
              <w:jc w:val="center"/>
              <w:rPr>
                <w:sz w:val="21"/>
                <w:szCs w:val="20"/>
              </w:rPr>
            </w:pPr>
            <w:r>
              <w:rPr>
                <w:sz w:val="21"/>
                <w:szCs w:val="20"/>
              </w:rPr>
              <w:t>镍</w:t>
            </w:r>
          </w:p>
        </w:tc>
        <w:tc>
          <w:tcPr>
            <w:tcW w:w="665" w:type="pct"/>
            <w:tcMar>
              <w:left w:w="0" w:type="dxa"/>
              <w:right w:w="0" w:type="dxa"/>
            </w:tcMar>
            <w:vAlign w:val="center"/>
          </w:tcPr>
          <w:p w14:paraId="6E43C891">
            <w:pPr>
              <w:adjustRightInd w:val="0"/>
              <w:snapToGrid w:val="0"/>
              <w:spacing w:line="240" w:lineRule="auto"/>
              <w:ind w:firstLine="0" w:firstLineChars="0"/>
              <w:jc w:val="center"/>
              <w:rPr>
                <w:sz w:val="21"/>
                <w:szCs w:val="20"/>
              </w:rPr>
            </w:pPr>
            <w:r>
              <w:rPr>
                <w:sz w:val="21"/>
                <w:szCs w:val="20"/>
              </w:rPr>
              <w:t>900</w:t>
            </w:r>
          </w:p>
        </w:tc>
        <w:tc>
          <w:tcPr>
            <w:tcW w:w="652" w:type="pct"/>
            <w:tcMar>
              <w:left w:w="0" w:type="dxa"/>
              <w:right w:w="0" w:type="dxa"/>
            </w:tcMar>
            <w:vAlign w:val="center"/>
          </w:tcPr>
          <w:p w14:paraId="6E7761D6">
            <w:pPr>
              <w:adjustRightInd w:val="0"/>
              <w:snapToGrid w:val="0"/>
              <w:spacing w:line="240" w:lineRule="auto"/>
              <w:ind w:firstLine="0" w:firstLineChars="0"/>
              <w:jc w:val="center"/>
              <w:rPr>
                <w:sz w:val="21"/>
                <w:szCs w:val="20"/>
              </w:rPr>
            </w:pPr>
            <w:r>
              <w:rPr>
                <w:sz w:val="21"/>
                <w:szCs w:val="20"/>
              </w:rPr>
              <w:t>27</w:t>
            </w:r>
          </w:p>
        </w:tc>
        <w:tc>
          <w:tcPr>
            <w:tcW w:w="653" w:type="pct"/>
            <w:tcMar>
              <w:left w:w="0" w:type="dxa"/>
              <w:right w:w="0" w:type="dxa"/>
            </w:tcMar>
            <w:vAlign w:val="center"/>
          </w:tcPr>
          <w:p w14:paraId="0C2E19A5">
            <w:pPr>
              <w:pStyle w:val="90"/>
            </w:pPr>
            <w:r>
              <w:t>0.03</w:t>
            </w:r>
          </w:p>
        </w:tc>
        <w:tc>
          <w:tcPr>
            <w:tcW w:w="653" w:type="pct"/>
            <w:tcMar>
              <w:left w:w="0" w:type="dxa"/>
              <w:right w:w="0" w:type="dxa"/>
            </w:tcMar>
            <w:vAlign w:val="center"/>
          </w:tcPr>
          <w:p w14:paraId="0A8C93E1">
            <w:pPr>
              <w:adjustRightInd w:val="0"/>
              <w:snapToGrid w:val="0"/>
              <w:spacing w:line="240" w:lineRule="auto"/>
              <w:ind w:firstLine="0" w:firstLineChars="0"/>
              <w:jc w:val="center"/>
              <w:rPr>
                <w:sz w:val="21"/>
                <w:szCs w:val="20"/>
              </w:rPr>
            </w:pPr>
            <w:r>
              <w:rPr>
                <w:sz w:val="21"/>
                <w:szCs w:val="20"/>
              </w:rPr>
              <w:t>23</w:t>
            </w:r>
          </w:p>
        </w:tc>
        <w:tc>
          <w:tcPr>
            <w:tcW w:w="651" w:type="pct"/>
            <w:tcMar>
              <w:left w:w="0" w:type="dxa"/>
              <w:right w:w="0" w:type="dxa"/>
            </w:tcMar>
            <w:vAlign w:val="bottom"/>
          </w:tcPr>
          <w:p w14:paraId="351DA33E">
            <w:pPr>
              <w:pStyle w:val="90"/>
            </w:pPr>
            <w:r>
              <w:t>0.03</w:t>
            </w:r>
          </w:p>
        </w:tc>
      </w:tr>
      <w:tr w14:paraId="4AB411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A7C9AD7">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624B760">
            <w:pPr>
              <w:adjustRightInd w:val="0"/>
              <w:snapToGrid w:val="0"/>
              <w:spacing w:line="240" w:lineRule="auto"/>
              <w:ind w:firstLine="0" w:firstLineChars="0"/>
              <w:jc w:val="center"/>
              <w:rPr>
                <w:sz w:val="21"/>
                <w:szCs w:val="20"/>
              </w:rPr>
            </w:pPr>
            <w:r>
              <w:rPr>
                <w:sz w:val="21"/>
                <w:szCs w:val="20"/>
              </w:rPr>
              <w:t>四氯化碳</w:t>
            </w:r>
          </w:p>
        </w:tc>
        <w:tc>
          <w:tcPr>
            <w:tcW w:w="665" w:type="pct"/>
            <w:tcMar>
              <w:left w:w="0" w:type="dxa"/>
              <w:right w:w="0" w:type="dxa"/>
            </w:tcMar>
            <w:vAlign w:val="center"/>
          </w:tcPr>
          <w:p w14:paraId="6C9EB965">
            <w:pPr>
              <w:adjustRightInd w:val="0"/>
              <w:snapToGrid w:val="0"/>
              <w:spacing w:line="240" w:lineRule="auto"/>
              <w:ind w:firstLine="0" w:firstLineChars="0"/>
              <w:jc w:val="center"/>
              <w:rPr>
                <w:sz w:val="21"/>
                <w:szCs w:val="20"/>
              </w:rPr>
            </w:pPr>
            <w:r>
              <w:rPr>
                <w:sz w:val="21"/>
                <w:szCs w:val="20"/>
              </w:rPr>
              <w:t>2.8</w:t>
            </w:r>
          </w:p>
        </w:tc>
        <w:tc>
          <w:tcPr>
            <w:tcW w:w="652" w:type="pct"/>
            <w:tcMar>
              <w:left w:w="0" w:type="dxa"/>
              <w:right w:w="0" w:type="dxa"/>
            </w:tcMar>
            <w:vAlign w:val="center"/>
          </w:tcPr>
          <w:p w14:paraId="5D23DAB7">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vAlign w:val="center"/>
          </w:tcPr>
          <w:p w14:paraId="7688CEEE">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1751958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58FDA008">
            <w:pPr>
              <w:adjustRightInd w:val="0"/>
              <w:snapToGrid w:val="0"/>
              <w:spacing w:line="240" w:lineRule="auto"/>
              <w:ind w:firstLine="0" w:firstLineChars="0"/>
              <w:jc w:val="center"/>
              <w:rPr>
                <w:sz w:val="21"/>
                <w:szCs w:val="20"/>
              </w:rPr>
            </w:pPr>
            <w:r>
              <w:rPr>
                <w:rFonts w:hint="eastAsia"/>
                <w:sz w:val="21"/>
                <w:szCs w:val="20"/>
              </w:rPr>
              <w:t>/</w:t>
            </w:r>
          </w:p>
        </w:tc>
      </w:tr>
      <w:tr w14:paraId="4D030B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1F237839">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D2601AF">
            <w:pPr>
              <w:adjustRightInd w:val="0"/>
              <w:snapToGrid w:val="0"/>
              <w:spacing w:line="240" w:lineRule="auto"/>
              <w:ind w:firstLine="0" w:firstLineChars="0"/>
              <w:jc w:val="center"/>
              <w:rPr>
                <w:sz w:val="21"/>
                <w:szCs w:val="20"/>
              </w:rPr>
            </w:pPr>
            <w:r>
              <w:rPr>
                <w:sz w:val="21"/>
                <w:szCs w:val="20"/>
              </w:rPr>
              <w:t>氯仿</w:t>
            </w:r>
          </w:p>
        </w:tc>
        <w:tc>
          <w:tcPr>
            <w:tcW w:w="665" w:type="pct"/>
            <w:tcMar>
              <w:left w:w="0" w:type="dxa"/>
              <w:right w:w="0" w:type="dxa"/>
            </w:tcMar>
            <w:vAlign w:val="center"/>
          </w:tcPr>
          <w:p w14:paraId="0CEE2288">
            <w:pPr>
              <w:adjustRightInd w:val="0"/>
              <w:snapToGrid w:val="0"/>
              <w:spacing w:line="240" w:lineRule="auto"/>
              <w:ind w:firstLine="0" w:firstLineChars="0"/>
              <w:jc w:val="center"/>
              <w:rPr>
                <w:sz w:val="21"/>
                <w:szCs w:val="20"/>
              </w:rPr>
            </w:pPr>
            <w:r>
              <w:rPr>
                <w:sz w:val="21"/>
                <w:szCs w:val="20"/>
              </w:rPr>
              <w:t>0.9</w:t>
            </w:r>
          </w:p>
        </w:tc>
        <w:tc>
          <w:tcPr>
            <w:tcW w:w="652" w:type="pct"/>
            <w:tcMar>
              <w:left w:w="0" w:type="dxa"/>
              <w:right w:w="0" w:type="dxa"/>
            </w:tcMar>
            <w:vAlign w:val="center"/>
          </w:tcPr>
          <w:p w14:paraId="639AED6F">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5D53BDC0">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2E7B2C42">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164BE32">
            <w:pPr>
              <w:adjustRightInd w:val="0"/>
              <w:snapToGrid w:val="0"/>
              <w:spacing w:line="240" w:lineRule="auto"/>
              <w:ind w:firstLine="0" w:firstLineChars="0"/>
              <w:jc w:val="center"/>
              <w:rPr>
                <w:sz w:val="21"/>
                <w:szCs w:val="20"/>
              </w:rPr>
            </w:pPr>
            <w:r>
              <w:rPr>
                <w:rFonts w:hint="eastAsia"/>
                <w:sz w:val="21"/>
                <w:szCs w:val="20"/>
              </w:rPr>
              <w:t>/</w:t>
            </w:r>
          </w:p>
        </w:tc>
      </w:tr>
      <w:tr w14:paraId="52BCD5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5D93F8D">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8CE998E">
            <w:pPr>
              <w:adjustRightInd w:val="0"/>
              <w:snapToGrid w:val="0"/>
              <w:spacing w:line="240" w:lineRule="auto"/>
              <w:ind w:firstLine="0" w:firstLineChars="0"/>
              <w:jc w:val="center"/>
              <w:rPr>
                <w:sz w:val="21"/>
                <w:szCs w:val="20"/>
              </w:rPr>
            </w:pPr>
            <w:r>
              <w:rPr>
                <w:sz w:val="21"/>
                <w:szCs w:val="20"/>
              </w:rPr>
              <w:t>氯甲烷</w:t>
            </w:r>
          </w:p>
        </w:tc>
        <w:tc>
          <w:tcPr>
            <w:tcW w:w="665" w:type="pct"/>
            <w:tcMar>
              <w:left w:w="0" w:type="dxa"/>
              <w:right w:w="0" w:type="dxa"/>
            </w:tcMar>
            <w:vAlign w:val="center"/>
          </w:tcPr>
          <w:p w14:paraId="5119B13C">
            <w:pPr>
              <w:adjustRightInd w:val="0"/>
              <w:snapToGrid w:val="0"/>
              <w:spacing w:line="240" w:lineRule="auto"/>
              <w:ind w:firstLine="0" w:firstLineChars="0"/>
              <w:jc w:val="center"/>
              <w:rPr>
                <w:sz w:val="21"/>
                <w:szCs w:val="20"/>
              </w:rPr>
            </w:pPr>
            <w:r>
              <w:rPr>
                <w:sz w:val="21"/>
                <w:szCs w:val="20"/>
              </w:rPr>
              <w:t>37</w:t>
            </w:r>
          </w:p>
        </w:tc>
        <w:tc>
          <w:tcPr>
            <w:tcW w:w="652" w:type="pct"/>
            <w:tcMar>
              <w:left w:w="0" w:type="dxa"/>
              <w:right w:w="0" w:type="dxa"/>
            </w:tcMar>
            <w:vAlign w:val="center"/>
          </w:tcPr>
          <w:p w14:paraId="20613993">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9445E30">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7A91B78">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11A3498B">
            <w:pPr>
              <w:adjustRightInd w:val="0"/>
              <w:snapToGrid w:val="0"/>
              <w:spacing w:line="240" w:lineRule="auto"/>
              <w:ind w:firstLine="0" w:firstLineChars="0"/>
              <w:jc w:val="center"/>
              <w:rPr>
                <w:sz w:val="21"/>
                <w:szCs w:val="20"/>
              </w:rPr>
            </w:pPr>
            <w:r>
              <w:rPr>
                <w:rFonts w:hint="eastAsia"/>
                <w:sz w:val="21"/>
                <w:szCs w:val="20"/>
              </w:rPr>
              <w:t>/</w:t>
            </w:r>
          </w:p>
        </w:tc>
      </w:tr>
      <w:tr w14:paraId="1E8DC0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3FE26D36">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29AE559">
            <w:pPr>
              <w:adjustRightInd w:val="0"/>
              <w:snapToGrid w:val="0"/>
              <w:spacing w:line="240" w:lineRule="auto"/>
              <w:ind w:firstLine="0" w:firstLineChars="0"/>
              <w:jc w:val="center"/>
              <w:rPr>
                <w:sz w:val="21"/>
                <w:szCs w:val="20"/>
              </w:rPr>
            </w:pPr>
            <w:r>
              <w:rPr>
                <w:sz w:val="21"/>
                <w:szCs w:val="20"/>
              </w:rPr>
              <w:t>1，1-二氯乙烷</w:t>
            </w:r>
          </w:p>
        </w:tc>
        <w:tc>
          <w:tcPr>
            <w:tcW w:w="665" w:type="pct"/>
            <w:tcMar>
              <w:left w:w="0" w:type="dxa"/>
              <w:right w:w="0" w:type="dxa"/>
            </w:tcMar>
            <w:vAlign w:val="center"/>
          </w:tcPr>
          <w:p w14:paraId="53B96D89">
            <w:pPr>
              <w:adjustRightInd w:val="0"/>
              <w:snapToGrid w:val="0"/>
              <w:spacing w:line="240" w:lineRule="auto"/>
              <w:ind w:firstLine="0" w:firstLineChars="0"/>
              <w:jc w:val="center"/>
              <w:rPr>
                <w:sz w:val="21"/>
                <w:szCs w:val="20"/>
              </w:rPr>
            </w:pPr>
            <w:r>
              <w:rPr>
                <w:sz w:val="21"/>
                <w:szCs w:val="20"/>
              </w:rPr>
              <w:t>9</w:t>
            </w:r>
          </w:p>
        </w:tc>
        <w:tc>
          <w:tcPr>
            <w:tcW w:w="652" w:type="pct"/>
            <w:tcMar>
              <w:left w:w="0" w:type="dxa"/>
              <w:right w:w="0" w:type="dxa"/>
            </w:tcMar>
            <w:vAlign w:val="center"/>
          </w:tcPr>
          <w:p w14:paraId="226354C0">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144C171D">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2A0BF8A4">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B44B1FD">
            <w:pPr>
              <w:adjustRightInd w:val="0"/>
              <w:snapToGrid w:val="0"/>
              <w:spacing w:line="240" w:lineRule="auto"/>
              <w:ind w:firstLine="0" w:firstLineChars="0"/>
              <w:jc w:val="center"/>
              <w:rPr>
                <w:sz w:val="21"/>
                <w:szCs w:val="20"/>
              </w:rPr>
            </w:pPr>
            <w:r>
              <w:rPr>
                <w:rFonts w:hint="eastAsia"/>
                <w:sz w:val="21"/>
                <w:szCs w:val="20"/>
              </w:rPr>
              <w:t>/</w:t>
            </w:r>
          </w:p>
        </w:tc>
      </w:tr>
      <w:tr w14:paraId="40729B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0262CF9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93219D6">
            <w:pPr>
              <w:adjustRightInd w:val="0"/>
              <w:snapToGrid w:val="0"/>
              <w:spacing w:line="240" w:lineRule="auto"/>
              <w:ind w:firstLine="0" w:firstLineChars="0"/>
              <w:jc w:val="center"/>
              <w:rPr>
                <w:sz w:val="21"/>
                <w:szCs w:val="20"/>
              </w:rPr>
            </w:pPr>
            <w:r>
              <w:rPr>
                <w:sz w:val="21"/>
                <w:szCs w:val="20"/>
              </w:rPr>
              <w:t>1，2-二氯乙烷</w:t>
            </w:r>
          </w:p>
        </w:tc>
        <w:tc>
          <w:tcPr>
            <w:tcW w:w="665" w:type="pct"/>
            <w:tcMar>
              <w:left w:w="0" w:type="dxa"/>
              <w:right w:w="0" w:type="dxa"/>
            </w:tcMar>
            <w:vAlign w:val="center"/>
          </w:tcPr>
          <w:p w14:paraId="1A57DFD2">
            <w:pPr>
              <w:adjustRightInd w:val="0"/>
              <w:snapToGrid w:val="0"/>
              <w:spacing w:line="240" w:lineRule="auto"/>
              <w:ind w:firstLine="0" w:firstLineChars="0"/>
              <w:jc w:val="center"/>
              <w:rPr>
                <w:sz w:val="21"/>
                <w:szCs w:val="20"/>
              </w:rPr>
            </w:pPr>
            <w:r>
              <w:rPr>
                <w:sz w:val="21"/>
                <w:szCs w:val="20"/>
              </w:rPr>
              <w:t>5</w:t>
            </w:r>
          </w:p>
        </w:tc>
        <w:tc>
          <w:tcPr>
            <w:tcW w:w="652" w:type="pct"/>
            <w:tcMar>
              <w:left w:w="0" w:type="dxa"/>
              <w:right w:w="0" w:type="dxa"/>
            </w:tcMar>
            <w:vAlign w:val="center"/>
          </w:tcPr>
          <w:p w14:paraId="23F15419">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3EE781CC">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1D238BB8">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60046D80">
            <w:pPr>
              <w:adjustRightInd w:val="0"/>
              <w:snapToGrid w:val="0"/>
              <w:spacing w:line="240" w:lineRule="auto"/>
              <w:ind w:firstLine="0" w:firstLineChars="0"/>
              <w:jc w:val="center"/>
              <w:rPr>
                <w:sz w:val="21"/>
                <w:szCs w:val="20"/>
              </w:rPr>
            </w:pPr>
            <w:r>
              <w:rPr>
                <w:rFonts w:hint="eastAsia"/>
                <w:sz w:val="21"/>
                <w:szCs w:val="20"/>
              </w:rPr>
              <w:t>/</w:t>
            </w:r>
          </w:p>
        </w:tc>
      </w:tr>
      <w:tr w14:paraId="603517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304E81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04B7B37E">
            <w:pPr>
              <w:adjustRightInd w:val="0"/>
              <w:snapToGrid w:val="0"/>
              <w:spacing w:line="240" w:lineRule="auto"/>
              <w:ind w:firstLine="0" w:firstLineChars="0"/>
              <w:jc w:val="center"/>
              <w:rPr>
                <w:sz w:val="21"/>
                <w:szCs w:val="20"/>
              </w:rPr>
            </w:pPr>
            <w:r>
              <w:rPr>
                <w:sz w:val="21"/>
                <w:szCs w:val="20"/>
              </w:rPr>
              <w:t>1，1-二氯乙烯</w:t>
            </w:r>
          </w:p>
        </w:tc>
        <w:tc>
          <w:tcPr>
            <w:tcW w:w="665" w:type="pct"/>
            <w:tcMar>
              <w:left w:w="0" w:type="dxa"/>
              <w:right w:w="0" w:type="dxa"/>
            </w:tcMar>
            <w:vAlign w:val="center"/>
          </w:tcPr>
          <w:p w14:paraId="493310FB">
            <w:pPr>
              <w:adjustRightInd w:val="0"/>
              <w:snapToGrid w:val="0"/>
              <w:spacing w:line="240" w:lineRule="auto"/>
              <w:ind w:firstLine="0" w:firstLineChars="0"/>
              <w:jc w:val="center"/>
              <w:rPr>
                <w:sz w:val="21"/>
                <w:szCs w:val="20"/>
              </w:rPr>
            </w:pPr>
            <w:r>
              <w:rPr>
                <w:sz w:val="21"/>
                <w:szCs w:val="20"/>
              </w:rPr>
              <w:t>66</w:t>
            </w:r>
          </w:p>
        </w:tc>
        <w:tc>
          <w:tcPr>
            <w:tcW w:w="652" w:type="pct"/>
            <w:tcMar>
              <w:left w:w="0" w:type="dxa"/>
              <w:right w:w="0" w:type="dxa"/>
            </w:tcMar>
            <w:vAlign w:val="center"/>
          </w:tcPr>
          <w:p w14:paraId="18A08D51">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2530D73A">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1014287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47FB31CD">
            <w:pPr>
              <w:adjustRightInd w:val="0"/>
              <w:snapToGrid w:val="0"/>
              <w:spacing w:line="240" w:lineRule="auto"/>
              <w:ind w:firstLine="0" w:firstLineChars="0"/>
              <w:jc w:val="center"/>
              <w:rPr>
                <w:sz w:val="21"/>
                <w:szCs w:val="20"/>
              </w:rPr>
            </w:pPr>
            <w:r>
              <w:rPr>
                <w:rFonts w:hint="eastAsia"/>
                <w:sz w:val="21"/>
                <w:szCs w:val="20"/>
              </w:rPr>
              <w:t>/</w:t>
            </w:r>
          </w:p>
        </w:tc>
      </w:tr>
      <w:tr w14:paraId="740BAC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12F68191">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185929B">
            <w:pPr>
              <w:adjustRightInd w:val="0"/>
              <w:snapToGrid w:val="0"/>
              <w:spacing w:line="240" w:lineRule="auto"/>
              <w:ind w:firstLine="0" w:firstLineChars="0"/>
              <w:jc w:val="center"/>
              <w:rPr>
                <w:sz w:val="21"/>
                <w:szCs w:val="20"/>
              </w:rPr>
            </w:pPr>
            <w:r>
              <w:rPr>
                <w:sz w:val="21"/>
                <w:szCs w:val="20"/>
              </w:rPr>
              <w:t>顺-1，2-二氯乙烯</w:t>
            </w:r>
          </w:p>
        </w:tc>
        <w:tc>
          <w:tcPr>
            <w:tcW w:w="665" w:type="pct"/>
            <w:tcMar>
              <w:left w:w="0" w:type="dxa"/>
              <w:right w:w="0" w:type="dxa"/>
            </w:tcMar>
            <w:vAlign w:val="center"/>
          </w:tcPr>
          <w:p w14:paraId="4531E13F">
            <w:pPr>
              <w:adjustRightInd w:val="0"/>
              <w:snapToGrid w:val="0"/>
              <w:spacing w:line="240" w:lineRule="auto"/>
              <w:ind w:firstLine="0" w:firstLineChars="0"/>
              <w:jc w:val="center"/>
              <w:rPr>
                <w:sz w:val="21"/>
                <w:szCs w:val="20"/>
              </w:rPr>
            </w:pPr>
            <w:r>
              <w:rPr>
                <w:sz w:val="21"/>
                <w:szCs w:val="20"/>
              </w:rPr>
              <w:t>596</w:t>
            </w:r>
          </w:p>
        </w:tc>
        <w:tc>
          <w:tcPr>
            <w:tcW w:w="652" w:type="pct"/>
            <w:tcMar>
              <w:left w:w="0" w:type="dxa"/>
              <w:right w:w="0" w:type="dxa"/>
            </w:tcMar>
            <w:vAlign w:val="center"/>
          </w:tcPr>
          <w:p w14:paraId="19CFCD38">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56493202">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043AD5D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50A70279">
            <w:pPr>
              <w:adjustRightInd w:val="0"/>
              <w:snapToGrid w:val="0"/>
              <w:spacing w:line="240" w:lineRule="auto"/>
              <w:ind w:firstLine="0" w:firstLineChars="0"/>
              <w:jc w:val="center"/>
              <w:rPr>
                <w:sz w:val="21"/>
                <w:szCs w:val="20"/>
              </w:rPr>
            </w:pPr>
            <w:r>
              <w:rPr>
                <w:rFonts w:hint="eastAsia"/>
                <w:sz w:val="21"/>
                <w:szCs w:val="20"/>
              </w:rPr>
              <w:t>/</w:t>
            </w:r>
          </w:p>
        </w:tc>
      </w:tr>
      <w:tr w14:paraId="320E7B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58C1987">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45323B6F">
            <w:pPr>
              <w:adjustRightInd w:val="0"/>
              <w:snapToGrid w:val="0"/>
              <w:spacing w:line="240" w:lineRule="auto"/>
              <w:ind w:firstLine="0" w:firstLineChars="0"/>
              <w:jc w:val="center"/>
              <w:rPr>
                <w:sz w:val="21"/>
                <w:szCs w:val="20"/>
              </w:rPr>
            </w:pPr>
            <w:r>
              <w:rPr>
                <w:sz w:val="21"/>
                <w:szCs w:val="20"/>
              </w:rPr>
              <w:t>反-1，2-二氯乙烯</w:t>
            </w:r>
          </w:p>
        </w:tc>
        <w:tc>
          <w:tcPr>
            <w:tcW w:w="665" w:type="pct"/>
            <w:tcMar>
              <w:left w:w="0" w:type="dxa"/>
              <w:right w:w="0" w:type="dxa"/>
            </w:tcMar>
            <w:vAlign w:val="center"/>
          </w:tcPr>
          <w:p w14:paraId="40DF32A6">
            <w:pPr>
              <w:adjustRightInd w:val="0"/>
              <w:snapToGrid w:val="0"/>
              <w:spacing w:line="240" w:lineRule="auto"/>
              <w:ind w:firstLine="0" w:firstLineChars="0"/>
              <w:jc w:val="center"/>
              <w:rPr>
                <w:sz w:val="21"/>
                <w:szCs w:val="20"/>
              </w:rPr>
            </w:pPr>
            <w:r>
              <w:rPr>
                <w:sz w:val="21"/>
                <w:szCs w:val="20"/>
              </w:rPr>
              <w:t>54</w:t>
            </w:r>
          </w:p>
        </w:tc>
        <w:tc>
          <w:tcPr>
            <w:tcW w:w="652" w:type="pct"/>
            <w:tcMar>
              <w:left w:w="0" w:type="dxa"/>
              <w:right w:w="0" w:type="dxa"/>
            </w:tcMar>
            <w:vAlign w:val="center"/>
          </w:tcPr>
          <w:p w14:paraId="4C21C9C9">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21216402">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552CB229">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380CF5A9">
            <w:pPr>
              <w:adjustRightInd w:val="0"/>
              <w:snapToGrid w:val="0"/>
              <w:spacing w:line="240" w:lineRule="auto"/>
              <w:ind w:firstLine="0" w:firstLineChars="0"/>
              <w:jc w:val="center"/>
              <w:rPr>
                <w:sz w:val="21"/>
                <w:szCs w:val="20"/>
              </w:rPr>
            </w:pPr>
            <w:r>
              <w:rPr>
                <w:rFonts w:hint="eastAsia"/>
                <w:sz w:val="21"/>
                <w:szCs w:val="20"/>
              </w:rPr>
              <w:t>/</w:t>
            </w:r>
          </w:p>
        </w:tc>
      </w:tr>
      <w:tr w14:paraId="470F91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03DB42D9">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74A02A5">
            <w:pPr>
              <w:adjustRightInd w:val="0"/>
              <w:snapToGrid w:val="0"/>
              <w:spacing w:line="240" w:lineRule="auto"/>
              <w:ind w:firstLine="0" w:firstLineChars="0"/>
              <w:jc w:val="center"/>
              <w:rPr>
                <w:sz w:val="21"/>
                <w:szCs w:val="20"/>
              </w:rPr>
            </w:pPr>
            <w:r>
              <w:rPr>
                <w:sz w:val="21"/>
                <w:szCs w:val="20"/>
              </w:rPr>
              <w:t>二氯甲烷</w:t>
            </w:r>
          </w:p>
        </w:tc>
        <w:tc>
          <w:tcPr>
            <w:tcW w:w="665" w:type="pct"/>
            <w:tcMar>
              <w:left w:w="0" w:type="dxa"/>
              <w:right w:w="0" w:type="dxa"/>
            </w:tcMar>
            <w:vAlign w:val="center"/>
          </w:tcPr>
          <w:p w14:paraId="4114DF65">
            <w:pPr>
              <w:adjustRightInd w:val="0"/>
              <w:snapToGrid w:val="0"/>
              <w:spacing w:line="240" w:lineRule="auto"/>
              <w:ind w:firstLine="0" w:firstLineChars="0"/>
              <w:jc w:val="center"/>
              <w:rPr>
                <w:sz w:val="21"/>
                <w:szCs w:val="20"/>
              </w:rPr>
            </w:pPr>
            <w:r>
              <w:rPr>
                <w:sz w:val="21"/>
                <w:szCs w:val="20"/>
              </w:rPr>
              <w:t>616</w:t>
            </w:r>
          </w:p>
        </w:tc>
        <w:tc>
          <w:tcPr>
            <w:tcW w:w="652" w:type="pct"/>
            <w:tcMar>
              <w:left w:w="0" w:type="dxa"/>
              <w:right w:w="0" w:type="dxa"/>
            </w:tcMar>
            <w:vAlign w:val="center"/>
          </w:tcPr>
          <w:p w14:paraId="1A752633">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66256BE4">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00FAFA80">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5D4A760C">
            <w:pPr>
              <w:adjustRightInd w:val="0"/>
              <w:snapToGrid w:val="0"/>
              <w:spacing w:line="240" w:lineRule="auto"/>
              <w:ind w:firstLine="0" w:firstLineChars="0"/>
              <w:jc w:val="center"/>
              <w:rPr>
                <w:sz w:val="21"/>
                <w:szCs w:val="20"/>
              </w:rPr>
            </w:pPr>
            <w:r>
              <w:rPr>
                <w:rFonts w:hint="eastAsia"/>
                <w:sz w:val="21"/>
                <w:szCs w:val="20"/>
              </w:rPr>
              <w:t>/</w:t>
            </w:r>
          </w:p>
        </w:tc>
      </w:tr>
      <w:tr w14:paraId="20CD9D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1F18ADA8">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7F7C9365">
            <w:pPr>
              <w:adjustRightInd w:val="0"/>
              <w:snapToGrid w:val="0"/>
              <w:spacing w:line="240" w:lineRule="auto"/>
              <w:ind w:firstLine="0" w:firstLineChars="0"/>
              <w:jc w:val="center"/>
              <w:rPr>
                <w:sz w:val="21"/>
                <w:szCs w:val="20"/>
              </w:rPr>
            </w:pPr>
            <w:r>
              <w:rPr>
                <w:sz w:val="21"/>
                <w:szCs w:val="20"/>
              </w:rPr>
              <w:t>1，2-二氯丙烷</w:t>
            </w:r>
          </w:p>
        </w:tc>
        <w:tc>
          <w:tcPr>
            <w:tcW w:w="665" w:type="pct"/>
            <w:tcMar>
              <w:left w:w="0" w:type="dxa"/>
              <w:right w:w="0" w:type="dxa"/>
            </w:tcMar>
            <w:vAlign w:val="center"/>
          </w:tcPr>
          <w:p w14:paraId="3EE5A71B">
            <w:pPr>
              <w:adjustRightInd w:val="0"/>
              <w:snapToGrid w:val="0"/>
              <w:spacing w:line="240" w:lineRule="auto"/>
              <w:ind w:firstLine="0" w:firstLineChars="0"/>
              <w:jc w:val="center"/>
              <w:rPr>
                <w:sz w:val="21"/>
                <w:szCs w:val="20"/>
              </w:rPr>
            </w:pPr>
            <w:r>
              <w:rPr>
                <w:sz w:val="21"/>
                <w:szCs w:val="20"/>
              </w:rPr>
              <w:t>5</w:t>
            </w:r>
          </w:p>
        </w:tc>
        <w:tc>
          <w:tcPr>
            <w:tcW w:w="652" w:type="pct"/>
            <w:tcMar>
              <w:left w:w="0" w:type="dxa"/>
              <w:right w:w="0" w:type="dxa"/>
            </w:tcMar>
            <w:vAlign w:val="center"/>
          </w:tcPr>
          <w:p w14:paraId="3A3AB978">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E61085D">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544621AC">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46CC0A85">
            <w:pPr>
              <w:adjustRightInd w:val="0"/>
              <w:snapToGrid w:val="0"/>
              <w:spacing w:line="240" w:lineRule="auto"/>
              <w:ind w:firstLine="0" w:firstLineChars="0"/>
              <w:jc w:val="center"/>
              <w:rPr>
                <w:sz w:val="21"/>
                <w:szCs w:val="20"/>
              </w:rPr>
            </w:pPr>
            <w:r>
              <w:rPr>
                <w:rFonts w:hint="eastAsia"/>
                <w:sz w:val="21"/>
                <w:szCs w:val="20"/>
              </w:rPr>
              <w:t>/</w:t>
            </w:r>
          </w:p>
        </w:tc>
      </w:tr>
      <w:tr w14:paraId="0E38A6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07A2382B">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0E2D682E">
            <w:pPr>
              <w:adjustRightInd w:val="0"/>
              <w:snapToGrid w:val="0"/>
              <w:spacing w:line="240" w:lineRule="auto"/>
              <w:ind w:firstLine="0" w:firstLineChars="0"/>
              <w:jc w:val="center"/>
              <w:rPr>
                <w:sz w:val="21"/>
                <w:szCs w:val="20"/>
              </w:rPr>
            </w:pPr>
            <w:r>
              <w:rPr>
                <w:sz w:val="21"/>
                <w:szCs w:val="20"/>
              </w:rPr>
              <w:t>1，1，1，2-四氯乙烷</w:t>
            </w:r>
          </w:p>
        </w:tc>
        <w:tc>
          <w:tcPr>
            <w:tcW w:w="665" w:type="pct"/>
            <w:tcMar>
              <w:left w:w="0" w:type="dxa"/>
              <w:right w:w="0" w:type="dxa"/>
            </w:tcMar>
            <w:vAlign w:val="center"/>
          </w:tcPr>
          <w:p w14:paraId="277DB6CA">
            <w:pPr>
              <w:adjustRightInd w:val="0"/>
              <w:snapToGrid w:val="0"/>
              <w:spacing w:line="240" w:lineRule="auto"/>
              <w:ind w:firstLine="0" w:firstLineChars="0"/>
              <w:jc w:val="center"/>
              <w:rPr>
                <w:sz w:val="21"/>
                <w:szCs w:val="20"/>
              </w:rPr>
            </w:pPr>
            <w:r>
              <w:rPr>
                <w:sz w:val="21"/>
                <w:szCs w:val="20"/>
              </w:rPr>
              <w:t>10</w:t>
            </w:r>
          </w:p>
        </w:tc>
        <w:tc>
          <w:tcPr>
            <w:tcW w:w="652" w:type="pct"/>
            <w:tcMar>
              <w:left w:w="0" w:type="dxa"/>
              <w:right w:w="0" w:type="dxa"/>
            </w:tcMar>
            <w:vAlign w:val="center"/>
          </w:tcPr>
          <w:p w14:paraId="3E3A3C12">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1A91C53D">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25DE799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125593B">
            <w:pPr>
              <w:adjustRightInd w:val="0"/>
              <w:snapToGrid w:val="0"/>
              <w:spacing w:line="240" w:lineRule="auto"/>
              <w:ind w:firstLine="0" w:firstLineChars="0"/>
              <w:jc w:val="center"/>
              <w:rPr>
                <w:sz w:val="21"/>
                <w:szCs w:val="20"/>
              </w:rPr>
            </w:pPr>
            <w:r>
              <w:rPr>
                <w:rFonts w:hint="eastAsia"/>
                <w:sz w:val="21"/>
                <w:szCs w:val="20"/>
              </w:rPr>
              <w:t>/</w:t>
            </w:r>
          </w:p>
        </w:tc>
      </w:tr>
      <w:tr w14:paraId="5C7ABC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020F1B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7E145BA4">
            <w:pPr>
              <w:adjustRightInd w:val="0"/>
              <w:snapToGrid w:val="0"/>
              <w:spacing w:line="240" w:lineRule="auto"/>
              <w:ind w:firstLine="0" w:firstLineChars="0"/>
              <w:jc w:val="center"/>
              <w:rPr>
                <w:sz w:val="21"/>
                <w:szCs w:val="20"/>
              </w:rPr>
            </w:pPr>
            <w:r>
              <w:rPr>
                <w:sz w:val="21"/>
                <w:szCs w:val="20"/>
              </w:rPr>
              <w:t>1，1，2，2-四氯乙烷</w:t>
            </w:r>
          </w:p>
        </w:tc>
        <w:tc>
          <w:tcPr>
            <w:tcW w:w="665" w:type="pct"/>
            <w:tcMar>
              <w:left w:w="0" w:type="dxa"/>
              <w:right w:w="0" w:type="dxa"/>
            </w:tcMar>
            <w:vAlign w:val="center"/>
          </w:tcPr>
          <w:p w14:paraId="42A91FD2">
            <w:pPr>
              <w:adjustRightInd w:val="0"/>
              <w:snapToGrid w:val="0"/>
              <w:spacing w:line="240" w:lineRule="auto"/>
              <w:ind w:firstLine="0" w:firstLineChars="0"/>
              <w:jc w:val="center"/>
              <w:rPr>
                <w:sz w:val="21"/>
                <w:szCs w:val="20"/>
              </w:rPr>
            </w:pPr>
            <w:r>
              <w:rPr>
                <w:sz w:val="21"/>
                <w:szCs w:val="20"/>
              </w:rPr>
              <w:t>6.8</w:t>
            </w:r>
          </w:p>
        </w:tc>
        <w:tc>
          <w:tcPr>
            <w:tcW w:w="652" w:type="pct"/>
            <w:tcMar>
              <w:left w:w="0" w:type="dxa"/>
              <w:right w:w="0" w:type="dxa"/>
            </w:tcMar>
            <w:vAlign w:val="center"/>
          </w:tcPr>
          <w:p w14:paraId="7B91B814">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61004B8A">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6585EBFD">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1FCB7E79">
            <w:pPr>
              <w:adjustRightInd w:val="0"/>
              <w:snapToGrid w:val="0"/>
              <w:spacing w:line="240" w:lineRule="auto"/>
              <w:ind w:firstLine="0" w:firstLineChars="0"/>
              <w:jc w:val="center"/>
              <w:rPr>
                <w:sz w:val="21"/>
                <w:szCs w:val="20"/>
              </w:rPr>
            </w:pPr>
            <w:r>
              <w:rPr>
                <w:rFonts w:hint="eastAsia"/>
                <w:sz w:val="21"/>
                <w:szCs w:val="20"/>
              </w:rPr>
              <w:t>/</w:t>
            </w:r>
          </w:p>
        </w:tc>
      </w:tr>
      <w:tr w14:paraId="40CC54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B6DC865">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E485617">
            <w:pPr>
              <w:adjustRightInd w:val="0"/>
              <w:snapToGrid w:val="0"/>
              <w:spacing w:line="240" w:lineRule="auto"/>
              <w:ind w:firstLine="0" w:firstLineChars="0"/>
              <w:jc w:val="center"/>
              <w:rPr>
                <w:sz w:val="21"/>
                <w:szCs w:val="20"/>
              </w:rPr>
            </w:pPr>
            <w:r>
              <w:rPr>
                <w:sz w:val="21"/>
                <w:szCs w:val="20"/>
              </w:rPr>
              <w:t>四氯乙烯</w:t>
            </w:r>
          </w:p>
        </w:tc>
        <w:tc>
          <w:tcPr>
            <w:tcW w:w="665" w:type="pct"/>
            <w:tcMar>
              <w:left w:w="0" w:type="dxa"/>
              <w:right w:w="0" w:type="dxa"/>
            </w:tcMar>
            <w:vAlign w:val="center"/>
          </w:tcPr>
          <w:p w14:paraId="08B4D541">
            <w:pPr>
              <w:adjustRightInd w:val="0"/>
              <w:snapToGrid w:val="0"/>
              <w:spacing w:line="240" w:lineRule="auto"/>
              <w:ind w:firstLine="0" w:firstLineChars="0"/>
              <w:jc w:val="center"/>
              <w:rPr>
                <w:sz w:val="21"/>
                <w:szCs w:val="20"/>
              </w:rPr>
            </w:pPr>
            <w:r>
              <w:rPr>
                <w:sz w:val="21"/>
                <w:szCs w:val="20"/>
              </w:rPr>
              <w:t>53</w:t>
            </w:r>
          </w:p>
        </w:tc>
        <w:tc>
          <w:tcPr>
            <w:tcW w:w="652" w:type="pct"/>
            <w:tcMar>
              <w:left w:w="0" w:type="dxa"/>
              <w:right w:w="0" w:type="dxa"/>
            </w:tcMar>
            <w:vAlign w:val="center"/>
          </w:tcPr>
          <w:p w14:paraId="2BE5312D">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DCC861F">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73AF6595">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445DB07E">
            <w:pPr>
              <w:adjustRightInd w:val="0"/>
              <w:snapToGrid w:val="0"/>
              <w:spacing w:line="240" w:lineRule="auto"/>
              <w:ind w:firstLine="0" w:firstLineChars="0"/>
              <w:jc w:val="center"/>
              <w:rPr>
                <w:sz w:val="21"/>
                <w:szCs w:val="20"/>
              </w:rPr>
            </w:pPr>
            <w:r>
              <w:rPr>
                <w:rFonts w:hint="eastAsia"/>
                <w:sz w:val="21"/>
                <w:szCs w:val="20"/>
              </w:rPr>
              <w:t>/</w:t>
            </w:r>
          </w:p>
        </w:tc>
      </w:tr>
      <w:tr w14:paraId="374163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3D9C11A5">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4268A2E8">
            <w:pPr>
              <w:adjustRightInd w:val="0"/>
              <w:snapToGrid w:val="0"/>
              <w:spacing w:line="240" w:lineRule="auto"/>
              <w:ind w:firstLine="0" w:firstLineChars="0"/>
              <w:jc w:val="center"/>
              <w:rPr>
                <w:sz w:val="21"/>
                <w:szCs w:val="20"/>
              </w:rPr>
            </w:pPr>
            <w:r>
              <w:rPr>
                <w:sz w:val="21"/>
                <w:szCs w:val="20"/>
              </w:rPr>
              <w:t>1，1，1-三氯乙烷</w:t>
            </w:r>
          </w:p>
        </w:tc>
        <w:tc>
          <w:tcPr>
            <w:tcW w:w="665" w:type="pct"/>
            <w:tcMar>
              <w:left w:w="0" w:type="dxa"/>
              <w:right w:w="0" w:type="dxa"/>
            </w:tcMar>
            <w:vAlign w:val="center"/>
          </w:tcPr>
          <w:p w14:paraId="25EC25F0">
            <w:pPr>
              <w:adjustRightInd w:val="0"/>
              <w:snapToGrid w:val="0"/>
              <w:spacing w:line="240" w:lineRule="auto"/>
              <w:ind w:firstLine="0" w:firstLineChars="0"/>
              <w:jc w:val="center"/>
              <w:rPr>
                <w:sz w:val="21"/>
                <w:szCs w:val="20"/>
              </w:rPr>
            </w:pPr>
            <w:r>
              <w:rPr>
                <w:sz w:val="21"/>
                <w:szCs w:val="20"/>
              </w:rPr>
              <w:t>840</w:t>
            </w:r>
          </w:p>
        </w:tc>
        <w:tc>
          <w:tcPr>
            <w:tcW w:w="652" w:type="pct"/>
            <w:tcMar>
              <w:left w:w="0" w:type="dxa"/>
              <w:right w:w="0" w:type="dxa"/>
            </w:tcMar>
            <w:vAlign w:val="center"/>
          </w:tcPr>
          <w:p w14:paraId="78B21D17">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3969B695">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72514CD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364AA71C">
            <w:pPr>
              <w:adjustRightInd w:val="0"/>
              <w:snapToGrid w:val="0"/>
              <w:spacing w:line="240" w:lineRule="auto"/>
              <w:ind w:firstLine="0" w:firstLineChars="0"/>
              <w:jc w:val="center"/>
              <w:rPr>
                <w:sz w:val="21"/>
                <w:szCs w:val="20"/>
              </w:rPr>
            </w:pPr>
            <w:r>
              <w:rPr>
                <w:rFonts w:hint="eastAsia"/>
                <w:sz w:val="21"/>
                <w:szCs w:val="20"/>
              </w:rPr>
              <w:t>/</w:t>
            </w:r>
          </w:p>
        </w:tc>
      </w:tr>
      <w:tr w14:paraId="29A743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4181363">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26BA4CA">
            <w:pPr>
              <w:adjustRightInd w:val="0"/>
              <w:snapToGrid w:val="0"/>
              <w:spacing w:line="240" w:lineRule="auto"/>
              <w:ind w:firstLine="0" w:firstLineChars="0"/>
              <w:jc w:val="center"/>
              <w:rPr>
                <w:sz w:val="21"/>
                <w:szCs w:val="20"/>
              </w:rPr>
            </w:pPr>
            <w:r>
              <w:rPr>
                <w:sz w:val="21"/>
                <w:szCs w:val="20"/>
              </w:rPr>
              <w:t>1，1，2-三氯乙烷</w:t>
            </w:r>
          </w:p>
        </w:tc>
        <w:tc>
          <w:tcPr>
            <w:tcW w:w="665" w:type="pct"/>
            <w:tcMar>
              <w:left w:w="0" w:type="dxa"/>
              <w:right w:w="0" w:type="dxa"/>
            </w:tcMar>
            <w:vAlign w:val="center"/>
          </w:tcPr>
          <w:p w14:paraId="4A0A901E">
            <w:pPr>
              <w:adjustRightInd w:val="0"/>
              <w:snapToGrid w:val="0"/>
              <w:spacing w:line="240" w:lineRule="auto"/>
              <w:ind w:firstLine="0" w:firstLineChars="0"/>
              <w:jc w:val="center"/>
              <w:rPr>
                <w:sz w:val="21"/>
                <w:szCs w:val="20"/>
              </w:rPr>
            </w:pPr>
            <w:r>
              <w:rPr>
                <w:sz w:val="21"/>
                <w:szCs w:val="20"/>
              </w:rPr>
              <w:t>2.8</w:t>
            </w:r>
          </w:p>
        </w:tc>
        <w:tc>
          <w:tcPr>
            <w:tcW w:w="652" w:type="pct"/>
            <w:tcMar>
              <w:left w:w="0" w:type="dxa"/>
              <w:right w:w="0" w:type="dxa"/>
            </w:tcMar>
            <w:vAlign w:val="center"/>
          </w:tcPr>
          <w:p w14:paraId="3E13651F">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5FAF0919">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6B3E4D51">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56AC011">
            <w:pPr>
              <w:adjustRightInd w:val="0"/>
              <w:snapToGrid w:val="0"/>
              <w:spacing w:line="240" w:lineRule="auto"/>
              <w:ind w:firstLine="0" w:firstLineChars="0"/>
              <w:jc w:val="center"/>
              <w:rPr>
                <w:sz w:val="21"/>
                <w:szCs w:val="20"/>
              </w:rPr>
            </w:pPr>
            <w:r>
              <w:rPr>
                <w:rFonts w:hint="eastAsia"/>
                <w:sz w:val="21"/>
                <w:szCs w:val="20"/>
              </w:rPr>
              <w:t>/</w:t>
            </w:r>
          </w:p>
        </w:tc>
      </w:tr>
      <w:tr w14:paraId="12FDB4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19DC60CE">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4ADA2DC">
            <w:pPr>
              <w:adjustRightInd w:val="0"/>
              <w:snapToGrid w:val="0"/>
              <w:spacing w:line="240" w:lineRule="auto"/>
              <w:ind w:firstLine="0" w:firstLineChars="0"/>
              <w:jc w:val="center"/>
              <w:rPr>
                <w:sz w:val="21"/>
                <w:szCs w:val="20"/>
              </w:rPr>
            </w:pPr>
            <w:r>
              <w:rPr>
                <w:sz w:val="21"/>
                <w:szCs w:val="20"/>
              </w:rPr>
              <w:t>三氯乙烯</w:t>
            </w:r>
          </w:p>
        </w:tc>
        <w:tc>
          <w:tcPr>
            <w:tcW w:w="665" w:type="pct"/>
            <w:tcMar>
              <w:left w:w="0" w:type="dxa"/>
              <w:right w:w="0" w:type="dxa"/>
            </w:tcMar>
            <w:vAlign w:val="center"/>
          </w:tcPr>
          <w:p w14:paraId="31CC32DC">
            <w:pPr>
              <w:adjustRightInd w:val="0"/>
              <w:snapToGrid w:val="0"/>
              <w:spacing w:line="240" w:lineRule="auto"/>
              <w:ind w:firstLine="0" w:firstLineChars="0"/>
              <w:jc w:val="center"/>
              <w:rPr>
                <w:sz w:val="21"/>
                <w:szCs w:val="20"/>
              </w:rPr>
            </w:pPr>
            <w:r>
              <w:rPr>
                <w:sz w:val="21"/>
                <w:szCs w:val="20"/>
              </w:rPr>
              <w:t>2.8</w:t>
            </w:r>
          </w:p>
        </w:tc>
        <w:tc>
          <w:tcPr>
            <w:tcW w:w="652" w:type="pct"/>
            <w:tcMar>
              <w:left w:w="0" w:type="dxa"/>
              <w:right w:w="0" w:type="dxa"/>
            </w:tcMar>
            <w:vAlign w:val="center"/>
          </w:tcPr>
          <w:p w14:paraId="114CF339">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70FA5A30">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0D99F1B">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1AF76C4A">
            <w:pPr>
              <w:adjustRightInd w:val="0"/>
              <w:snapToGrid w:val="0"/>
              <w:spacing w:line="240" w:lineRule="auto"/>
              <w:ind w:firstLine="0" w:firstLineChars="0"/>
              <w:jc w:val="center"/>
              <w:rPr>
                <w:sz w:val="21"/>
                <w:szCs w:val="20"/>
              </w:rPr>
            </w:pPr>
            <w:r>
              <w:rPr>
                <w:rFonts w:hint="eastAsia"/>
                <w:sz w:val="21"/>
                <w:szCs w:val="20"/>
              </w:rPr>
              <w:t>/</w:t>
            </w:r>
          </w:p>
        </w:tc>
      </w:tr>
      <w:tr w14:paraId="429C17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9582E39">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0B186DEC">
            <w:pPr>
              <w:adjustRightInd w:val="0"/>
              <w:snapToGrid w:val="0"/>
              <w:spacing w:line="240" w:lineRule="auto"/>
              <w:ind w:firstLine="0" w:firstLineChars="0"/>
              <w:jc w:val="center"/>
              <w:rPr>
                <w:sz w:val="21"/>
                <w:szCs w:val="20"/>
              </w:rPr>
            </w:pPr>
            <w:r>
              <w:rPr>
                <w:sz w:val="21"/>
                <w:szCs w:val="20"/>
              </w:rPr>
              <w:t>1，2，3-三氯丙烷</w:t>
            </w:r>
          </w:p>
        </w:tc>
        <w:tc>
          <w:tcPr>
            <w:tcW w:w="665" w:type="pct"/>
            <w:tcMar>
              <w:left w:w="0" w:type="dxa"/>
              <w:right w:w="0" w:type="dxa"/>
            </w:tcMar>
            <w:vAlign w:val="center"/>
          </w:tcPr>
          <w:p w14:paraId="67300A78">
            <w:pPr>
              <w:adjustRightInd w:val="0"/>
              <w:snapToGrid w:val="0"/>
              <w:spacing w:line="240" w:lineRule="auto"/>
              <w:ind w:firstLine="0" w:firstLineChars="0"/>
              <w:jc w:val="center"/>
              <w:rPr>
                <w:sz w:val="21"/>
                <w:szCs w:val="20"/>
              </w:rPr>
            </w:pPr>
            <w:r>
              <w:rPr>
                <w:sz w:val="21"/>
                <w:szCs w:val="20"/>
              </w:rPr>
              <w:t>0.5</w:t>
            </w:r>
          </w:p>
        </w:tc>
        <w:tc>
          <w:tcPr>
            <w:tcW w:w="652" w:type="pct"/>
            <w:tcMar>
              <w:left w:w="0" w:type="dxa"/>
              <w:right w:w="0" w:type="dxa"/>
            </w:tcMar>
            <w:vAlign w:val="center"/>
          </w:tcPr>
          <w:p w14:paraId="29E51F03">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034857DE">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4BD322E1">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7AABEEBF">
            <w:pPr>
              <w:adjustRightInd w:val="0"/>
              <w:snapToGrid w:val="0"/>
              <w:spacing w:line="240" w:lineRule="auto"/>
              <w:ind w:firstLine="0" w:firstLineChars="0"/>
              <w:jc w:val="center"/>
              <w:rPr>
                <w:sz w:val="21"/>
                <w:szCs w:val="20"/>
              </w:rPr>
            </w:pPr>
            <w:r>
              <w:rPr>
                <w:rFonts w:hint="eastAsia"/>
                <w:sz w:val="21"/>
                <w:szCs w:val="20"/>
              </w:rPr>
              <w:t>/</w:t>
            </w:r>
          </w:p>
        </w:tc>
      </w:tr>
      <w:tr w14:paraId="327D36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8F52C1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76348B78">
            <w:pPr>
              <w:adjustRightInd w:val="0"/>
              <w:snapToGrid w:val="0"/>
              <w:spacing w:line="240" w:lineRule="auto"/>
              <w:ind w:firstLine="0" w:firstLineChars="0"/>
              <w:jc w:val="center"/>
              <w:rPr>
                <w:sz w:val="21"/>
                <w:szCs w:val="20"/>
              </w:rPr>
            </w:pPr>
            <w:r>
              <w:rPr>
                <w:sz w:val="21"/>
                <w:szCs w:val="20"/>
              </w:rPr>
              <w:t>氯乙烯</w:t>
            </w:r>
          </w:p>
        </w:tc>
        <w:tc>
          <w:tcPr>
            <w:tcW w:w="665" w:type="pct"/>
            <w:tcMar>
              <w:left w:w="0" w:type="dxa"/>
              <w:right w:w="0" w:type="dxa"/>
            </w:tcMar>
            <w:vAlign w:val="center"/>
          </w:tcPr>
          <w:p w14:paraId="4D636D6C">
            <w:pPr>
              <w:adjustRightInd w:val="0"/>
              <w:snapToGrid w:val="0"/>
              <w:spacing w:line="240" w:lineRule="auto"/>
              <w:ind w:firstLine="0" w:firstLineChars="0"/>
              <w:jc w:val="center"/>
              <w:rPr>
                <w:sz w:val="21"/>
                <w:szCs w:val="20"/>
              </w:rPr>
            </w:pPr>
            <w:r>
              <w:rPr>
                <w:sz w:val="21"/>
                <w:szCs w:val="20"/>
              </w:rPr>
              <w:t>0.43</w:t>
            </w:r>
          </w:p>
        </w:tc>
        <w:tc>
          <w:tcPr>
            <w:tcW w:w="652" w:type="pct"/>
            <w:tcMar>
              <w:left w:w="0" w:type="dxa"/>
              <w:right w:w="0" w:type="dxa"/>
            </w:tcMar>
            <w:vAlign w:val="center"/>
          </w:tcPr>
          <w:p w14:paraId="10F5AC85">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542BEAB">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4C3F5CC7">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2BED96D">
            <w:pPr>
              <w:adjustRightInd w:val="0"/>
              <w:snapToGrid w:val="0"/>
              <w:spacing w:line="240" w:lineRule="auto"/>
              <w:ind w:firstLine="0" w:firstLineChars="0"/>
              <w:jc w:val="center"/>
              <w:rPr>
                <w:sz w:val="21"/>
                <w:szCs w:val="20"/>
              </w:rPr>
            </w:pPr>
            <w:r>
              <w:rPr>
                <w:rFonts w:hint="eastAsia"/>
                <w:sz w:val="21"/>
                <w:szCs w:val="20"/>
              </w:rPr>
              <w:t>/</w:t>
            </w:r>
          </w:p>
        </w:tc>
      </w:tr>
      <w:tr w14:paraId="63D5A8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7892E88">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7E439E58">
            <w:pPr>
              <w:adjustRightInd w:val="0"/>
              <w:snapToGrid w:val="0"/>
              <w:spacing w:line="240" w:lineRule="auto"/>
              <w:ind w:firstLine="0" w:firstLineChars="0"/>
              <w:jc w:val="center"/>
              <w:rPr>
                <w:sz w:val="21"/>
                <w:szCs w:val="20"/>
              </w:rPr>
            </w:pPr>
            <w:r>
              <w:rPr>
                <w:sz w:val="21"/>
                <w:szCs w:val="20"/>
              </w:rPr>
              <w:t>苯</w:t>
            </w:r>
          </w:p>
        </w:tc>
        <w:tc>
          <w:tcPr>
            <w:tcW w:w="665" w:type="pct"/>
            <w:tcMar>
              <w:left w:w="0" w:type="dxa"/>
              <w:right w:w="0" w:type="dxa"/>
            </w:tcMar>
            <w:vAlign w:val="center"/>
          </w:tcPr>
          <w:p w14:paraId="64027980">
            <w:pPr>
              <w:adjustRightInd w:val="0"/>
              <w:snapToGrid w:val="0"/>
              <w:spacing w:line="240" w:lineRule="auto"/>
              <w:ind w:firstLine="0" w:firstLineChars="0"/>
              <w:jc w:val="center"/>
              <w:rPr>
                <w:sz w:val="21"/>
                <w:szCs w:val="20"/>
              </w:rPr>
            </w:pPr>
            <w:r>
              <w:rPr>
                <w:sz w:val="21"/>
                <w:szCs w:val="20"/>
              </w:rPr>
              <w:t>4</w:t>
            </w:r>
          </w:p>
        </w:tc>
        <w:tc>
          <w:tcPr>
            <w:tcW w:w="652" w:type="pct"/>
            <w:tcMar>
              <w:left w:w="0" w:type="dxa"/>
              <w:right w:w="0" w:type="dxa"/>
            </w:tcMar>
            <w:vAlign w:val="center"/>
          </w:tcPr>
          <w:p w14:paraId="10B001D2">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2DD7ECDC">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58D63E09">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6B6BB137">
            <w:pPr>
              <w:adjustRightInd w:val="0"/>
              <w:snapToGrid w:val="0"/>
              <w:spacing w:line="240" w:lineRule="auto"/>
              <w:ind w:firstLine="0" w:firstLineChars="0"/>
              <w:jc w:val="center"/>
              <w:rPr>
                <w:sz w:val="21"/>
                <w:szCs w:val="20"/>
              </w:rPr>
            </w:pPr>
            <w:r>
              <w:rPr>
                <w:rFonts w:hint="eastAsia"/>
                <w:sz w:val="21"/>
                <w:szCs w:val="20"/>
              </w:rPr>
              <w:t>/</w:t>
            </w:r>
          </w:p>
        </w:tc>
      </w:tr>
      <w:tr w14:paraId="246C27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A345F92">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097818E2">
            <w:pPr>
              <w:adjustRightInd w:val="0"/>
              <w:snapToGrid w:val="0"/>
              <w:spacing w:line="240" w:lineRule="auto"/>
              <w:ind w:firstLine="0" w:firstLineChars="0"/>
              <w:jc w:val="center"/>
              <w:rPr>
                <w:sz w:val="21"/>
                <w:szCs w:val="20"/>
              </w:rPr>
            </w:pPr>
            <w:r>
              <w:rPr>
                <w:sz w:val="21"/>
                <w:szCs w:val="20"/>
              </w:rPr>
              <w:t>氯苯</w:t>
            </w:r>
          </w:p>
        </w:tc>
        <w:tc>
          <w:tcPr>
            <w:tcW w:w="665" w:type="pct"/>
            <w:tcMar>
              <w:left w:w="0" w:type="dxa"/>
              <w:right w:w="0" w:type="dxa"/>
            </w:tcMar>
            <w:vAlign w:val="center"/>
          </w:tcPr>
          <w:p w14:paraId="3F790098">
            <w:pPr>
              <w:adjustRightInd w:val="0"/>
              <w:snapToGrid w:val="0"/>
              <w:spacing w:line="240" w:lineRule="auto"/>
              <w:ind w:firstLine="0" w:firstLineChars="0"/>
              <w:jc w:val="center"/>
              <w:rPr>
                <w:sz w:val="21"/>
                <w:szCs w:val="20"/>
              </w:rPr>
            </w:pPr>
            <w:r>
              <w:rPr>
                <w:sz w:val="21"/>
                <w:szCs w:val="20"/>
              </w:rPr>
              <w:t>270</w:t>
            </w:r>
          </w:p>
        </w:tc>
        <w:tc>
          <w:tcPr>
            <w:tcW w:w="652" w:type="pct"/>
            <w:tcMar>
              <w:left w:w="0" w:type="dxa"/>
              <w:right w:w="0" w:type="dxa"/>
            </w:tcMar>
            <w:vAlign w:val="center"/>
          </w:tcPr>
          <w:p w14:paraId="270901BC">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D3F01B2">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DB126A6">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725B6D8D">
            <w:pPr>
              <w:adjustRightInd w:val="0"/>
              <w:snapToGrid w:val="0"/>
              <w:spacing w:line="240" w:lineRule="auto"/>
              <w:ind w:firstLine="0" w:firstLineChars="0"/>
              <w:jc w:val="center"/>
              <w:rPr>
                <w:sz w:val="21"/>
                <w:szCs w:val="20"/>
              </w:rPr>
            </w:pPr>
            <w:r>
              <w:rPr>
                <w:rFonts w:hint="eastAsia"/>
                <w:sz w:val="21"/>
                <w:szCs w:val="20"/>
              </w:rPr>
              <w:t>/</w:t>
            </w:r>
          </w:p>
        </w:tc>
      </w:tr>
      <w:tr w14:paraId="298C1F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35379CE3">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C3F2603">
            <w:pPr>
              <w:adjustRightInd w:val="0"/>
              <w:snapToGrid w:val="0"/>
              <w:spacing w:line="240" w:lineRule="auto"/>
              <w:ind w:firstLine="0" w:firstLineChars="0"/>
              <w:jc w:val="center"/>
              <w:rPr>
                <w:sz w:val="21"/>
                <w:szCs w:val="20"/>
              </w:rPr>
            </w:pPr>
            <w:r>
              <w:rPr>
                <w:sz w:val="21"/>
                <w:szCs w:val="20"/>
              </w:rPr>
              <w:t>1，2-二氯苯</w:t>
            </w:r>
          </w:p>
        </w:tc>
        <w:tc>
          <w:tcPr>
            <w:tcW w:w="665" w:type="pct"/>
            <w:tcMar>
              <w:left w:w="0" w:type="dxa"/>
              <w:right w:w="0" w:type="dxa"/>
            </w:tcMar>
            <w:vAlign w:val="center"/>
          </w:tcPr>
          <w:p w14:paraId="03841A55">
            <w:pPr>
              <w:adjustRightInd w:val="0"/>
              <w:snapToGrid w:val="0"/>
              <w:spacing w:line="240" w:lineRule="auto"/>
              <w:ind w:firstLine="0" w:firstLineChars="0"/>
              <w:jc w:val="center"/>
              <w:rPr>
                <w:sz w:val="21"/>
                <w:szCs w:val="20"/>
              </w:rPr>
            </w:pPr>
            <w:r>
              <w:rPr>
                <w:sz w:val="21"/>
                <w:szCs w:val="20"/>
              </w:rPr>
              <w:t>560</w:t>
            </w:r>
          </w:p>
        </w:tc>
        <w:tc>
          <w:tcPr>
            <w:tcW w:w="652" w:type="pct"/>
            <w:tcMar>
              <w:left w:w="0" w:type="dxa"/>
              <w:right w:w="0" w:type="dxa"/>
            </w:tcMar>
            <w:vAlign w:val="center"/>
          </w:tcPr>
          <w:p w14:paraId="75696B8E">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021672A2">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1D3833F0">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4EDBB1A">
            <w:pPr>
              <w:adjustRightInd w:val="0"/>
              <w:snapToGrid w:val="0"/>
              <w:spacing w:line="240" w:lineRule="auto"/>
              <w:ind w:firstLine="0" w:firstLineChars="0"/>
              <w:jc w:val="center"/>
              <w:rPr>
                <w:sz w:val="21"/>
                <w:szCs w:val="20"/>
              </w:rPr>
            </w:pPr>
            <w:r>
              <w:rPr>
                <w:rFonts w:hint="eastAsia"/>
                <w:sz w:val="21"/>
                <w:szCs w:val="20"/>
              </w:rPr>
              <w:t>/</w:t>
            </w:r>
          </w:p>
        </w:tc>
      </w:tr>
      <w:tr w14:paraId="610A9D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476B40E">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631A13C">
            <w:pPr>
              <w:adjustRightInd w:val="0"/>
              <w:snapToGrid w:val="0"/>
              <w:spacing w:line="240" w:lineRule="auto"/>
              <w:ind w:firstLine="0" w:firstLineChars="0"/>
              <w:jc w:val="center"/>
              <w:rPr>
                <w:sz w:val="21"/>
                <w:szCs w:val="20"/>
              </w:rPr>
            </w:pPr>
            <w:r>
              <w:rPr>
                <w:sz w:val="21"/>
                <w:szCs w:val="20"/>
              </w:rPr>
              <w:t>1，4-二氯苯</w:t>
            </w:r>
          </w:p>
        </w:tc>
        <w:tc>
          <w:tcPr>
            <w:tcW w:w="665" w:type="pct"/>
            <w:tcMar>
              <w:left w:w="0" w:type="dxa"/>
              <w:right w:w="0" w:type="dxa"/>
            </w:tcMar>
            <w:vAlign w:val="center"/>
          </w:tcPr>
          <w:p w14:paraId="30A9ECFE">
            <w:pPr>
              <w:adjustRightInd w:val="0"/>
              <w:snapToGrid w:val="0"/>
              <w:spacing w:line="240" w:lineRule="auto"/>
              <w:ind w:firstLine="0" w:firstLineChars="0"/>
              <w:jc w:val="center"/>
              <w:rPr>
                <w:sz w:val="21"/>
                <w:szCs w:val="20"/>
              </w:rPr>
            </w:pPr>
            <w:r>
              <w:rPr>
                <w:sz w:val="21"/>
                <w:szCs w:val="20"/>
              </w:rPr>
              <w:t>20</w:t>
            </w:r>
          </w:p>
        </w:tc>
        <w:tc>
          <w:tcPr>
            <w:tcW w:w="652" w:type="pct"/>
            <w:tcMar>
              <w:left w:w="0" w:type="dxa"/>
              <w:right w:w="0" w:type="dxa"/>
            </w:tcMar>
            <w:vAlign w:val="center"/>
          </w:tcPr>
          <w:p w14:paraId="47B4F971">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78F0BD8">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4EA3A782">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6FDA67B0">
            <w:pPr>
              <w:adjustRightInd w:val="0"/>
              <w:snapToGrid w:val="0"/>
              <w:spacing w:line="240" w:lineRule="auto"/>
              <w:ind w:firstLine="0" w:firstLineChars="0"/>
              <w:jc w:val="center"/>
              <w:rPr>
                <w:sz w:val="21"/>
                <w:szCs w:val="20"/>
              </w:rPr>
            </w:pPr>
            <w:r>
              <w:rPr>
                <w:rFonts w:hint="eastAsia"/>
                <w:sz w:val="21"/>
                <w:szCs w:val="20"/>
              </w:rPr>
              <w:t>/</w:t>
            </w:r>
          </w:p>
        </w:tc>
      </w:tr>
      <w:tr w14:paraId="27DADB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F5CAACD">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70D0FD7">
            <w:pPr>
              <w:adjustRightInd w:val="0"/>
              <w:snapToGrid w:val="0"/>
              <w:spacing w:line="240" w:lineRule="auto"/>
              <w:ind w:firstLine="0" w:firstLineChars="0"/>
              <w:jc w:val="center"/>
              <w:rPr>
                <w:sz w:val="21"/>
                <w:szCs w:val="20"/>
              </w:rPr>
            </w:pPr>
            <w:r>
              <w:rPr>
                <w:sz w:val="21"/>
                <w:szCs w:val="20"/>
              </w:rPr>
              <w:t>乙苯</w:t>
            </w:r>
          </w:p>
        </w:tc>
        <w:tc>
          <w:tcPr>
            <w:tcW w:w="665" w:type="pct"/>
            <w:tcMar>
              <w:left w:w="0" w:type="dxa"/>
              <w:right w:w="0" w:type="dxa"/>
            </w:tcMar>
            <w:vAlign w:val="center"/>
          </w:tcPr>
          <w:p w14:paraId="0005CD77">
            <w:pPr>
              <w:adjustRightInd w:val="0"/>
              <w:snapToGrid w:val="0"/>
              <w:spacing w:line="240" w:lineRule="auto"/>
              <w:ind w:firstLine="0" w:firstLineChars="0"/>
              <w:jc w:val="center"/>
              <w:rPr>
                <w:sz w:val="21"/>
                <w:szCs w:val="20"/>
              </w:rPr>
            </w:pPr>
            <w:r>
              <w:rPr>
                <w:sz w:val="21"/>
                <w:szCs w:val="20"/>
              </w:rPr>
              <w:t>28</w:t>
            </w:r>
          </w:p>
        </w:tc>
        <w:tc>
          <w:tcPr>
            <w:tcW w:w="652" w:type="pct"/>
            <w:tcMar>
              <w:left w:w="0" w:type="dxa"/>
              <w:right w:w="0" w:type="dxa"/>
            </w:tcMar>
            <w:vAlign w:val="center"/>
          </w:tcPr>
          <w:p w14:paraId="7723F76B">
            <w:pPr>
              <w:adjustRightInd w:val="0"/>
              <w:snapToGrid w:val="0"/>
              <w:spacing w:line="240" w:lineRule="auto"/>
              <w:ind w:firstLine="0" w:firstLineChars="0"/>
              <w:jc w:val="center"/>
              <w:rPr>
                <w:sz w:val="21"/>
                <w:szCs w:val="20"/>
                <w:lang w:bidi="en-US"/>
              </w:rPr>
            </w:pPr>
            <w:r>
              <w:rPr>
                <w:rFonts w:hint="eastAsia"/>
                <w:sz w:val="21"/>
                <w:szCs w:val="20"/>
              </w:rPr>
              <w:t>ND</w:t>
            </w:r>
          </w:p>
        </w:tc>
        <w:tc>
          <w:tcPr>
            <w:tcW w:w="653" w:type="pct"/>
            <w:tcMar>
              <w:left w:w="0" w:type="dxa"/>
              <w:right w:w="0" w:type="dxa"/>
            </w:tcMar>
          </w:tcPr>
          <w:p w14:paraId="31A23513">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CE5426E">
            <w:pPr>
              <w:adjustRightInd w:val="0"/>
              <w:snapToGrid w:val="0"/>
              <w:spacing w:line="240" w:lineRule="auto"/>
              <w:ind w:firstLine="0" w:firstLineChars="0"/>
              <w:jc w:val="center"/>
              <w:rPr>
                <w:sz w:val="21"/>
                <w:szCs w:val="20"/>
                <w:lang w:bidi="en-US"/>
              </w:rPr>
            </w:pPr>
            <w:r>
              <w:rPr>
                <w:rFonts w:hint="eastAsia"/>
                <w:sz w:val="21"/>
                <w:szCs w:val="20"/>
              </w:rPr>
              <w:t>ND</w:t>
            </w:r>
          </w:p>
        </w:tc>
        <w:tc>
          <w:tcPr>
            <w:tcW w:w="651" w:type="pct"/>
            <w:tcMar>
              <w:left w:w="0" w:type="dxa"/>
              <w:right w:w="0" w:type="dxa"/>
            </w:tcMar>
          </w:tcPr>
          <w:p w14:paraId="1B04D9A9">
            <w:pPr>
              <w:adjustRightInd w:val="0"/>
              <w:snapToGrid w:val="0"/>
              <w:spacing w:line="240" w:lineRule="auto"/>
              <w:ind w:firstLine="0" w:firstLineChars="0"/>
              <w:jc w:val="center"/>
              <w:rPr>
                <w:sz w:val="21"/>
                <w:szCs w:val="20"/>
              </w:rPr>
            </w:pPr>
            <w:r>
              <w:rPr>
                <w:rFonts w:hint="eastAsia"/>
                <w:sz w:val="21"/>
                <w:szCs w:val="20"/>
              </w:rPr>
              <w:t>/</w:t>
            </w:r>
          </w:p>
        </w:tc>
      </w:tr>
      <w:tr w14:paraId="5387C5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88139F1">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7DF8C9D">
            <w:pPr>
              <w:adjustRightInd w:val="0"/>
              <w:snapToGrid w:val="0"/>
              <w:spacing w:line="240" w:lineRule="auto"/>
              <w:ind w:firstLine="0" w:firstLineChars="0"/>
              <w:jc w:val="center"/>
              <w:rPr>
                <w:sz w:val="21"/>
                <w:szCs w:val="20"/>
              </w:rPr>
            </w:pPr>
            <w:r>
              <w:rPr>
                <w:sz w:val="21"/>
                <w:szCs w:val="20"/>
              </w:rPr>
              <w:t>苯乙烯</w:t>
            </w:r>
          </w:p>
        </w:tc>
        <w:tc>
          <w:tcPr>
            <w:tcW w:w="665" w:type="pct"/>
            <w:tcMar>
              <w:left w:w="0" w:type="dxa"/>
              <w:right w:w="0" w:type="dxa"/>
            </w:tcMar>
            <w:vAlign w:val="center"/>
          </w:tcPr>
          <w:p w14:paraId="4AE7A0D6">
            <w:pPr>
              <w:adjustRightInd w:val="0"/>
              <w:snapToGrid w:val="0"/>
              <w:spacing w:line="240" w:lineRule="auto"/>
              <w:ind w:firstLine="0" w:firstLineChars="0"/>
              <w:jc w:val="center"/>
              <w:rPr>
                <w:sz w:val="21"/>
                <w:szCs w:val="20"/>
              </w:rPr>
            </w:pPr>
            <w:r>
              <w:rPr>
                <w:sz w:val="21"/>
                <w:szCs w:val="20"/>
              </w:rPr>
              <w:t>1290</w:t>
            </w:r>
          </w:p>
        </w:tc>
        <w:tc>
          <w:tcPr>
            <w:tcW w:w="652" w:type="pct"/>
            <w:tcMar>
              <w:left w:w="0" w:type="dxa"/>
              <w:right w:w="0" w:type="dxa"/>
            </w:tcMar>
            <w:vAlign w:val="center"/>
          </w:tcPr>
          <w:p w14:paraId="4D764A97">
            <w:pPr>
              <w:adjustRightInd w:val="0"/>
              <w:snapToGrid w:val="0"/>
              <w:spacing w:line="240" w:lineRule="auto"/>
              <w:ind w:firstLine="0" w:firstLineChars="0"/>
              <w:jc w:val="center"/>
              <w:rPr>
                <w:sz w:val="21"/>
                <w:szCs w:val="20"/>
                <w:lang w:bidi="en-US"/>
              </w:rPr>
            </w:pPr>
            <w:r>
              <w:rPr>
                <w:rFonts w:hint="eastAsia"/>
                <w:sz w:val="21"/>
                <w:szCs w:val="20"/>
              </w:rPr>
              <w:t>ND</w:t>
            </w:r>
          </w:p>
        </w:tc>
        <w:tc>
          <w:tcPr>
            <w:tcW w:w="653" w:type="pct"/>
            <w:tcMar>
              <w:left w:w="0" w:type="dxa"/>
              <w:right w:w="0" w:type="dxa"/>
            </w:tcMar>
          </w:tcPr>
          <w:p w14:paraId="5C9E3548">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C3245C6">
            <w:pPr>
              <w:adjustRightInd w:val="0"/>
              <w:snapToGrid w:val="0"/>
              <w:spacing w:line="240" w:lineRule="auto"/>
              <w:ind w:firstLine="0" w:firstLineChars="0"/>
              <w:jc w:val="center"/>
              <w:rPr>
                <w:sz w:val="21"/>
                <w:szCs w:val="20"/>
                <w:lang w:bidi="en-US"/>
              </w:rPr>
            </w:pPr>
            <w:r>
              <w:rPr>
                <w:rFonts w:hint="eastAsia"/>
                <w:sz w:val="21"/>
                <w:szCs w:val="20"/>
              </w:rPr>
              <w:t>ND</w:t>
            </w:r>
          </w:p>
        </w:tc>
        <w:tc>
          <w:tcPr>
            <w:tcW w:w="651" w:type="pct"/>
            <w:tcMar>
              <w:left w:w="0" w:type="dxa"/>
              <w:right w:w="0" w:type="dxa"/>
            </w:tcMar>
          </w:tcPr>
          <w:p w14:paraId="6967FC85">
            <w:pPr>
              <w:adjustRightInd w:val="0"/>
              <w:snapToGrid w:val="0"/>
              <w:spacing w:line="240" w:lineRule="auto"/>
              <w:ind w:firstLine="0" w:firstLineChars="0"/>
              <w:jc w:val="center"/>
              <w:rPr>
                <w:sz w:val="21"/>
                <w:szCs w:val="20"/>
              </w:rPr>
            </w:pPr>
            <w:r>
              <w:rPr>
                <w:rFonts w:hint="eastAsia"/>
                <w:sz w:val="21"/>
                <w:szCs w:val="20"/>
              </w:rPr>
              <w:t>/</w:t>
            </w:r>
          </w:p>
        </w:tc>
      </w:tr>
      <w:tr w14:paraId="116657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53EB4CA5">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7AF8F561">
            <w:pPr>
              <w:adjustRightInd w:val="0"/>
              <w:snapToGrid w:val="0"/>
              <w:spacing w:line="240" w:lineRule="auto"/>
              <w:ind w:firstLine="0" w:firstLineChars="0"/>
              <w:jc w:val="center"/>
              <w:rPr>
                <w:sz w:val="21"/>
                <w:szCs w:val="20"/>
              </w:rPr>
            </w:pPr>
            <w:r>
              <w:rPr>
                <w:sz w:val="21"/>
                <w:szCs w:val="20"/>
              </w:rPr>
              <w:t>甲苯</w:t>
            </w:r>
          </w:p>
        </w:tc>
        <w:tc>
          <w:tcPr>
            <w:tcW w:w="665" w:type="pct"/>
            <w:tcMar>
              <w:left w:w="0" w:type="dxa"/>
              <w:right w:w="0" w:type="dxa"/>
            </w:tcMar>
            <w:vAlign w:val="center"/>
          </w:tcPr>
          <w:p w14:paraId="1516AF44">
            <w:pPr>
              <w:adjustRightInd w:val="0"/>
              <w:snapToGrid w:val="0"/>
              <w:spacing w:line="240" w:lineRule="auto"/>
              <w:ind w:firstLine="0" w:firstLineChars="0"/>
              <w:jc w:val="center"/>
              <w:rPr>
                <w:sz w:val="21"/>
                <w:szCs w:val="20"/>
              </w:rPr>
            </w:pPr>
            <w:r>
              <w:rPr>
                <w:sz w:val="21"/>
                <w:szCs w:val="20"/>
              </w:rPr>
              <w:t>1200</w:t>
            </w:r>
          </w:p>
        </w:tc>
        <w:tc>
          <w:tcPr>
            <w:tcW w:w="652" w:type="pct"/>
            <w:tcMar>
              <w:left w:w="0" w:type="dxa"/>
              <w:right w:w="0" w:type="dxa"/>
            </w:tcMar>
            <w:vAlign w:val="center"/>
          </w:tcPr>
          <w:p w14:paraId="2A890DAF">
            <w:pPr>
              <w:adjustRightInd w:val="0"/>
              <w:snapToGrid w:val="0"/>
              <w:spacing w:line="240" w:lineRule="auto"/>
              <w:ind w:firstLine="0" w:firstLineChars="0"/>
              <w:jc w:val="center"/>
              <w:rPr>
                <w:sz w:val="21"/>
                <w:szCs w:val="20"/>
                <w:lang w:bidi="en-US"/>
              </w:rPr>
            </w:pPr>
            <w:r>
              <w:rPr>
                <w:rFonts w:hint="eastAsia"/>
                <w:sz w:val="21"/>
                <w:szCs w:val="20"/>
              </w:rPr>
              <w:t>ND</w:t>
            </w:r>
          </w:p>
        </w:tc>
        <w:tc>
          <w:tcPr>
            <w:tcW w:w="653" w:type="pct"/>
            <w:tcMar>
              <w:left w:w="0" w:type="dxa"/>
              <w:right w:w="0" w:type="dxa"/>
            </w:tcMar>
          </w:tcPr>
          <w:p w14:paraId="1474D0EB">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B12E58F">
            <w:pPr>
              <w:adjustRightInd w:val="0"/>
              <w:snapToGrid w:val="0"/>
              <w:spacing w:line="240" w:lineRule="auto"/>
              <w:ind w:firstLine="0" w:firstLineChars="0"/>
              <w:jc w:val="center"/>
              <w:rPr>
                <w:sz w:val="21"/>
                <w:szCs w:val="20"/>
                <w:lang w:bidi="en-US"/>
              </w:rPr>
            </w:pPr>
            <w:r>
              <w:rPr>
                <w:rFonts w:hint="eastAsia"/>
                <w:sz w:val="21"/>
                <w:szCs w:val="20"/>
              </w:rPr>
              <w:t>ND</w:t>
            </w:r>
          </w:p>
        </w:tc>
        <w:tc>
          <w:tcPr>
            <w:tcW w:w="651" w:type="pct"/>
            <w:tcMar>
              <w:left w:w="0" w:type="dxa"/>
              <w:right w:w="0" w:type="dxa"/>
            </w:tcMar>
          </w:tcPr>
          <w:p w14:paraId="49A5D667">
            <w:pPr>
              <w:adjustRightInd w:val="0"/>
              <w:snapToGrid w:val="0"/>
              <w:spacing w:line="240" w:lineRule="auto"/>
              <w:ind w:firstLine="0" w:firstLineChars="0"/>
              <w:jc w:val="center"/>
              <w:rPr>
                <w:sz w:val="21"/>
                <w:szCs w:val="20"/>
              </w:rPr>
            </w:pPr>
            <w:r>
              <w:rPr>
                <w:rFonts w:hint="eastAsia"/>
                <w:sz w:val="21"/>
                <w:szCs w:val="20"/>
              </w:rPr>
              <w:t>/</w:t>
            </w:r>
          </w:p>
        </w:tc>
      </w:tr>
      <w:tr w14:paraId="3E2259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609BAECD">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7D05778D">
            <w:pPr>
              <w:adjustRightInd w:val="0"/>
              <w:snapToGrid w:val="0"/>
              <w:spacing w:line="240" w:lineRule="auto"/>
              <w:ind w:firstLine="0" w:firstLineChars="0"/>
              <w:jc w:val="center"/>
              <w:rPr>
                <w:sz w:val="21"/>
                <w:szCs w:val="20"/>
              </w:rPr>
            </w:pPr>
            <w:r>
              <w:rPr>
                <w:sz w:val="21"/>
                <w:szCs w:val="20"/>
              </w:rPr>
              <w:t>间二甲苯+对二甲苯</w:t>
            </w:r>
          </w:p>
        </w:tc>
        <w:tc>
          <w:tcPr>
            <w:tcW w:w="665" w:type="pct"/>
            <w:tcMar>
              <w:left w:w="0" w:type="dxa"/>
              <w:right w:w="0" w:type="dxa"/>
            </w:tcMar>
            <w:vAlign w:val="center"/>
          </w:tcPr>
          <w:p w14:paraId="45013999">
            <w:pPr>
              <w:adjustRightInd w:val="0"/>
              <w:snapToGrid w:val="0"/>
              <w:spacing w:line="240" w:lineRule="auto"/>
              <w:ind w:firstLine="0" w:firstLineChars="0"/>
              <w:jc w:val="center"/>
              <w:rPr>
                <w:sz w:val="21"/>
                <w:szCs w:val="20"/>
              </w:rPr>
            </w:pPr>
            <w:r>
              <w:rPr>
                <w:sz w:val="21"/>
                <w:szCs w:val="20"/>
              </w:rPr>
              <w:t>570</w:t>
            </w:r>
          </w:p>
        </w:tc>
        <w:tc>
          <w:tcPr>
            <w:tcW w:w="652" w:type="pct"/>
            <w:tcMar>
              <w:left w:w="0" w:type="dxa"/>
              <w:right w:w="0" w:type="dxa"/>
            </w:tcMar>
            <w:vAlign w:val="center"/>
          </w:tcPr>
          <w:p w14:paraId="3C489201">
            <w:pPr>
              <w:adjustRightInd w:val="0"/>
              <w:snapToGrid w:val="0"/>
              <w:spacing w:line="240" w:lineRule="auto"/>
              <w:ind w:firstLine="0" w:firstLineChars="0"/>
              <w:jc w:val="center"/>
              <w:rPr>
                <w:sz w:val="21"/>
                <w:szCs w:val="20"/>
                <w:lang w:bidi="en-US"/>
              </w:rPr>
            </w:pPr>
            <w:r>
              <w:rPr>
                <w:rFonts w:hint="eastAsia"/>
                <w:sz w:val="21"/>
                <w:szCs w:val="20"/>
              </w:rPr>
              <w:t>ND</w:t>
            </w:r>
          </w:p>
        </w:tc>
        <w:tc>
          <w:tcPr>
            <w:tcW w:w="653" w:type="pct"/>
            <w:tcMar>
              <w:left w:w="0" w:type="dxa"/>
              <w:right w:w="0" w:type="dxa"/>
            </w:tcMar>
          </w:tcPr>
          <w:p w14:paraId="7B0AFD37">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70937D0C">
            <w:pPr>
              <w:adjustRightInd w:val="0"/>
              <w:snapToGrid w:val="0"/>
              <w:spacing w:line="240" w:lineRule="auto"/>
              <w:ind w:firstLine="0" w:firstLineChars="0"/>
              <w:jc w:val="center"/>
              <w:rPr>
                <w:sz w:val="21"/>
                <w:szCs w:val="20"/>
                <w:lang w:bidi="en-US"/>
              </w:rPr>
            </w:pPr>
            <w:r>
              <w:rPr>
                <w:rFonts w:hint="eastAsia"/>
                <w:sz w:val="21"/>
                <w:szCs w:val="20"/>
              </w:rPr>
              <w:t>ND</w:t>
            </w:r>
          </w:p>
        </w:tc>
        <w:tc>
          <w:tcPr>
            <w:tcW w:w="651" w:type="pct"/>
            <w:tcMar>
              <w:left w:w="0" w:type="dxa"/>
              <w:right w:w="0" w:type="dxa"/>
            </w:tcMar>
          </w:tcPr>
          <w:p w14:paraId="77968850">
            <w:pPr>
              <w:adjustRightInd w:val="0"/>
              <w:snapToGrid w:val="0"/>
              <w:spacing w:line="240" w:lineRule="auto"/>
              <w:ind w:firstLine="0" w:firstLineChars="0"/>
              <w:jc w:val="center"/>
              <w:rPr>
                <w:sz w:val="21"/>
                <w:szCs w:val="20"/>
              </w:rPr>
            </w:pPr>
            <w:r>
              <w:rPr>
                <w:rFonts w:hint="eastAsia"/>
                <w:sz w:val="21"/>
                <w:szCs w:val="20"/>
              </w:rPr>
              <w:t>/</w:t>
            </w:r>
          </w:p>
        </w:tc>
      </w:tr>
      <w:tr w14:paraId="1F0F28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A283057">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578F3D8">
            <w:pPr>
              <w:adjustRightInd w:val="0"/>
              <w:snapToGrid w:val="0"/>
              <w:spacing w:line="240" w:lineRule="auto"/>
              <w:ind w:firstLine="0" w:firstLineChars="0"/>
              <w:jc w:val="center"/>
              <w:rPr>
                <w:sz w:val="21"/>
                <w:szCs w:val="20"/>
              </w:rPr>
            </w:pPr>
            <w:r>
              <w:rPr>
                <w:sz w:val="21"/>
                <w:szCs w:val="20"/>
              </w:rPr>
              <w:t>邻二甲苯</w:t>
            </w:r>
          </w:p>
        </w:tc>
        <w:tc>
          <w:tcPr>
            <w:tcW w:w="665" w:type="pct"/>
            <w:tcMar>
              <w:left w:w="0" w:type="dxa"/>
              <w:right w:w="0" w:type="dxa"/>
            </w:tcMar>
            <w:vAlign w:val="center"/>
          </w:tcPr>
          <w:p w14:paraId="3BE3A1ED">
            <w:pPr>
              <w:adjustRightInd w:val="0"/>
              <w:snapToGrid w:val="0"/>
              <w:spacing w:line="240" w:lineRule="auto"/>
              <w:ind w:firstLine="0" w:firstLineChars="0"/>
              <w:jc w:val="center"/>
              <w:rPr>
                <w:sz w:val="21"/>
                <w:szCs w:val="20"/>
              </w:rPr>
            </w:pPr>
            <w:r>
              <w:rPr>
                <w:sz w:val="21"/>
                <w:szCs w:val="20"/>
              </w:rPr>
              <w:t>640</w:t>
            </w:r>
          </w:p>
        </w:tc>
        <w:tc>
          <w:tcPr>
            <w:tcW w:w="652" w:type="pct"/>
            <w:tcMar>
              <w:left w:w="0" w:type="dxa"/>
              <w:right w:w="0" w:type="dxa"/>
            </w:tcMar>
            <w:vAlign w:val="center"/>
          </w:tcPr>
          <w:p w14:paraId="573F4D5F">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3076588C">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133DDD16">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45F08CDF">
            <w:pPr>
              <w:adjustRightInd w:val="0"/>
              <w:snapToGrid w:val="0"/>
              <w:spacing w:line="240" w:lineRule="auto"/>
              <w:ind w:firstLine="0" w:firstLineChars="0"/>
              <w:jc w:val="center"/>
              <w:rPr>
                <w:sz w:val="21"/>
                <w:szCs w:val="20"/>
              </w:rPr>
            </w:pPr>
            <w:r>
              <w:rPr>
                <w:rFonts w:hint="eastAsia"/>
                <w:sz w:val="21"/>
                <w:szCs w:val="20"/>
              </w:rPr>
              <w:t>/</w:t>
            </w:r>
          </w:p>
        </w:tc>
      </w:tr>
      <w:tr w14:paraId="2BE0F3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CBDE908">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1AD44464">
            <w:pPr>
              <w:adjustRightInd w:val="0"/>
              <w:snapToGrid w:val="0"/>
              <w:spacing w:line="240" w:lineRule="auto"/>
              <w:ind w:firstLine="0" w:firstLineChars="0"/>
              <w:jc w:val="center"/>
              <w:rPr>
                <w:sz w:val="21"/>
                <w:szCs w:val="20"/>
              </w:rPr>
            </w:pPr>
            <w:r>
              <w:rPr>
                <w:sz w:val="21"/>
                <w:szCs w:val="20"/>
              </w:rPr>
              <w:t>硝基苯</w:t>
            </w:r>
          </w:p>
        </w:tc>
        <w:tc>
          <w:tcPr>
            <w:tcW w:w="665" w:type="pct"/>
            <w:tcMar>
              <w:left w:w="0" w:type="dxa"/>
              <w:right w:w="0" w:type="dxa"/>
            </w:tcMar>
            <w:vAlign w:val="center"/>
          </w:tcPr>
          <w:p w14:paraId="55C9372B">
            <w:pPr>
              <w:adjustRightInd w:val="0"/>
              <w:snapToGrid w:val="0"/>
              <w:spacing w:line="240" w:lineRule="auto"/>
              <w:ind w:firstLine="0" w:firstLineChars="0"/>
              <w:jc w:val="center"/>
              <w:rPr>
                <w:sz w:val="21"/>
                <w:szCs w:val="20"/>
              </w:rPr>
            </w:pPr>
            <w:r>
              <w:rPr>
                <w:sz w:val="21"/>
                <w:szCs w:val="20"/>
              </w:rPr>
              <w:t>76</w:t>
            </w:r>
          </w:p>
        </w:tc>
        <w:tc>
          <w:tcPr>
            <w:tcW w:w="652" w:type="pct"/>
            <w:tcMar>
              <w:left w:w="0" w:type="dxa"/>
              <w:right w:w="0" w:type="dxa"/>
            </w:tcMar>
            <w:vAlign w:val="center"/>
          </w:tcPr>
          <w:p w14:paraId="14D34542">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32385799">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02173E21">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38BC4586">
            <w:pPr>
              <w:adjustRightInd w:val="0"/>
              <w:snapToGrid w:val="0"/>
              <w:spacing w:line="240" w:lineRule="auto"/>
              <w:ind w:firstLine="0" w:firstLineChars="0"/>
              <w:jc w:val="center"/>
              <w:rPr>
                <w:sz w:val="21"/>
                <w:szCs w:val="20"/>
              </w:rPr>
            </w:pPr>
            <w:r>
              <w:rPr>
                <w:rFonts w:hint="eastAsia"/>
                <w:sz w:val="21"/>
                <w:szCs w:val="20"/>
              </w:rPr>
              <w:t>/</w:t>
            </w:r>
          </w:p>
        </w:tc>
      </w:tr>
      <w:tr w14:paraId="1F7AEE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ABB8CC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40855839">
            <w:pPr>
              <w:adjustRightInd w:val="0"/>
              <w:snapToGrid w:val="0"/>
              <w:spacing w:line="240" w:lineRule="auto"/>
              <w:ind w:firstLine="0" w:firstLineChars="0"/>
              <w:jc w:val="center"/>
              <w:rPr>
                <w:sz w:val="21"/>
                <w:szCs w:val="20"/>
              </w:rPr>
            </w:pPr>
            <w:r>
              <w:rPr>
                <w:sz w:val="21"/>
                <w:szCs w:val="20"/>
              </w:rPr>
              <w:t>苯胺</w:t>
            </w:r>
          </w:p>
        </w:tc>
        <w:tc>
          <w:tcPr>
            <w:tcW w:w="665" w:type="pct"/>
            <w:tcMar>
              <w:left w:w="0" w:type="dxa"/>
              <w:right w:w="0" w:type="dxa"/>
            </w:tcMar>
            <w:vAlign w:val="center"/>
          </w:tcPr>
          <w:p w14:paraId="69F80148">
            <w:pPr>
              <w:adjustRightInd w:val="0"/>
              <w:snapToGrid w:val="0"/>
              <w:spacing w:line="240" w:lineRule="auto"/>
              <w:ind w:firstLine="0" w:firstLineChars="0"/>
              <w:jc w:val="center"/>
              <w:rPr>
                <w:sz w:val="21"/>
                <w:szCs w:val="20"/>
              </w:rPr>
            </w:pPr>
            <w:r>
              <w:rPr>
                <w:sz w:val="21"/>
                <w:szCs w:val="20"/>
              </w:rPr>
              <w:t>260</w:t>
            </w:r>
          </w:p>
        </w:tc>
        <w:tc>
          <w:tcPr>
            <w:tcW w:w="652" w:type="pct"/>
            <w:tcMar>
              <w:left w:w="0" w:type="dxa"/>
              <w:right w:w="0" w:type="dxa"/>
            </w:tcMar>
            <w:vAlign w:val="center"/>
          </w:tcPr>
          <w:p w14:paraId="3FE8E497">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11BB1FD4">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18AC920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4E23FE50">
            <w:pPr>
              <w:adjustRightInd w:val="0"/>
              <w:snapToGrid w:val="0"/>
              <w:spacing w:line="240" w:lineRule="auto"/>
              <w:ind w:firstLine="0" w:firstLineChars="0"/>
              <w:jc w:val="center"/>
              <w:rPr>
                <w:sz w:val="21"/>
                <w:szCs w:val="20"/>
              </w:rPr>
            </w:pPr>
            <w:r>
              <w:rPr>
                <w:rFonts w:hint="eastAsia"/>
                <w:sz w:val="21"/>
                <w:szCs w:val="20"/>
              </w:rPr>
              <w:t>/</w:t>
            </w:r>
          </w:p>
        </w:tc>
      </w:tr>
      <w:tr w14:paraId="5D9225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7C64066">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10797097">
            <w:pPr>
              <w:adjustRightInd w:val="0"/>
              <w:snapToGrid w:val="0"/>
              <w:spacing w:line="240" w:lineRule="auto"/>
              <w:ind w:firstLine="0" w:firstLineChars="0"/>
              <w:jc w:val="center"/>
              <w:rPr>
                <w:sz w:val="21"/>
                <w:szCs w:val="20"/>
              </w:rPr>
            </w:pPr>
            <w:r>
              <w:rPr>
                <w:sz w:val="21"/>
                <w:szCs w:val="20"/>
              </w:rPr>
              <w:t>2-氯酚</w:t>
            </w:r>
          </w:p>
        </w:tc>
        <w:tc>
          <w:tcPr>
            <w:tcW w:w="665" w:type="pct"/>
            <w:tcMar>
              <w:left w:w="0" w:type="dxa"/>
              <w:right w:w="0" w:type="dxa"/>
            </w:tcMar>
            <w:vAlign w:val="center"/>
          </w:tcPr>
          <w:p w14:paraId="3BBC36F0">
            <w:pPr>
              <w:adjustRightInd w:val="0"/>
              <w:snapToGrid w:val="0"/>
              <w:spacing w:line="240" w:lineRule="auto"/>
              <w:ind w:firstLine="0" w:firstLineChars="0"/>
              <w:jc w:val="center"/>
              <w:rPr>
                <w:sz w:val="21"/>
                <w:szCs w:val="20"/>
              </w:rPr>
            </w:pPr>
            <w:r>
              <w:rPr>
                <w:sz w:val="21"/>
                <w:szCs w:val="20"/>
              </w:rPr>
              <w:t>2256</w:t>
            </w:r>
          </w:p>
        </w:tc>
        <w:tc>
          <w:tcPr>
            <w:tcW w:w="652" w:type="pct"/>
            <w:tcMar>
              <w:left w:w="0" w:type="dxa"/>
              <w:right w:w="0" w:type="dxa"/>
            </w:tcMar>
            <w:vAlign w:val="center"/>
          </w:tcPr>
          <w:p w14:paraId="3FEA67A3">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1ACFD8EB">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5336D38D">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26608071">
            <w:pPr>
              <w:adjustRightInd w:val="0"/>
              <w:snapToGrid w:val="0"/>
              <w:spacing w:line="240" w:lineRule="auto"/>
              <w:ind w:firstLine="0" w:firstLineChars="0"/>
              <w:jc w:val="center"/>
              <w:rPr>
                <w:sz w:val="21"/>
                <w:szCs w:val="20"/>
              </w:rPr>
            </w:pPr>
            <w:r>
              <w:rPr>
                <w:rFonts w:hint="eastAsia"/>
                <w:sz w:val="21"/>
                <w:szCs w:val="20"/>
              </w:rPr>
              <w:t>/</w:t>
            </w:r>
          </w:p>
        </w:tc>
      </w:tr>
      <w:tr w14:paraId="02328E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34335B3E">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6C89572">
            <w:pPr>
              <w:adjustRightInd w:val="0"/>
              <w:snapToGrid w:val="0"/>
              <w:spacing w:line="240" w:lineRule="auto"/>
              <w:ind w:firstLine="0" w:firstLineChars="0"/>
              <w:jc w:val="center"/>
              <w:rPr>
                <w:sz w:val="21"/>
                <w:szCs w:val="20"/>
              </w:rPr>
            </w:pPr>
            <w:r>
              <w:rPr>
                <w:sz w:val="21"/>
                <w:szCs w:val="20"/>
              </w:rPr>
              <w:t>苯并[a]蒽</w:t>
            </w:r>
          </w:p>
        </w:tc>
        <w:tc>
          <w:tcPr>
            <w:tcW w:w="665" w:type="pct"/>
            <w:tcMar>
              <w:left w:w="0" w:type="dxa"/>
              <w:right w:w="0" w:type="dxa"/>
            </w:tcMar>
            <w:vAlign w:val="center"/>
          </w:tcPr>
          <w:p w14:paraId="7A3619D6">
            <w:pPr>
              <w:adjustRightInd w:val="0"/>
              <w:snapToGrid w:val="0"/>
              <w:spacing w:line="240" w:lineRule="auto"/>
              <w:ind w:firstLine="0" w:firstLineChars="0"/>
              <w:jc w:val="center"/>
              <w:rPr>
                <w:sz w:val="21"/>
                <w:szCs w:val="20"/>
              </w:rPr>
            </w:pPr>
            <w:r>
              <w:rPr>
                <w:sz w:val="21"/>
                <w:szCs w:val="20"/>
              </w:rPr>
              <w:t>15</w:t>
            </w:r>
          </w:p>
        </w:tc>
        <w:tc>
          <w:tcPr>
            <w:tcW w:w="652" w:type="pct"/>
            <w:tcMar>
              <w:left w:w="0" w:type="dxa"/>
              <w:right w:w="0" w:type="dxa"/>
            </w:tcMar>
            <w:vAlign w:val="center"/>
          </w:tcPr>
          <w:p w14:paraId="6870335E">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37D2192E">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662B7538">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57C2D741">
            <w:pPr>
              <w:adjustRightInd w:val="0"/>
              <w:snapToGrid w:val="0"/>
              <w:spacing w:line="240" w:lineRule="auto"/>
              <w:ind w:firstLine="0" w:firstLineChars="0"/>
              <w:jc w:val="center"/>
              <w:rPr>
                <w:sz w:val="21"/>
                <w:szCs w:val="20"/>
              </w:rPr>
            </w:pPr>
            <w:r>
              <w:rPr>
                <w:rFonts w:hint="eastAsia"/>
                <w:sz w:val="21"/>
                <w:szCs w:val="20"/>
              </w:rPr>
              <w:t>/</w:t>
            </w:r>
          </w:p>
        </w:tc>
      </w:tr>
      <w:tr w14:paraId="2709E4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2D6FD803">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E8EEAEE">
            <w:pPr>
              <w:adjustRightInd w:val="0"/>
              <w:snapToGrid w:val="0"/>
              <w:spacing w:line="240" w:lineRule="auto"/>
              <w:ind w:firstLine="0" w:firstLineChars="0"/>
              <w:jc w:val="center"/>
              <w:rPr>
                <w:sz w:val="21"/>
                <w:szCs w:val="20"/>
              </w:rPr>
            </w:pPr>
            <w:r>
              <w:rPr>
                <w:sz w:val="21"/>
                <w:szCs w:val="20"/>
              </w:rPr>
              <w:t>苯并[a]芘</w:t>
            </w:r>
          </w:p>
        </w:tc>
        <w:tc>
          <w:tcPr>
            <w:tcW w:w="665" w:type="pct"/>
            <w:tcMar>
              <w:left w:w="0" w:type="dxa"/>
              <w:right w:w="0" w:type="dxa"/>
            </w:tcMar>
            <w:vAlign w:val="center"/>
          </w:tcPr>
          <w:p w14:paraId="53847B54">
            <w:pPr>
              <w:adjustRightInd w:val="0"/>
              <w:snapToGrid w:val="0"/>
              <w:spacing w:line="240" w:lineRule="auto"/>
              <w:ind w:firstLine="0" w:firstLineChars="0"/>
              <w:jc w:val="center"/>
              <w:rPr>
                <w:sz w:val="21"/>
                <w:szCs w:val="20"/>
              </w:rPr>
            </w:pPr>
            <w:r>
              <w:rPr>
                <w:sz w:val="21"/>
                <w:szCs w:val="20"/>
              </w:rPr>
              <w:t>1.5</w:t>
            </w:r>
          </w:p>
        </w:tc>
        <w:tc>
          <w:tcPr>
            <w:tcW w:w="652" w:type="pct"/>
            <w:tcMar>
              <w:left w:w="0" w:type="dxa"/>
              <w:right w:w="0" w:type="dxa"/>
            </w:tcMar>
            <w:vAlign w:val="center"/>
          </w:tcPr>
          <w:p w14:paraId="06864478">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2CC1A63">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74B81917">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4DB5CD2A">
            <w:pPr>
              <w:adjustRightInd w:val="0"/>
              <w:snapToGrid w:val="0"/>
              <w:spacing w:line="240" w:lineRule="auto"/>
              <w:ind w:firstLine="0" w:firstLineChars="0"/>
              <w:jc w:val="center"/>
              <w:rPr>
                <w:sz w:val="21"/>
                <w:szCs w:val="20"/>
              </w:rPr>
            </w:pPr>
            <w:r>
              <w:rPr>
                <w:rFonts w:hint="eastAsia"/>
                <w:sz w:val="21"/>
                <w:szCs w:val="20"/>
              </w:rPr>
              <w:t>/</w:t>
            </w:r>
          </w:p>
        </w:tc>
      </w:tr>
      <w:tr w14:paraId="1A8BAA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689BEB2">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186D4F52">
            <w:pPr>
              <w:adjustRightInd w:val="0"/>
              <w:snapToGrid w:val="0"/>
              <w:spacing w:line="240" w:lineRule="auto"/>
              <w:ind w:firstLine="0" w:firstLineChars="0"/>
              <w:jc w:val="center"/>
              <w:rPr>
                <w:sz w:val="21"/>
                <w:szCs w:val="20"/>
              </w:rPr>
            </w:pPr>
            <w:r>
              <w:rPr>
                <w:sz w:val="21"/>
                <w:szCs w:val="20"/>
              </w:rPr>
              <w:t>苯并[b]荧蒽</w:t>
            </w:r>
          </w:p>
        </w:tc>
        <w:tc>
          <w:tcPr>
            <w:tcW w:w="665" w:type="pct"/>
            <w:tcMar>
              <w:left w:w="0" w:type="dxa"/>
              <w:right w:w="0" w:type="dxa"/>
            </w:tcMar>
            <w:vAlign w:val="center"/>
          </w:tcPr>
          <w:p w14:paraId="32BDC418">
            <w:pPr>
              <w:adjustRightInd w:val="0"/>
              <w:snapToGrid w:val="0"/>
              <w:spacing w:line="240" w:lineRule="auto"/>
              <w:ind w:firstLine="0" w:firstLineChars="0"/>
              <w:jc w:val="center"/>
              <w:rPr>
                <w:sz w:val="21"/>
                <w:szCs w:val="20"/>
              </w:rPr>
            </w:pPr>
            <w:r>
              <w:rPr>
                <w:sz w:val="21"/>
                <w:szCs w:val="20"/>
              </w:rPr>
              <w:t>15</w:t>
            </w:r>
          </w:p>
        </w:tc>
        <w:tc>
          <w:tcPr>
            <w:tcW w:w="652" w:type="pct"/>
            <w:tcMar>
              <w:left w:w="0" w:type="dxa"/>
              <w:right w:w="0" w:type="dxa"/>
            </w:tcMar>
            <w:vAlign w:val="center"/>
          </w:tcPr>
          <w:p w14:paraId="54C82CBC">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00632821">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9E4BCA8">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170C8683">
            <w:pPr>
              <w:adjustRightInd w:val="0"/>
              <w:snapToGrid w:val="0"/>
              <w:spacing w:line="240" w:lineRule="auto"/>
              <w:ind w:firstLine="0" w:firstLineChars="0"/>
              <w:jc w:val="center"/>
              <w:rPr>
                <w:sz w:val="21"/>
                <w:szCs w:val="20"/>
              </w:rPr>
            </w:pPr>
            <w:r>
              <w:rPr>
                <w:rFonts w:hint="eastAsia"/>
                <w:sz w:val="21"/>
                <w:szCs w:val="20"/>
              </w:rPr>
              <w:t>/</w:t>
            </w:r>
          </w:p>
        </w:tc>
      </w:tr>
      <w:tr w14:paraId="5A370B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32164EE1">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5E2AA6F1">
            <w:pPr>
              <w:adjustRightInd w:val="0"/>
              <w:snapToGrid w:val="0"/>
              <w:spacing w:line="240" w:lineRule="auto"/>
              <w:ind w:firstLine="0" w:firstLineChars="0"/>
              <w:jc w:val="center"/>
              <w:rPr>
                <w:sz w:val="21"/>
                <w:szCs w:val="20"/>
              </w:rPr>
            </w:pPr>
            <w:r>
              <w:rPr>
                <w:sz w:val="21"/>
                <w:szCs w:val="20"/>
              </w:rPr>
              <w:t>苯并[k]荧蒽</w:t>
            </w:r>
          </w:p>
        </w:tc>
        <w:tc>
          <w:tcPr>
            <w:tcW w:w="665" w:type="pct"/>
            <w:tcMar>
              <w:left w:w="0" w:type="dxa"/>
              <w:right w:w="0" w:type="dxa"/>
            </w:tcMar>
            <w:vAlign w:val="center"/>
          </w:tcPr>
          <w:p w14:paraId="59F8AB4B">
            <w:pPr>
              <w:adjustRightInd w:val="0"/>
              <w:snapToGrid w:val="0"/>
              <w:spacing w:line="240" w:lineRule="auto"/>
              <w:ind w:firstLine="0" w:firstLineChars="0"/>
              <w:jc w:val="center"/>
              <w:rPr>
                <w:sz w:val="21"/>
                <w:szCs w:val="20"/>
              </w:rPr>
            </w:pPr>
            <w:r>
              <w:rPr>
                <w:sz w:val="21"/>
                <w:szCs w:val="20"/>
              </w:rPr>
              <w:t>151</w:t>
            </w:r>
          </w:p>
        </w:tc>
        <w:tc>
          <w:tcPr>
            <w:tcW w:w="652" w:type="pct"/>
            <w:tcMar>
              <w:left w:w="0" w:type="dxa"/>
              <w:right w:w="0" w:type="dxa"/>
            </w:tcMar>
            <w:vAlign w:val="center"/>
          </w:tcPr>
          <w:p w14:paraId="6806FBFD">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623FC5BB">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0FDE6A8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7B370DF2">
            <w:pPr>
              <w:adjustRightInd w:val="0"/>
              <w:snapToGrid w:val="0"/>
              <w:spacing w:line="240" w:lineRule="auto"/>
              <w:ind w:firstLine="0" w:firstLineChars="0"/>
              <w:jc w:val="center"/>
              <w:rPr>
                <w:sz w:val="21"/>
                <w:szCs w:val="20"/>
              </w:rPr>
            </w:pPr>
            <w:r>
              <w:rPr>
                <w:rFonts w:hint="eastAsia"/>
                <w:sz w:val="21"/>
                <w:szCs w:val="20"/>
              </w:rPr>
              <w:t>/</w:t>
            </w:r>
          </w:p>
        </w:tc>
      </w:tr>
      <w:tr w14:paraId="7F0BE4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1E97A6AC">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0231683">
            <w:pPr>
              <w:adjustRightInd w:val="0"/>
              <w:snapToGrid w:val="0"/>
              <w:spacing w:line="240" w:lineRule="auto"/>
              <w:ind w:firstLine="0" w:firstLineChars="0"/>
              <w:jc w:val="center"/>
              <w:rPr>
                <w:sz w:val="21"/>
                <w:szCs w:val="20"/>
              </w:rPr>
            </w:pPr>
            <w:r>
              <w:rPr>
                <w:sz w:val="21"/>
                <w:szCs w:val="20"/>
              </w:rPr>
              <w:t>崫</w:t>
            </w:r>
          </w:p>
        </w:tc>
        <w:tc>
          <w:tcPr>
            <w:tcW w:w="665" w:type="pct"/>
            <w:tcMar>
              <w:left w:w="0" w:type="dxa"/>
              <w:right w:w="0" w:type="dxa"/>
            </w:tcMar>
            <w:vAlign w:val="center"/>
          </w:tcPr>
          <w:p w14:paraId="525A5D0A">
            <w:pPr>
              <w:adjustRightInd w:val="0"/>
              <w:snapToGrid w:val="0"/>
              <w:spacing w:line="240" w:lineRule="auto"/>
              <w:ind w:firstLine="0" w:firstLineChars="0"/>
              <w:jc w:val="center"/>
              <w:rPr>
                <w:sz w:val="21"/>
                <w:szCs w:val="20"/>
              </w:rPr>
            </w:pPr>
            <w:r>
              <w:rPr>
                <w:sz w:val="21"/>
                <w:szCs w:val="20"/>
              </w:rPr>
              <w:t>1293</w:t>
            </w:r>
          </w:p>
        </w:tc>
        <w:tc>
          <w:tcPr>
            <w:tcW w:w="652" w:type="pct"/>
            <w:tcMar>
              <w:left w:w="0" w:type="dxa"/>
              <w:right w:w="0" w:type="dxa"/>
            </w:tcMar>
            <w:vAlign w:val="center"/>
          </w:tcPr>
          <w:p w14:paraId="730D7943">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2E2309FB">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E9C3262">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6A38FAF2">
            <w:pPr>
              <w:adjustRightInd w:val="0"/>
              <w:snapToGrid w:val="0"/>
              <w:spacing w:line="240" w:lineRule="auto"/>
              <w:ind w:firstLine="0" w:firstLineChars="0"/>
              <w:jc w:val="center"/>
              <w:rPr>
                <w:sz w:val="21"/>
                <w:szCs w:val="20"/>
              </w:rPr>
            </w:pPr>
            <w:r>
              <w:rPr>
                <w:rFonts w:hint="eastAsia"/>
                <w:sz w:val="21"/>
                <w:szCs w:val="20"/>
              </w:rPr>
              <w:t>/</w:t>
            </w:r>
          </w:p>
        </w:tc>
      </w:tr>
      <w:tr w14:paraId="03AD9C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15EEEA79">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2066C71D">
            <w:pPr>
              <w:adjustRightInd w:val="0"/>
              <w:snapToGrid w:val="0"/>
              <w:spacing w:line="240" w:lineRule="auto"/>
              <w:ind w:firstLine="0" w:firstLineChars="0"/>
              <w:jc w:val="center"/>
              <w:rPr>
                <w:sz w:val="21"/>
                <w:szCs w:val="20"/>
              </w:rPr>
            </w:pPr>
            <w:r>
              <w:rPr>
                <w:sz w:val="21"/>
                <w:szCs w:val="20"/>
              </w:rPr>
              <w:t>二苯并[a、h]蒽</w:t>
            </w:r>
          </w:p>
        </w:tc>
        <w:tc>
          <w:tcPr>
            <w:tcW w:w="665" w:type="pct"/>
            <w:tcMar>
              <w:left w:w="0" w:type="dxa"/>
              <w:right w:w="0" w:type="dxa"/>
            </w:tcMar>
            <w:vAlign w:val="center"/>
          </w:tcPr>
          <w:p w14:paraId="1367C9DF">
            <w:pPr>
              <w:adjustRightInd w:val="0"/>
              <w:snapToGrid w:val="0"/>
              <w:spacing w:line="240" w:lineRule="auto"/>
              <w:ind w:firstLine="0" w:firstLineChars="0"/>
              <w:jc w:val="center"/>
              <w:rPr>
                <w:sz w:val="21"/>
                <w:szCs w:val="20"/>
              </w:rPr>
            </w:pPr>
            <w:r>
              <w:rPr>
                <w:sz w:val="21"/>
                <w:szCs w:val="20"/>
              </w:rPr>
              <w:t>1.5</w:t>
            </w:r>
          </w:p>
        </w:tc>
        <w:tc>
          <w:tcPr>
            <w:tcW w:w="652" w:type="pct"/>
            <w:tcMar>
              <w:left w:w="0" w:type="dxa"/>
              <w:right w:w="0" w:type="dxa"/>
            </w:tcMar>
            <w:vAlign w:val="center"/>
          </w:tcPr>
          <w:p w14:paraId="6CFE773C">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38DB789A">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5124DC0F">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155AEAA1">
            <w:pPr>
              <w:adjustRightInd w:val="0"/>
              <w:snapToGrid w:val="0"/>
              <w:spacing w:line="240" w:lineRule="auto"/>
              <w:ind w:firstLine="0" w:firstLineChars="0"/>
              <w:jc w:val="center"/>
              <w:rPr>
                <w:sz w:val="21"/>
                <w:szCs w:val="20"/>
              </w:rPr>
            </w:pPr>
            <w:r>
              <w:rPr>
                <w:rFonts w:hint="eastAsia"/>
                <w:sz w:val="21"/>
                <w:szCs w:val="20"/>
              </w:rPr>
              <w:t>/</w:t>
            </w:r>
          </w:p>
        </w:tc>
      </w:tr>
      <w:tr w14:paraId="1674B3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7C28F994">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671D6018">
            <w:pPr>
              <w:adjustRightInd w:val="0"/>
              <w:snapToGrid w:val="0"/>
              <w:spacing w:line="240" w:lineRule="auto"/>
              <w:ind w:firstLine="0" w:firstLineChars="0"/>
              <w:jc w:val="center"/>
              <w:rPr>
                <w:sz w:val="21"/>
                <w:szCs w:val="20"/>
              </w:rPr>
            </w:pPr>
            <w:r>
              <w:rPr>
                <w:sz w:val="21"/>
                <w:szCs w:val="20"/>
              </w:rPr>
              <w:t>茚并[1，2，3-cd]芘</w:t>
            </w:r>
          </w:p>
        </w:tc>
        <w:tc>
          <w:tcPr>
            <w:tcW w:w="665" w:type="pct"/>
            <w:tcMar>
              <w:left w:w="0" w:type="dxa"/>
              <w:right w:w="0" w:type="dxa"/>
            </w:tcMar>
            <w:vAlign w:val="center"/>
          </w:tcPr>
          <w:p w14:paraId="643D9C95">
            <w:pPr>
              <w:adjustRightInd w:val="0"/>
              <w:snapToGrid w:val="0"/>
              <w:spacing w:line="240" w:lineRule="auto"/>
              <w:ind w:firstLine="0" w:firstLineChars="0"/>
              <w:jc w:val="center"/>
              <w:rPr>
                <w:sz w:val="21"/>
                <w:szCs w:val="20"/>
              </w:rPr>
            </w:pPr>
            <w:r>
              <w:rPr>
                <w:sz w:val="21"/>
                <w:szCs w:val="20"/>
              </w:rPr>
              <w:t>15</w:t>
            </w:r>
          </w:p>
        </w:tc>
        <w:tc>
          <w:tcPr>
            <w:tcW w:w="652" w:type="pct"/>
            <w:tcMar>
              <w:left w:w="0" w:type="dxa"/>
              <w:right w:w="0" w:type="dxa"/>
            </w:tcMar>
            <w:vAlign w:val="center"/>
          </w:tcPr>
          <w:p w14:paraId="0133D1BB">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4169C233">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39755F05">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5CB0392B">
            <w:pPr>
              <w:adjustRightInd w:val="0"/>
              <w:snapToGrid w:val="0"/>
              <w:spacing w:line="240" w:lineRule="auto"/>
              <w:ind w:firstLine="0" w:firstLineChars="0"/>
              <w:jc w:val="center"/>
              <w:rPr>
                <w:sz w:val="21"/>
                <w:szCs w:val="20"/>
              </w:rPr>
            </w:pPr>
            <w:r>
              <w:rPr>
                <w:rFonts w:hint="eastAsia"/>
                <w:sz w:val="21"/>
                <w:szCs w:val="20"/>
              </w:rPr>
              <w:t>/</w:t>
            </w:r>
          </w:p>
        </w:tc>
      </w:tr>
      <w:tr w14:paraId="651876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82" w:type="pct"/>
            <w:tcMar>
              <w:left w:w="0" w:type="dxa"/>
              <w:right w:w="0" w:type="dxa"/>
            </w:tcMar>
            <w:vAlign w:val="center"/>
          </w:tcPr>
          <w:p w14:paraId="418EBF08">
            <w:pPr>
              <w:numPr>
                <w:ilvl w:val="0"/>
                <w:numId w:val="25"/>
              </w:numPr>
              <w:adjustRightInd w:val="0"/>
              <w:snapToGrid w:val="0"/>
              <w:spacing w:line="240" w:lineRule="auto"/>
              <w:ind w:firstLineChars="0"/>
              <w:jc w:val="center"/>
              <w:rPr>
                <w:sz w:val="21"/>
                <w:szCs w:val="20"/>
              </w:rPr>
            </w:pPr>
          </w:p>
        </w:tc>
        <w:tc>
          <w:tcPr>
            <w:tcW w:w="1244" w:type="pct"/>
            <w:tcMar>
              <w:left w:w="0" w:type="dxa"/>
              <w:right w:w="0" w:type="dxa"/>
            </w:tcMar>
            <w:vAlign w:val="center"/>
          </w:tcPr>
          <w:p w14:paraId="38F5C3CA">
            <w:pPr>
              <w:adjustRightInd w:val="0"/>
              <w:snapToGrid w:val="0"/>
              <w:spacing w:line="240" w:lineRule="auto"/>
              <w:ind w:firstLine="0" w:firstLineChars="0"/>
              <w:jc w:val="center"/>
              <w:rPr>
                <w:sz w:val="21"/>
                <w:szCs w:val="20"/>
              </w:rPr>
            </w:pPr>
            <w:r>
              <w:rPr>
                <w:sz w:val="21"/>
                <w:szCs w:val="20"/>
              </w:rPr>
              <w:t>萘</w:t>
            </w:r>
          </w:p>
        </w:tc>
        <w:tc>
          <w:tcPr>
            <w:tcW w:w="665" w:type="pct"/>
            <w:tcMar>
              <w:left w:w="0" w:type="dxa"/>
              <w:right w:w="0" w:type="dxa"/>
            </w:tcMar>
            <w:vAlign w:val="center"/>
          </w:tcPr>
          <w:p w14:paraId="72123E39">
            <w:pPr>
              <w:adjustRightInd w:val="0"/>
              <w:snapToGrid w:val="0"/>
              <w:spacing w:line="240" w:lineRule="auto"/>
              <w:ind w:firstLine="0" w:firstLineChars="0"/>
              <w:jc w:val="center"/>
              <w:rPr>
                <w:sz w:val="21"/>
                <w:szCs w:val="20"/>
              </w:rPr>
            </w:pPr>
            <w:r>
              <w:rPr>
                <w:sz w:val="21"/>
                <w:szCs w:val="20"/>
              </w:rPr>
              <w:t>70</w:t>
            </w:r>
          </w:p>
        </w:tc>
        <w:tc>
          <w:tcPr>
            <w:tcW w:w="652" w:type="pct"/>
            <w:tcMar>
              <w:left w:w="0" w:type="dxa"/>
              <w:right w:w="0" w:type="dxa"/>
            </w:tcMar>
            <w:vAlign w:val="center"/>
          </w:tcPr>
          <w:p w14:paraId="50025087">
            <w:pPr>
              <w:adjustRightInd w:val="0"/>
              <w:snapToGrid w:val="0"/>
              <w:spacing w:line="240" w:lineRule="auto"/>
              <w:ind w:firstLine="0" w:firstLineChars="0"/>
              <w:jc w:val="center"/>
              <w:rPr>
                <w:sz w:val="21"/>
                <w:szCs w:val="20"/>
              </w:rPr>
            </w:pPr>
            <w:r>
              <w:rPr>
                <w:rFonts w:hint="eastAsia"/>
                <w:sz w:val="21"/>
                <w:szCs w:val="20"/>
              </w:rPr>
              <w:t>ND</w:t>
            </w:r>
          </w:p>
        </w:tc>
        <w:tc>
          <w:tcPr>
            <w:tcW w:w="653" w:type="pct"/>
            <w:tcMar>
              <w:left w:w="0" w:type="dxa"/>
              <w:right w:w="0" w:type="dxa"/>
            </w:tcMar>
          </w:tcPr>
          <w:p w14:paraId="5211FED7">
            <w:pPr>
              <w:adjustRightInd w:val="0"/>
              <w:snapToGrid w:val="0"/>
              <w:spacing w:line="240" w:lineRule="auto"/>
              <w:ind w:firstLine="0" w:firstLineChars="0"/>
              <w:jc w:val="center"/>
              <w:rPr>
                <w:sz w:val="21"/>
                <w:szCs w:val="20"/>
              </w:rPr>
            </w:pPr>
            <w:r>
              <w:rPr>
                <w:rFonts w:hint="eastAsia"/>
                <w:sz w:val="21"/>
                <w:szCs w:val="20"/>
              </w:rPr>
              <w:t>/</w:t>
            </w:r>
          </w:p>
        </w:tc>
        <w:tc>
          <w:tcPr>
            <w:tcW w:w="653" w:type="pct"/>
            <w:tcMar>
              <w:left w:w="0" w:type="dxa"/>
              <w:right w:w="0" w:type="dxa"/>
            </w:tcMar>
            <w:vAlign w:val="center"/>
          </w:tcPr>
          <w:p w14:paraId="6FD38461">
            <w:pPr>
              <w:adjustRightInd w:val="0"/>
              <w:snapToGrid w:val="0"/>
              <w:spacing w:line="240" w:lineRule="auto"/>
              <w:ind w:firstLine="0" w:firstLineChars="0"/>
              <w:jc w:val="center"/>
              <w:rPr>
                <w:sz w:val="21"/>
                <w:szCs w:val="20"/>
              </w:rPr>
            </w:pPr>
            <w:r>
              <w:rPr>
                <w:rFonts w:hint="eastAsia"/>
                <w:sz w:val="21"/>
                <w:szCs w:val="20"/>
              </w:rPr>
              <w:t>ND</w:t>
            </w:r>
          </w:p>
        </w:tc>
        <w:tc>
          <w:tcPr>
            <w:tcW w:w="651" w:type="pct"/>
            <w:tcMar>
              <w:left w:w="0" w:type="dxa"/>
              <w:right w:w="0" w:type="dxa"/>
            </w:tcMar>
          </w:tcPr>
          <w:p w14:paraId="0A667A36">
            <w:pPr>
              <w:adjustRightInd w:val="0"/>
              <w:snapToGrid w:val="0"/>
              <w:spacing w:line="240" w:lineRule="auto"/>
              <w:ind w:firstLine="0" w:firstLineChars="0"/>
              <w:jc w:val="center"/>
              <w:rPr>
                <w:sz w:val="21"/>
                <w:szCs w:val="20"/>
              </w:rPr>
            </w:pPr>
            <w:r>
              <w:rPr>
                <w:rFonts w:hint="eastAsia"/>
                <w:sz w:val="21"/>
                <w:szCs w:val="20"/>
              </w:rPr>
              <w:t>/</w:t>
            </w:r>
          </w:p>
        </w:tc>
      </w:tr>
    </w:tbl>
    <w:p w14:paraId="64B2E2F2">
      <w:pPr>
        <w:pStyle w:val="47"/>
        <w:spacing w:before="0" w:beforeLines="0" w:after="0"/>
        <w:ind w:firstLine="360"/>
        <w:jc w:val="both"/>
        <w:rPr>
          <w:sz w:val="18"/>
          <w:szCs w:val="18"/>
        </w:rPr>
      </w:pPr>
      <w:bookmarkStart w:id="389" w:name="_Ref74245219"/>
      <w:r>
        <w:rPr>
          <w:rFonts w:hint="eastAsia"/>
          <w:sz w:val="18"/>
          <w:szCs w:val="18"/>
        </w:rPr>
        <w:t>注：ND表示低于检出限</w:t>
      </w:r>
    </w:p>
    <w:bookmarkEnd w:id="389"/>
    <w:p w14:paraId="081A39AD">
      <w:pPr>
        <w:pStyle w:val="47"/>
        <w:spacing w:before="65"/>
        <w:ind w:firstLine="480"/>
      </w:pPr>
      <w:r>
        <w:rPr>
          <w:rFonts w:hint="eastAsia"/>
        </w:rPr>
        <w:t>表4</w:t>
      </w:r>
      <w:r>
        <w:t xml:space="preserve">.3-9      </w:t>
      </w:r>
      <w:r>
        <w:rPr>
          <w:rFonts w:hint="eastAsia"/>
        </w:rPr>
        <w:t xml:space="preserve">土壤环境质量现状监测结果统计表 </w:t>
      </w:r>
      <w:r>
        <w:t xml:space="preserve">   </w:t>
      </w:r>
      <w:r>
        <w:rPr>
          <w:rFonts w:hint="eastAsia"/>
        </w:rPr>
        <w:t>单位：mg</w:t>
      </w:r>
      <w:r>
        <w:t>/</w:t>
      </w:r>
      <w:r>
        <w:rPr>
          <w:rFonts w:hint="eastAsia"/>
        </w:rPr>
        <w:t>kg</w:t>
      </w:r>
    </w:p>
    <w:tbl>
      <w:tblPr>
        <w:tblStyle w:val="30"/>
        <w:tblW w:w="493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1128"/>
        <w:gridCol w:w="814"/>
        <w:gridCol w:w="815"/>
        <w:gridCol w:w="815"/>
        <w:gridCol w:w="817"/>
        <w:gridCol w:w="817"/>
        <w:gridCol w:w="817"/>
        <w:gridCol w:w="1016"/>
        <w:gridCol w:w="1267"/>
      </w:tblGrid>
      <w:tr w14:paraId="121AF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89" w:type="pct"/>
            <w:gridSpan w:val="2"/>
            <w:tcBorders>
              <w:top w:val="single" w:color="auto" w:sz="12" w:space="0"/>
              <w:bottom w:val="single" w:color="auto" w:sz="6" w:space="0"/>
              <w:tl2br w:val="single" w:color="auto" w:sz="4" w:space="0"/>
            </w:tcBorders>
            <w:shd w:val="clear" w:color="auto" w:fill="auto"/>
            <w:tcMar>
              <w:left w:w="0" w:type="dxa"/>
              <w:right w:w="0" w:type="dxa"/>
            </w:tcMar>
            <w:vAlign w:val="center"/>
          </w:tcPr>
          <w:p w14:paraId="414E041B">
            <w:pPr>
              <w:pStyle w:val="90"/>
            </w:pPr>
            <w:r>
              <w:rPr>
                <w:rFonts w:hint="eastAsia"/>
              </w:rPr>
              <w:t>项目</w:t>
            </w:r>
          </w:p>
          <w:p w14:paraId="08F6BDFB">
            <w:pPr>
              <w:pStyle w:val="90"/>
            </w:pPr>
            <w:r>
              <w:rPr>
                <w:rFonts w:hint="eastAsia"/>
              </w:rPr>
              <w:t>点位</w:t>
            </w:r>
          </w:p>
        </w:tc>
        <w:tc>
          <w:tcPr>
            <w:tcW w:w="466" w:type="pct"/>
            <w:tcBorders>
              <w:top w:val="single" w:color="auto" w:sz="12" w:space="0"/>
              <w:bottom w:val="single" w:color="auto" w:sz="6" w:space="0"/>
            </w:tcBorders>
            <w:shd w:val="clear" w:color="auto" w:fill="auto"/>
            <w:tcMar>
              <w:left w:w="0" w:type="dxa"/>
              <w:right w:w="0" w:type="dxa"/>
            </w:tcMar>
            <w:vAlign w:val="center"/>
          </w:tcPr>
          <w:p w14:paraId="03263704">
            <w:pPr>
              <w:pStyle w:val="90"/>
            </w:pPr>
            <w:r>
              <w:rPr>
                <w:rFonts w:hint="eastAsia"/>
              </w:rPr>
              <w:t>铜</w:t>
            </w:r>
          </w:p>
        </w:tc>
        <w:tc>
          <w:tcPr>
            <w:tcW w:w="467" w:type="pct"/>
            <w:tcBorders>
              <w:top w:val="single" w:color="auto" w:sz="12" w:space="0"/>
              <w:bottom w:val="single" w:color="auto" w:sz="6" w:space="0"/>
            </w:tcBorders>
            <w:shd w:val="clear" w:color="auto" w:fill="auto"/>
            <w:tcMar>
              <w:left w:w="0" w:type="dxa"/>
              <w:right w:w="0" w:type="dxa"/>
            </w:tcMar>
            <w:vAlign w:val="center"/>
          </w:tcPr>
          <w:p w14:paraId="79637D84">
            <w:pPr>
              <w:pStyle w:val="90"/>
            </w:pPr>
            <w:r>
              <w:rPr>
                <w:rFonts w:hint="eastAsia"/>
              </w:rPr>
              <w:t>铅</w:t>
            </w:r>
          </w:p>
        </w:tc>
        <w:tc>
          <w:tcPr>
            <w:tcW w:w="467" w:type="pct"/>
            <w:tcBorders>
              <w:top w:val="single" w:color="auto" w:sz="12" w:space="0"/>
              <w:bottom w:val="single" w:color="auto" w:sz="6" w:space="0"/>
            </w:tcBorders>
            <w:shd w:val="clear" w:color="auto" w:fill="auto"/>
            <w:tcMar>
              <w:left w:w="0" w:type="dxa"/>
              <w:right w:w="0" w:type="dxa"/>
            </w:tcMar>
            <w:vAlign w:val="center"/>
          </w:tcPr>
          <w:p w14:paraId="54B9805C">
            <w:pPr>
              <w:pStyle w:val="90"/>
            </w:pPr>
            <w:r>
              <w:rPr>
                <w:rFonts w:hint="eastAsia"/>
              </w:rPr>
              <w:t>镍</w:t>
            </w:r>
          </w:p>
        </w:tc>
        <w:tc>
          <w:tcPr>
            <w:tcW w:w="468" w:type="pct"/>
            <w:tcBorders>
              <w:top w:val="single" w:color="auto" w:sz="12" w:space="0"/>
              <w:bottom w:val="single" w:color="auto" w:sz="6" w:space="0"/>
            </w:tcBorders>
            <w:shd w:val="clear" w:color="auto" w:fill="auto"/>
            <w:tcMar>
              <w:left w:w="0" w:type="dxa"/>
              <w:right w:w="0" w:type="dxa"/>
            </w:tcMar>
            <w:vAlign w:val="center"/>
          </w:tcPr>
          <w:p w14:paraId="422971C7">
            <w:pPr>
              <w:pStyle w:val="90"/>
            </w:pPr>
            <w:r>
              <w:rPr>
                <w:rFonts w:hint="eastAsia"/>
              </w:rPr>
              <w:t>镉</w:t>
            </w:r>
          </w:p>
        </w:tc>
        <w:tc>
          <w:tcPr>
            <w:tcW w:w="468" w:type="pct"/>
            <w:tcBorders>
              <w:top w:val="single" w:color="auto" w:sz="12" w:space="0"/>
              <w:bottom w:val="single" w:color="auto" w:sz="6" w:space="0"/>
            </w:tcBorders>
            <w:shd w:val="clear" w:color="auto" w:fill="auto"/>
            <w:tcMar>
              <w:left w:w="0" w:type="dxa"/>
              <w:right w:w="0" w:type="dxa"/>
            </w:tcMar>
            <w:vAlign w:val="center"/>
          </w:tcPr>
          <w:p w14:paraId="15579A06">
            <w:pPr>
              <w:pStyle w:val="90"/>
            </w:pPr>
            <w:r>
              <w:rPr>
                <w:rFonts w:hint="eastAsia"/>
              </w:rPr>
              <w:t>汞</w:t>
            </w:r>
          </w:p>
        </w:tc>
        <w:tc>
          <w:tcPr>
            <w:tcW w:w="468" w:type="pct"/>
            <w:tcBorders>
              <w:top w:val="single" w:color="auto" w:sz="12" w:space="0"/>
              <w:bottom w:val="single" w:color="auto" w:sz="6" w:space="0"/>
            </w:tcBorders>
            <w:shd w:val="clear" w:color="auto" w:fill="auto"/>
            <w:tcMar>
              <w:left w:w="0" w:type="dxa"/>
              <w:right w:w="0" w:type="dxa"/>
            </w:tcMar>
            <w:vAlign w:val="center"/>
          </w:tcPr>
          <w:p w14:paraId="3FFEBB44">
            <w:pPr>
              <w:pStyle w:val="90"/>
            </w:pPr>
            <w:r>
              <w:rPr>
                <w:rFonts w:hint="eastAsia"/>
              </w:rPr>
              <w:t>砷</w:t>
            </w:r>
          </w:p>
        </w:tc>
        <w:tc>
          <w:tcPr>
            <w:tcW w:w="582" w:type="pct"/>
            <w:tcBorders>
              <w:top w:val="single" w:color="auto" w:sz="12" w:space="0"/>
              <w:bottom w:val="single" w:color="auto" w:sz="6" w:space="0"/>
            </w:tcBorders>
            <w:shd w:val="clear" w:color="auto" w:fill="auto"/>
            <w:tcMar>
              <w:left w:w="0" w:type="dxa"/>
              <w:right w:w="0" w:type="dxa"/>
            </w:tcMar>
            <w:vAlign w:val="center"/>
          </w:tcPr>
          <w:p w14:paraId="22DAA420">
            <w:pPr>
              <w:pStyle w:val="90"/>
            </w:pPr>
            <w:r>
              <w:rPr>
                <w:rFonts w:hint="eastAsia"/>
              </w:rPr>
              <w:t>铬（六价）</w:t>
            </w:r>
          </w:p>
        </w:tc>
        <w:tc>
          <w:tcPr>
            <w:tcW w:w="726" w:type="pct"/>
            <w:tcBorders>
              <w:top w:val="single" w:color="auto" w:sz="12" w:space="0"/>
              <w:bottom w:val="single" w:color="auto" w:sz="6" w:space="0"/>
            </w:tcBorders>
            <w:vAlign w:val="center"/>
          </w:tcPr>
          <w:p w14:paraId="55C3CAA6">
            <w:pPr>
              <w:pStyle w:val="90"/>
            </w:pPr>
            <w:r>
              <w:rPr>
                <w:rFonts w:hint="eastAsia"/>
              </w:rPr>
              <w:t>石油烃（C</w:t>
            </w:r>
            <w:r>
              <w:rPr>
                <w:vertAlign w:val="subscript"/>
              </w:rPr>
              <w:t>10</w:t>
            </w:r>
            <w:r>
              <w:t>-</w:t>
            </w:r>
            <w:r>
              <w:rPr>
                <w:rFonts w:hint="eastAsia"/>
              </w:rPr>
              <w:t>C</w:t>
            </w:r>
            <w:r>
              <w:rPr>
                <w:vertAlign w:val="subscript"/>
              </w:rPr>
              <w:t>40</w:t>
            </w:r>
            <w:r>
              <w:rPr>
                <w:rFonts w:hint="eastAsia"/>
              </w:rPr>
              <w:t>）</w:t>
            </w:r>
          </w:p>
        </w:tc>
      </w:tr>
      <w:tr w14:paraId="49742E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9" w:type="pct"/>
            <w:gridSpan w:val="2"/>
            <w:tcBorders>
              <w:top w:val="single" w:color="auto" w:sz="6" w:space="0"/>
              <w:bottom w:val="single" w:color="auto" w:sz="6" w:space="0"/>
              <w:tl2br w:val="nil"/>
            </w:tcBorders>
            <w:shd w:val="clear" w:color="auto" w:fill="auto"/>
            <w:tcMar>
              <w:left w:w="0" w:type="dxa"/>
              <w:right w:w="0" w:type="dxa"/>
            </w:tcMar>
            <w:vAlign w:val="center"/>
          </w:tcPr>
          <w:p w14:paraId="6F0B5C77">
            <w:pPr>
              <w:pStyle w:val="90"/>
            </w:pPr>
            <w:r>
              <w:rPr>
                <w:rFonts w:hint="eastAsia"/>
              </w:rPr>
              <w:t>标准值</w:t>
            </w:r>
          </w:p>
        </w:tc>
        <w:tc>
          <w:tcPr>
            <w:tcW w:w="466" w:type="pct"/>
            <w:tcBorders>
              <w:top w:val="single" w:color="auto" w:sz="6" w:space="0"/>
              <w:bottom w:val="single" w:color="auto" w:sz="6" w:space="0"/>
            </w:tcBorders>
            <w:shd w:val="clear" w:color="auto" w:fill="auto"/>
            <w:tcMar>
              <w:left w:w="0" w:type="dxa"/>
              <w:right w:w="0" w:type="dxa"/>
            </w:tcMar>
            <w:vAlign w:val="center"/>
          </w:tcPr>
          <w:p w14:paraId="196DE40A">
            <w:pPr>
              <w:pStyle w:val="90"/>
            </w:pPr>
            <w:r>
              <w:rPr>
                <w:rFonts w:hint="eastAsia"/>
              </w:rPr>
              <w:t>1</w:t>
            </w:r>
            <w:r>
              <w:t>8000</w:t>
            </w:r>
          </w:p>
        </w:tc>
        <w:tc>
          <w:tcPr>
            <w:tcW w:w="467" w:type="pct"/>
            <w:tcBorders>
              <w:top w:val="single" w:color="auto" w:sz="6" w:space="0"/>
              <w:bottom w:val="single" w:color="auto" w:sz="6" w:space="0"/>
            </w:tcBorders>
            <w:shd w:val="clear" w:color="auto" w:fill="auto"/>
            <w:tcMar>
              <w:left w:w="0" w:type="dxa"/>
              <w:right w:w="0" w:type="dxa"/>
            </w:tcMar>
            <w:vAlign w:val="center"/>
          </w:tcPr>
          <w:p w14:paraId="468A9374">
            <w:pPr>
              <w:pStyle w:val="90"/>
            </w:pPr>
            <w:r>
              <w:rPr>
                <w:rFonts w:hint="eastAsia"/>
              </w:rPr>
              <w:t>8</w:t>
            </w:r>
            <w:r>
              <w:t>00</w:t>
            </w:r>
          </w:p>
        </w:tc>
        <w:tc>
          <w:tcPr>
            <w:tcW w:w="467" w:type="pct"/>
            <w:tcBorders>
              <w:top w:val="single" w:color="auto" w:sz="6" w:space="0"/>
              <w:bottom w:val="single" w:color="auto" w:sz="6" w:space="0"/>
            </w:tcBorders>
            <w:shd w:val="clear" w:color="auto" w:fill="auto"/>
            <w:tcMar>
              <w:left w:w="0" w:type="dxa"/>
              <w:right w:w="0" w:type="dxa"/>
            </w:tcMar>
            <w:vAlign w:val="center"/>
          </w:tcPr>
          <w:p w14:paraId="54802199">
            <w:pPr>
              <w:pStyle w:val="90"/>
            </w:pPr>
            <w:r>
              <w:rPr>
                <w:rFonts w:hint="eastAsia"/>
              </w:rPr>
              <w:t>9</w:t>
            </w:r>
            <w:r>
              <w:t>00</w:t>
            </w:r>
          </w:p>
        </w:tc>
        <w:tc>
          <w:tcPr>
            <w:tcW w:w="468" w:type="pct"/>
            <w:tcBorders>
              <w:top w:val="single" w:color="auto" w:sz="6" w:space="0"/>
              <w:bottom w:val="single" w:color="auto" w:sz="6" w:space="0"/>
            </w:tcBorders>
            <w:shd w:val="clear" w:color="auto" w:fill="auto"/>
            <w:tcMar>
              <w:left w:w="0" w:type="dxa"/>
              <w:right w:w="0" w:type="dxa"/>
            </w:tcMar>
            <w:vAlign w:val="center"/>
          </w:tcPr>
          <w:p w14:paraId="15FAD57B">
            <w:pPr>
              <w:pStyle w:val="90"/>
            </w:pPr>
            <w:r>
              <w:rPr>
                <w:rFonts w:hint="eastAsia"/>
              </w:rPr>
              <w:t>6</w:t>
            </w:r>
            <w:r>
              <w:t>5</w:t>
            </w:r>
          </w:p>
        </w:tc>
        <w:tc>
          <w:tcPr>
            <w:tcW w:w="468" w:type="pct"/>
            <w:tcBorders>
              <w:top w:val="single" w:color="auto" w:sz="6" w:space="0"/>
              <w:bottom w:val="single" w:color="auto" w:sz="6" w:space="0"/>
            </w:tcBorders>
            <w:shd w:val="clear" w:color="auto" w:fill="auto"/>
            <w:tcMar>
              <w:left w:w="0" w:type="dxa"/>
              <w:right w:w="0" w:type="dxa"/>
            </w:tcMar>
            <w:vAlign w:val="center"/>
          </w:tcPr>
          <w:p w14:paraId="652B0DA6">
            <w:pPr>
              <w:pStyle w:val="90"/>
            </w:pPr>
            <w:r>
              <w:rPr>
                <w:rFonts w:hint="eastAsia"/>
              </w:rPr>
              <w:t>3</w:t>
            </w:r>
            <w:r>
              <w:t>8</w:t>
            </w:r>
          </w:p>
        </w:tc>
        <w:tc>
          <w:tcPr>
            <w:tcW w:w="468" w:type="pct"/>
            <w:tcBorders>
              <w:top w:val="single" w:color="auto" w:sz="6" w:space="0"/>
              <w:bottom w:val="single" w:color="auto" w:sz="6" w:space="0"/>
            </w:tcBorders>
            <w:shd w:val="clear" w:color="auto" w:fill="auto"/>
            <w:tcMar>
              <w:left w:w="0" w:type="dxa"/>
              <w:right w:w="0" w:type="dxa"/>
            </w:tcMar>
            <w:vAlign w:val="center"/>
          </w:tcPr>
          <w:p w14:paraId="52A4DB76">
            <w:pPr>
              <w:pStyle w:val="90"/>
            </w:pPr>
            <w:r>
              <w:rPr>
                <w:rFonts w:hint="eastAsia"/>
              </w:rPr>
              <w:t>6</w:t>
            </w:r>
            <w:r>
              <w:t>0</w:t>
            </w:r>
          </w:p>
        </w:tc>
        <w:tc>
          <w:tcPr>
            <w:tcW w:w="582" w:type="pct"/>
            <w:tcBorders>
              <w:top w:val="single" w:color="auto" w:sz="6" w:space="0"/>
              <w:bottom w:val="single" w:color="auto" w:sz="6" w:space="0"/>
            </w:tcBorders>
            <w:shd w:val="clear" w:color="auto" w:fill="auto"/>
            <w:tcMar>
              <w:left w:w="0" w:type="dxa"/>
              <w:right w:w="0" w:type="dxa"/>
            </w:tcMar>
            <w:vAlign w:val="center"/>
          </w:tcPr>
          <w:p w14:paraId="423A0267">
            <w:pPr>
              <w:pStyle w:val="90"/>
            </w:pPr>
            <w:r>
              <w:rPr>
                <w:rFonts w:hint="eastAsia"/>
              </w:rPr>
              <w:t>5</w:t>
            </w:r>
            <w:r>
              <w:t>.7</w:t>
            </w:r>
          </w:p>
        </w:tc>
        <w:tc>
          <w:tcPr>
            <w:tcW w:w="726" w:type="pct"/>
            <w:tcBorders>
              <w:top w:val="single" w:color="auto" w:sz="6" w:space="0"/>
              <w:bottom w:val="single" w:color="auto" w:sz="6" w:space="0"/>
            </w:tcBorders>
            <w:vAlign w:val="center"/>
          </w:tcPr>
          <w:p w14:paraId="0A454426">
            <w:pPr>
              <w:pStyle w:val="90"/>
            </w:pPr>
            <w:r>
              <w:rPr>
                <w:rFonts w:hint="eastAsia"/>
              </w:rPr>
              <w:t>4</w:t>
            </w:r>
            <w:r>
              <w:t>500</w:t>
            </w:r>
          </w:p>
        </w:tc>
      </w:tr>
      <w:tr w14:paraId="5138E3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restart"/>
            <w:tcBorders>
              <w:top w:val="single" w:color="auto" w:sz="6" w:space="0"/>
              <w:bottom w:val="single" w:color="auto" w:sz="6" w:space="0"/>
            </w:tcBorders>
            <w:shd w:val="clear" w:color="auto" w:fill="auto"/>
            <w:tcMar>
              <w:left w:w="0" w:type="dxa"/>
              <w:right w:w="0" w:type="dxa"/>
            </w:tcMar>
            <w:vAlign w:val="center"/>
          </w:tcPr>
          <w:p w14:paraId="5DA57663">
            <w:pPr>
              <w:pStyle w:val="90"/>
            </w:pPr>
            <w:r>
              <w:rPr>
                <w:rFonts w:hint="eastAsia"/>
              </w:rPr>
              <w:t>T</w:t>
            </w:r>
            <w:r>
              <w:t>1</w:t>
            </w:r>
          </w:p>
        </w:tc>
        <w:tc>
          <w:tcPr>
            <w:tcW w:w="646" w:type="pct"/>
            <w:tcBorders>
              <w:top w:val="single" w:color="auto" w:sz="6" w:space="0"/>
              <w:bottom w:val="single" w:color="auto" w:sz="6" w:space="0"/>
            </w:tcBorders>
            <w:shd w:val="clear" w:color="auto" w:fill="auto"/>
            <w:tcMar>
              <w:left w:w="0" w:type="dxa"/>
              <w:right w:w="0" w:type="dxa"/>
            </w:tcMar>
            <w:vAlign w:val="center"/>
          </w:tcPr>
          <w:p w14:paraId="2784951C">
            <w:pPr>
              <w:pStyle w:val="90"/>
            </w:pPr>
            <w:r>
              <w:rPr>
                <w:rFonts w:hint="eastAsia"/>
              </w:rPr>
              <w:t>0</w:t>
            </w:r>
            <w:r>
              <w:t>-0.5</w:t>
            </w:r>
          </w:p>
        </w:tc>
        <w:tc>
          <w:tcPr>
            <w:tcW w:w="466" w:type="pct"/>
            <w:tcBorders>
              <w:top w:val="single" w:color="auto" w:sz="6" w:space="0"/>
              <w:bottom w:val="single" w:color="auto" w:sz="6" w:space="0"/>
            </w:tcBorders>
            <w:shd w:val="clear" w:color="auto" w:fill="auto"/>
            <w:tcMar>
              <w:left w:w="0" w:type="dxa"/>
              <w:right w:w="0" w:type="dxa"/>
            </w:tcMar>
            <w:vAlign w:val="center"/>
          </w:tcPr>
          <w:p w14:paraId="0D995EFB">
            <w:pPr>
              <w:pStyle w:val="90"/>
            </w:pPr>
            <w:r>
              <w:t>25</w:t>
            </w:r>
          </w:p>
        </w:tc>
        <w:tc>
          <w:tcPr>
            <w:tcW w:w="467" w:type="pct"/>
            <w:tcBorders>
              <w:top w:val="single" w:color="auto" w:sz="6" w:space="0"/>
              <w:bottom w:val="single" w:color="auto" w:sz="6" w:space="0"/>
            </w:tcBorders>
            <w:shd w:val="clear" w:color="auto" w:fill="auto"/>
            <w:tcMar>
              <w:left w:w="0" w:type="dxa"/>
              <w:right w:w="0" w:type="dxa"/>
            </w:tcMar>
            <w:vAlign w:val="center"/>
          </w:tcPr>
          <w:p w14:paraId="0E0D8382">
            <w:pPr>
              <w:pStyle w:val="90"/>
            </w:pPr>
            <w:r>
              <w:rPr>
                <w:rFonts w:hint="eastAsia"/>
              </w:rPr>
              <w:t>2</w:t>
            </w:r>
            <w:r>
              <w:t>0</w:t>
            </w:r>
          </w:p>
        </w:tc>
        <w:tc>
          <w:tcPr>
            <w:tcW w:w="467" w:type="pct"/>
            <w:tcBorders>
              <w:top w:val="single" w:color="auto" w:sz="6" w:space="0"/>
              <w:bottom w:val="single" w:color="auto" w:sz="6" w:space="0"/>
            </w:tcBorders>
            <w:shd w:val="clear" w:color="auto" w:fill="auto"/>
            <w:tcMar>
              <w:left w:w="0" w:type="dxa"/>
              <w:right w:w="0" w:type="dxa"/>
            </w:tcMar>
            <w:vAlign w:val="center"/>
          </w:tcPr>
          <w:p w14:paraId="01E3B213">
            <w:pPr>
              <w:pStyle w:val="90"/>
            </w:pPr>
            <w:r>
              <w:rPr>
                <w:rFonts w:hint="eastAsia"/>
              </w:rPr>
              <w:t>2</w:t>
            </w:r>
            <w:r>
              <w:t>5</w:t>
            </w:r>
          </w:p>
        </w:tc>
        <w:tc>
          <w:tcPr>
            <w:tcW w:w="468" w:type="pct"/>
            <w:tcBorders>
              <w:top w:val="single" w:color="auto" w:sz="6" w:space="0"/>
              <w:bottom w:val="single" w:color="auto" w:sz="6" w:space="0"/>
            </w:tcBorders>
            <w:shd w:val="clear" w:color="auto" w:fill="auto"/>
            <w:tcMar>
              <w:left w:w="0" w:type="dxa"/>
              <w:right w:w="0" w:type="dxa"/>
            </w:tcMar>
            <w:vAlign w:val="center"/>
          </w:tcPr>
          <w:p w14:paraId="75A3071C">
            <w:pPr>
              <w:pStyle w:val="90"/>
            </w:pPr>
            <w:r>
              <w:rPr>
                <w:rFonts w:hint="eastAsia"/>
              </w:rPr>
              <w:t>0</w:t>
            </w:r>
            <w:r>
              <w:t>.10</w:t>
            </w:r>
          </w:p>
        </w:tc>
        <w:tc>
          <w:tcPr>
            <w:tcW w:w="468" w:type="pct"/>
            <w:tcBorders>
              <w:top w:val="single" w:color="auto" w:sz="6" w:space="0"/>
              <w:bottom w:val="single" w:color="auto" w:sz="6" w:space="0"/>
            </w:tcBorders>
            <w:shd w:val="clear" w:color="auto" w:fill="auto"/>
            <w:tcMar>
              <w:left w:w="0" w:type="dxa"/>
              <w:right w:w="0" w:type="dxa"/>
            </w:tcMar>
            <w:vAlign w:val="center"/>
          </w:tcPr>
          <w:p w14:paraId="7B0CC92E">
            <w:pPr>
              <w:pStyle w:val="90"/>
            </w:pPr>
            <w:r>
              <w:rPr>
                <w:rFonts w:hint="eastAsia"/>
              </w:rPr>
              <w:t>0</w:t>
            </w:r>
            <w:r>
              <w:t>.210</w:t>
            </w:r>
          </w:p>
        </w:tc>
        <w:tc>
          <w:tcPr>
            <w:tcW w:w="468" w:type="pct"/>
            <w:tcBorders>
              <w:top w:val="single" w:color="auto" w:sz="6" w:space="0"/>
              <w:bottom w:val="single" w:color="auto" w:sz="6" w:space="0"/>
            </w:tcBorders>
            <w:shd w:val="clear" w:color="auto" w:fill="auto"/>
            <w:tcMar>
              <w:left w:w="0" w:type="dxa"/>
              <w:right w:w="0" w:type="dxa"/>
            </w:tcMar>
            <w:vAlign w:val="center"/>
          </w:tcPr>
          <w:p w14:paraId="3A00AA7E">
            <w:pPr>
              <w:pStyle w:val="90"/>
            </w:pPr>
            <w:r>
              <w:rPr>
                <w:rFonts w:hint="eastAsia"/>
              </w:rPr>
              <w:t>1</w:t>
            </w:r>
            <w:r>
              <w:t>1.07</w:t>
            </w:r>
          </w:p>
        </w:tc>
        <w:tc>
          <w:tcPr>
            <w:tcW w:w="582" w:type="pct"/>
            <w:tcBorders>
              <w:top w:val="single" w:color="auto" w:sz="6" w:space="0"/>
              <w:bottom w:val="single" w:color="auto" w:sz="6" w:space="0"/>
            </w:tcBorders>
            <w:shd w:val="clear" w:color="auto" w:fill="auto"/>
            <w:tcMar>
              <w:left w:w="0" w:type="dxa"/>
              <w:right w:w="0" w:type="dxa"/>
            </w:tcMar>
            <w:vAlign w:val="center"/>
          </w:tcPr>
          <w:p w14:paraId="073577C6">
            <w:pPr>
              <w:pStyle w:val="90"/>
            </w:pPr>
            <w:r>
              <w:rPr>
                <w:rFonts w:hint="eastAsia"/>
              </w:rPr>
              <w:t>0</w:t>
            </w:r>
            <w:r>
              <w:t>.7</w:t>
            </w:r>
          </w:p>
        </w:tc>
        <w:tc>
          <w:tcPr>
            <w:tcW w:w="726" w:type="pct"/>
            <w:tcBorders>
              <w:top w:val="single" w:color="auto" w:sz="6" w:space="0"/>
              <w:bottom w:val="single" w:color="auto" w:sz="6" w:space="0"/>
            </w:tcBorders>
            <w:vAlign w:val="center"/>
          </w:tcPr>
          <w:p w14:paraId="14E3B711">
            <w:pPr>
              <w:pStyle w:val="90"/>
            </w:pPr>
            <w:r>
              <w:rPr>
                <w:rFonts w:hint="eastAsia"/>
              </w:rPr>
              <w:t>3</w:t>
            </w:r>
            <w:r>
              <w:t>2.9</w:t>
            </w:r>
          </w:p>
        </w:tc>
      </w:tr>
      <w:tr w14:paraId="649068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45540EDD">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5F625290">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7E4C1FEC">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3F1477BB">
            <w:pPr>
              <w:pStyle w:val="90"/>
            </w:pPr>
            <w:r>
              <w:t xml:space="preserve">0.025 </w:t>
            </w:r>
          </w:p>
        </w:tc>
        <w:tc>
          <w:tcPr>
            <w:tcW w:w="467" w:type="pct"/>
            <w:tcBorders>
              <w:top w:val="single" w:color="auto" w:sz="6" w:space="0"/>
              <w:bottom w:val="single" w:color="auto" w:sz="6" w:space="0"/>
            </w:tcBorders>
            <w:shd w:val="clear" w:color="auto" w:fill="auto"/>
            <w:tcMar>
              <w:left w:w="0" w:type="dxa"/>
              <w:right w:w="0" w:type="dxa"/>
            </w:tcMar>
            <w:vAlign w:val="center"/>
          </w:tcPr>
          <w:p w14:paraId="1EF717E3">
            <w:pPr>
              <w:pStyle w:val="90"/>
            </w:pPr>
            <w:r>
              <w:t xml:space="preserve">0.028 </w:t>
            </w:r>
          </w:p>
        </w:tc>
        <w:tc>
          <w:tcPr>
            <w:tcW w:w="468" w:type="pct"/>
            <w:tcBorders>
              <w:top w:val="single" w:color="auto" w:sz="6" w:space="0"/>
              <w:bottom w:val="single" w:color="auto" w:sz="6" w:space="0"/>
            </w:tcBorders>
            <w:shd w:val="clear" w:color="auto" w:fill="auto"/>
            <w:tcMar>
              <w:left w:w="0" w:type="dxa"/>
              <w:right w:w="0" w:type="dxa"/>
            </w:tcMar>
            <w:vAlign w:val="center"/>
          </w:tcPr>
          <w:p w14:paraId="2FDACFD1">
            <w:pPr>
              <w:pStyle w:val="90"/>
            </w:pPr>
            <w:r>
              <w:t xml:space="preserve">0.002 </w:t>
            </w:r>
          </w:p>
        </w:tc>
        <w:tc>
          <w:tcPr>
            <w:tcW w:w="468" w:type="pct"/>
            <w:tcBorders>
              <w:top w:val="single" w:color="auto" w:sz="6" w:space="0"/>
              <w:bottom w:val="single" w:color="auto" w:sz="6" w:space="0"/>
            </w:tcBorders>
            <w:shd w:val="clear" w:color="auto" w:fill="auto"/>
            <w:tcMar>
              <w:left w:w="0" w:type="dxa"/>
              <w:right w:w="0" w:type="dxa"/>
            </w:tcMar>
            <w:vAlign w:val="center"/>
          </w:tcPr>
          <w:p w14:paraId="2C5419EC">
            <w:pPr>
              <w:pStyle w:val="90"/>
            </w:pPr>
            <w:r>
              <w:t xml:space="preserve">0.006 </w:t>
            </w:r>
          </w:p>
        </w:tc>
        <w:tc>
          <w:tcPr>
            <w:tcW w:w="468" w:type="pct"/>
            <w:tcBorders>
              <w:top w:val="single" w:color="auto" w:sz="6" w:space="0"/>
              <w:bottom w:val="single" w:color="auto" w:sz="6" w:space="0"/>
            </w:tcBorders>
            <w:shd w:val="clear" w:color="auto" w:fill="auto"/>
            <w:tcMar>
              <w:left w:w="0" w:type="dxa"/>
              <w:right w:w="0" w:type="dxa"/>
            </w:tcMar>
            <w:vAlign w:val="center"/>
          </w:tcPr>
          <w:p w14:paraId="0CF37DE9">
            <w:pPr>
              <w:pStyle w:val="90"/>
            </w:pPr>
            <w:r>
              <w:t xml:space="preserve">0.185 </w:t>
            </w:r>
          </w:p>
        </w:tc>
        <w:tc>
          <w:tcPr>
            <w:tcW w:w="582" w:type="pct"/>
            <w:tcBorders>
              <w:top w:val="single" w:color="auto" w:sz="6" w:space="0"/>
              <w:bottom w:val="single" w:color="auto" w:sz="6" w:space="0"/>
            </w:tcBorders>
            <w:shd w:val="clear" w:color="auto" w:fill="auto"/>
            <w:tcMar>
              <w:left w:w="0" w:type="dxa"/>
              <w:right w:w="0" w:type="dxa"/>
            </w:tcMar>
            <w:vAlign w:val="center"/>
          </w:tcPr>
          <w:p w14:paraId="5D4ACA11">
            <w:pPr>
              <w:pStyle w:val="90"/>
            </w:pPr>
            <w:r>
              <w:t xml:space="preserve">0.123 </w:t>
            </w:r>
          </w:p>
        </w:tc>
        <w:tc>
          <w:tcPr>
            <w:tcW w:w="726" w:type="pct"/>
            <w:tcBorders>
              <w:top w:val="single" w:color="auto" w:sz="6" w:space="0"/>
              <w:bottom w:val="single" w:color="auto" w:sz="6" w:space="0"/>
            </w:tcBorders>
            <w:vAlign w:val="center"/>
          </w:tcPr>
          <w:p w14:paraId="2F19FB5A">
            <w:pPr>
              <w:pStyle w:val="90"/>
            </w:pPr>
            <w:r>
              <w:t xml:space="preserve">0.007 </w:t>
            </w:r>
          </w:p>
        </w:tc>
      </w:tr>
      <w:tr w14:paraId="24ACCA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148CDD28">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72664165">
            <w:pPr>
              <w:pStyle w:val="90"/>
            </w:pPr>
            <w:r>
              <w:rPr>
                <w:rFonts w:hint="eastAsia"/>
              </w:rPr>
              <w:t>0</w:t>
            </w:r>
            <w:r>
              <w:t>.5-1.5</w:t>
            </w:r>
          </w:p>
        </w:tc>
        <w:tc>
          <w:tcPr>
            <w:tcW w:w="466" w:type="pct"/>
            <w:tcBorders>
              <w:top w:val="single" w:color="auto" w:sz="6" w:space="0"/>
              <w:bottom w:val="single" w:color="auto" w:sz="6" w:space="0"/>
            </w:tcBorders>
            <w:shd w:val="clear" w:color="auto" w:fill="auto"/>
            <w:tcMar>
              <w:left w:w="0" w:type="dxa"/>
              <w:right w:w="0" w:type="dxa"/>
            </w:tcMar>
            <w:vAlign w:val="center"/>
          </w:tcPr>
          <w:p w14:paraId="4792C1B4">
            <w:pPr>
              <w:pStyle w:val="90"/>
            </w:pPr>
            <w:r>
              <w:rPr>
                <w:rFonts w:hint="eastAsia"/>
              </w:rPr>
              <w:t>1</w:t>
            </w:r>
            <w:r>
              <w:t>7</w:t>
            </w:r>
          </w:p>
        </w:tc>
        <w:tc>
          <w:tcPr>
            <w:tcW w:w="467" w:type="pct"/>
            <w:tcBorders>
              <w:top w:val="single" w:color="auto" w:sz="6" w:space="0"/>
              <w:bottom w:val="single" w:color="auto" w:sz="6" w:space="0"/>
            </w:tcBorders>
            <w:shd w:val="clear" w:color="auto" w:fill="auto"/>
            <w:tcMar>
              <w:left w:w="0" w:type="dxa"/>
              <w:right w:w="0" w:type="dxa"/>
            </w:tcMar>
            <w:vAlign w:val="center"/>
          </w:tcPr>
          <w:p w14:paraId="1A4162EE">
            <w:pPr>
              <w:pStyle w:val="90"/>
            </w:pPr>
            <w:r>
              <w:rPr>
                <w:rFonts w:hint="eastAsia"/>
              </w:rPr>
              <w:t>1</w:t>
            </w:r>
            <w:r>
              <w:t>4</w:t>
            </w:r>
          </w:p>
        </w:tc>
        <w:tc>
          <w:tcPr>
            <w:tcW w:w="467" w:type="pct"/>
            <w:tcBorders>
              <w:top w:val="single" w:color="auto" w:sz="6" w:space="0"/>
              <w:bottom w:val="single" w:color="auto" w:sz="6" w:space="0"/>
            </w:tcBorders>
            <w:shd w:val="clear" w:color="auto" w:fill="auto"/>
            <w:tcMar>
              <w:left w:w="0" w:type="dxa"/>
              <w:right w:w="0" w:type="dxa"/>
            </w:tcMar>
            <w:vAlign w:val="center"/>
          </w:tcPr>
          <w:p w14:paraId="41B4B32A">
            <w:pPr>
              <w:pStyle w:val="90"/>
            </w:pPr>
            <w:r>
              <w:rPr>
                <w:rFonts w:hint="eastAsia"/>
              </w:rPr>
              <w:t>1</w:t>
            </w:r>
            <w:r>
              <w:t>8</w:t>
            </w:r>
          </w:p>
        </w:tc>
        <w:tc>
          <w:tcPr>
            <w:tcW w:w="468" w:type="pct"/>
            <w:tcBorders>
              <w:top w:val="single" w:color="auto" w:sz="6" w:space="0"/>
              <w:bottom w:val="single" w:color="auto" w:sz="6" w:space="0"/>
            </w:tcBorders>
            <w:shd w:val="clear" w:color="auto" w:fill="auto"/>
            <w:tcMar>
              <w:left w:w="0" w:type="dxa"/>
              <w:right w:w="0" w:type="dxa"/>
            </w:tcMar>
            <w:vAlign w:val="center"/>
          </w:tcPr>
          <w:p w14:paraId="5CB12357">
            <w:pPr>
              <w:pStyle w:val="90"/>
            </w:pPr>
            <w:r>
              <w:rPr>
                <w:rFonts w:hint="eastAsia"/>
              </w:rPr>
              <w:t>0</w:t>
            </w:r>
            <w:r>
              <w:t>.07</w:t>
            </w:r>
          </w:p>
        </w:tc>
        <w:tc>
          <w:tcPr>
            <w:tcW w:w="468" w:type="pct"/>
            <w:tcBorders>
              <w:top w:val="single" w:color="auto" w:sz="6" w:space="0"/>
              <w:bottom w:val="single" w:color="auto" w:sz="6" w:space="0"/>
            </w:tcBorders>
            <w:shd w:val="clear" w:color="auto" w:fill="auto"/>
            <w:tcMar>
              <w:left w:w="0" w:type="dxa"/>
              <w:right w:w="0" w:type="dxa"/>
            </w:tcMar>
            <w:vAlign w:val="center"/>
          </w:tcPr>
          <w:p w14:paraId="26175618">
            <w:pPr>
              <w:pStyle w:val="90"/>
            </w:pPr>
            <w:r>
              <w:rPr>
                <w:rFonts w:hint="eastAsia"/>
              </w:rPr>
              <w:t>0</w:t>
            </w:r>
            <w:r>
              <w:t>.117</w:t>
            </w:r>
          </w:p>
        </w:tc>
        <w:tc>
          <w:tcPr>
            <w:tcW w:w="468" w:type="pct"/>
            <w:tcBorders>
              <w:top w:val="single" w:color="auto" w:sz="6" w:space="0"/>
              <w:bottom w:val="single" w:color="auto" w:sz="6" w:space="0"/>
            </w:tcBorders>
            <w:shd w:val="clear" w:color="auto" w:fill="auto"/>
            <w:tcMar>
              <w:left w:w="0" w:type="dxa"/>
              <w:right w:w="0" w:type="dxa"/>
            </w:tcMar>
            <w:vAlign w:val="center"/>
          </w:tcPr>
          <w:p w14:paraId="27B62929">
            <w:pPr>
              <w:pStyle w:val="90"/>
            </w:pPr>
            <w:r>
              <w:t>5.99</w:t>
            </w:r>
          </w:p>
        </w:tc>
        <w:tc>
          <w:tcPr>
            <w:tcW w:w="582" w:type="pct"/>
            <w:tcBorders>
              <w:top w:val="single" w:color="auto" w:sz="6" w:space="0"/>
              <w:bottom w:val="single" w:color="auto" w:sz="6" w:space="0"/>
            </w:tcBorders>
            <w:shd w:val="clear" w:color="auto" w:fill="auto"/>
            <w:tcMar>
              <w:left w:w="0" w:type="dxa"/>
              <w:right w:w="0" w:type="dxa"/>
            </w:tcMar>
            <w:vAlign w:val="center"/>
          </w:tcPr>
          <w:p w14:paraId="776E5888">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380B6A52">
            <w:pPr>
              <w:pStyle w:val="90"/>
            </w:pPr>
            <w:r>
              <w:rPr>
                <w:rFonts w:hint="eastAsia"/>
              </w:rPr>
              <w:t>4</w:t>
            </w:r>
            <w:r>
              <w:t>2.5</w:t>
            </w:r>
          </w:p>
        </w:tc>
      </w:tr>
      <w:tr w14:paraId="24526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60568287">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7D429E38">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3B9751BB">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22FD78BE">
            <w:pPr>
              <w:pStyle w:val="90"/>
            </w:pPr>
            <w:r>
              <w:t xml:space="preserve">0.018 </w:t>
            </w:r>
          </w:p>
        </w:tc>
        <w:tc>
          <w:tcPr>
            <w:tcW w:w="467" w:type="pct"/>
            <w:tcBorders>
              <w:top w:val="single" w:color="auto" w:sz="6" w:space="0"/>
              <w:bottom w:val="single" w:color="auto" w:sz="6" w:space="0"/>
            </w:tcBorders>
            <w:shd w:val="clear" w:color="auto" w:fill="auto"/>
            <w:tcMar>
              <w:left w:w="0" w:type="dxa"/>
              <w:right w:w="0" w:type="dxa"/>
            </w:tcMar>
            <w:vAlign w:val="center"/>
          </w:tcPr>
          <w:p w14:paraId="5BBC22DF">
            <w:pPr>
              <w:pStyle w:val="90"/>
            </w:pPr>
            <w:r>
              <w:t xml:space="preserve">0.020 </w:t>
            </w:r>
          </w:p>
        </w:tc>
        <w:tc>
          <w:tcPr>
            <w:tcW w:w="468" w:type="pct"/>
            <w:tcBorders>
              <w:top w:val="single" w:color="auto" w:sz="6" w:space="0"/>
              <w:bottom w:val="single" w:color="auto" w:sz="6" w:space="0"/>
            </w:tcBorders>
            <w:shd w:val="clear" w:color="auto" w:fill="auto"/>
            <w:tcMar>
              <w:left w:w="0" w:type="dxa"/>
              <w:right w:w="0" w:type="dxa"/>
            </w:tcMar>
            <w:vAlign w:val="center"/>
          </w:tcPr>
          <w:p w14:paraId="04FB7494">
            <w:pPr>
              <w:pStyle w:val="90"/>
            </w:pPr>
            <w:r>
              <w:t xml:space="preserve">0.001 </w:t>
            </w:r>
          </w:p>
        </w:tc>
        <w:tc>
          <w:tcPr>
            <w:tcW w:w="468" w:type="pct"/>
            <w:tcBorders>
              <w:top w:val="single" w:color="auto" w:sz="6" w:space="0"/>
              <w:bottom w:val="single" w:color="auto" w:sz="6" w:space="0"/>
            </w:tcBorders>
            <w:shd w:val="clear" w:color="auto" w:fill="auto"/>
            <w:tcMar>
              <w:left w:w="0" w:type="dxa"/>
              <w:right w:w="0" w:type="dxa"/>
            </w:tcMar>
            <w:vAlign w:val="center"/>
          </w:tcPr>
          <w:p w14:paraId="2A3184A8">
            <w:pPr>
              <w:pStyle w:val="90"/>
            </w:pPr>
            <w:r>
              <w:t xml:space="preserve">0.003 </w:t>
            </w:r>
          </w:p>
        </w:tc>
        <w:tc>
          <w:tcPr>
            <w:tcW w:w="468" w:type="pct"/>
            <w:tcBorders>
              <w:top w:val="single" w:color="auto" w:sz="6" w:space="0"/>
              <w:bottom w:val="single" w:color="auto" w:sz="6" w:space="0"/>
            </w:tcBorders>
            <w:shd w:val="clear" w:color="auto" w:fill="auto"/>
            <w:tcMar>
              <w:left w:w="0" w:type="dxa"/>
              <w:right w:w="0" w:type="dxa"/>
            </w:tcMar>
            <w:vAlign w:val="center"/>
          </w:tcPr>
          <w:p w14:paraId="516CD425">
            <w:pPr>
              <w:pStyle w:val="90"/>
            </w:pPr>
            <w:r>
              <w:t xml:space="preserve">0.100 </w:t>
            </w:r>
          </w:p>
        </w:tc>
        <w:tc>
          <w:tcPr>
            <w:tcW w:w="582" w:type="pct"/>
            <w:tcBorders>
              <w:top w:val="single" w:color="auto" w:sz="6" w:space="0"/>
              <w:bottom w:val="single" w:color="auto" w:sz="6" w:space="0"/>
            </w:tcBorders>
            <w:shd w:val="clear" w:color="auto" w:fill="auto"/>
            <w:tcMar>
              <w:left w:w="0" w:type="dxa"/>
              <w:right w:w="0" w:type="dxa"/>
            </w:tcMar>
            <w:vAlign w:val="center"/>
          </w:tcPr>
          <w:p w14:paraId="4D7CE35B">
            <w:pPr>
              <w:pStyle w:val="90"/>
            </w:pPr>
            <w:r>
              <w:t>/</w:t>
            </w:r>
          </w:p>
        </w:tc>
        <w:tc>
          <w:tcPr>
            <w:tcW w:w="726" w:type="pct"/>
            <w:tcBorders>
              <w:top w:val="single" w:color="auto" w:sz="6" w:space="0"/>
              <w:bottom w:val="single" w:color="auto" w:sz="6" w:space="0"/>
            </w:tcBorders>
            <w:vAlign w:val="center"/>
          </w:tcPr>
          <w:p w14:paraId="1846AAB3">
            <w:pPr>
              <w:pStyle w:val="90"/>
            </w:pPr>
            <w:r>
              <w:t xml:space="preserve">0.009 </w:t>
            </w:r>
          </w:p>
        </w:tc>
      </w:tr>
      <w:tr w14:paraId="01A01D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5F7CF968">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6FC16606">
            <w:pPr>
              <w:pStyle w:val="90"/>
            </w:pPr>
            <w:r>
              <w:rPr>
                <w:rFonts w:hint="eastAsia"/>
              </w:rPr>
              <w:t>1</w:t>
            </w:r>
            <w:r>
              <w:t>.5-3.0</w:t>
            </w:r>
          </w:p>
        </w:tc>
        <w:tc>
          <w:tcPr>
            <w:tcW w:w="466" w:type="pct"/>
            <w:tcBorders>
              <w:top w:val="single" w:color="auto" w:sz="6" w:space="0"/>
              <w:bottom w:val="single" w:color="auto" w:sz="6" w:space="0"/>
            </w:tcBorders>
            <w:shd w:val="clear" w:color="auto" w:fill="auto"/>
            <w:tcMar>
              <w:left w:w="0" w:type="dxa"/>
              <w:right w:w="0" w:type="dxa"/>
            </w:tcMar>
            <w:vAlign w:val="center"/>
          </w:tcPr>
          <w:p w14:paraId="6798879F">
            <w:pPr>
              <w:pStyle w:val="90"/>
            </w:pPr>
            <w:r>
              <w:rPr>
                <w:rFonts w:hint="eastAsia"/>
              </w:rPr>
              <w:t>1</w:t>
            </w:r>
            <w:r>
              <w:t>3</w:t>
            </w:r>
          </w:p>
        </w:tc>
        <w:tc>
          <w:tcPr>
            <w:tcW w:w="467" w:type="pct"/>
            <w:tcBorders>
              <w:top w:val="single" w:color="auto" w:sz="6" w:space="0"/>
              <w:bottom w:val="single" w:color="auto" w:sz="6" w:space="0"/>
            </w:tcBorders>
            <w:shd w:val="clear" w:color="auto" w:fill="auto"/>
            <w:tcMar>
              <w:left w:w="0" w:type="dxa"/>
              <w:right w:w="0" w:type="dxa"/>
            </w:tcMar>
            <w:vAlign w:val="center"/>
          </w:tcPr>
          <w:p w14:paraId="0D9DA2CA">
            <w:pPr>
              <w:pStyle w:val="90"/>
            </w:pPr>
            <w:r>
              <w:rPr>
                <w:rFonts w:hint="eastAsia"/>
              </w:rPr>
              <w:t>1</w:t>
            </w:r>
            <w:r>
              <w:t>0</w:t>
            </w:r>
          </w:p>
        </w:tc>
        <w:tc>
          <w:tcPr>
            <w:tcW w:w="467" w:type="pct"/>
            <w:tcBorders>
              <w:top w:val="single" w:color="auto" w:sz="6" w:space="0"/>
              <w:bottom w:val="single" w:color="auto" w:sz="6" w:space="0"/>
            </w:tcBorders>
            <w:shd w:val="clear" w:color="auto" w:fill="auto"/>
            <w:tcMar>
              <w:left w:w="0" w:type="dxa"/>
              <w:right w:w="0" w:type="dxa"/>
            </w:tcMar>
            <w:vAlign w:val="center"/>
          </w:tcPr>
          <w:p w14:paraId="5601B44A">
            <w:pPr>
              <w:pStyle w:val="90"/>
            </w:pPr>
            <w:r>
              <w:rPr>
                <w:rFonts w:hint="eastAsia"/>
              </w:rPr>
              <w:t>1</w:t>
            </w:r>
            <w:r>
              <w:t>4</w:t>
            </w:r>
          </w:p>
        </w:tc>
        <w:tc>
          <w:tcPr>
            <w:tcW w:w="468" w:type="pct"/>
            <w:tcBorders>
              <w:top w:val="single" w:color="auto" w:sz="6" w:space="0"/>
              <w:bottom w:val="single" w:color="auto" w:sz="6" w:space="0"/>
            </w:tcBorders>
            <w:shd w:val="clear" w:color="auto" w:fill="auto"/>
            <w:tcMar>
              <w:left w:w="0" w:type="dxa"/>
              <w:right w:w="0" w:type="dxa"/>
            </w:tcMar>
            <w:vAlign w:val="center"/>
          </w:tcPr>
          <w:p w14:paraId="3FDA1812">
            <w:pPr>
              <w:pStyle w:val="90"/>
            </w:pPr>
            <w:r>
              <w:rPr>
                <w:rFonts w:hint="eastAsia"/>
              </w:rPr>
              <w:t>0</w:t>
            </w:r>
            <w:r>
              <w:t>.06</w:t>
            </w:r>
          </w:p>
        </w:tc>
        <w:tc>
          <w:tcPr>
            <w:tcW w:w="468" w:type="pct"/>
            <w:tcBorders>
              <w:top w:val="single" w:color="auto" w:sz="6" w:space="0"/>
              <w:bottom w:val="single" w:color="auto" w:sz="6" w:space="0"/>
            </w:tcBorders>
            <w:shd w:val="clear" w:color="auto" w:fill="auto"/>
            <w:tcMar>
              <w:left w:w="0" w:type="dxa"/>
              <w:right w:w="0" w:type="dxa"/>
            </w:tcMar>
            <w:vAlign w:val="center"/>
          </w:tcPr>
          <w:p w14:paraId="2E572098">
            <w:pPr>
              <w:pStyle w:val="90"/>
            </w:pPr>
            <w:r>
              <w:rPr>
                <w:rFonts w:hint="eastAsia"/>
              </w:rPr>
              <w:t>0</w:t>
            </w:r>
            <w:r>
              <w:t>.067</w:t>
            </w:r>
          </w:p>
        </w:tc>
        <w:tc>
          <w:tcPr>
            <w:tcW w:w="468" w:type="pct"/>
            <w:tcBorders>
              <w:top w:val="single" w:color="auto" w:sz="6" w:space="0"/>
              <w:bottom w:val="single" w:color="auto" w:sz="6" w:space="0"/>
            </w:tcBorders>
            <w:shd w:val="clear" w:color="auto" w:fill="auto"/>
            <w:tcMar>
              <w:left w:w="0" w:type="dxa"/>
              <w:right w:w="0" w:type="dxa"/>
            </w:tcMar>
            <w:vAlign w:val="center"/>
          </w:tcPr>
          <w:p w14:paraId="7C6274A3">
            <w:pPr>
              <w:pStyle w:val="90"/>
            </w:pPr>
            <w:r>
              <w:rPr>
                <w:rFonts w:hint="eastAsia"/>
              </w:rPr>
              <w:t>4</w:t>
            </w:r>
            <w:r>
              <w:t>.36</w:t>
            </w:r>
          </w:p>
        </w:tc>
        <w:tc>
          <w:tcPr>
            <w:tcW w:w="582" w:type="pct"/>
            <w:tcBorders>
              <w:top w:val="single" w:color="auto" w:sz="6" w:space="0"/>
              <w:bottom w:val="single" w:color="auto" w:sz="6" w:space="0"/>
            </w:tcBorders>
            <w:shd w:val="clear" w:color="auto" w:fill="auto"/>
            <w:tcMar>
              <w:left w:w="0" w:type="dxa"/>
              <w:right w:w="0" w:type="dxa"/>
            </w:tcMar>
            <w:vAlign w:val="center"/>
          </w:tcPr>
          <w:p w14:paraId="5111240A">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1B3E7E40">
            <w:pPr>
              <w:pStyle w:val="90"/>
            </w:pPr>
            <w:r>
              <w:rPr>
                <w:rFonts w:hint="eastAsia"/>
              </w:rPr>
              <w:t>6</w:t>
            </w:r>
            <w:r>
              <w:t>9.2</w:t>
            </w:r>
          </w:p>
        </w:tc>
      </w:tr>
      <w:tr w14:paraId="271093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62D17029">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3E441450">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6C82B7B2">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16FFFDFD">
            <w:pPr>
              <w:pStyle w:val="90"/>
            </w:pPr>
            <w:r>
              <w:t xml:space="preserve">0.013 </w:t>
            </w:r>
          </w:p>
        </w:tc>
        <w:tc>
          <w:tcPr>
            <w:tcW w:w="467" w:type="pct"/>
            <w:tcBorders>
              <w:top w:val="single" w:color="auto" w:sz="6" w:space="0"/>
              <w:bottom w:val="single" w:color="auto" w:sz="6" w:space="0"/>
            </w:tcBorders>
            <w:shd w:val="clear" w:color="auto" w:fill="auto"/>
            <w:tcMar>
              <w:left w:w="0" w:type="dxa"/>
              <w:right w:w="0" w:type="dxa"/>
            </w:tcMar>
            <w:vAlign w:val="center"/>
          </w:tcPr>
          <w:p w14:paraId="769ED43F">
            <w:pPr>
              <w:pStyle w:val="90"/>
            </w:pPr>
            <w:r>
              <w:t xml:space="preserve">0.016 </w:t>
            </w:r>
          </w:p>
        </w:tc>
        <w:tc>
          <w:tcPr>
            <w:tcW w:w="468" w:type="pct"/>
            <w:tcBorders>
              <w:top w:val="single" w:color="auto" w:sz="6" w:space="0"/>
              <w:bottom w:val="single" w:color="auto" w:sz="6" w:space="0"/>
            </w:tcBorders>
            <w:shd w:val="clear" w:color="auto" w:fill="auto"/>
            <w:tcMar>
              <w:left w:w="0" w:type="dxa"/>
              <w:right w:w="0" w:type="dxa"/>
            </w:tcMar>
            <w:vAlign w:val="center"/>
          </w:tcPr>
          <w:p w14:paraId="5F5C99A6">
            <w:pPr>
              <w:pStyle w:val="90"/>
            </w:pPr>
            <w:r>
              <w:t xml:space="preserve">0.001 </w:t>
            </w:r>
          </w:p>
        </w:tc>
        <w:tc>
          <w:tcPr>
            <w:tcW w:w="468" w:type="pct"/>
            <w:tcBorders>
              <w:top w:val="single" w:color="auto" w:sz="6" w:space="0"/>
              <w:bottom w:val="single" w:color="auto" w:sz="6" w:space="0"/>
            </w:tcBorders>
            <w:shd w:val="clear" w:color="auto" w:fill="auto"/>
            <w:tcMar>
              <w:left w:w="0" w:type="dxa"/>
              <w:right w:w="0" w:type="dxa"/>
            </w:tcMar>
            <w:vAlign w:val="center"/>
          </w:tcPr>
          <w:p w14:paraId="1B32E12A">
            <w:pPr>
              <w:pStyle w:val="90"/>
            </w:pPr>
            <w:r>
              <w:t xml:space="preserve">0.002 </w:t>
            </w:r>
          </w:p>
        </w:tc>
        <w:tc>
          <w:tcPr>
            <w:tcW w:w="468" w:type="pct"/>
            <w:tcBorders>
              <w:top w:val="single" w:color="auto" w:sz="6" w:space="0"/>
              <w:bottom w:val="single" w:color="auto" w:sz="6" w:space="0"/>
            </w:tcBorders>
            <w:shd w:val="clear" w:color="auto" w:fill="auto"/>
            <w:tcMar>
              <w:left w:w="0" w:type="dxa"/>
              <w:right w:w="0" w:type="dxa"/>
            </w:tcMar>
            <w:vAlign w:val="center"/>
          </w:tcPr>
          <w:p w14:paraId="57EC6AD6">
            <w:pPr>
              <w:pStyle w:val="90"/>
            </w:pPr>
            <w:r>
              <w:t xml:space="preserve">0.073 </w:t>
            </w:r>
          </w:p>
        </w:tc>
        <w:tc>
          <w:tcPr>
            <w:tcW w:w="582" w:type="pct"/>
            <w:tcBorders>
              <w:top w:val="single" w:color="auto" w:sz="6" w:space="0"/>
              <w:bottom w:val="single" w:color="auto" w:sz="6" w:space="0"/>
            </w:tcBorders>
            <w:shd w:val="clear" w:color="auto" w:fill="auto"/>
            <w:tcMar>
              <w:left w:w="0" w:type="dxa"/>
              <w:right w:w="0" w:type="dxa"/>
            </w:tcMar>
            <w:vAlign w:val="center"/>
          </w:tcPr>
          <w:p w14:paraId="1F707CAC">
            <w:pPr>
              <w:pStyle w:val="90"/>
            </w:pPr>
            <w:r>
              <w:t>/</w:t>
            </w:r>
          </w:p>
        </w:tc>
        <w:tc>
          <w:tcPr>
            <w:tcW w:w="726" w:type="pct"/>
            <w:tcBorders>
              <w:top w:val="single" w:color="auto" w:sz="6" w:space="0"/>
              <w:bottom w:val="single" w:color="auto" w:sz="6" w:space="0"/>
            </w:tcBorders>
            <w:vAlign w:val="center"/>
          </w:tcPr>
          <w:p w14:paraId="5CAA76D1">
            <w:pPr>
              <w:pStyle w:val="90"/>
            </w:pPr>
            <w:r>
              <w:t xml:space="preserve">0.015 </w:t>
            </w:r>
          </w:p>
        </w:tc>
      </w:tr>
      <w:tr w14:paraId="192DA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restart"/>
            <w:tcBorders>
              <w:top w:val="single" w:color="auto" w:sz="6" w:space="0"/>
              <w:bottom w:val="single" w:color="auto" w:sz="6" w:space="0"/>
            </w:tcBorders>
            <w:shd w:val="clear" w:color="auto" w:fill="auto"/>
            <w:tcMar>
              <w:left w:w="0" w:type="dxa"/>
              <w:right w:w="0" w:type="dxa"/>
            </w:tcMar>
            <w:vAlign w:val="center"/>
          </w:tcPr>
          <w:p w14:paraId="1DBFD6F7">
            <w:pPr>
              <w:pStyle w:val="90"/>
            </w:pPr>
            <w:r>
              <w:rPr>
                <w:rFonts w:hint="eastAsia"/>
              </w:rPr>
              <w:t>T2</w:t>
            </w:r>
          </w:p>
        </w:tc>
        <w:tc>
          <w:tcPr>
            <w:tcW w:w="646" w:type="pct"/>
            <w:tcBorders>
              <w:top w:val="single" w:color="auto" w:sz="6" w:space="0"/>
              <w:bottom w:val="single" w:color="auto" w:sz="6" w:space="0"/>
            </w:tcBorders>
            <w:shd w:val="clear" w:color="auto" w:fill="auto"/>
            <w:tcMar>
              <w:left w:w="0" w:type="dxa"/>
              <w:right w:w="0" w:type="dxa"/>
            </w:tcMar>
            <w:vAlign w:val="center"/>
          </w:tcPr>
          <w:p w14:paraId="26A5868E">
            <w:pPr>
              <w:pStyle w:val="90"/>
            </w:pPr>
            <w:r>
              <w:rPr>
                <w:rFonts w:hint="eastAsia"/>
              </w:rPr>
              <w:t>0</w:t>
            </w:r>
            <w:r>
              <w:t>-0.5</w:t>
            </w:r>
          </w:p>
        </w:tc>
        <w:tc>
          <w:tcPr>
            <w:tcW w:w="466" w:type="pct"/>
            <w:tcBorders>
              <w:top w:val="single" w:color="auto" w:sz="6" w:space="0"/>
              <w:bottom w:val="single" w:color="auto" w:sz="6" w:space="0"/>
            </w:tcBorders>
            <w:shd w:val="clear" w:color="auto" w:fill="auto"/>
            <w:tcMar>
              <w:left w:w="0" w:type="dxa"/>
              <w:right w:w="0" w:type="dxa"/>
            </w:tcMar>
            <w:vAlign w:val="center"/>
          </w:tcPr>
          <w:p w14:paraId="7F3F1792">
            <w:pPr>
              <w:pStyle w:val="90"/>
            </w:pPr>
            <w:r>
              <w:t>24</w:t>
            </w:r>
          </w:p>
        </w:tc>
        <w:tc>
          <w:tcPr>
            <w:tcW w:w="467" w:type="pct"/>
            <w:tcBorders>
              <w:top w:val="single" w:color="auto" w:sz="6" w:space="0"/>
              <w:bottom w:val="single" w:color="auto" w:sz="6" w:space="0"/>
            </w:tcBorders>
            <w:shd w:val="clear" w:color="auto" w:fill="auto"/>
            <w:tcMar>
              <w:left w:w="0" w:type="dxa"/>
              <w:right w:w="0" w:type="dxa"/>
            </w:tcMar>
            <w:vAlign w:val="center"/>
          </w:tcPr>
          <w:p w14:paraId="581C8E91">
            <w:pPr>
              <w:pStyle w:val="90"/>
            </w:pPr>
            <w:r>
              <w:rPr>
                <w:rFonts w:hint="eastAsia"/>
              </w:rPr>
              <w:t>2</w:t>
            </w:r>
            <w:r>
              <w:t>7</w:t>
            </w:r>
          </w:p>
        </w:tc>
        <w:tc>
          <w:tcPr>
            <w:tcW w:w="467" w:type="pct"/>
            <w:tcBorders>
              <w:top w:val="single" w:color="auto" w:sz="6" w:space="0"/>
              <w:bottom w:val="single" w:color="auto" w:sz="6" w:space="0"/>
            </w:tcBorders>
            <w:shd w:val="clear" w:color="auto" w:fill="auto"/>
            <w:tcMar>
              <w:left w:w="0" w:type="dxa"/>
              <w:right w:w="0" w:type="dxa"/>
            </w:tcMar>
            <w:vAlign w:val="center"/>
          </w:tcPr>
          <w:p w14:paraId="79AF3B25">
            <w:pPr>
              <w:pStyle w:val="90"/>
            </w:pPr>
            <w:r>
              <w:rPr>
                <w:rFonts w:hint="eastAsia"/>
              </w:rPr>
              <w:t>2</w:t>
            </w:r>
            <w:r>
              <w:t>4</w:t>
            </w:r>
          </w:p>
        </w:tc>
        <w:tc>
          <w:tcPr>
            <w:tcW w:w="468" w:type="pct"/>
            <w:tcBorders>
              <w:top w:val="single" w:color="auto" w:sz="6" w:space="0"/>
              <w:bottom w:val="single" w:color="auto" w:sz="6" w:space="0"/>
            </w:tcBorders>
            <w:shd w:val="clear" w:color="auto" w:fill="auto"/>
            <w:tcMar>
              <w:left w:w="0" w:type="dxa"/>
              <w:right w:w="0" w:type="dxa"/>
            </w:tcMar>
            <w:vAlign w:val="center"/>
          </w:tcPr>
          <w:p w14:paraId="625ADD9E">
            <w:pPr>
              <w:pStyle w:val="90"/>
            </w:pPr>
            <w:r>
              <w:rPr>
                <w:rFonts w:hint="eastAsia"/>
              </w:rPr>
              <w:t>0</w:t>
            </w:r>
            <w:r>
              <w:t>.10</w:t>
            </w:r>
          </w:p>
        </w:tc>
        <w:tc>
          <w:tcPr>
            <w:tcW w:w="468" w:type="pct"/>
            <w:tcBorders>
              <w:top w:val="single" w:color="auto" w:sz="6" w:space="0"/>
              <w:bottom w:val="single" w:color="auto" w:sz="6" w:space="0"/>
            </w:tcBorders>
            <w:shd w:val="clear" w:color="auto" w:fill="auto"/>
            <w:tcMar>
              <w:left w:w="0" w:type="dxa"/>
              <w:right w:w="0" w:type="dxa"/>
            </w:tcMar>
            <w:vAlign w:val="center"/>
          </w:tcPr>
          <w:p w14:paraId="37CAEB46">
            <w:pPr>
              <w:pStyle w:val="90"/>
            </w:pPr>
            <w:r>
              <w:rPr>
                <w:rFonts w:hint="eastAsia"/>
              </w:rPr>
              <w:t>0</w:t>
            </w:r>
            <w:r>
              <w:t>.203</w:t>
            </w:r>
          </w:p>
        </w:tc>
        <w:tc>
          <w:tcPr>
            <w:tcW w:w="468" w:type="pct"/>
            <w:tcBorders>
              <w:top w:val="single" w:color="auto" w:sz="6" w:space="0"/>
              <w:bottom w:val="single" w:color="auto" w:sz="6" w:space="0"/>
            </w:tcBorders>
            <w:shd w:val="clear" w:color="auto" w:fill="auto"/>
            <w:tcMar>
              <w:left w:w="0" w:type="dxa"/>
              <w:right w:w="0" w:type="dxa"/>
            </w:tcMar>
            <w:vAlign w:val="center"/>
          </w:tcPr>
          <w:p w14:paraId="3904D6F8">
            <w:pPr>
              <w:pStyle w:val="90"/>
            </w:pPr>
            <w:r>
              <w:rPr>
                <w:rFonts w:hint="eastAsia"/>
              </w:rPr>
              <w:t>1</w:t>
            </w:r>
            <w:r>
              <w:t>0.45</w:t>
            </w:r>
          </w:p>
        </w:tc>
        <w:tc>
          <w:tcPr>
            <w:tcW w:w="582" w:type="pct"/>
            <w:tcBorders>
              <w:top w:val="single" w:color="auto" w:sz="6" w:space="0"/>
              <w:bottom w:val="single" w:color="auto" w:sz="6" w:space="0"/>
            </w:tcBorders>
            <w:shd w:val="clear" w:color="auto" w:fill="auto"/>
            <w:tcMar>
              <w:left w:w="0" w:type="dxa"/>
              <w:right w:w="0" w:type="dxa"/>
            </w:tcMar>
            <w:vAlign w:val="center"/>
          </w:tcPr>
          <w:p w14:paraId="7D4E184A">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3DBCCADB">
            <w:pPr>
              <w:pStyle w:val="90"/>
              <w:rPr>
                <w:lang w:bidi="ar"/>
              </w:rPr>
            </w:pPr>
            <w:r>
              <w:rPr>
                <w:rFonts w:hint="eastAsia"/>
                <w:lang w:bidi="ar"/>
              </w:rPr>
              <w:t>2</w:t>
            </w:r>
            <w:r>
              <w:rPr>
                <w:lang w:bidi="ar"/>
              </w:rPr>
              <w:t>2.2</w:t>
            </w:r>
          </w:p>
        </w:tc>
      </w:tr>
      <w:tr w14:paraId="135DCB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3DD70539">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0C375658">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001A9E36">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72C9003E">
            <w:pPr>
              <w:pStyle w:val="90"/>
            </w:pPr>
            <w:r>
              <w:t xml:space="preserve">0.034 </w:t>
            </w:r>
          </w:p>
        </w:tc>
        <w:tc>
          <w:tcPr>
            <w:tcW w:w="467" w:type="pct"/>
            <w:tcBorders>
              <w:top w:val="single" w:color="auto" w:sz="6" w:space="0"/>
              <w:bottom w:val="single" w:color="auto" w:sz="6" w:space="0"/>
            </w:tcBorders>
            <w:shd w:val="clear" w:color="auto" w:fill="auto"/>
            <w:tcMar>
              <w:left w:w="0" w:type="dxa"/>
              <w:right w:w="0" w:type="dxa"/>
            </w:tcMar>
            <w:vAlign w:val="center"/>
          </w:tcPr>
          <w:p w14:paraId="26379744">
            <w:pPr>
              <w:pStyle w:val="90"/>
            </w:pPr>
            <w:r>
              <w:t xml:space="preserve">0.027 </w:t>
            </w:r>
          </w:p>
        </w:tc>
        <w:tc>
          <w:tcPr>
            <w:tcW w:w="468" w:type="pct"/>
            <w:tcBorders>
              <w:top w:val="single" w:color="auto" w:sz="6" w:space="0"/>
              <w:bottom w:val="single" w:color="auto" w:sz="6" w:space="0"/>
            </w:tcBorders>
            <w:shd w:val="clear" w:color="auto" w:fill="auto"/>
            <w:tcMar>
              <w:left w:w="0" w:type="dxa"/>
              <w:right w:w="0" w:type="dxa"/>
            </w:tcMar>
            <w:vAlign w:val="center"/>
          </w:tcPr>
          <w:p w14:paraId="0F66EE71">
            <w:pPr>
              <w:pStyle w:val="90"/>
            </w:pPr>
            <w:r>
              <w:t xml:space="preserve">0.002 </w:t>
            </w:r>
          </w:p>
        </w:tc>
        <w:tc>
          <w:tcPr>
            <w:tcW w:w="468" w:type="pct"/>
            <w:tcBorders>
              <w:top w:val="single" w:color="auto" w:sz="6" w:space="0"/>
              <w:bottom w:val="single" w:color="auto" w:sz="6" w:space="0"/>
            </w:tcBorders>
            <w:shd w:val="clear" w:color="auto" w:fill="auto"/>
            <w:tcMar>
              <w:left w:w="0" w:type="dxa"/>
              <w:right w:w="0" w:type="dxa"/>
            </w:tcMar>
            <w:vAlign w:val="center"/>
          </w:tcPr>
          <w:p w14:paraId="5429BE49">
            <w:pPr>
              <w:pStyle w:val="90"/>
            </w:pPr>
            <w:r>
              <w:t xml:space="preserve">0.005 </w:t>
            </w:r>
          </w:p>
        </w:tc>
        <w:tc>
          <w:tcPr>
            <w:tcW w:w="468" w:type="pct"/>
            <w:tcBorders>
              <w:top w:val="single" w:color="auto" w:sz="6" w:space="0"/>
              <w:bottom w:val="single" w:color="auto" w:sz="6" w:space="0"/>
            </w:tcBorders>
            <w:shd w:val="clear" w:color="auto" w:fill="auto"/>
            <w:tcMar>
              <w:left w:w="0" w:type="dxa"/>
              <w:right w:w="0" w:type="dxa"/>
            </w:tcMar>
            <w:vAlign w:val="center"/>
          </w:tcPr>
          <w:p w14:paraId="777DAFFE">
            <w:pPr>
              <w:pStyle w:val="90"/>
            </w:pPr>
            <w:r>
              <w:t xml:space="preserve">0.174 </w:t>
            </w:r>
          </w:p>
        </w:tc>
        <w:tc>
          <w:tcPr>
            <w:tcW w:w="582" w:type="pct"/>
            <w:tcBorders>
              <w:top w:val="single" w:color="auto" w:sz="6" w:space="0"/>
              <w:bottom w:val="single" w:color="auto" w:sz="6" w:space="0"/>
            </w:tcBorders>
            <w:shd w:val="clear" w:color="auto" w:fill="auto"/>
            <w:tcMar>
              <w:left w:w="0" w:type="dxa"/>
              <w:right w:w="0" w:type="dxa"/>
            </w:tcMar>
            <w:vAlign w:val="center"/>
          </w:tcPr>
          <w:p w14:paraId="2DFA2B86">
            <w:pPr>
              <w:pStyle w:val="90"/>
            </w:pPr>
            <w:r>
              <w:t>/</w:t>
            </w:r>
          </w:p>
        </w:tc>
        <w:tc>
          <w:tcPr>
            <w:tcW w:w="726" w:type="pct"/>
            <w:tcBorders>
              <w:top w:val="single" w:color="auto" w:sz="6" w:space="0"/>
              <w:bottom w:val="single" w:color="auto" w:sz="6" w:space="0"/>
            </w:tcBorders>
            <w:vAlign w:val="center"/>
          </w:tcPr>
          <w:p w14:paraId="66542194">
            <w:pPr>
              <w:pStyle w:val="90"/>
            </w:pPr>
            <w:r>
              <w:t xml:space="preserve">0.005 </w:t>
            </w:r>
          </w:p>
        </w:tc>
      </w:tr>
      <w:tr w14:paraId="4A64FC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41830025">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412AD40F">
            <w:pPr>
              <w:pStyle w:val="90"/>
            </w:pPr>
            <w:r>
              <w:rPr>
                <w:rFonts w:hint="eastAsia"/>
              </w:rPr>
              <w:t>0</w:t>
            </w:r>
            <w:r>
              <w:t>.5-1.5</w:t>
            </w:r>
          </w:p>
        </w:tc>
        <w:tc>
          <w:tcPr>
            <w:tcW w:w="466" w:type="pct"/>
            <w:tcBorders>
              <w:top w:val="single" w:color="auto" w:sz="6" w:space="0"/>
              <w:bottom w:val="single" w:color="auto" w:sz="6" w:space="0"/>
            </w:tcBorders>
            <w:shd w:val="clear" w:color="auto" w:fill="auto"/>
            <w:tcMar>
              <w:left w:w="0" w:type="dxa"/>
              <w:right w:w="0" w:type="dxa"/>
            </w:tcMar>
            <w:vAlign w:val="center"/>
          </w:tcPr>
          <w:p w14:paraId="61EFE26E">
            <w:pPr>
              <w:pStyle w:val="90"/>
            </w:pPr>
            <w:r>
              <w:rPr>
                <w:rFonts w:hint="eastAsia"/>
              </w:rPr>
              <w:t>1</w:t>
            </w:r>
            <w:r>
              <w:t>5</w:t>
            </w:r>
          </w:p>
        </w:tc>
        <w:tc>
          <w:tcPr>
            <w:tcW w:w="467" w:type="pct"/>
            <w:tcBorders>
              <w:top w:val="single" w:color="auto" w:sz="6" w:space="0"/>
              <w:bottom w:val="single" w:color="auto" w:sz="6" w:space="0"/>
            </w:tcBorders>
            <w:shd w:val="clear" w:color="auto" w:fill="auto"/>
            <w:tcMar>
              <w:left w:w="0" w:type="dxa"/>
              <w:right w:w="0" w:type="dxa"/>
            </w:tcMar>
            <w:vAlign w:val="center"/>
          </w:tcPr>
          <w:p w14:paraId="482B22A1">
            <w:pPr>
              <w:pStyle w:val="90"/>
            </w:pPr>
            <w:r>
              <w:rPr>
                <w:rFonts w:hint="eastAsia"/>
              </w:rPr>
              <w:t>1</w:t>
            </w:r>
            <w:r>
              <w:t>8</w:t>
            </w:r>
          </w:p>
        </w:tc>
        <w:tc>
          <w:tcPr>
            <w:tcW w:w="467" w:type="pct"/>
            <w:tcBorders>
              <w:top w:val="single" w:color="auto" w:sz="6" w:space="0"/>
              <w:bottom w:val="single" w:color="auto" w:sz="6" w:space="0"/>
            </w:tcBorders>
            <w:shd w:val="clear" w:color="auto" w:fill="auto"/>
            <w:tcMar>
              <w:left w:w="0" w:type="dxa"/>
              <w:right w:w="0" w:type="dxa"/>
            </w:tcMar>
            <w:vAlign w:val="center"/>
          </w:tcPr>
          <w:p w14:paraId="3E4D02F3">
            <w:pPr>
              <w:pStyle w:val="90"/>
            </w:pPr>
            <w:r>
              <w:rPr>
                <w:rFonts w:hint="eastAsia"/>
              </w:rPr>
              <w:t>1</w:t>
            </w:r>
            <w:r>
              <w:t>6</w:t>
            </w:r>
          </w:p>
        </w:tc>
        <w:tc>
          <w:tcPr>
            <w:tcW w:w="468" w:type="pct"/>
            <w:tcBorders>
              <w:top w:val="single" w:color="auto" w:sz="6" w:space="0"/>
              <w:bottom w:val="single" w:color="auto" w:sz="6" w:space="0"/>
            </w:tcBorders>
            <w:shd w:val="clear" w:color="auto" w:fill="auto"/>
            <w:tcMar>
              <w:left w:w="0" w:type="dxa"/>
              <w:right w:w="0" w:type="dxa"/>
            </w:tcMar>
            <w:vAlign w:val="center"/>
          </w:tcPr>
          <w:p w14:paraId="60AF365D">
            <w:pPr>
              <w:pStyle w:val="90"/>
            </w:pPr>
            <w:r>
              <w:rPr>
                <w:rFonts w:hint="eastAsia"/>
              </w:rPr>
              <w:t>0</w:t>
            </w:r>
            <w:r>
              <w:t>.06</w:t>
            </w:r>
          </w:p>
        </w:tc>
        <w:tc>
          <w:tcPr>
            <w:tcW w:w="468" w:type="pct"/>
            <w:tcBorders>
              <w:top w:val="single" w:color="auto" w:sz="6" w:space="0"/>
              <w:bottom w:val="single" w:color="auto" w:sz="6" w:space="0"/>
            </w:tcBorders>
            <w:shd w:val="clear" w:color="auto" w:fill="auto"/>
            <w:tcMar>
              <w:left w:w="0" w:type="dxa"/>
              <w:right w:w="0" w:type="dxa"/>
            </w:tcMar>
            <w:vAlign w:val="center"/>
          </w:tcPr>
          <w:p w14:paraId="4F66F329">
            <w:pPr>
              <w:pStyle w:val="90"/>
            </w:pPr>
            <w:r>
              <w:rPr>
                <w:rFonts w:hint="eastAsia"/>
              </w:rPr>
              <w:t>0</w:t>
            </w:r>
            <w:r>
              <w:t>.115</w:t>
            </w:r>
          </w:p>
        </w:tc>
        <w:tc>
          <w:tcPr>
            <w:tcW w:w="468" w:type="pct"/>
            <w:tcBorders>
              <w:top w:val="single" w:color="auto" w:sz="6" w:space="0"/>
              <w:bottom w:val="single" w:color="auto" w:sz="6" w:space="0"/>
            </w:tcBorders>
            <w:shd w:val="clear" w:color="auto" w:fill="auto"/>
            <w:tcMar>
              <w:left w:w="0" w:type="dxa"/>
              <w:right w:w="0" w:type="dxa"/>
            </w:tcMar>
            <w:vAlign w:val="center"/>
          </w:tcPr>
          <w:p w14:paraId="016B0072">
            <w:pPr>
              <w:pStyle w:val="90"/>
            </w:pPr>
            <w:r>
              <w:rPr>
                <w:rFonts w:hint="eastAsia"/>
              </w:rPr>
              <w:t>6</w:t>
            </w:r>
            <w:r>
              <w:t>.07</w:t>
            </w:r>
          </w:p>
        </w:tc>
        <w:tc>
          <w:tcPr>
            <w:tcW w:w="582" w:type="pct"/>
            <w:tcBorders>
              <w:top w:val="single" w:color="auto" w:sz="6" w:space="0"/>
              <w:bottom w:val="single" w:color="auto" w:sz="6" w:space="0"/>
            </w:tcBorders>
            <w:shd w:val="clear" w:color="auto" w:fill="auto"/>
            <w:tcMar>
              <w:left w:w="0" w:type="dxa"/>
              <w:right w:w="0" w:type="dxa"/>
            </w:tcMar>
            <w:vAlign w:val="center"/>
          </w:tcPr>
          <w:p w14:paraId="36E752C2">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73018FE6">
            <w:pPr>
              <w:pStyle w:val="90"/>
            </w:pPr>
            <w:r>
              <w:rPr>
                <w:rFonts w:hint="eastAsia"/>
              </w:rPr>
              <w:t>6</w:t>
            </w:r>
            <w:r>
              <w:t>4.5</w:t>
            </w:r>
          </w:p>
        </w:tc>
      </w:tr>
      <w:tr w14:paraId="336317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3FBEAA5E">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29F13149">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2E73071C">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5B61EEEB">
            <w:pPr>
              <w:pStyle w:val="90"/>
            </w:pPr>
            <w:r>
              <w:t xml:space="preserve">0.023 </w:t>
            </w:r>
          </w:p>
        </w:tc>
        <w:tc>
          <w:tcPr>
            <w:tcW w:w="467" w:type="pct"/>
            <w:tcBorders>
              <w:top w:val="single" w:color="auto" w:sz="6" w:space="0"/>
              <w:bottom w:val="single" w:color="auto" w:sz="6" w:space="0"/>
            </w:tcBorders>
            <w:shd w:val="clear" w:color="auto" w:fill="auto"/>
            <w:tcMar>
              <w:left w:w="0" w:type="dxa"/>
              <w:right w:w="0" w:type="dxa"/>
            </w:tcMar>
            <w:vAlign w:val="center"/>
          </w:tcPr>
          <w:p w14:paraId="2B908E41">
            <w:pPr>
              <w:pStyle w:val="90"/>
            </w:pPr>
            <w:r>
              <w:t xml:space="preserve">0.018 </w:t>
            </w:r>
          </w:p>
        </w:tc>
        <w:tc>
          <w:tcPr>
            <w:tcW w:w="468" w:type="pct"/>
            <w:tcBorders>
              <w:top w:val="single" w:color="auto" w:sz="6" w:space="0"/>
              <w:bottom w:val="single" w:color="auto" w:sz="6" w:space="0"/>
            </w:tcBorders>
            <w:shd w:val="clear" w:color="auto" w:fill="auto"/>
            <w:tcMar>
              <w:left w:w="0" w:type="dxa"/>
              <w:right w:w="0" w:type="dxa"/>
            </w:tcMar>
            <w:vAlign w:val="center"/>
          </w:tcPr>
          <w:p w14:paraId="444CFA7B">
            <w:pPr>
              <w:pStyle w:val="90"/>
            </w:pPr>
            <w:r>
              <w:t xml:space="preserve">0.001 </w:t>
            </w:r>
          </w:p>
        </w:tc>
        <w:tc>
          <w:tcPr>
            <w:tcW w:w="468" w:type="pct"/>
            <w:tcBorders>
              <w:top w:val="single" w:color="auto" w:sz="6" w:space="0"/>
              <w:bottom w:val="single" w:color="auto" w:sz="6" w:space="0"/>
            </w:tcBorders>
            <w:shd w:val="clear" w:color="auto" w:fill="auto"/>
            <w:tcMar>
              <w:left w:w="0" w:type="dxa"/>
              <w:right w:w="0" w:type="dxa"/>
            </w:tcMar>
            <w:vAlign w:val="center"/>
          </w:tcPr>
          <w:p w14:paraId="6FDECF29">
            <w:pPr>
              <w:pStyle w:val="90"/>
            </w:pPr>
            <w:r>
              <w:t xml:space="preserve">0.003 </w:t>
            </w:r>
          </w:p>
        </w:tc>
        <w:tc>
          <w:tcPr>
            <w:tcW w:w="468" w:type="pct"/>
            <w:tcBorders>
              <w:top w:val="single" w:color="auto" w:sz="6" w:space="0"/>
              <w:bottom w:val="single" w:color="auto" w:sz="6" w:space="0"/>
            </w:tcBorders>
            <w:shd w:val="clear" w:color="auto" w:fill="auto"/>
            <w:tcMar>
              <w:left w:w="0" w:type="dxa"/>
              <w:right w:w="0" w:type="dxa"/>
            </w:tcMar>
            <w:vAlign w:val="center"/>
          </w:tcPr>
          <w:p w14:paraId="233989DB">
            <w:pPr>
              <w:pStyle w:val="90"/>
            </w:pPr>
            <w:r>
              <w:t xml:space="preserve">0.101 </w:t>
            </w:r>
          </w:p>
        </w:tc>
        <w:tc>
          <w:tcPr>
            <w:tcW w:w="582" w:type="pct"/>
            <w:tcBorders>
              <w:top w:val="single" w:color="auto" w:sz="6" w:space="0"/>
              <w:bottom w:val="single" w:color="auto" w:sz="6" w:space="0"/>
            </w:tcBorders>
            <w:shd w:val="clear" w:color="auto" w:fill="auto"/>
            <w:tcMar>
              <w:left w:w="0" w:type="dxa"/>
              <w:right w:w="0" w:type="dxa"/>
            </w:tcMar>
            <w:vAlign w:val="center"/>
          </w:tcPr>
          <w:p w14:paraId="566E3810">
            <w:pPr>
              <w:pStyle w:val="90"/>
            </w:pPr>
            <w:r>
              <w:t>/</w:t>
            </w:r>
          </w:p>
        </w:tc>
        <w:tc>
          <w:tcPr>
            <w:tcW w:w="726" w:type="pct"/>
            <w:tcBorders>
              <w:top w:val="single" w:color="auto" w:sz="6" w:space="0"/>
              <w:bottom w:val="single" w:color="auto" w:sz="6" w:space="0"/>
            </w:tcBorders>
            <w:vAlign w:val="center"/>
          </w:tcPr>
          <w:p w14:paraId="35DA60FF">
            <w:pPr>
              <w:pStyle w:val="90"/>
            </w:pPr>
            <w:r>
              <w:t xml:space="preserve">0.014 </w:t>
            </w:r>
          </w:p>
        </w:tc>
      </w:tr>
      <w:tr w14:paraId="709439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01100064">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364CDAA3">
            <w:pPr>
              <w:pStyle w:val="90"/>
            </w:pPr>
            <w:r>
              <w:rPr>
                <w:rFonts w:hint="eastAsia"/>
              </w:rPr>
              <w:t>1</w:t>
            </w:r>
            <w:r>
              <w:t>.5-3.0</w:t>
            </w:r>
          </w:p>
        </w:tc>
        <w:tc>
          <w:tcPr>
            <w:tcW w:w="466" w:type="pct"/>
            <w:tcBorders>
              <w:top w:val="single" w:color="auto" w:sz="6" w:space="0"/>
              <w:bottom w:val="single" w:color="auto" w:sz="6" w:space="0"/>
            </w:tcBorders>
            <w:shd w:val="clear" w:color="auto" w:fill="auto"/>
            <w:tcMar>
              <w:left w:w="0" w:type="dxa"/>
              <w:right w:w="0" w:type="dxa"/>
            </w:tcMar>
            <w:vAlign w:val="center"/>
          </w:tcPr>
          <w:p w14:paraId="04F73CD4">
            <w:pPr>
              <w:pStyle w:val="90"/>
            </w:pPr>
            <w:r>
              <w:rPr>
                <w:rFonts w:hint="eastAsia"/>
              </w:rPr>
              <w:t>1</w:t>
            </w:r>
            <w:r>
              <w:t>1</w:t>
            </w:r>
          </w:p>
        </w:tc>
        <w:tc>
          <w:tcPr>
            <w:tcW w:w="467" w:type="pct"/>
            <w:tcBorders>
              <w:top w:val="single" w:color="auto" w:sz="6" w:space="0"/>
              <w:bottom w:val="single" w:color="auto" w:sz="6" w:space="0"/>
            </w:tcBorders>
            <w:shd w:val="clear" w:color="auto" w:fill="auto"/>
            <w:tcMar>
              <w:left w:w="0" w:type="dxa"/>
              <w:right w:w="0" w:type="dxa"/>
            </w:tcMar>
            <w:vAlign w:val="center"/>
          </w:tcPr>
          <w:p w14:paraId="5E39ACD5">
            <w:pPr>
              <w:pStyle w:val="90"/>
            </w:pPr>
            <w:r>
              <w:rPr>
                <w:rFonts w:hint="eastAsia"/>
              </w:rPr>
              <w:t>1</w:t>
            </w:r>
            <w:r>
              <w:t>3</w:t>
            </w:r>
          </w:p>
        </w:tc>
        <w:tc>
          <w:tcPr>
            <w:tcW w:w="467" w:type="pct"/>
            <w:tcBorders>
              <w:top w:val="single" w:color="auto" w:sz="6" w:space="0"/>
              <w:bottom w:val="single" w:color="auto" w:sz="6" w:space="0"/>
            </w:tcBorders>
            <w:shd w:val="clear" w:color="auto" w:fill="auto"/>
            <w:tcMar>
              <w:left w:w="0" w:type="dxa"/>
              <w:right w:w="0" w:type="dxa"/>
            </w:tcMar>
            <w:vAlign w:val="center"/>
          </w:tcPr>
          <w:p w14:paraId="116BC898">
            <w:pPr>
              <w:pStyle w:val="90"/>
            </w:pPr>
            <w:r>
              <w:rPr>
                <w:rFonts w:hint="eastAsia"/>
              </w:rPr>
              <w:t>1</w:t>
            </w:r>
            <w:r>
              <w:t>2</w:t>
            </w:r>
          </w:p>
        </w:tc>
        <w:tc>
          <w:tcPr>
            <w:tcW w:w="468" w:type="pct"/>
            <w:tcBorders>
              <w:top w:val="single" w:color="auto" w:sz="6" w:space="0"/>
              <w:bottom w:val="single" w:color="auto" w:sz="6" w:space="0"/>
            </w:tcBorders>
            <w:shd w:val="clear" w:color="auto" w:fill="auto"/>
            <w:tcMar>
              <w:left w:w="0" w:type="dxa"/>
              <w:right w:w="0" w:type="dxa"/>
            </w:tcMar>
            <w:vAlign w:val="center"/>
          </w:tcPr>
          <w:p w14:paraId="288E44DA">
            <w:pPr>
              <w:pStyle w:val="90"/>
            </w:pPr>
            <w:r>
              <w:rPr>
                <w:rFonts w:hint="eastAsia"/>
              </w:rPr>
              <w:t>0</w:t>
            </w:r>
            <w:r>
              <w:t>.04</w:t>
            </w:r>
          </w:p>
        </w:tc>
        <w:tc>
          <w:tcPr>
            <w:tcW w:w="468" w:type="pct"/>
            <w:tcBorders>
              <w:top w:val="single" w:color="auto" w:sz="6" w:space="0"/>
              <w:bottom w:val="single" w:color="auto" w:sz="6" w:space="0"/>
            </w:tcBorders>
            <w:shd w:val="clear" w:color="auto" w:fill="auto"/>
            <w:tcMar>
              <w:left w:w="0" w:type="dxa"/>
              <w:right w:w="0" w:type="dxa"/>
            </w:tcMar>
            <w:vAlign w:val="center"/>
          </w:tcPr>
          <w:p w14:paraId="3C6E9A5A">
            <w:pPr>
              <w:pStyle w:val="90"/>
            </w:pPr>
            <w:r>
              <w:rPr>
                <w:rFonts w:hint="eastAsia"/>
              </w:rPr>
              <w:t>0</w:t>
            </w:r>
            <w:r>
              <w:t>.067</w:t>
            </w:r>
          </w:p>
        </w:tc>
        <w:tc>
          <w:tcPr>
            <w:tcW w:w="468" w:type="pct"/>
            <w:tcBorders>
              <w:top w:val="single" w:color="auto" w:sz="6" w:space="0"/>
              <w:bottom w:val="single" w:color="auto" w:sz="6" w:space="0"/>
            </w:tcBorders>
            <w:shd w:val="clear" w:color="auto" w:fill="auto"/>
            <w:tcMar>
              <w:left w:w="0" w:type="dxa"/>
              <w:right w:w="0" w:type="dxa"/>
            </w:tcMar>
            <w:vAlign w:val="center"/>
          </w:tcPr>
          <w:p w14:paraId="0A873705">
            <w:pPr>
              <w:pStyle w:val="90"/>
            </w:pPr>
            <w:r>
              <w:rPr>
                <w:rFonts w:hint="eastAsia"/>
              </w:rPr>
              <w:t>4</w:t>
            </w:r>
            <w:r>
              <w:t>.32</w:t>
            </w:r>
          </w:p>
        </w:tc>
        <w:tc>
          <w:tcPr>
            <w:tcW w:w="582" w:type="pct"/>
            <w:tcBorders>
              <w:top w:val="single" w:color="auto" w:sz="6" w:space="0"/>
              <w:bottom w:val="single" w:color="auto" w:sz="6" w:space="0"/>
            </w:tcBorders>
            <w:shd w:val="clear" w:color="auto" w:fill="auto"/>
            <w:tcMar>
              <w:left w:w="0" w:type="dxa"/>
              <w:right w:w="0" w:type="dxa"/>
            </w:tcMar>
            <w:vAlign w:val="center"/>
          </w:tcPr>
          <w:p w14:paraId="0F417CF7">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30486068">
            <w:pPr>
              <w:pStyle w:val="90"/>
            </w:pPr>
            <w:r>
              <w:rPr>
                <w:rFonts w:hint="eastAsia"/>
              </w:rPr>
              <w:t>6</w:t>
            </w:r>
            <w:r>
              <w:t>9.7</w:t>
            </w:r>
          </w:p>
        </w:tc>
      </w:tr>
      <w:tr w14:paraId="3A3FE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11F8F6F2">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066E20CD">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619488D5">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31DBCFDF">
            <w:pPr>
              <w:pStyle w:val="90"/>
            </w:pPr>
            <w:r>
              <w:t xml:space="preserve">0.016 </w:t>
            </w:r>
          </w:p>
        </w:tc>
        <w:tc>
          <w:tcPr>
            <w:tcW w:w="467" w:type="pct"/>
            <w:tcBorders>
              <w:top w:val="single" w:color="auto" w:sz="6" w:space="0"/>
              <w:bottom w:val="single" w:color="auto" w:sz="6" w:space="0"/>
            </w:tcBorders>
            <w:shd w:val="clear" w:color="auto" w:fill="auto"/>
            <w:tcMar>
              <w:left w:w="0" w:type="dxa"/>
              <w:right w:w="0" w:type="dxa"/>
            </w:tcMar>
            <w:vAlign w:val="center"/>
          </w:tcPr>
          <w:p w14:paraId="23E0356D">
            <w:pPr>
              <w:pStyle w:val="90"/>
            </w:pPr>
            <w:r>
              <w:t xml:space="preserve">0.013 </w:t>
            </w:r>
          </w:p>
        </w:tc>
        <w:tc>
          <w:tcPr>
            <w:tcW w:w="468" w:type="pct"/>
            <w:tcBorders>
              <w:top w:val="single" w:color="auto" w:sz="6" w:space="0"/>
              <w:bottom w:val="single" w:color="auto" w:sz="6" w:space="0"/>
            </w:tcBorders>
            <w:shd w:val="clear" w:color="auto" w:fill="auto"/>
            <w:tcMar>
              <w:left w:w="0" w:type="dxa"/>
              <w:right w:w="0" w:type="dxa"/>
            </w:tcMar>
            <w:vAlign w:val="center"/>
          </w:tcPr>
          <w:p w14:paraId="2A2D83CE">
            <w:pPr>
              <w:pStyle w:val="90"/>
            </w:pPr>
            <w:r>
              <w:t xml:space="preserve">0.001 </w:t>
            </w:r>
          </w:p>
        </w:tc>
        <w:tc>
          <w:tcPr>
            <w:tcW w:w="468" w:type="pct"/>
            <w:tcBorders>
              <w:top w:val="single" w:color="auto" w:sz="6" w:space="0"/>
              <w:bottom w:val="single" w:color="auto" w:sz="6" w:space="0"/>
            </w:tcBorders>
            <w:shd w:val="clear" w:color="auto" w:fill="auto"/>
            <w:tcMar>
              <w:left w:w="0" w:type="dxa"/>
              <w:right w:w="0" w:type="dxa"/>
            </w:tcMar>
            <w:vAlign w:val="center"/>
          </w:tcPr>
          <w:p w14:paraId="1398DFDF">
            <w:pPr>
              <w:pStyle w:val="90"/>
            </w:pPr>
            <w:r>
              <w:t xml:space="preserve">0.002 </w:t>
            </w:r>
          </w:p>
        </w:tc>
        <w:tc>
          <w:tcPr>
            <w:tcW w:w="468" w:type="pct"/>
            <w:tcBorders>
              <w:top w:val="single" w:color="auto" w:sz="6" w:space="0"/>
              <w:bottom w:val="single" w:color="auto" w:sz="6" w:space="0"/>
            </w:tcBorders>
            <w:shd w:val="clear" w:color="auto" w:fill="auto"/>
            <w:tcMar>
              <w:left w:w="0" w:type="dxa"/>
              <w:right w:w="0" w:type="dxa"/>
            </w:tcMar>
            <w:vAlign w:val="center"/>
          </w:tcPr>
          <w:p w14:paraId="0A57ECBB">
            <w:pPr>
              <w:pStyle w:val="90"/>
            </w:pPr>
            <w:r>
              <w:t xml:space="preserve">0.072 </w:t>
            </w:r>
          </w:p>
        </w:tc>
        <w:tc>
          <w:tcPr>
            <w:tcW w:w="582" w:type="pct"/>
            <w:tcBorders>
              <w:top w:val="single" w:color="auto" w:sz="6" w:space="0"/>
              <w:bottom w:val="single" w:color="auto" w:sz="6" w:space="0"/>
            </w:tcBorders>
            <w:shd w:val="clear" w:color="auto" w:fill="auto"/>
            <w:tcMar>
              <w:left w:w="0" w:type="dxa"/>
              <w:right w:w="0" w:type="dxa"/>
            </w:tcMar>
            <w:vAlign w:val="center"/>
          </w:tcPr>
          <w:p w14:paraId="39BDA29D">
            <w:pPr>
              <w:pStyle w:val="90"/>
            </w:pPr>
            <w:r>
              <w:t>/</w:t>
            </w:r>
          </w:p>
        </w:tc>
        <w:tc>
          <w:tcPr>
            <w:tcW w:w="726" w:type="pct"/>
            <w:tcBorders>
              <w:top w:val="single" w:color="auto" w:sz="6" w:space="0"/>
              <w:bottom w:val="single" w:color="auto" w:sz="6" w:space="0"/>
            </w:tcBorders>
            <w:vAlign w:val="center"/>
          </w:tcPr>
          <w:p w14:paraId="727D2CAF">
            <w:pPr>
              <w:pStyle w:val="90"/>
            </w:pPr>
            <w:r>
              <w:t xml:space="preserve">0.015 </w:t>
            </w:r>
          </w:p>
        </w:tc>
      </w:tr>
      <w:tr w14:paraId="0F1902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restart"/>
            <w:tcBorders>
              <w:top w:val="single" w:color="auto" w:sz="6" w:space="0"/>
              <w:bottom w:val="single" w:color="auto" w:sz="6" w:space="0"/>
            </w:tcBorders>
            <w:shd w:val="clear" w:color="auto" w:fill="auto"/>
            <w:tcMar>
              <w:left w:w="0" w:type="dxa"/>
              <w:right w:w="0" w:type="dxa"/>
            </w:tcMar>
            <w:vAlign w:val="center"/>
          </w:tcPr>
          <w:p w14:paraId="4AB9F36A">
            <w:pPr>
              <w:pStyle w:val="90"/>
            </w:pPr>
            <w:r>
              <w:rPr>
                <w:rFonts w:hint="eastAsia"/>
              </w:rPr>
              <w:t>T3</w:t>
            </w:r>
          </w:p>
        </w:tc>
        <w:tc>
          <w:tcPr>
            <w:tcW w:w="646" w:type="pct"/>
            <w:tcBorders>
              <w:top w:val="single" w:color="auto" w:sz="6" w:space="0"/>
              <w:bottom w:val="single" w:color="auto" w:sz="6" w:space="0"/>
            </w:tcBorders>
            <w:shd w:val="clear" w:color="auto" w:fill="auto"/>
            <w:tcMar>
              <w:left w:w="0" w:type="dxa"/>
              <w:right w:w="0" w:type="dxa"/>
            </w:tcMar>
            <w:vAlign w:val="center"/>
          </w:tcPr>
          <w:p w14:paraId="2C306763">
            <w:pPr>
              <w:pStyle w:val="90"/>
            </w:pPr>
            <w:r>
              <w:rPr>
                <w:rFonts w:hint="eastAsia"/>
              </w:rPr>
              <w:t>0</w:t>
            </w:r>
            <w:r>
              <w:t>-0.5</w:t>
            </w:r>
          </w:p>
        </w:tc>
        <w:tc>
          <w:tcPr>
            <w:tcW w:w="466" w:type="pct"/>
            <w:tcBorders>
              <w:top w:val="single" w:color="auto" w:sz="6" w:space="0"/>
              <w:bottom w:val="single" w:color="auto" w:sz="6" w:space="0"/>
            </w:tcBorders>
            <w:shd w:val="clear" w:color="auto" w:fill="auto"/>
            <w:tcMar>
              <w:left w:w="0" w:type="dxa"/>
              <w:right w:w="0" w:type="dxa"/>
            </w:tcMar>
            <w:vAlign w:val="center"/>
          </w:tcPr>
          <w:p w14:paraId="1BFEC12A">
            <w:pPr>
              <w:pStyle w:val="90"/>
            </w:pPr>
            <w:r>
              <w:rPr>
                <w:rFonts w:hint="eastAsia"/>
              </w:rPr>
              <w:t>2</w:t>
            </w:r>
            <w:r>
              <w:t>5</w:t>
            </w:r>
          </w:p>
        </w:tc>
        <w:tc>
          <w:tcPr>
            <w:tcW w:w="467" w:type="pct"/>
            <w:tcBorders>
              <w:top w:val="single" w:color="auto" w:sz="6" w:space="0"/>
              <w:bottom w:val="single" w:color="auto" w:sz="6" w:space="0"/>
            </w:tcBorders>
            <w:shd w:val="clear" w:color="auto" w:fill="auto"/>
            <w:tcMar>
              <w:left w:w="0" w:type="dxa"/>
              <w:right w:w="0" w:type="dxa"/>
            </w:tcMar>
            <w:vAlign w:val="center"/>
          </w:tcPr>
          <w:p w14:paraId="5D105F93">
            <w:pPr>
              <w:pStyle w:val="90"/>
            </w:pPr>
            <w:r>
              <w:rPr>
                <w:rFonts w:hint="eastAsia"/>
              </w:rPr>
              <w:t>2</w:t>
            </w:r>
            <w:r>
              <w:t>7</w:t>
            </w:r>
          </w:p>
        </w:tc>
        <w:tc>
          <w:tcPr>
            <w:tcW w:w="467" w:type="pct"/>
            <w:tcBorders>
              <w:top w:val="single" w:color="auto" w:sz="6" w:space="0"/>
              <w:bottom w:val="single" w:color="auto" w:sz="6" w:space="0"/>
            </w:tcBorders>
            <w:shd w:val="clear" w:color="auto" w:fill="auto"/>
            <w:tcMar>
              <w:left w:w="0" w:type="dxa"/>
              <w:right w:w="0" w:type="dxa"/>
            </w:tcMar>
            <w:vAlign w:val="center"/>
          </w:tcPr>
          <w:p w14:paraId="2F9758CE">
            <w:pPr>
              <w:pStyle w:val="90"/>
            </w:pPr>
            <w:r>
              <w:rPr>
                <w:rFonts w:hint="eastAsia"/>
              </w:rPr>
              <w:t>2</w:t>
            </w:r>
            <w:r>
              <w:t>3</w:t>
            </w:r>
          </w:p>
        </w:tc>
        <w:tc>
          <w:tcPr>
            <w:tcW w:w="468" w:type="pct"/>
            <w:tcBorders>
              <w:top w:val="single" w:color="auto" w:sz="6" w:space="0"/>
              <w:bottom w:val="single" w:color="auto" w:sz="6" w:space="0"/>
            </w:tcBorders>
            <w:shd w:val="clear" w:color="auto" w:fill="auto"/>
            <w:tcMar>
              <w:left w:w="0" w:type="dxa"/>
              <w:right w:w="0" w:type="dxa"/>
            </w:tcMar>
            <w:vAlign w:val="center"/>
          </w:tcPr>
          <w:p w14:paraId="47F321A6">
            <w:pPr>
              <w:pStyle w:val="90"/>
            </w:pPr>
            <w:r>
              <w:rPr>
                <w:rFonts w:hint="eastAsia"/>
              </w:rPr>
              <w:t>0</w:t>
            </w:r>
            <w:r>
              <w:t>.11</w:t>
            </w:r>
          </w:p>
        </w:tc>
        <w:tc>
          <w:tcPr>
            <w:tcW w:w="468" w:type="pct"/>
            <w:tcBorders>
              <w:top w:val="single" w:color="auto" w:sz="6" w:space="0"/>
              <w:bottom w:val="single" w:color="auto" w:sz="6" w:space="0"/>
            </w:tcBorders>
            <w:shd w:val="clear" w:color="auto" w:fill="auto"/>
            <w:tcMar>
              <w:left w:w="0" w:type="dxa"/>
              <w:right w:w="0" w:type="dxa"/>
            </w:tcMar>
            <w:vAlign w:val="center"/>
          </w:tcPr>
          <w:p w14:paraId="321513F0">
            <w:pPr>
              <w:pStyle w:val="90"/>
            </w:pPr>
            <w:r>
              <w:rPr>
                <w:rFonts w:hint="eastAsia"/>
              </w:rPr>
              <w:t>0</w:t>
            </w:r>
            <w:r>
              <w:t>.210</w:t>
            </w:r>
          </w:p>
        </w:tc>
        <w:tc>
          <w:tcPr>
            <w:tcW w:w="468" w:type="pct"/>
            <w:tcBorders>
              <w:top w:val="single" w:color="auto" w:sz="6" w:space="0"/>
              <w:bottom w:val="single" w:color="auto" w:sz="6" w:space="0"/>
            </w:tcBorders>
            <w:shd w:val="clear" w:color="auto" w:fill="auto"/>
            <w:tcMar>
              <w:left w:w="0" w:type="dxa"/>
              <w:right w:w="0" w:type="dxa"/>
            </w:tcMar>
            <w:vAlign w:val="center"/>
          </w:tcPr>
          <w:p w14:paraId="6A67802E">
            <w:pPr>
              <w:pStyle w:val="90"/>
            </w:pPr>
            <w:r>
              <w:rPr>
                <w:rFonts w:hint="eastAsia"/>
              </w:rPr>
              <w:t>1</w:t>
            </w:r>
            <w:r>
              <w:t>0.37</w:t>
            </w:r>
          </w:p>
        </w:tc>
        <w:tc>
          <w:tcPr>
            <w:tcW w:w="582" w:type="pct"/>
            <w:tcBorders>
              <w:top w:val="single" w:color="auto" w:sz="6" w:space="0"/>
              <w:bottom w:val="single" w:color="auto" w:sz="6" w:space="0"/>
            </w:tcBorders>
            <w:shd w:val="clear" w:color="auto" w:fill="auto"/>
            <w:tcMar>
              <w:left w:w="0" w:type="dxa"/>
              <w:right w:w="0" w:type="dxa"/>
            </w:tcMar>
            <w:vAlign w:val="center"/>
          </w:tcPr>
          <w:p w14:paraId="5FE7E72D">
            <w:pPr>
              <w:pStyle w:val="90"/>
            </w:pPr>
            <w:r>
              <w:rPr>
                <w:rFonts w:hint="eastAsia"/>
              </w:rPr>
              <w:t>0</w:t>
            </w:r>
            <w:r>
              <w:t>.7</w:t>
            </w:r>
          </w:p>
        </w:tc>
        <w:tc>
          <w:tcPr>
            <w:tcW w:w="726" w:type="pct"/>
            <w:tcBorders>
              <w:top w:val="single" w:color="auto" w:sz="6" w:space="0"/>
              <w:bottom w:val="single" w:color="auto" w:sz="6" w:space="0"/>
            </w:tcBorders>
            <w:vAlign w:val="center"/>
          </w:tcPr>
          <w:p w14:paraId="20FC62B4">
            <w:pPr>
              <w:pStyle w:val="90"/>
            </w:pPr>
            <w:r>
              <w:rPr>
                <w:rFonts w:hint="eastAsia"/>
              </w:rPr>
              <w:t>2</w:t>
            </w:r>
            <w:r>
              <w:t>3.4</w:t>
            </w:r>
          </w:p>
        </w:tc>
      </w:tr>
      <w:tr w14:paraId="05E57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132A2F24">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3FF97FD1">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759EE81E">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6C329DDF">
            <w:pPr>
              <w:pStyle w:val="90"/>
            </w:pPr>
            <w:r>
              <w:t xml:space="preserve">0.034 </w:t>
            </w:r>
          </w:p>
        </w:tc>
        <w:tc>
          <w:tcPr>
            <w:tcW w:w="467" w:type="pct"/>
            <w:tcBorders>
              <w:top w:val="single" w:color="auto" w:sz="6" w:space="0"/>
              <w:bottom w:val="single" w:color="auto" w:sz="6" w:space="0"/>
            </w:tcBorders>
            <w:shd w:val="clear" w:color="auto" w:fill="auto"/>
            <w:tcMar>
              <w:left w:w="0" w:type="dxa"/>
              <w:right w:w="0" w:type="dxa"/>
            </w:tcMar>
            <w:vAlign w:val="center"/>
          </w:tcPr>
          <w:p w14:paraId="32D90794">
            <w:pPr>
              <w:pStyle w:val="90"/>
            </w:pPr>
            <w:r>
              <w:t xml:space="preserve">0.026 </w:t>
            </w:r>
          </w:p>
        </w:tc>
        <w:tc>
          <w:tcPr>
            <w:tcW w:w="468" w:type="pct"/>
            <w:tcBorders>
              <w:top w:val="single" w:color="auto" w:sz="6" w:space="0"/>
              <w:bottom w:val="single" w:color="auto" w:sz="6" w:space="0"/>
            </w:tcBorders>
            <w:shd w:val="clear" w:color="auto" w:fill="auto"/>
            <w:tcMar>
              <w:left w:w="0" w:type="dxa"/>
              <w:right w:w="0" w:type="dxa"/>
            </w:tcMar>
            <w:vAlign w:val="center"/>
          </w:tcPr>
          <w:p w14:paraId="32436AC8">
            <w:pPr>
              <w:pStyle w:val="90"/>
            </w:pPr>
            <w:r>
              <w:t xml:space="preserve">0.002 </w:t>
            </w:r>
          </w:p>
        </w:tc>
        <w:tc>
          <w:tcPr>
            <w:tcW w:w="468" w:type="pct"/>
            <w:tcBorders>
              <w:top w:val="single" w:color="auto" w:sz="6" w:space="0"/>
              <w:bottom w:val="single" w:color="auto" w:sz="6" w:space="0"/>
            </w:tcBorders>
            <w:shd w:val="clear" w:color="auto" w:fill="auto"/>
            <w:tcMar>
              <w:left w:w="0" w:type="dxa"/>
              <w:right w:w="0" w:type="dxa"/>
            </w:tcMar>
            <w:vAlign w:val="center"/>
          </w:tcPr>
          <w:p w14:paraId="610F2A16">
            <w:pPr>
              <w:pStyle w:val="90"/>
            </w:pPr>
            <w:r>
              <w:t xml:space="preserve">0.006 </w:t>
            </w:r>
          </w:p>
        </w:tc>
        <w:tc>
          <w:tcPr>
            <w:tcW w:w="468" w:type="pct"/>
            <w:tcBorders>
              <w:top w:val="single" w:color="auto" w:sz="6" w:space="0"/>
              <w:bottom w:val="single" w:color="auto" w:sz="6" w:space="0"/>
            </w:tcBorders>
            <w:shd w:val="clear" w:color="auto" w:fill="auto"/>
            <w:tcMar>
              <w:left w:w="0" w:type="dxa"/>
              <w:right w:w="0" w:type="dxa"/>
            </w:tcMar>
            <w:vAlign w:val="center"/>
          </w:tcPr>
          <w:p w14:paraId="6BD3EDA2">
            <w:pPr>
              <w:pStyle w:val="90"/>
            </w:pPr>
            <w:r>
              <w:t xml:space="preserve">0.173 </w:t>
            </w:r>
          </w:p>
        </w:tc>
        <w:tc>
          <w:tcPr>
            <w:tcW w:w="582" w:type="pct"/>
            <w:tcBorders>
              <w:top w:val="single" w:color="auto" w:sz="6" w:space="0"/>
              <w:bottom w:val="single" w:color="auto" w:sz="6" w:space="0"/>
            </w:tcBorders>
            <w:shd w:val="clear" w:color="auto" w:fill="auto"/>
            <w:tcMar>
              <w:left w:w="0" w:type="dxa"/>
              <w:right w:w="0" w:type="dxa"/>
            </w:tcMar>
            <w:vAlign w:val="center"/>
          </w:tcPr>
          <w:p w14:paraId="3F0BEF5A">
            <w:pPr>
              <w:pStyle w:val="90"/>
            </w:pPr>
            <w:r>
              <w:t xml:space="preserve">0.123 </w:t>
            </w:r>
          </w:p>
        </w:tc>
        <w:tc>
          <w:tcPr>
            <w:tcW w:w="726" w:type="pct"/>
            <w:tcBorders>
              <w:top w:val="single" w:color="auto" w:sz="6" w:space="0"/>
              <w:bottom w:val="single" w:color="auto" w:sz="6" w:space="0"/>
            </w:tcBorders>
            <w:vAlign w:val="center"/>
          </w:tcPr>
          <w:p w14:paraId="75F02B64">
            <w:pPr>
              <w:pStyle w:val="90"/>
            </w:pPr>
            <w:r>
              <w:t xml:space="preserve">0.005 </w:t>
            </w:r>
          </w:p>
        </w:tc>
      </w:tr>
      <w:tr w14:paraId="402D9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53EF2EFA">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34B5183C">
            <w:pPr>
              <w:pStyle w:val="90"/>
            </w:pPr>
            <w:r>
              <w:rPr>
                <w:rFonts w:hint="eastAsia"/>
              </w:rPr>
              <w:t>0</w:t>
            </w:r>
            <w:r>
              <w:t>.5-1.5</w:t>
            </w:r>
          </w:p>
        </w:tc>
        <w:tc>
          <w:tcPr>
            <w:tcW w:w="466" w:type="pct"/>
            <w:tcBorders>
              <w:top w:val="single" w:color="auto" w:sz="6" w:space="0"/>
              <w:bottom w:val="single" w:color="auto" w:sz="6" w:space="0"/>
            </w:tcBorders>
            <w:shd w:val="clear" w:color="auto" w:fill="auto"/>
            <w:tcMar>
              <w:left w:w="0" w:type="dxa"/>
              <w:right w:w="0" w:type="dxa"/>
            </w:tcMar>
            <w:vAlign w:val="center"/>
          </w:tcPr>
          <w:p w14:paraId="043219EB">
            <w:pPr>
              <w:pStyle w:val="90"/>
            </w:pPr>
            <w:r>
              <w:rPr>
                <w:rFonts w:hint="eastAsia"/>
              </w:rPr>
              <w:t>1</w:t>
            </w:r>
            <w:r>
              <w:t>6</w:t>
            </w:r>
          </w:p>
        </w:tc>
        <w:tc>
          <w:tcPr>
            <w:tcW w:w="467" w:type="pct"/>
            <w:tcBorders>
              <w:top w:val="single" w:color="auto" w:sz="6" w:space="0"/>
              <w:bottom w:val="single" w:color="auto" w:sz="6" w:space="0"/>
            </w:tcBorders>
            <w:shd w:val="clear" w:color="auto" w:fill="auto"/>
            <w:tcMar>
              <w:left w:w="0" w:type="dxa"/>
              <w:right w:w="0" w:type="dxa"/>
            </w:tcMar>
            <w:vAlign w:val="center"/>
          </w:tcPr>
          <w:p w14:paraId="48ABE2B0">
            <w:pPr>
              <w:pStyle w:val="90"/>
            </w:pPr>
            <w:r>
              <w:rPr>
                <w:rFonts w:hint="eastAsia"/>
              </w:rPr>
              <w:t>1</w:t>
            </w:r>
            <w:r>
              <w:t>7</w:t>
            </w:r>
          </w:p>
        </w:tc>
        <w:tc>
          <w:tcPr>
            <w:tcW w:w="467" w:type="pct"/>
            <w:tcBorders>
              <w:top w:val="single" w:color="auto" w:sz="6" w:space="0"/>
              <w:bottom w:val="single" w:color="auto" w:sz="6" w:space="0"/>
            </w:tcBorders>
            <w:shd w:val="clear" w:color="auto" w:fill="auto"/>
            <w:tcMar>
              <w:left w:w="0" w:type="dxa"/>
              <w:right w:w="0" w:type="dxa"/>
            </w:tcMar>
            <w:vAlign w:val="center"/>
          </w:tcPr>
          <w:p w14:paraId="1159AEF5">
            <w:pPr>
              <w:pStyle w:val="90"/>
            </w:pPr>
            <w:r>
              <w:rPr>
                <w:rFonts w:hint="eastAsia"/>
              </w:rPr>
              <w:t>1</w:t>
            </w:r>
            <w:r>
              <w:t>7</w:t>
            </w:r>
          </w:p>
        </w:tc>
        <w:tc>
          <w:tcPr>
            <w:tcW w:w="468" w:type="pct"/>
            <w:tcBorders>
              <w:top w:val="single" w:color="auto" w:sz="6" w:space="0"/>
              <w:bottom w:val="single" w:color="auto" w:sz="6" w:space="0"/>
            </w:tcBorders>
            <w:shd w:val="clear" w:color="auto" w:fill="auto"/>
            <w:tcMar>
              <w:left w:w="0" w:type="dxa"/>
              <w:right w:w="0" w:type="dxa"/>
            </w:tcMar>
            <w:vAlign w:val="center"/>
          </w:tcPr>
          <w:p w14:paraId="39D14575">
            <w:pPr>
              <w:pStyle w:val="90"/>
            </w:pPr>
            <w:r>
              <w:rPr>
                <w:rFonts w:hint="eastAsia"/>
              </w:rPr>
              <w:t>0</w:t>
            </w:r>
            <w:r>
              <w:t>.07</w:t>
            </w:r>
          </w:p>
        </w:tc>
        <w:tc>
          <w:tcPr>
            <w:tcW w:w="468" w:type="pct"/>
            <w:tcBorders>
              <w:top w:val="single" w:color="auto" w:sz="6" w:space="0"/>
              <w:bottom w:val="single" w:color="auto" w:sz="6" w:space="0"/>
            </w:tcBorders>
            <w:shd w:val="clear" w:color="auto" w:fill="auto"/>
            <w:tcMar>
              <w:left w:w="0" w:type="dxa"/>
              <w:right w:w="0" w:type="dxa"/>
            </w:tcMar>
            <w:vAlign w:val="center"/>
          </w:tcPr>
          <w:p w14:paraId="67664807">
            <w:pPr>
              <w:pStyle w:val="90"/>
            </w:pPr>
            <w:r>
              <w:rPr>
                <w:rFonts w:hint="eastAsia"/>
              </w:rPr>
              <w:t>0</w:t>
            </w:r>
            <w:r>
              <w:t>.116</w:t>
            </w:r>
          </w:p>
        </w:tc>
        <w:tc>
          <w:tcPr>
            <w:tcW w:w="468" w:type="pct"/>
            <w:tcBorders>
              <w:top w:val="single" w:color="auto" w:sz="6" w:space="0"/>
              <w:bottom w:val="single" w:color="auto" w:sz="6" w:space="0"/>
            </w:tcBorders>
            <w:shd w:val="clear" w:color="auto" w:fill="auto"/>
            <w:tcMar>
              <w:left w:w="0" w:type="dxa"/>
              <w:right w:w="0" w:type="dxa"/>
            </w:tcMar>
            <w:vAlign w:val="center"/>
          </w:tcPr>
          <w:p w14:paraId="106BA282">
            <w:pPr>
              <w:pStyle w:val="90"/>
            </w:pPr>
            <w:r>
              <w:rPr>
                <w:rFonts w:hint="eastAsia"/>
              </w:rPr>
              <w:t>6</w:t>
            </w:r>
            <w:r>
              <w:t>.10</w:t>
            </w:r>
          </w:p>
        </w:tc>
        <w:tc>
          <w:tcPr>
            <w:tcW w:w="582" w:type="pct"/>
            <w:tcBorders>
              <w:top w:val="single" w:color="auto" w:sz="6" w:space="0"/>
              <w:bottom w:val="single" w:color="auto" w:sz="6" w:space="0"/>
            </w:tcBorders>
            <w:shd w:val="clear" w:color="auto" w:fill="auto"/>
            <w:tcMar>
              <w:left w:w="0" w:type="dxa"/>
              <w:right w:w="0" w:type="dxa"/>
            </w:tcMar>
            <w:vAlign w:val="center"/>
          </w:tcPr>
          <w:p w14:paraId="5EF0DB0B">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5DFCBEDC">
            <w:pPr>
              <w:pStyle w:val="90"/>
            </w:pPr>
            <w:r>
              <w:rPr>
                <w:rFonts w:hint="eastAsia"/>
              </w:rPr>
              <w:t>4</w:t>
            </w:r>
            <w:r>
              <w:t>3.1</w:t>
            </w:r>
          </w:p>
        </w:tc>
      </w:tr>
      <w:tr w14:paraId="7F788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2B6CD1C0">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41380C69">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5D5AE9C4">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55F7A456">
            <w:pPr>
              <w:pStyle w:val="90"/>
            </w:pPr>
            <w:r>
              <w:t xml:space="preserve">0.021 </w:t>
            </w:r>
          </w:p>
        </w:tc>
        <w:tc>
          <w:tcPr>
            <w:tcW w:w="467" w:type="pct"/>
            <w:tcBorders>
              <w:top w:val="single" w:color="auto" w:sz="6" w:space="0"/>
              <w:bottom w:val="single" w:color="auto" w:sz="6" w:space="0"/>
            </w:tcBorders>
            <w:shd w:val="clear" w:color="auto" w:fill="auto"/>
            <w:tcMar>
              <w:left w:w="0" w:type="dxa"/>
              <w:right w:w="0" w:type="dxa"/>
            </w:tcMar>
            <w:vAlign w:val="center"/>
          </w:tcPr>
          <w:p w14:paraId="001EBA64">
            <w:pPr>
              <w:pStyle w:val="90"/>
            </w:pPr>
            <w:r>
              <w:t xml:space="preserve">0.019 </w:t>
            </w:r>
          </w:p>
        </w:tc>
        <w:tc>
          <w:tcPr>
            <w:tcW w:w="468" w:type="pct"/>
            <w:tcBorders>
              <w:top w:val="single" w:color="auto" w:sz="6" w:space="0"/>
              <w:bottom w:val="single" w:color="auto" w:sz="6" w:space="0"/>
            </w:tcBorders>
            <w:shd w:val="clear" w:color="auto" w:fill="auto"/>
            <w:tcMar>
              <w:left w:w="0" w:type="dxa"/>
              <w:right w:w="0" w:type="dxa"/>
            </w:tcMar>
            <w:vAlign w:val="center"/>
          </w:tcPr>
          <w:p w14:paraId="1C960C97">
            <w:pPr>
              <w:pStyle w:val="90"/>
            </w:pPr>
            <w:r>
              <w:t xml:space="preserve">0.001 </w:t>
            </w:r>
          </w:p>
        </w:tc>
        <w:tc>
          <w:tcPr>
            <w:tcW w:w="468" w:type="pct"/>
            <w:tcBorders>
              <w:top w:val="single" w:color="auto" w:sz="6" w:space="0"/>
              <w:bottom w:val="single" w:color="auto" w:sz="6" w:space="0"/>
            </w:tcBorders>
            <w:shd w:val="clear" w:color="auto" w:fill="auto"/>
            <w:tcMar>
              <w:left w:w="0" w:type="dxa"/>
              <w:right w:w="0" w:type="dxa"/>
            </w:tcMar>
            <w:vAlign w:val="center"/>
          </w:tcPr>
          <w:p w14:paraId="334EB85F">
            <w:pPr>
              <w:pStyle w:val="90"/>
            </w:pPr>
            <w:r>
              <w:t xml:space="preserve">0.003 </w:t>
            </w:r>
          </w:p>
        </w:tc>
        <w:tc>
          <w:tcPr>
            <w:tcW w:w="468" w:type="pct"/>
            <w:tcBorders>
              <w:top w:val="single" w:color="auto" w:sz="6" w:space="0"/>
              <w:bottom w:val="single" w:color="auto" w:sz="6" w:space="0"/>
            </w:tcBorders>
            <w:shd w:val="clear" w:color="auto" w:fill="auto"/>
            <w:tcMar>
              <w:left w:w="0" w:type="dxa"/>
              <w:right w:w="0" w:type="dxa"/>
            </w:tcMar>
            <w:vAlign w:val="center"/>
          </w:tcPr>
          <w:p w14:paraId="4C54369A">
            <w:pPr>
              <w:pStyle w:val="90"/>
            </w:pPr>
            <w:r>
              <w:t xml:space="preserve">0.102 </w:t>
            </w:r>
          </w:p>
        </w:tc>
        <w:tc>
          <w:tcPr>
            <w:tcW w:w="582" w:type="pct"/>
            <w:tcBorders>
              <w:top w:val="single" w:color="auto" w:sz="6" w:space="0"/>
              <w:bottom w:val="single" w:color="auto" w:sz="6" w:space="0"/>
            </w:tcBorders>
            <w:shd w:val="clear" w:color="auto" w:fill="auto"/>
            <w:tcMar>
              <w:left w:w="0" w:type="dxa"/>
              <w:right w:w="0" w:type="dxa"/>
            </w:tcMar>
            <w:vAlign w:val="center"/>
          </w:tcPr>
          <w:p w14:paraId="51DDAA16">
            <w:pPr>
              <w:pStyle w:val="90"/>
            </w:pPr>
            <w:r>
              <w:t>/</w:t>
            </w:r>
          </w:p>
        </w:tc>
        <w:tc>
          <w:tcPr>
            <w:tcW w:w="726" w:type="pct"/>
            <w:tcBorders>
              <w:top w:val="single" w:color="auto" w:sz="6" w:space="0"/>
              <w:bottom w:val="single" w:color="auto" w:sz="6" w:space="0"/>
            </w:tcBorders>
            <w:vAlign w:val="center"/>
          </w:tcPr>
          <w:p w14:paraId="179C9A9E">
            <w:pPr>
              <w:pStyle w:val="90"/>
            </w:pPr>
            <w:r>
              <w:t xml:space="preserve">0.010 </w:t>
            </w:r>
          </w:p>
        </w:tc>
      </w:tr>
      <w:tr w14:paraId="53AEB5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161EC075">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3C9664DC">
            <w:pPr>
              <w:pStyle w:val="90"/>
            </w:pPr>
            <w:r>
              <w:rPr>
                <w:rFonts w:hint="eastAsia"/>
              </w:rPr>
              <w:t>1</w:t>
            </w:r>
            <w:r>
              <w:t>.5-3.0</w:t>
            </w:r>
          </w:p>
        </w:tc>
        <w:tc>
          <w:tcPr>
            <w:tcW w:w="466" w:type="pct"/>
            <w:tcBorders>
              <w:top w:val="single" w:color="auto" w:sz="6" w:space="0"/>
              <w:bottom w:val="single" w:color="auto" w:sz="6" w:space="0"/>
            </w:tcBorders>
            <w:shd w:val="clear" w:color="auto" w:fill="auto"/>
            <w:tcMar>
              <w:left w:w="0" w:type="dxa"/>
              <w:right w:w="0" w:type="dxa"/>
            </w:tcMar>
            <w:vAlign w:val="center"/>
          </w:tcPr>
          <w:p w14:paraId="76D40EB1">
            <w:pPr>
              <w:pStyle w:val="90"/>
            </w:pPr>
            <w:r>
              <w:rPr>
                <w:rFonts w:hint="eastAsia"/>
              </w:rPr>
              <w:t>1</w:t>
            </w:r>
            <w:r>
              <w:t>3</w:t>
            </w:r>
          </w:p>
        </w:tc>
        <w:tc>
          <w:tcPr>
            <w:tcW w:w="467" w:type="pct"/>
            <w:tcBorders>
              <w:top w:val="single" w:color="auto" w:sz="6" w:space="0"/>
              <w:bottom w:val="single" w:color="auto" w:sz="6" w:space="0"/>
            </w:tcBorders>
            <w:shd w:val="clear" w:color="auto" w:fill="auto"/>
            <w:tcMar>
              <w:left w:w="0" w:type="dxa"/>
              <w:right w:w="0" w:type="dxa"/>
            </w:tcMar>
            <w:vAlign w:val="center"/>
          </w:tcPr>
          <w:p w14:paraId="2CE824FF">
            <w:pPr>
              <w:pStyle w:val="90"/>
            </w:pPr>
            <w:r>
              <w:rPr>
                <w:rFonts w:hint="eastAsia"/>
              </w:rPr>
              <w:t>1</w:t>
            </w:r>
            <w:r>
              <w:t>4</w:t>
            </w:r>
          </w:p>
        </w:tc>
        <w:tc>
          <w:tcPr>
            <w:tcW w:w="467" w:type="pct"/>
            <w:tcBorders>
              <w:top w:val="single" w:color="auto" w:sz="6" w:space="0"/>
              <w:bottom w:val="single" w:color="auto" w:sz="6" w:space="0"/>
            </w:tcBorders>
            <w:shd w:val="clear" w:color="auto" w:fill="auto"/>
            <w:tcMar>
              <w:left w:w="0" w:type="dxa"/>
              <w:right w:w="0" w:type="dxa"/>
            </w:tcMar>
            <w:vAlign w:val="center"/>
          </w:tcPr>
          <w:p w14:paraId="6C03385C">
            <w:pPr>
              <w:pStyle w:val="90"/>
            </w:pPr>
            <w:r>
              <w:rPr>
                <w:rFonts w:hint="eastAsia"/>
              </w:rPr>
              <w:t>1</w:t>
            </w:r>
            <w:r>
              <w:t>3</w:t>
            </w:r>
          </w:p>
        </w:tc>
        <w:tc>
          <w:tcPr>
            <w:tcW w:w="468" w:type="pct"/>
            <w:tcBorders>
              <w:top w:val="single" w:color="auto" w:sz="6" w:space="0"/>
              <w:bottom w:val="single" w:color="auto" w:sz="6" w:space="0"/>
            </w:tcBorders>
            <w:shd w:val="clear" w:color="auto" w:fill="auto"/>
            <w:tcMar>
              <w:left w:w="0" w:type="dxa"/>
              <w:right w:w="0" w:type="dxa"/>
            </w:tcMar>
            <w:vAlign w:val="center"/>
          </w:tcPr>
          <w:p w14:paraId="07F0F4AD">
            <w:pPr>
              <w:pStyle w:val="90"/>
            </w:pPr>
            <w:r>
              <w:rPr>
                <w:rFonts w:hint="eastAsia"/>
              </w:rPr>
              <w:t>0</w:t>
            </w:r>
            <w:r>
              <w:t>.05</w:t>
            </w:r>
          </w:p>
        </w:tc>
        <w:tc>
          <w:tcPr>
            <w:tcW w:w="468" w:type="pct"/>
            <w:tcBorders>
              <w:top w:val="single" w:color="auto" w:sz="6" w:space="0"/>
              <w:bottom w:val="single" w:color="auto" w:sz="6" w:space="0"/>
            </w:tcBorders>
            <w:shd w:val="clear" w:color="auto" w:fill="auto"/>
            <w:tcMar>
              <w:left w:w="0" w:type="dxa"/>
              <w:right w:w="0" w:type="dxa"/>
            </w:tcMar>
            <w:vAlign w:val="center"/>
          </w:tcPr>
          <w:p w14:paraId="3FE4B906">
            <w:pPr>
              <w:pStyle w:val="90"/>
            </w:pPr>
            <w:r>
              <w:rPr>
                <w:rFonts w:hint="eastAsia"/>
              </w:rPr>
              <w:t>0</w:t>
            </w:r>
            <w:r>
              <w:t>.076</w:t>
            </w:r>
          </w:p>
        </w:tc>
        <w:tc>
          <w:tcPr>
            <w:tcW w:w="468" w:type="pct"/>
            <w:tcBorders>
              <w:top w:val="single" w:color="auto" w:sz="6" w:space="0"/>
              <w:bottom w:val="single" w:color="auto" w:sz="6" w:space="0"/>
            </w:tcBorders>
            <w:shd w:val="clear" w:color="auto" w:fill="auto"/>
            <w:tcMar>
              <w:left w:w="0" w:type="dxa"/>
              <w:right w:w="0" w:type="dxa"/>
            </w:tcMar>
            <w:vAlign w:val="center"/>
          </w:tcPr>
          <w:p w14:paraId="56F11494">
            <w:pPr>
              <w:pStyle w:val="90"/>
            </w:pPr>
            <w:r>
              <w:rPr>
                <w:rFonts w:hint="eastAsia"/>
              </w:rPr>
              <w:t>4</w:t>
            </w:r>
            <w:r>
              <w:t>.35</w:t>
            </w:r>
          </w:p>
        </w:tc>
        <w:tc>
          <w:tcPr>
            <w:tcW w:w="582" w:type="pct"/>
            <w:tcBorders>
              <w:top w:val="single" w:color="auto" w:sz="6" w:space="0"/>
              <w:bottom w:val="single" w:color="auto" w:sz="6" w:space="0"/>
            </w:tcBorders>
            <w:shd w:val="clear" w:color="auto" w:fill="auto"/>
            <w:tcMar>
              <w:left w:w="0" w:type="dxa"/>
              <w:right w:w="0" w:type="dxa"/>
            </w:tcMar>
            <w:vAlign w:val="center"/>
          </w:tcPr>
          <w:p w14:paraId="5868CF14">
            <w:pPr>
              <w:pStyle w:val="90"/>
            </w:pPr>
            <w:r>
              <w:rPr>
                <w:lang w:bidi="ar"/>
              </w:rPr>
              <w:t>&lt;</w:t>
            </w:r>
            <w:r>
              <w:rPr>
                <w:rFonts w:hint="eastAsia"/>
                <w:lang w:bidi="ar"/>
              </w:rPr>
              <w:t>0.5</w:t>
            </w:r>
          </w:p>
        </w:tc>
        <w:tc>
          <w:tcPr>
            <w:tcW w:w="726" w:type="pct"/>
            <w:tcBorders>
              <w:top w:val="single" w:color="auto" w:sz="6" w:space="0"/>
              <w:bottom w:val="single" w:color="auto" w:sz="6" w:space="0"/>
            </w:tcBorders>
            <w:vAlign w:val="center"/>
          </w:tcPr>
          <w:p w14:paraId="2E04E4DD">
            <w:pPr>
              <w:pStyle w:val="90"/>
            </w:pPr>
            <w:r>
              <w:rPr>
                <w:rFonts w:hint="eastAsia"/>
              </w:rPr>
              <w:t>6</w:t>
            </w:r>
            <w:r>
              <w:t>8.6</w:t>
            </w:r>
          </w:p>
        </w:tc>
      </w:tr>
      <w:tr w14:paraId="088B1C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6" w:space="0"/>
            </w:tcBorders>
            <w:shd w:val="clear" w:color="auto" w:fill="auto"/>
            <w:tcMar>
              <w:left w:w="0" w:type="dxa"/>
              <w:right w:w="0" w:type="dxa"/>
            </w:tcMar>
            <w:vAlign w:val="center"/>
          </w:tcPr>
          <w:p w14:paraId="2DA60EA6">
            <w:pPr>
              <w:pStyle w:val="90"/>
            </w:pPr>
          </w:p>
        </w:tc>
        <w:tc>
          <w:tcPr>
            <w:tcW w:w="646" w:type="pct"/>
            <w:tcBorders>
              <w:top w:val="single" w:color="auto" w:sz="6" w:space="0"/>
              <w:bottom w:val="single" w:color="auto" w:sz="6" w:space="0"/>
            </w:tcBorders>
            <w:shd w:val="clear" w:color="auto" w:fill="auto"/>
            <w:tcMar>
              <w:left w:w="0" w:type="dxa"/>
              <w:right w:w="0" w:type="dxa"/>
            </w:tcMar>
            <w:vAlign w:val="center"/>
          </w:tcPr>
          <w:p w14:paraId="3A19507E">
            <w:pPr>
              <w:pStyle w:val="90"/>
            </w:pPr>
            <w:r>
              <w:rPr>
                <w:rFonts w:hint="eastAsia"/>
              </w:rPr>
              <w:t>标准指数</w:t>
            </w:r>
          </w:p>
        </w:tc>
        <w:tc>
          <w:tcPr>
            <w:tcW w:w="466" w:type="pct"/>
            <w:tcBorders>
              <w:top w:val="single" w:color="auto" w:sz="6" w:space="0"/>
              <w:bottom w:val="single" w:color="auto" w:sz="6" w:space="0"/>
            </w:tcBorders>
            <w:shd w:val="clear" w:color="auto" w:fill="auto"/>
            <w:tcMar>
              <w:left w:w="0" w:type="dxa"/>
              <w:right w:w="0" w:type="dxa"/>
            </w:tcMar>
            <w:vAlign w:val="center"/>
          </w:tcPr>
          <w:p w14:paraId="350EDFA7">
            <w:pPr>
              <w:pStyle w:val="90"/>
              <w:rPr>
                <w:kern w:val="0"/>
              </w:rPr>
            </w:pPr>
            <w:r>
              <w:t xml:space="preserve">0.001 </w:t>
            </w:r>
          </w:p>
        </w:tc>
        <w:tc>
          <w:tcPr>
            <w:tcW w:w="467" w:type="pct"/>
            <w:tcBorders>
              <w:top w:val="single" w:color="auto" w:sz="6" w:space="0"/>
              <w:bottom w:val="single" w:color="auto" w:sz="6" w:space="0"/>
            </w:tcBorders>
            <w:shd w:val="clear" w:color="auto" w:fill="auto"/>
            <w:tcMar>
              <w:left w:w="0" w:type="dxa"/>
              <w:right w:w="0" w:type="dxa"/>
            </w:tcMar>
            <w:vAlign w:val="center"/>
          </w:tcPr>
          <w:p w14:paraId="31070314">
            <w:pPr>
              <w:pStyle w:val="90"/>
            </w:pPr>
            <w:r>
              <w:t xml:space="preserve">0.018 </w:t>
            </w:r>
          </w:p>
        </w:tc>
        <w:tc>
          <w:tcPr>
            <w:tcW w:w="467" w:type="pct"/>
            <w:tcBorders>
              <w:top w:val="single" w:color="auto" w:sz="6" w:space="0"/>
              <w:bottom w:val="single" w:color="auto" w:sz="6" w:space="0"/>
            </w:tcBorders>
            <w:shd w:val="clear" w:color="auto" w:fill="auto"/>
            <w:tcMar>
              <w:left w:w="0" w:type="dxa"/>
              <w:right w:w="0" w:type="dxa"/>
            </w:tcMar>
            <w:vAlign w:val="center"/>
          </w:tcPr>
          <w:p w14:paraId="6C7C22FC">
            <w:pPr>
              <w:pStyle w:val="90"/>
            </w:pPr>
            <w:r>
              <w:t xml:space="preserve">0.014 </w:t>
            </w:r>
          </w:p>
        </w:tc>
        <w:tc>
          <w:tcPr>
            <w:tcW w:w="468" w:type="pct"/>
            <w:tcBorders>
              <w:top w:val="single" w:color="auto" w:sz="6" w:space="0"/>
              <w:bottom w:val="single" w:color="auto" w:sz="6" w:space="0"/>
            </w:tcBorders>
            <w:shd w:val="clear" w:color="auto" w:fill="auto"/>
            <w:tcMar>
              <w:left w:w="0" w:type="dxa"/>
              <w:right w:w="0" w:type="dxa"/>
            </w:tcMar>
            <w:vAlign w:val="center"/>
          </w:tcPr>
          <w:p w14:paraId="10080CE0">
            <w:pPr>
              <w:pStyle w:val="90"/>
            </w:pPr>
            <w:r>
              <w:t xml:space="preserve">0.001 </w:t>
            </w:r>
          </w:p>
        </w:tc>
        <w:tc>
          <w:tcPr>
            <w:tcW w:w="468" w:type="pct"/>
            <w:tcBorders>
              <w:top w:val="single" w:color="auto" w:sz="6" w:space="0"/>
              <w:bottom w:val="single" w:color="auto" w:sz="6" w:space="0"/>
            </w:tcBorders>
            <w:shd w:val="clear" w:color="auto" w:fill="auto"/>
            <w:tcMar>
              <w:left w:w="0" w:type="dxa"/>
              <w:right w:w="0" w:type="dxa"/>
            </w:tcMar>
            <w:vAlign w:val="center"/>
          </w:tcPr>
          <w:p w14:paraId="5D9CE0C6">
            <w:pPr>
              <w:pStyle w:val="90"/>
            </w:pPr>
            <w:r>
              <w:t xml:space="preserve">0.002 </w:t>
            </w:r>
          </w:p>
        </w:tc>
        <w:tc>
          <w:tcPr>
            <w:tcW w:w="468" w:type="pct"/>
            <w:tcBorders>
              <w:top w:val="single" w:color="auto" w:sz="6" w:space="0"/>
              <w:bottom w:val="single" w:color="auto" w:sz="6" w:space="0"/>
            </w:tcBorders>
            <w:shd w:val="clear" w:color="auto" w:fill="auto"/>
            <w:tcMar>
              <w:left w:w="0" w:type="dxa"/>
              <w:right w:w="0" w:type="dxa"/>
            </w:tcMar>
            <w:vAlign w:val="center"/>
          </w:tcPr>
          <w:p w14:paraId="2A375EA7">
            <w:pPr>
              <w:pStyle w:val="90"/>
            </w:pPr>
            <w:r>
              <w:t xml:space="preserve">0.073 </w:t>
            </w:r>
          </w:p>
        </w:tc>
        <w:tc>
          <w:tcPr>
            <w:tcW w:w="582" w:type="pct"/>
            <w:tcBorders>
              <w:top w:val="single" w:color="auto" w:sz="6" w:space="0"/>
              <w:bottom w:val="single" w:color="auto" w:sz="6" w:space="0"/>
            </w:tcBorders>
            <w:shd w:val="clear" w:color="auto" w:fill="auto"/>
            <w:tcMar>
              <w:left w:w="0" w:type="dxa"/>
              <w:right w:w="0" w:type="dxa"/>
            </w:tcMar>
            <w:vAlign w:val="center"/>
          </w:tcPr>
          <w:p w14:paraId="085FB612">
            <w:pPr>
              <w:pStyle w:val="90"/>
            </w:pPr>
            <w:r>
              <w:t>/</w:t>
            </w:r>
          </w:p>
        </w:tc>
        <w:tc>
          <w:tcPr>
            <w:tcW w:w="726" w:type="pct"/>
            <w:tcBorders>
              <w:top w:val="single" w:color="auto" w:sz="6" w:space="0"/>
              <w:bottom w:val="single" w:color="auto" w:sz="6" w:space="0"/>
            </w:tcBorders>
            <w:vAlign w:val="center"/>
          </w:tcPr>
          <w:p w14:paraId="523E6350">
            <w:pPr>
              <w:pStyle w:val="90"/>
            </w:pPr>
            <w:r>
              <w:t xml:space="preserve">0.015 </w:t>
            </w:r>
          </w:p>
        </w:tc>
      </w:tr>
      <w:tr w14:paraId="030A13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restart"/>
            <w:tcBorders>
              <w:top w:val="single" w:color="auto" w:sz="6" w:space="0"/>
              <w:bottom w:val="single" w:color="auto" w:sz="6" w:space="0"/>
            </w:tcBorders>
            <w:shd w:val="clear" w:color="auto" w:fill="auto"/>
            <w:tcMar>
              <w:left w:w="0" w:type="dxa"/>
              <w:right w:w="0" w:type="dxa"/>
            </w:tcMar>
            <w:vAlign w:val="center"/>
          </w:tcPr>
          <w:p w14:paraId="7563888A">
            <w:pPr>
              <w:pStyle w:val="90"/>
            </w:pPr>
            <w:r>
              <w:rPr>
                <w:rFonts w:hint="eastAsia"/>
              </w:rPr>
              <w:t>6#</w:t>
            </w:r>
          </w:p>
        </w:tc>
        <w:tc>
          <w:tcPr>
            <w:tcW w:w="646" w:type="pct"/>
            <w:tcBorders>
              <w:top w:val="single" w:color="auto" w:sz="6" w:space="0"/>
              <w:bottom w:val="single" w:color="auto" w:sz="6" w:space="0"/>
            </w:tcBorders>
            <w:shd w:val="clear" w:color="auto" w:fill="auto"/>
            <w:tcMar>
              <w:left w:w="0" w:type="dxa"/>
              <w:right w:w="0" w:type="dxa"/>
            </w:tcMar>
            <w:vAlign w:val="center"/>
          </w:tcPr>
          <w:p w14:paraId="5F111289">
            <w:pPr>
              <w:pStyle w:val="90"/>
            </w:pPr>
            <w:r>
              <w:rPr>
                <w:rFonts w:hint="eastAsia"/>
              </w:rPr>
              <w:t>监测值</w:t>
            </w:r>
          </w:p>
        </w:tc>
        <w:tc>
          <w:tcPr>
            <w:tcW w:w="466" w:type="pct"/>
            <w:tcBorders>
              <w:top w:val="single" w:color="auto" w:sz="6" w:space="0"/>
              <w:bottom w:val="single" w:color="auto" w:sz="6" w:space="0"/>
            </w:tcBorders>
            <w:shd w:val="clear" w:color="auto" w:fill="auto"/>
            <w:tcMar>
              <w:left w:w="0" w:type="dxa"/>
              <w:right w:w="0" w:type="dxa"/>
            </w:tcMar>
            <w:vAlign w:val="center"/>
          </w:tcPr>
          <w:p w14:paraId="77274701">
            <w:pPr>
              <w:pStyle w:val="90"/>
            </w:pPr>
            <w:r>
              <w:rPr>
                <w:rFonts w:hint="eastAsia"/>
              </w:rPr>
              <w:t>2</w:t>
            </w:r>
            <w:r>
              <w:t>4</w:t>
            </w:r>
          </w:p>
        </w:tc>
        <w:tc>
          <w:tcPr>
            <w:tcW w:w="467" w:type="pct"/>
            <w:tcBorders>
              <w:top w:val="single" w:color="auto" w:sz="6" w:space="0"/>
              <w:bottom w:val="single" w:color="auto" w:sz="6" w:space="0"/>
            </w:tcBorders>
            <w:shd w:val="clear" w:color="auto" w:fill="auto"/>
            <w:tcMar>
              <w:left w:w="0" w:type="dxa"/>
              <w:right w:w="0" w:type="dxa"/>
            </w:tcMar>
            <w:vAlign w:val="center"/>
          </w:tcPr>
          <w:p w14:paraId="150F7F47">
            <w:pPr>
              <w:pStyle w:val="90"/>
            </w:pPr>
            <w:r>
              <w:rPr>
                <w:rFonts w:hint="eastAsia"/>
              </w:rPr>
              <w:t>2</w:t>
            </w:r>
            <w:r>
              <w:t>1</w:t>
            </w:r>
          </w:p>
        </w:tc>
        <w:tc>
          <w:tcPr>
            <w:tcW w:w="467" w:type="pct"/>
            <w:tcBorders>
              <w:top w:val="single" w:color="auto" w:sz="6" w:space="0"/>
              <w:bottom w:val="single" w:color="auto" w:sz="6" w:space="0"/>
            </w:tcBorders>
            <w:shd w:val="clear" w:color="auto" w:fill="auto"/>
            <w:tcMar>
              <w:left w:w="0" w:type="dxa"/>
              <w:right w:w="0" w:type="dxa"/>
            </w:tcMar>
            <w:vAlign w:val="center"/>
          </w:tcPr>
          <w:p w14:paraId="08C2A3F3">
            <w:pPr>
              <w:pStyle w:val="90"/>
            </w:pPr>
            <w:r>
              <w:rPr>
                <w:rFonts w:hint="eastAsia"/>
              </w:rPr>
              <w:t>2</w:t>
            </w:r>
            <w:r>
              <w:t>6</w:t>
            </w:r>
          </w:p>
        </w:tc>
        <w:tc>
          <w:tcPr>
            <w:tcW w:w="468" w:type="pct"/>
            <w:tcBorders>
              <w:top w:val="single" w:color="auto" w:sz="6" w:space="0"/>
              <w:bottom w:val="single" w:color="auto" w:sz="6" w:space="0"/>
            </w:tcBorders>
            <w:shd w:val="clear" w:color="auto" w:fill="auto"/>
            <w:tcMar>
              <w:left w:w="0" w:type="dxa"/>
              <w:right w:w="0" w:type="dxa"/>
            </w:tcMar>
            <w:vAlign w:val="center"/>
          </w:tcPr>
          <w:p w14:paraId="426A9B67">
            <w:pPr>
              <w:pStyle w:val="90"/>
            </w:pPr>
            <w:r>
              <w:rPr>
                <w:rFonts w:hint="eastAsia"/>
              </w:rPr>
              <w:t>0</w:t>
            </w:r>
            <w:r>
              <w:t>.09</w:t>
            </w:r>
          </w:p>
        </w:tc>
        <w:tc>
          <w:tcPr>
            <w:tcW w:w="468" w:type="pct"/>
            <w:tcBorders>
              <w:top w:val="single" w:color="auto" w:sz="6" w:space="0"/>
              <w:bottom w:val="single" w:color="auto" w:sz="6" w:space="0"/>
            </w:tcBorders>
            <w:shd w:val="clear" w:color="auto" w:fill="auto"/>
            <w:tcMar>
              <w:left w:w="0" w:type="dxa"/>
              <w:right w:w="0" w:type="dxa"/>
            </w:tcMar>
            <w:vAlign w:val="center"/>
          </w:tcPr>
          <w:p w14:paraId="0F61DCBA">
            <w:pPr>
              <w:pStyle w:val="90"/>
            </w:pPr>
            <w:r>
              <w:rPr>
                <w:rFonts w:hint="eastAsia"/>
              </w:rPr>
              <w:t>0</w:t>
            </w:r>
            <w:r>
              <w:t>.210</w:t>
            </w:r>
          </w:p>
        </w:tc>
        <w:tc>
          <w:tcPr>
            <w:tcW w:w="468" w:type="pct"/>
            <w:tcBorders>
              <w:top w:val="single" w:color="auto" w:sz="6" w:space="0"/>
              <w:bottom w:val="single" w:color="auto" w:sz="6" w:space="0"/>
            </w:tcBorders>
            <w:shd w:val="clear" w:color="auto" w:fill="auto"/>
            <w:tcMar>
              <w:left w:w="0" w:type="dxa"/>
              <w:right w:w="0" w:type="dxa"/>
            </w:tcMar>
            <w:vAlign w:val="center"/>
          </w:tcPr>
          <w:p w14:paraId="7A5B27EA">
            <w:pPr>
              <w:pStyle w:val="90"/>
            </w:pPr>
            <w:r>
              <w:rPr>
                <w:rFonts w:hint="eastAsia"/>
              </w:rPr>
              <w:t>1</w:t>
            </w:r>
            <w:r>
              <w:t>0.57</w:t>
            </w:r>
          </w:p>
        </w:tc>
        <w:tc>
          <w:tcPr>
            <w:tcW w:w="582" w:type="pct"/>
            <w:tcBorders>
              <w:top w:val="single" w:color="auto" w:sz="6" w:space="0"/>
              <w:bottom w:val="single" w:color="auto" w:sz="6" w:space="0"/>
            </w:tcBorders>
            <w:shd w:val="clear" w:color="auto" w:fill="auto"/>
            <w:tcMar>
              <w:left w:w="0" w:type="dxa"/>
              <w:right w:w="0" w:type="dxa"/>
            </w:tcMar>
            <w:vAlign w:val="center"/>
          </w:tcPr>
          <w:p w14:paraId="35C8F2E5">
            <w:pPr>
              <w:pStyle w:val="90"/>
            </w:pPr>
            <w:r>
              <w:rPr>
                <w:rFonts w:hint="eastAsia"/>
              </w:rPr>
              <w:t>0</w:t>
            </w:r>
            <w:r>
              <w:t>.7</w:t>
            </w:r>
          </w:p>
        </w:tc>
        <w:tc>
          <w:tcPr>
            <w:tcW w:w="726" w:type="pct"/>
            <w:tcBorders>
              <w:top w:val="single" w:color="auto" w:sz="6" w:space="0"/>
              <w:bottom w:val="single" w:color="auto" w:sz="6" w:space="0"/>
            </w:tcBorders>
            <w:vAlign w:val="center"/>
          </w:tcPr>
          <w:p w14:paraId="4F9049D7">
            <w:pPr>
              <w:pStyle w:val="90"/>
            </w:pPr>
            <w:r>
              <w:rPr>
                <w:rFonts w:hint="eastAsia"/>
              </w:rPr>
              <w:t>5</w:t>
            </w:r>
            <w:r>
              <w:t>1.4</w:t>
            </w:r>
          </w:p>
        </w:tc>
      </w:tr>
      <w:tr w14:paraId="1F2742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3" w:type="pct"/>
            <w:vMerge w:val="continue"/>
            <w:tcBorders>
              <w:top w:val="single" w:color="auto" w:sz="6" w:space="0"/>
              <w:bottom w:val="single" w:color="auto" w:sz="12" w:space="0"/>
            </w:tcBorders>
            <w:shd w:val="clear" w:color="auto" w:fill="auto"/>
            <w:tcMar>
              <w:left w:w="0" w:type="dxa"/>
              <w:right w:w="0" w:type="dxa"/>
            </w:tcMar>
            <w:vAlign w:val="center"/>
          </w:tcPr>
          <w:p w14:paraId="41CED76A">
            <w:pPr>
              <w:pStyle w:val="90"/>
            </w:pPr>
          </w:p>
        </w:tc>
        <w:tc>
          <w:tcPr>
            <w:tcW w:w="646" w:type="pct"/>
            <w:tcBorders>
              <w:top w:val="single" w:color="auto" w:sz="6" w:space="0"/>
              <w:bottom w:val="single" w:color="auto" w:sz="12" w:space="0"/>
            </w:tcBorders>
            <w:shd w:val="clear" w:color="auto" w:fill="auto"/>
            <w:tcMar>
              <w:left w:w="0" w:type="dxa"/>
              <w:right w:w="0" w:type="dxa"/>
            </w:tcMar>
            <w:vAlign w:val="center"/>
          </w:tcPr>
          <w:p w14:paraId="3A13846A">
            <w:pPr>
              <w:pStyle w:val="90"/>
            </w:pPr>
            <w:r>
              <w:rPr>
                <w:rFonts w:hint="eastAsia"/>
              </w:rPr>
              <w:t>标准指数</w:t>
            </w:r>
          </w:p>
        </w:tc>
        <w:tc>
          <w:tcPr>
            <w:tcW w:w="466" w:type="pct"/>
            <w:tcBorders>
              <w:top w:val="single" w:color="auto" w:sz="6" w:space="0"/>
              <w:bottom w:val="single" w:color="auto" w:sz="12" w:space="0"/>
            </w:tcBorders>
            <w:shd w:val="clear" w:color="auto" w:fill="auto"/>
            <w:tcMar>
              <w:left w:w="0" w:type="dxa"/>
              <w:right w:w="0" w:type="dxa"/>
            </w:tcMar>
            <w:vAlign w:val="center"/>
          </w:tcPr>
          <w:p w14:paraId="728D1E66">
            <w:pPr>
              <w:pStyle w:val="90"/>
              <w:rPr>
                <w:kern w:val="0"/>
              </w:rPr>
            </w:pPr>
            <w:r>
              <w:t xml:space="preserve">0.001 </w:t>
            </w:r>
          </w:p>
        </w:tc>
        <w:tc>
          <w:tcPr>
            <w:tcW w:w="467" w:type="pct"/>
            <w:tcBorders>
              <w:top w:val="single" w:color="auto" w:sz="6" w:space="0"/>
              <w:bottom w:val="single" w:color="auto" w:sz="12" w:space="0"/>
            </w:tcBorders>
            <w:shd w:val="clear" w:color="auto" w:fill="auto"/>
            <w:tcMar>
              <w:left w:w="0" w:type="dxa"/>
              <w:right w:w="0" w:type="dxa"/>
            </w:tcMar>
            <w:vAlign w:val="center"/>
          </w:tcPr>
          <w:p w14:paraId="20A182D0">
            <w:pPr>
              <w:pStyle w:val="90"/>
            </w:pPr>
            <w:r>
              <w:t xml:space="preserve">0.026 </w:t>
            </w:r>
          </w:p>
        </w:tc>
        <w:tc>
          <w:tcPr>
            <w:tcW w:w="467" w:type="pct"/>
            <w:tcBorders>
              <w:top w:val="single" w:color="auto" w:sz="6" w:space="0"/>
              <w:bottom w:val="single" w:color="auto" w:sz="12" w:space="0"/>
            </w:tcBorders>
            <w:shd w:val="clear" w:color="auto" w:fill="auto"/>
            <w:tcMar>
              <w:left w:w="0" w:type="dxa"/>
              <w:right w:w="0" w:type="dxa"/>
            </w:tcMar>
            <w:vAlign w:val="center"/>
          </w:tcPr>
          <w:p w14:paraId="5F135F00">
            <w:pPr>
              <w:pStyle w:val="90"/>
            </w:pPr>
            <w:r>
              <w:t xml:space="preserve">0.029 </w:t>
            </w:r>
          </w:p>
        </w:tc>
        <w:tc>
          <w:tcPr>
            <w:tcW w:w="468" w:type="pct"/>
            <w:tcBorders>
              <w:top w:val="single" w:color="auto" w:sz="6" w:space="0"/>
              <w:bottom w:val="single" w:color="auto" w:sz="12" w:space="0"/>
            </w:tcBorders>
            <w:shd w:val="clear" w:color="auto" w:fill="auto"/>
            <w:tcMar>
              <w:left w:w="0" w:type="dxa"/>
              <w:right w:w="0" w:type="dxa"/>
            </w:tcMar>
            <w:vAlign w:val="center"/>
          </w:tcPr>
          <w:p w14:paraId="63154D1E">
            <w:pPr>
              <w:pStyle w:val="90"/>
            </w:pPr>
            <w:r>
              <w:t xml:space="preserve">0.001 </w:t>
            </w:r>
          </w:p>
        </w:tc>
        <w:tc>
          <w:tcPr>
            <w:tcW w:w="468" w:type="pct"/>
            <w:tcBorders>
              <w:top w:val="single" w:color="auto" w:sz="6" w:space="0"/>
              <w:bottom w:val="single" w:color="auto" w:sz="12" w:space="0"/>
            </w:tcBorders>
            <w:shd w:val="clear" w:color="auto" w:fill="auto"/>
            <w:tcMar>
              <w:left w:w="0" w:type="dxa"/>
              <w:right w:w="0" w:type="dxa"/>
            </w:tcMar>
            <w:vAlign w:val="center"/>
          </w:tcPr>
          <w:p w14:paraId="5506D251">
            <w:pPr>
              <w:pStyle w:val="90"/>
            </w:pPr>
            <w:r>
              <w:t xml:space="preserve">0.006 </w:t>
            </w:r>
          </w:p>
        </w:tc>
        <w:tc>
          <w:tcPr>
            <w:tcW w:w="468" w:type="pct"/>
            <w:tcBorders>
              <w:top w:val="single" w:color="auto" w:sz="6" w:space="0"/>
              <w:bottom w:val="single" w:color="auto" w:sz="12" w:space="0"/>
            </w:tcBorders>
            <w:shd w:val="clear" w:color="auto" w:fill="auto"/>
            <w:tcMar>
              <w:left w:w="0" w:type="dxa"/>
              <w:right w:w="0" w:type="dxa"/>
            </w:tcMar>
            <w:vAlign w:val="center"/>
          </w:tcPr>
          <w:p w14:paraId="76D4854E">
            <w:pPr>
              <w:pStyle w:val="90"/>
            </w:pPr>
            <w:r>
              <w:t xml:space="preserve">0.176 </w:t>
            </w:r>
          </w:p>
        </w:tc>
        <w:tc>
          <w:tcPr>
            <w:tcW w:w="582" w:type="pct"/>
            <w:tcBorders>
              <w:top w:val="single" w:color="auto" w:sz="6" w:space="0"/>
              <w:bottom w:val="single" w:color="auto" w:sz="12" w:space="0"/>
            </w:tcBorders>
            <w:shd w:val="clear" w:color="auto" w:fill="auto"/>
            <w:tcMar>
              <w:left w:w="0" w:type="dxa"/>
              <w:right w:w="0" w:type="dxa"/>
            </w:tcMar>
            <w:vAlign w:val="center"/>
          </w:tcPr>
          <w:p w14:paraId="0AD60519">
            <w:pPr>
              <w:pStyle w:val="90"/>
            </w:pPr>
            <w:r>
              <w:t xml:space="preserve">0.123 </w:t>
            </w:r>
          </w:p>
        </w:tc>
        <w:tc>
          <w:tcPr>
            <w:tcW w:w="726" w:type="pct"/>
            <w:tcBorders>
              <w:top w:val="single" w:color="auto" w:sz="6" w:space="0"/>
              <w:bottom w:val="single" w:color="auto" w:sz="12" w:space="0"/>
            </w:tcBorders>
            <w:vAlign w:val="center"/>
          </w:tcPr>
          <w:p w14:paraId="5C084AFE">
            <w:pPr>
              <w:pStyle w:val="90"/>
            </w:pPr>
            <w:r>
              <w:t xml:space="preserve">0.011 </w:t>
            </w:r>
          </w:p>
        </w:tc>
      </w:tr>
    </w:tbl>
    <w:p w14:paraId="2D3B9B16">
      <w:pPr>
        <w:ind w:firstLine="480"/>
      </w:pPr>
      <w:r>
        <w:t>由监测结果可知，项目区土壤各项监测指标均满足《土壤环境质量 建设用地土壤污染风险管控标准（试行）》（GB36600-2018）标准限值，</w:t>
      </w:r>
      <w:r>
        <w:rPr>
          <w:rFonts w:hint="eastAsia"/>
        </w:rPr>
        <w:t>因此，本项目</w:t>
      </w:r>
      <w:r>
        <w:t>评价区域土壤环境质量良好。</w:t>
      </w:r>
    </w:p>
    <w:p w14:paraId="03867268">
      <w:pPr>
        <w:ind w:firstLine="480"/>
      </w:pPr>
      <w:r>
        <w:rPr>
          <w:rFonts w:hint="eastAsia"/>
        </w:rPr>
        <w:t>本次监测</w:t>
      </w:r>
      <w:r>
        <w:rPr>
          <w:rFonts w:hint="eastAsia" w:ascii="Segoe UI Emoji" w:hAnsi="Segoe UI Emoji" w:eastAsia="Segoe UI Emoji" w:cs="Segoe UI Emoji"/>
        </w:rPr>
        <w:t>△</w:t>
      </w:r>
      <w:r>
        <w:t>4</w:t>
      </w:r>
      <w:r>
        <w:rPr>
          <w:rFonts w:hint="eastAsia"/>
        </w:rPr>
        <w:t>测点土壤的理化性质结果见表4</w:t>
      </w:r>
      <w:r>
        <w:t>.3-10</w:t>
      </w:r>
      <w:r>
        <w:rPr>
          <w:rFonts w:hint="eastAsia"/>
        </w:rPr>
        <w:t>。</w:t>
      </w:r>
    </w:p>
    <w:p w14:paraId="600BBC1E">
      <w:pPr>
        <w:pStyle w:val="47"/>
        <w:spacing w:before="65"/>
      </w:pPr>
      <w:r>
        <w:rPr>
          <w:rFonts w:hint="eastAsia"/>
        </w:rPr>
        <w:t>表4</w:t>
      </w:r>
      <w:r>
        <w:t xml:space="preserve">.3-10   </w:t>
      </w:r>
      <w:r>
        <w:rPr>
          <w:rFonts w:hint="eastAsia" w:ascii="Segoe UI Emoji" w:hAnsi="Segoe UI Emoji" w:eastAsia="Segoe UI Emoji" w:cs="Segoe UI Emoji"/>
        </w:rPr>
        <w:t>△</w:t>
      </w:r>
      <w:r>
        <w:t>4</w:t>
      </w:r>
      <w:r>
        <w:rPr>
          <w:rFonts w:hint="eastAsia"/>
        </w:rPr>
        <w:t>测点土壤的理化性质一览表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60"/>
        <w:gridCol w:w="1983"/>
        <w:gridCol w:w="4587"/>
      </w:tblGrid>
      <w:tr w14:paraId="7B5310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000" w:type="pct"/>
            <w:gridSpan w:val="3"/>
            <w:vAlign w:val="center"/>
          </w:tcPr>
          <w:p w14:paraId="7CD3803C">
            <w:pPr>
              <w:pStyle w:val="90"/>
            </w:pPr>
            <w:r>
              <w:t>检测结果</w:t>
            </w:r>
          </w:p>
        </w:tc>
      </w:tr>
      <w:tr w14:paraId="6FFB3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restart"/>
            <w:vAlign w:val="center"/>
          </w:tcPr>
          <w:p w14:paraId="5915C977">
            <w:pPr>
              <w:pStyle w:val="90"/>
            </w:pPr>
            <w:r>
              <w:rPr>
                <w:rFonts w:hint="eastAsia"/>
              </w:rPr>
              <w:t>现场记录</w:t>
            </w:r>
          </w:p>
        </w:tc>
        <w:tc>
          <w:tcPr>
            <w:tcW w:w="1136" w:type="pct"/>
            <w:vAlign w:val="center"/>
          </w:tcPr>
          <w:p w14:paraId="2EF6454E">
            <w:pPr>
              <w:pStyle w:val="90"/>
            </w:pPr>
            <w:r>
              <w:rPr>
                <w:rFonts w:hint="eastAsia"/>
              </w:rPr>
              <w:t>颜色</w:t>
            </w:r>
          </w:p>
        </w:tc>
        <w:tc>
          <w:tcPr>
            <w:tcW w:w="2627" w:type="pct"/>
            <w:vAlign w:val="center"/>
          </w:tcPr>
          <w:p w14:paraId="4EC43EB5">
            <w:pPr>
              <w:pStyle w:val="90"/>
            </w:pPr>
            <w:r>
              <w:rPr>
                <w:rFonts w:hint="eastAsia"/>
              </w:rPr>
              <w:t>黄棕</w:t>
            </w:r>
          </w:p>
        </w:tc>
      </w:tr>
      <w:tr w14:paraId="725A8B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7CAB8B24">
            <w:pPr>
              <w:pStyle w:val="90"/>
            </w:pPr>
          </w:p>
        </w:tc>
        <w:tc>
          <w:tcPr>
            <w:tcW w:w="1136" w:type="pct"/>
            <w:vAlign w:val="center"/>
          </w:tcPr>
          <w:p w14:paraId="09909592">
            <w:pPr>
              <w:pStyle w:val="90"/>
            </w:pPr>
            <w:r>
              <w:rPr>
                <w:rFonts w:hint="eastAsia"/>
              </w:rPr>
              <w:t>结构</w:t>
            </w:r>
          </w:p>
        </w:tc>
        <w:tc>
          <w:tcPr>
            <w:tcW w:w="2627" w:type="pct"/>
            <w:vAlign w:val="center"/>
          </w:tcPr>
          <w:p w14:paraId="75BD6E5E">
            <w:pPr>
              <w:pStyle w:val="90"/>
            </w:pPr>
            <w:r>
              <w:rPr>
                <w:rFonts w:hint="eastAsia"/>
              </w:rPr>
              <w:t>块状</w:t>
            </w:r>
          </w:p>
        </w:tc>
      </w:tr>
      <w:tr w14:paraId="0F96DC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3AF6CB5F">
            <w:pPr>
              <w:pStyle w:val="90"/>
            </w:pPr>
          </w:p>
        </w:tc>
        <w:tc>
          <w:tcPr>
            <w:tcW w:w="1136" w:type="pct"/>
            <w:vAlign w:val="center"/>
          </w:tcPr>
          <w:p w14:paraId="5A0CD355">
            <w:pPr>
              <w:pStyle w:val="90"/>
            </w:pPr>
            <w:r>
              <w:rPr>
                <w:rFonts w:hint="eastAsia"/>
              </w:rPr>
              <w:t>质地</w:t>
            </w:r>
          </w:p>
        </w:tc>
        <w:tc>
          <w:tcPr>
            <w:tcW w:w="2627" w:type="pct"/>
            <w:vAlign w:val="center"/>
          </w:tcPr>
          <w:p w14:paraId="4FE47391">
            <w:pPr>
              <w:pStyle w:val="90"/>
            </w:pPr>
            <w:r>
              <w:rPr>
                <w:rFonts w:hint="eastAsia"/>
              </w:rPr>
              <w:t>壤土</w:t>
            </w:r>
          </w:p>
        </w:tc>
      </w:tr>
      <w:tr w14:paraId="5CB9F0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74555A17">
            <w:pPr>
              <w:pStyle w:val="90"/>
            </w:pPr>
          </w:p>
        </w:tc>
        <w:tc>
          <w:tcPr>
            <w:tcW w:w="1136" w:type="pct"/>
            <w:vAlign w:val="center"/>
          </w:tcPr>
          <w:p w14:paraId="04ADCDD8">
            <w:pPr>
              <w:pStyle w:val="90"/>
            </w:pPr>
            <w:r>
              <w:rPr>
                <w:rFonts w:hint="eastAsia"/>
              </w:rPr>
              <w:t>砂砾含量（%）</w:t>
            </w:r>
          </w:p>
        </w:tc>
        <w:tc>
          <w:tcPr>
            <w:tcW w:w="2627" w:type="pct"/>
            <w:vAlign w:val="center"/>
          </w:tcPr>
          <w:p w14:paraId="49321221">
            <w:pPr>
              <w:pStyle w:val="90"/>
            </w:pPr>
            <w:r>
              <w:rPr>
                <w:rFonts w:hint="eastAsia"/>
              </w:rPr>
              <w:t>10</w:t>
            </w:r>
          </w:p>
        </w:tc>
      </w:tr>
      <w:tr w14:paraId="34EA60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3F9F20FC">
            <w:pPr>
              <w:pStyle w:val="90"/>
            </w:pPr>
          </w:p>
        </w:tc>
        <w:tc>
          <w:tcPr>
            <w:tcW w:w="1136" w:type="pct"/>
            <w:vAlign w:val="center"/>
          </w:tcPr>
          <w:p w14:paraId="46356146">
            <w:pPr>
              <w:pStyle w:val="90"/>
            </w:pPr>
            <w:r>
              <w:rPr>
                <w:rFonts w:hint="eastAsia"/>
              </w:rPr>
              <w:t>其他异物</w:t>
            </w:r>
          </w:p>
        </w:tc>
        <w:tc>
          <w:tcPr>
            <w:tcW w:w="2627" w:type="pct"/>
            <w:vAlign w:val="center"/>
          </w:tcPr>
          <w:p w14:paraId="4AF1CEA7">
            <w:pPr>
              <w:pStyle w:val="90"/>
            </w:pPr>
            <w:r>
              <w:rPr>
                <w:rFonts w:hint="eastAsia"/>
              </w:rPr>
              <w:t>无</w:t>
            </w:r>
          </w:p>
        </w:tc>
      </w:tr>
      <w:tr w14:paraId="027AA7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359690D3">
            <w:pPr>
              <w:pStyle w:val="90"/>
            </w:pPr>
          </w:p>
        </w:tc>
        <w:tc>
          <w:tcPr>
            <w:tcW w:w="1136" w:type="pct"/>
            <w:vAlign w:val="center"/>
          </w:tcPr>
          <w:p w14:paraId="5C5EC947">
            <w:pPr>
              <w:pStyle w:val="90"/>
            </w:pPr>
            <w:r>
              <w:rPr>
                <w:rFonts w:hint="eastAsia"/>
              </w:rPr>
              <w:t>氧化还原电位（mv）</w:t>
            </w:r>
          </w:p>
        </w:tc>
        <w:tc>
          <w:tcPr>
            <w:tcW w:w="2627" w:type="pct"/>
            <w:vAlign w:val="center"/>
          </w:tcPr>
          <w:p w14:paraId="5EC8300C">
            <w:pPr>
              <w:pStyle w:val="90"/>
            </w:pPr>
            <w:r>
              <w:rPr>
                <w:rFonts w:hint="eastAsia"/>
              </w:rPr>
              <w:t>545</w:t>
            </w:r>
          </w:p>
        </w:tc>
      </w:tr>
      <w:tr w14:paraId="46D4E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restart"/>
            <w:vAlign w:val="center"/>
          </w:tcPr>
          <w:p w14:paraId="1130A7D3">
            <w:pPr>
              <w:pStyle w:val="90"/>
            </w:pPr>
            <w:r>
              <w:rPr>
                <w:rFonts w:hint="eastAsia"/>
              </w:rPr>
              <w:t>实验室测定</w:t>
            </w:r>
          </w:p>
        </w:tc>
        <w:tc>
          <w:tcPr>
            <w:tcW w:w="1136" w:type="pct"/>
            <w:vAlign w:val="center"/>
          </w:tcPr>
          <w:p w14:paraId="1EC8B774">
            <w:pPr>
              <w:pStyle w:val="90"/>
            </w:pPr>
            <w:r>
              <w:rPr>
                <w:rFonts w:hint="eastAsia"/>
              </w:rPr>
              <w:t>pH（无量纲）</w:t>
            </w:r>
          </w:p>
        </w:tc>
        <w:tc>
          <w:tcPr>
            <w:tcW w:w="2627" w:type="pct"/>
            <w:vAlign w:val="center"/>
          </w:tcPr>
          <w:p w14:paraId="55472E5B">
            <w:pPr>
              <w:pStyle w:val="90"/>
            </w:pPr>
            <w:r>
              <w:rPr>
                <w:rFonts w:hint="eastAsia"/>
              </w:rPr>
              <w:t>7.99</w:t>
            </w:r>
          </w:p>
        </w:tc>
      </w:tr>
      <w:tr w14:paraId="2F3184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30E52E02">
            <w:pPr>
              <w:pStyle w:val="90"/>
            </w:pPr>
          </w:p>
        </w:tc>
        <w:tc>
          <w:tcPr>
            <w:tcW w:w="1136" w:type="pct"/>
            <w:vAlign w:val="center"/>
          </w:tcPr>
          <w:p w14:paraId="64F30E24">
            <w:pPr>
              <w:pStyle w:val="90"/>
            </w:pPr>
            <w:r>
              <w:rPr>
                <w:rFonts w:hint="eastAsia"/>
              </w:rPr>
              <w:t>阳离子交换量</w:t>
            </w:r>
          </w:p>
          <w:p w14:paraId="6B32165F">
            <w:pPr>
              <w:pStyle w:val="90"/>
            </w:pPr>
            <w:r>
              <w:rPr>
                <w:rFonts w:hint="eastAsia"/>
              </w:rPr>
              <w:t>（cmol＋/kg）</w:t>
            </w:r>
          </w:p>
        </w:tc>
        <w:tc>
          <w:tcPr>
            <w:tcW w:w="2627" w:type="pct"/>
            <w:vAlign w:val="center"/>
          </w:tcPr>
          <w:p w14:paraId="372EBFDC">
            <w:pPr>
              <w:pStyle w:val="90"/>
            </w:pPr>
            <w:r>
              <w:rPr>
                <w:rFonts w:hint="eastAsia"/>
              </w:rPr>
              <w:t>1.8</w:t>
            </w:r>
          </w:p>
        </w:tc>
      </w:tr>
      <w:tr w14:paraId="027CD6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0976D3AA">
            <w:pPr>
              <w:pStyle w:val="90"/>
            </w:pPr>
          </w:p>
        </w:tc>
        <w:tc>
          <w:tcPr>
            <w:tcW w:w="1136" w:type="pct"/>
            <w:vAlign w:val="center"/>
          </w:tcPr>
          <w:p w14:paraId="583F2A7C">
            <w:pPr>
              <w:pStyle w:val="90"/>
            </w:pPr>
            <w:r>
              <w:rPr>
                <w:rFonts w:hint="eastAsia"/>
              </w:rPr>
              <w:t>渗滤率（mm/min）</w:t>
            </w:r>
          </w:p>
        </w:tc>
        <w:tc>
          <w:tcPr>
            <w:tcW w:w="2627" w:type="pct"/>
            <w:vAlign w:val="center"/>
          </w:tcPr>
          <w:p w14:paraId="69FBE0A0">
            <w:pPr>
              <w:pStyle w:val="90"/>
            </w:pPr>
            <w:r>
              <w:rPr>
                <w:rFonts w:hint="eastAsia"/>
              </w:rPr>
              <w:t>0.491</w:t>
            </w:r>
          </w:p>
        </w:tc>
      </w:tr>
      <w:tr w14:paraId="668AA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265B2DC8">
            <w:pPr>
              <w:pStyle w:val="90"/>
            </w:pPr>
          </w:p>
        </w:tc>
        <w:tc>
          <w:tcPr>
            <w:tcW w:w="1136" w:type="pct"/>
            <w:vAlign w:val="center"/>
          </w:tcPr>
          <w:p w14:paraId="16AD700D">
            <w:pPr>
              <w:pStyle w:val="90"/>
            </w:pPr>
            <w:r>
              <w:rPr>
                <w:rFonts w:hint="eastAsia"/>
              </w:rPr>
              <w:t>土壤容重（g/cm3）</w:t>
            </w:r>
          </w:p>
        </w:tc>
        <w:tc>
          <w:tcPr>
            <w:tcW w:w="2627" w:type="pct"/>
            <w:vAlign w:val="center"/>
          </w:tcPr>
          <w:p w14:paraId="2D658231">
            <w:pPr>
              <w:pStyle w:val="90"/>
            </w:pPr>
            <w:r>
              <w:rPr>
                <w:rFonts w:hint="eastAsia"/>
              </w:rPr>
              <w:t>2.43</w:t>
            </w:r>
          </w:p>
        </w:tc>
      </w:tr>
      <w:tr w14:paraId="6C760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7" w:type="pct"/>
            <w:vMerge w:val="continue"/>
            <w:vAlign w:val="center"/>
          </w:tcPr>
          <w:p w14:paraId="496112CC">
            <w:pPr>
              <w:pStyle w:val="90"/>
            </w:pPr>
          </w:p>
        </w:tc>
        <w:tc>
          <w:tcPr>
            <w:tcW w:w="1136" w:type="pct"/>
            <w:vAlign w:val="center"/>
          </w:tcPr>
          <w:p w14:paraId="3C287406">
            <w:pPr>
              <w:pStyle w:val="90"/>
            </w:pPr>
            <w:r>
              <w:rPr>
                <w:rFonts w:hint="eastAsia"/>
              </w:rPr>
              <w:t>总孔隙度（%）</w:t>
            </w:r>
          </w:p>
        </w:tc>
        <w:tc>
          <w:tcPr>
            <w:tcW w:w="2627" w:type="pct"/>
            <w:vAlign w:val="center"/>
          </w:tcPr>
          <w:p w14:paraId="1CAD0E3C">
            <w:pPr>
              <w:pStyle w:val="90"/>
            </w:pPr>
            <w:r>
              <w:rPr>
                <w:rFonts w:hint="eastAsia"/>
              </w:rPr>
              <w:t>32.5</w:t>
            </w:r>
          </w:p>
        </w:tc>
      </w:tr>
    </w:tbl>
    <w:p w14:paraId="3E257F1C">
      <w:pPr>
        <w:ind w:firstLine="480"/>
      </w:pPr>
      <w:r>
        <w:rPr>
          <w:rFonts w:hint="eastAsia"/>
        </w:rPr>
        <w:t>（6）土壤类型</w:t>
      </w:r>
    </w:p>
    <w:p w14:paraId="0B5E28A2">
      <w:pPr>
        <w:ind w:firstLine="480"/>
      </w:pPr>
      <w:r>
        <w:rPr>
          <w:rFonts w:hint="eastAsia"/>
        </w:rPr>
        <w:t>项目所在地土壤类型为风沙土，土壤类型分布图见图4</w:t>
      </w:r>
      <w:r>
        <w:t>.3-2</w:t>
      </w:r>
      <w:r>
        <w:rPr>
          <w:rFonts w:hint="eastAsia"/>
        </w:rPr>
        <w:t>。</w:t>
      </w:r>
    </w:p>
    <w:p w14:paraId="79C2F1B2">
      <w:pPr>
        <w:pStyle w:val="43"/>
      </w:pPr>
      <w:bookmarkStart w:id="390" w:name="_Toc80973541"/>
      <w:bookmarkStart w:id="391" w:name="_Toc81214109"/>
      <w:bookmarkStart w:id="392" w:name="_Toc80193115"/>
      <w:bookmarkStart w:id="393" w:name="_Toc79515486"/>
      <w:bookmarkStart w:id="394" w:name="_Toc82518797"/>
      <w:bookmarkStart w:id="395" w:name="_Toc152864209"/>
      <w:bookmarkStart w:id="396" w:name="_Toc77007815"/>
      <w:r>
        <w:rPr>
          <w:rFonts w:hint="eastAsia"/>
        </w:rPr>
        <w:t>生态环境现状调查与评价</w:t>
      </w:r>
      <w:bookmarkEnd w:id="390"/>
      <w:bookmarkEnd w:id="391"/>
      <w:bookmarkEnd w:id="392"/>
      <w:bookmarkEnd w:id="393"/>
      <w:bookmarkEnd w:id="394"/>
      <w:bookmarkEnd w:id="395"/>
      <w:bookmarkEnd w:id="396"/>
    </w:p>
    <w:p w14:paraId="61312BF1">
      <w:pPr>
        <w:pStyle w:val="45"/>
        <w:spacing w:before="65" w:after="65"/>
      </w:pPr>
      <w:r>
        <w:rPr>
          <w:rFonts w:hint="eastAsia"/>
        </w:rPr>
        <w:t>生态功能区划</w:t>
      </w:r>
    </w:p>
    <w:p w14:paraId="5B91B8A2">
      <w:pPr>
        <w:ind w:firstLine="480"/>
      </w:pPr>
      <w:r>
        <w:rPr>
          <w:rFonts w:hint="eastAsia"/>
        </w:rPr>
        <w:t>根据《新疆生产建设兵团生态功能区划》，本项目区域属兵团准噶尔盆地温性荒漠与绿洲农业生态区；生态亚区属于六、七、八、十二师准噶尔盆地南部灌木、半灌木荒漠、绿洲农业生态亚区；生态功能区属于六、七、八师奎屯—石河子—五家渠城镇与绿洲生态功能区。区域的主要生态服务功能是：工农畜产品生产、人居环境、荒漠化控制；区域主要生态问题是地下水超采、荒漠植被退化、河流萎缩断流、土地荒漠化与盐渍化、工业污染严重、绿洲外围受到沙漠化威胁；区域保护目标是保护绿洲农田生态系统及农田土壤环境质量、保护城市环境质量、保护荒漠植被；保护措施是节水灌溉、严格控制地下水开采、污染物达标排放、提高城镇建设规划水平、荒漠草场禁牧休牧、完善防护林体系、加强农田投入品的使用管理；区域发展方向是发展以棉花为主导的优质、高效、特色农业；加快高标准城镇化建设；发展棉纺业、食品加工业、畜禽养殖业；做强塑化节水器材产业。</w:t>
      </w:r>
    </w:p>
    <w:p w14:paraId="4FF70F5A">
      <w:pPr>
        <w:pStyle w:val="45"/>
        <w:spacing w:before="65" w:after="65"/>
      </w:pPr>
      <w:r>
        <w:rPr>
          <w:rFonts w:hint="eastAsia"/>
        </w:rPr>
        <w:t>植被现状调查</w:t>
      </w:r>
    </w:p>
    <w:p w14:paraId="795D656F">
      <w:pPr>
        <w:ind w:firstLine="480"/>
      </w:pPr>
      <w:r>
        <w:rPr>
          <w:rFonts w:hint="eastAsia"/>
        </w:rPr>
        <w:t>本项目所在区域主要植被及其分布为：中部灰漠土主要分布植被为琵琶柴、红柳；三角庄中心地区草甸土主要分布芨芨草、芦苇、蒲草；南部、东部荒滩盐土主要分布盐蒿、胖娃娃草等；东北部沙丘地带风沙土主要分布耐旱的梭梭等。本项目建设在项目已规划的用地范围内，厂址现状基本无植被分布。</w:t>
      </w:r>
    </w:p>
    <w:p w14:paraId="0FF24C6E">
      <w:pPr>
        <w:pStyle w:val="45"/>
        <w:spacing w:before="65" w:after="65"/>
      </w:pPr>
      <w:r>
        <w:rPr>
          <w:rFonts w:hint="eastAsia"/>
        </w:rPr>
        <w:t>动物现状调查</w:t>
      </w:r>
    </w:p>
    <w:p w14:paraId="6809A976">
      <w:pPr>
        <w:ind w:firstLine="480"/>
      </w:pPr>
      <w:r>
        <w:rPr>
          <w:rFonts w:hint="eastAsia"/>
        </w:rPr>
        <w:t>由野生动物地理区划划分，项目区域属古北界、中亚亚界、蒙新区、西部荒漠亚区、准噶尔盆地小区，本项目厂址区域无国家规定的保护类野生动植物。</w:t>
      </w:r>
    </w:p>
    <w:p w14:paraId="0FF1F613">
      <w:pPr>
        <w:ind w:firstLine="480"/>
        <w:sectPr>
          <w:footerReference r:id="rId26"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41BAA83A">
      <w:pPr>
        <w:pStyle w:val="40"/>
      </w:pPr>
      <w:bookmarkStart w:id="397" w:name="_Toc152864210"/>
      <w:r>
        <w:rPr>
          <w:rFonts w:hint="eastAsia"/>
        </w:rPr>
        <w:t>环境影响预测与评价</w:t>
      </w:r>
      <w:bookmarkEnd w:id="397"/>
    </w:p>
    <w:p w14:paraId="17F31A38">
      <w:pPr>
        <w:pStyle w:val="41"/>
      </w:pPr>
      <w:bookmarkStart w:id="398" w:name="_Toc152864211"/>
      <w:r>
        <w:rPr>
          <w:rFonts w:hint="eastAsia"/>
        </w:rPr>
        <w:t>大气环境影响预测与评价</w:t>
      </w:r>
      <w:bookmarkEnd w:id="398"/>
    </w:p>
    <w:p w14:paraId="3166E80D">
      <w:pPr>
        <w:pStyle w:val="43"/>
      </w:pPr>
      <w:bookmarkStart w:id="399" w:name="_Toc152864212"/>
      <w:r>
        <w:rPr>
          <w:rFonts w:hint="eastAsia"/>
        </w:rPr>
        <w:t>气象数据来源</w:t>
      </w:r>
      <w:bookmarkEnd w:id="399"/>
    </w:p>
    <w:p w14:paraId="2690FDAC">
      <w:pPr>
        <w:ind w:firstLine="480"/>
      </w:pPr>
      <w:r>
        <w:t>通过登录国家环境保护环境影响评价数值模拟重点实验室环境空气质量模型技术支持服务系统网站（http：//data.lem.org.cn/eamds/apply/tostepone.html）查询气象数据及总云量数据信息，距离本项目厂址最近的气象站为</w:t>
      </w:r>
      <w:r>
        <w:rPr>
          <w:rFonts w:hint="eastAsia"/>
        </w:rPr>
        <w:t>克拉玛依</w:t>
      </w:r>
      <w:r>
        <w:t>气象站（</w:t>
      </w:r>
      <w:r>
        <w:rPr>
          <w:rFonts w:hint="eastAsia"/>
        </w:rPr>
        <w:t>51243</w:t>
      </w:r>
      <w:r>
        <w:t>）2022年气象资料，气象站位于新疆维吾尔自治区</w:t>
      </w:r>
      <w:r>
        <w:rPr>
          <w:rFonts w:hint="eastAsia"/>
        </w:rPr>
        <w:t>克拉玛依市</w:t>
      </w:r>
      <w:r>
        <w:t>，地理坐标为东经</w:t>
      </w:r>
      <w:r>
        <w:rPr>
          <w:rFonts w:hint="eastAsia"/>
        </w:rPr>
        <w:t>84.8456</w:t>
      </w:r>
      <w:r>
        <w:t>°，北纬</w:t>
      </w:r>
      <w:r>
        <w:rPr>
          <w:rFonts w:hint="eastAsia"/>
        </w:rPr>
        <w:t>45.6103</w:t>
      </w:r>
      <w:r>
        <w:t>°，平均</w:t>
      </w:r>
      <w:r>
        <w:rPr>
          <w:rFonts w:hint="eastAsia"/>
        </w:rPr>
        <w:t>海拔450.3</w:t>
      </w:r>
      <w:r>
        <w:t>m。</w:t>
      </w:r>
    </w:p>
    <w:p w14:paraId="598D08F3">
      <w:pPr>
        <w:ind w:firstLine="480"/>
        <w:rPr>
          <w:lang w:val="zh-CN"/>
        </w:rPr>
      </w:pPr>
      <w:r>
        <w:rPr>
          <w:rFonts w:hint="eastAsia"/>
        </w:rPr>
        <w:t>克拉玛依</w:t>
      </w:r>
      <w:r>
        <w:t>气象站距项目区南偏东方向约85.2km，是距项目</w:t>
      </w:r>
      <w:r>
        <w:rPr>
          <w:rFonts w:hint="eastAsia"/>
        </w:rPr>
        <w:t>区较近</w:t>
      </w:r>
      <w:r>
        <w:t>的国家气象站，站点类型属于一般站，可以满足气候和一般天气的要求，具有一定代表性。</w:t>
      </w:r>
    </w:p>
    <w:p w14:paraId="41FD6F8C">
      <w:pPr>
        <w:pStyle w:val="47"/>
        <w:spacing w:before="65"/>
      </w:pPr>
      <w:r>
        <w:rPr>
          <w:rFonts w:hint="eastAsia"/>
        </w:rPr>
        <w:t>表5</w:t>
      </w:r>
      <w:r>
        <w:t xml:space="preserve">.1-1   </w:t>
      </w:r>
      <w:r>
        <w:rPr>
          <w:lang w:val="en-US"/>
        </w:rPr>
        <w:t>地面气象站台站信息表</w:t>
      </w:r>
    </w:p>
    <w:tbl>
      <w:tblPr>
        <w:tblStyle w:val="30"/>
        <w:tblW w:w="8522"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906"/>
        <w:gridCol w:w="752"/>
        <w:gridCol w:w="1186"/>
        <w:gridCol w:w="1077"/>
        <w:gridCol w:w="861"/>
        <w:gridCol w:w="936"/>
        <w:gridCol w:w="936"/>
        <w:gridCol w:w="1016"/>
        <w:gridCol w:w="852"/>
      </w:tblGrid>
      <w:tr w14:paraId="5683E27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906" w:type="dxa"/>
            <w:vAlign w:val="center"/>
          </w:tcPr>
          <w:p w14:paraId="1EE91409">
            <w:pPr>
              <w:pStyle w:val="90"/>
            </w:pPr>
            <w:r>
              <w:t>台站号码</w:t>
            </w:r>
          </w:p>
        </w:tc>
        <w:tc>
          <w:tcPr>
            <w:tcW w:w="752" w:type="dxa"/>
            <w:vAlign w:val="center"/>
          </w:tcPr>
          <w:p w14:paraId="6B367653">
            <w:pPr>
              <w:pStyle w:val="90"/>
            </w:pPr>
            <w:r>
              <w:t>台站名称</w:t>
            </w:r>
          </w:p>
        </w:tc>
        <w:tc>
          <w:tcPr>
            <w:tcW w:w="1186" w:type="dxa"/>
            <w:vAlign w:val="center"/>
          </w:tcPr>
          <w:p w14:paraId="18DE2FF2">
            <w:pPr>
              <w:pStyle w:val="90"/>
            </w:pPr>
            <w:r>
              <w:t>省份</w:t>
            </w:r>
          </w:p>
        </w:tc>
        <w:tc>
          <w:tcPr>
            <w:tcW w:w="1077" w:type="dxa"/>
            <w:vAlign w:val="center"/>
          </w:tcPr>
          <w:p w14:paraId="1C278B11">
            <w:pPr>
              <w:pStyle w:val="90"/>
            </w:pPr>
            <w:r>
              <w:t>城市</w:t>
            </w:r>
          </w:p>
        </w:tc>
        <w:tc>
          <w:tcPr>
            <w:tcW w:w="861" w:type="dxa"/>
            <w:vAlign w:val="center"/>
          </w:tcPr>
          <w:p w14:paraId="2D933E48">
            <w:pPr>
              <w:pStyle w:val="90"/>
            </w:pPr>
            <w:r>
              <w:t>区县</w:t>
            </w:r>
          </w:p>
        </w:tc>
        <w:tc>
          <w:tcPr>
            <w:tcW w:w="936" w:type="dxa"/>
            <w:vAlign w:val="center"/>
          </w:tcPr>
          <w:p w14:paraId="741F5DED">
            <w:pPr>
              <w:pStyle w:val="90"/>
            </w:pPr>
            <w:r>
              <w:t>纬度（°）</w:t>
            </w:r>
          </w:p>
        </w:tc>
        <w:tc>
          <w:tcPr>
            <w:tcW w:w="936" w:type="dxa"/>
            <w:vAlign w:val="center"/>
          </w:tcPr>
          <w:p w14:paraId="23656135">
            <w:pPr>
              <w:pStyle w:val="90"/>
            </w:pPr>
            <w:r>
              <w:t>经度（°）</w:t>
            </w:r>
          </w:p>
        </w:tc>
        <w:tc>
          <w:tcPr>
            <w:tcW w:w="1016" w:type="dxa"/>
            <w:vAlign w:val="center"/>
          </w:tcPr>
          <w:p w14:paraId="5A61E594">
            <w:pPr>
              <w:pStyle w:val="90"/>
            </w:pPr>
            <w:r>
              <w:t>高程（m）</w:t>
            </w:r>
          </w:p>
        </w:tc>
        <w:tc>
          <w:tcPr>
            <w:tcW w:w="852" w:type="dxa"/>
            <w:vAlign w:val="center"/>
          </w:tcPr>
          <w:p w14:paraId="32BA8977">
            <w:pPr>
              <w:pStyle w:val="90"/>
            </w:pPr>
            <w:r>
              <w:t>数据年份</w:t>
            </w:r>
          </w:p>
        </w:tc>
      </w:tr>
      <w:tr w14:paraId="0F87761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906" w:type="dxa"/>
            <w:vAlign w:val="center"/>
          </w:tcPr>
          <w:p w14:paraId="1D8F4C48">
            <w:pPr>
              <w:pStyle w:val="90"/>
            </w:pPr>
            <w:r>
              <w:rPr>
                <w:rFonts w:hint="eastAsia"/>
              </w:rPr>
              <w:t>51243</w:t>
            </w:r>
          </w:p>
        </w:tc>
        <w:tc>
          <w:tcPr>
            <w:tcW w:w="752" w:type="dxa"/>
            <w:vAlign w:val="center"/>
          </w:tcPr>
          <w:p w14:paraId="0616EF58">
            <w:pPr>
              <w:pStyle w:val="90"/>
            </w:pPr>
            <w:r>
              <w:rPr>
                <w:rFonts w:hint="eastAsia"/>
              </w:rPr>
              <w:t>克拉玛依</w:t>
            </w:r>
          </w:p>
        </w:tc>
        <w:tc>
          <w:tcPr>
            <w:tcW w:w="1186" w:type="dxa"/>
            <w:vAlign w:val="center"/>
          </w:tcPr>
          <w:p w14:paraId="459ED891">
            <w:pPr>
              <w:pStyle w:val="90"/>
            </w:pPr>
            <w:r>
              <w:t>新疆维吾尔自治区</w:t>
            </w:r>
          </w:p>
        </w:tc>
        <w:tc>
          <w:tcPr>
            <w:tcW w:w="1077" w:type="dxa"/>
            <w:vAlign w:val="center"/>
          </w:tcPr>
          <w:p w14:paraId="13FEE6A3">
            <w:pPr>
              <w:pStyle w:val="90"/>
            </w:pPr>
            <w:r>
              <w:rPr>
                <w:rFonts w:hint="eastAsia"/>
              </w:rPr>
              <w:t>克拉玛依市</w:t>
            </w:r>
          </w:p>
        </w:tc>
        <w:tc>
          <w:tcPr>
            <w:tcW w:w="861" w:type="dxa"/>
            <w:vAlign w:val="center"/>
          </w:tcPr>
          <w:p w14:paraId="4D76064B">
            <w:pPr>
              <w:pStyle w:val="90"/>
            </w:pPr>
            <w:r>
              <w:rPr>
                <w:rFonts w:hint="eastAsia"/>
              </w:rPr>
              <w:t>克拉玛依区</w:t>
            </w:r>
          </w:p>
        </w:tc>
        <w:tc>
          <w:tcPr>
            <w:tcW w:w="936" w:type="dxa"/>
            <w:vAlign w:val="center"/>
          </w:tcPr>
          <w:p w14:paraId="3D6D350B">
            <w:pPr>
              <w:pStyle w:val="90"/>
            </w:pPr>
            <w:r>
              <w:rPr>
                <w:rFonts w:hint="eastAsia"/>
              </w:rPr>
              <w:t>45.6103</w:t>
            </w:r>
          </w:p>
        </w:tc>
        <w:tc>
          <w:tcPr>
            <w:tcW w:w="936" w:type="dxa"/>
            <w:vAlign w:val="center"/>
          </w:tcPr>
          <w:p w14:paraId="1A97EC3A">
            <w:pPr>
              <w:pStyle w:val="90"/>
            </w:pPr>
            <w:r>
              <w:rPr>
                <w:rFonts w:hint="eastAsia"/>
              </w:rPr>
              <w:t>84.8456</w:t>
            </w:r>
          </w:p>
        </w:tc>
        <w:tc>
          <w:tcPr>
            <w:tcW w:w="1016" w:type="dxa"/>
            <w:vAlign w:val="center"/>
          </w:tcPr>
          <w:p w14:paraId="4069CCC1">
            <w:pPr>
              <w:pStyle w:val="90"/>
            </w:pPr>
            <w:r>
              <w:rPr>
                <w:rFonts w:hint="eastAsia"/>
              </w:rPr>
              <w:t>450.3</w:t>
            </w:r>
          </w:p>
        </w:tc>
        <w:tc>
          <w:tcPr>
            <w:tcW w:w="852" w:type="dxa"/>
            <w:vAlign w:val="center"/>
          </w:tcPr>
          <w:p w14:paraId="69DE7F0F">
            <w:pPr>
              <w:pStyle w:val="90"/>
            </w:pPr>
            <w:r>
              <w:t>2022</w:t>
            </w:r>
          </w:p>
        </w:tc>
      </w:tr>
    </w:tbl>
    <w:p w14:paraId="77B93B31">
      <w:pPr>
        <w:ind w:firstLine="480"/>
      </w:pPr>
      <w:r>
        <w:t>高空气象数据采用WRF中尺度模型模拟生成的逐日逐时的M3D网格气象数据，高空气象数据时间为2022年全年。</w:t>
      </w:r>
    </w:p>
    <w:p w14:paraId="78D43F7D">
      <w:pPr>
        <w:ind w:firstLine="480"/>
      </w:pPr>
      <w:r>
        <w:t>本项目所使用的高空气象站信息见表5.1-2。</w:t>
      </w:r>
    </w:p>
    <w:p w14:paraId="0F0CD156">
      <w:pPr>
        <w:pStyle w:val="47"/>
        <w:spacing w:before="65"/>
      </w:pPr>
      <w:r>
        <w:t>表5.1-2   高空气象站信息表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981"/>
        <w:gridCol w:w="1212"/>
        <w:gridCol w:w="1212"/>
        <w:gridCol w:w="1126"/>
        <w:gridCol w:w="3073"/>
        <w:gridCol w:w="1126"/>
      </w:tblGrid>
      <w:tr w14:paraId="74E21C2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562" w:type="pct"/>
            <w:vMerge w:val="restart"/>
            <w:vAlign w:val="center"/>
          </w:tcPr>
          <w:p w14:paraId="5B548504">
            <w:pPr>
              <w:pStyle w:val="90"/>
            </w:pPr>
            <w:r>
              <w:t>站点</w:t>
            </w:r>
          </w:p>
        </w:tc>
        <w:tc>
          <w:tcPr>
            <w:tcW w:w="1388" w:type="pct"/>
            <w:gridSpan w:val="2"/>
            <w:vAlign w:val="center"/>
          </w:tcPr>
          <w:p w14:paraId="361E081C">
            <w:pPr>
              <w:pStyle w:val="90"/>
            </w:pPr>
            <w:r>
              <w:t>模拟网格中心点位置</w:t>
            </w:r>
          </w:p>
        </w:tc>
        <w:tc>
          <w:tcPr>
            <w:tcW w:w="645" w:type="pct"/>
            <w:vMerge w:val="restart"/>
            <w:vAlign w:val="center"/>
          </w:tcPr>
          <w:p w14:paraId="26E6459F">
            <w:pPr>
              <w:pStyle w:val="90"/>
            </w:pPr>
            <w:r>
              <w:t>数据年份</w:t>
            </w:r>
          </w:p>
        </w:tc>
        <w:tc>
          <w:tcPr>
            <w:tcW w:w="1760" w:type="pct"/>
            <w:vMerge w:val="restart"/>
            <w:vAlign w:val="center"/>
          </w:tcPr>
          <w:p w14:paraId="4835C445">
            <w:pPr>
              <w:pStyle w:val="90"/>
            </w:pPr>
            <w:r>
              <w:t>模拟气象要素</w:t>
            </w:r>
          </w:p>
        </w:tc>
        <w:tc>
          <w:tcPr>
            <w:tcW w:w="645" w:type="pct"/>
            <w:vMerge w:val="restart"/>
            <w:vAlign w:val="center"/>
          </w:tcPr>
          <w:p w14:paraId="4F77364B">
            <w:pPr>
              <w:pStyle w:val="90"/>
            </w:pPr>
            <w:r>
              <w:t>数据类型</w:t>
            </w:r>
          </w:p>
        </w:tc>
      </w:tr>
      <w:tr w14:paraId="5144BA1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562" w:type="pct"/>
            <w:vMerge w:val="continue"/>
            <w:vAlign w:val="center"/>
          </w:tcPr>
          <w:p w14:paraId="47B7B66B">
            <w:pPr>
              <w:pStyle w:val="90"/>
            </w:pPr>
          </w:p>
        </w:tc>
        <w:tc>
          <w:tcPr>
            <w:tcW w:w="694" w:type="pct"/>
            <w:vAlign w:val="center"/>
          </w:tcPr>
          <w:p w14:paraId="0DB014D8">
            <w:pPr>
              <w:pStyle w:val="90"/>
            </w:pPr>
            <w:r>
              <w:t>纬度（°）</w:t>
            </w:r>
          </w:p>
        </w:tc>
        <w:tc>
          <w:tcPr>
            <w:tcW w:w="694" w:type="pct"/>
            <w:vAlign w:val="center"/>
          </w:tcPr>
          <w:p w14:paraId="6A8C6678">
            <w:pPr>
              <w:pStyle w:val="90"/>
            </w:pPr>
            <w:r>
              <w:t>经度（°）</w:t>
            </w:r>
          </w:p>
        </w:tc>
        <w:tc>
          <w:tcPr>
            <w:tcW w:w="645" w:type="pct"/>
            <w:vMerge w:val="continue"/>
            <w:vAlign w:val="center"/>
          </w:tcPr>
          <w:p w14:paraId="2FD573A3">
            <w:pPr>
              <w:pStyle w:val="90"/>
            </w:pPr>
          </w:p>
        </w:tc>
        <w:tc>
          <w:tcPr>
            <w:tcW w:w="1760" w:type="pct"/>
            <w:vMerge w:val="continue"/>
            <w:vAlign w:val="center"/>
          </w:tcPr>
          <w:p w14:paraId="69B78132">
            <w:pPr>
              <w:pStyle w:val="90"/>
            </w:pPr>
          </w:p>
        </w:tc>
        <w:tc>
          <w:tcPr>
            <w:tcW w:w="645" w:type="pct"/>
            <w:vMerge w:val="continue"/>
            <w:vAlign w:val="center"/>
          </w:tcPr>
          <w:p w14:paraId="40FD65A9">
            <w:pPr>
              <w:pStyle w:val="90"/>
            </w:pPr>
          </w:p>
        </w:tc>
      </w:tr>
      <w:tr w14:paraId="20B0A3D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562" w:type="pct"/>
            <w:vAlign w:val="center"/>
          </w:tcPr>
          <w:p w14:paraId="229A7042">
            <w:pPr>
              <w:pStyle w:val="90"/>
            </w:pPr>
            <w:r>
              <w:t>99991</w:t>
            </w:r>
          </w:p>
        </w:tc>
        <w:tc>
          <w:tcPr>
            <w:tcW w:w="694" w:type="pct"/>
            <w:vAlign w:val="center"/>
          </w:tcPr>
          <w:p w14:paraId="429D75F3">
            <w:pPr>
              <w:pStyle w:val="90"/>
            </w:pPr>
            <w:r>
              <w:rPr>
                <w:rFonts w:hint="eastAsia"/>
              </w:rPr>
              <w:t>45.6103</w:t>
            </w:r>
          </w:p>
        </w:tc>
        <w:tc>
          <w:tcPr>
            <w:tcW w:w="694" w:type="pct"/>
            <w:vAlign w:val="center"/>
          </w:tcPr>
          <w:p w14:paraId="105750A1">
            <w:pPr>
              <w:pStyle w:val="90"/>
            </w:pPr>
            <w:r>
              <w:rPr>
                <w:rFonts w:hint="eastAsia"/>
              </w:rPr>
              <w:t>84.8456</w:t>
            </w:r>
          </w:p>
        </w:tc>
        <w:tc>
          <w:tcPr>
            <w:tcW w:w="645" w:type="pct"/>
            <w:vAlign w:val="center"/>
          </w:tcPr>
          <w:p w14:paraId="473F2A19">
            <w:pPr>
              <w:pStyle w:val="90"/>
            </w:pPr>
            <w:r>
              <w:t>2021</w:t>
            </w:r>
          </w:p>
        </w:tc>
        <w:tc>
          <w:tcPr>
            <w:tcW w:w="1760" w:type="pct"/>
            <w:vAlign w:val="center"/>
          </w:tcPr>
          <w:p w14:paraId="0FE68152">
            <w:pPr>
              <w:pStyle w:val="90"/>
            </w:pPr>
            <w:r>
              <w:t>气压、离地高度、干球温度、</w:t>
            </w:r>
          </w:p>
          <w:p w14:paraId="1108B528">
            <w:pPr>
              <w:pStyle w:val="90"/>
            </w:pPr>
            <w:r>
              <w:t>露点温度、风向、风速</w:t>
            </w:r>
          </w:p>
        </w:tc>
        <w:tc>
          <w:tcPr>
            <w:tcW w:w="645" w:type="pct"/>
            <w:vAlign w:val="center"/>
          </w:tcPr>
          <w:p w14:paraId="018B41E6">
            <w:pPr>
              <w:pStyle w:val="90"/>
            </w:pPr>
            <w:r>
              <w:t>OQA</w:t>
            </w:r>
          </w:p>
        </w:tc>
      </w:tr>
    </w:tbl>
    <w:p w14:paraId="24613E4E">
      <w:pPr>
        <w:pStyle w:val="43"/>
      </w:pPr>
      <w:bookmarkStart w:id="400" w:name="_Toc152864213"/>
      <w:r>
        <w:rPr>
          <w:rFonts w:hint="eastAsia"/>
        </w:rPr>
        <w:t>近2</w:t>
      </w:r>
      <w:r>
        <w:t>0</w:t>
      </w:r>
      <w:r>
        <w:rPr>
          <w:rFonts w:hint="eastAsia"/>
        </w:rPr>
        <w:t>年气象数据统计</w:t>
      </w:r>
      <w:bookmarkEnd w:id="400"/>
    </w:p>
    <w:p w14:paraId="7C26C0BA">
      <w:pPr>
        <w:ind w:firstLine="480"/>
      </w:pPr>
      <w:r>
        <w:rPr>
          <w:rFonts w:hint="eastAsia"/>
        </w:rPr>
        <w:t>1、气象资料统计</w:t>
      </w:r>
    </w:p>
    <w:p w14:paraId="73481B1F">
      <w:pPr>
        <w:ind w:firstLine="482" w:firstLineChars="0"/>
        <w:rPr>
          <w:szCs w:val="24"/>
        </w:rPr>
      </w:pPr>
      <w:r>
        <w:rPr>
          <w:rFonts w:hint="eastAsia"/>
          <w:szCs w:val="24"/>
        </w:rPr>
        <w:t>克拉玛依</w:t>
      </w:r>
      <w:r>
        <w:rPr>
          <w:szCs w:val="24"/>
        </w:rPr>
        <w:t>气象站拥有长期的气象观测资料，以下资料根据2002</w:t>
      </w:r>
      <w:r>
        <w:rPr>
          <w:rFonts w:hint="eastAsia"/>
          <w:szCs w:val="24"/>
        </w:rPr>
        <w:t>～</w:t>
      </w:r>
      <w:r>
        <w:rPr>
          <w:szCs w:val="24"/>
        </w:rPr>
        <w:t>2021年气象数据统计分析。</w:t>
      </w:r>
    </w:p>
    <w:p w14:paraId="0B16365F">
      <w:pPr>
        <w:ind w:firstLine="482" w:firstLineChars="0"/>
        <w:rPr>
          <w:szCs w:val="24"/>
        </w:rPr>
      </w:pPr>
      <w:r>
        <w:rPr>
          <w:rFonts w:hint="eastAsia"/>
          <w:szCs w:val="24"/>
        </w:rPr>
        <w:t>克拉玛依</w:t>
      </w:r>
      <w:r>
        <w:rPr>
          <w:szCs w:val="24"/>
        </w:rPr>
        <w:t>气象站气象资料整编表如表5.1-</w:t>
      </w:r>
      <w:r>
        <w:rPr>
          <w:kern w:val="0"/>
          <w:szCs w:val="24"/>
        </w:rPr>
        <w:t>3</w:t>
      </w:r>
      <w:r>
        <w:rPr>
          <w:szCs w:val="24"/>
        </w:rPr>
        <w:t>所示：</w:t>
      </w:r>
    </w:p>
    <w:p w14:paraId="56B5B15A">
      <w:pPr>
        <w:pStyle w:val="47"/>
        <w:spacing w:before="65"/>
      </w:pPr>
      <w:r>
        <w:t xml:space="preserve">表5.1-3   </w:t>
      </w:r>
      <w:r>
        <w:rPr>
          <w:rFonts w:hint="eastAsia"/>
        </w:rPr>
        <w:t>克拉玛依</w:t>
      </w:r>
      <w:r>
        <w:t>气象站气象资料整编表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19"/>
        <w:gridCol w:w="3316"/>
        <w:gridCol w:w="1706"/>
        <w:gridCol w:w="2189"/>
      </w:tblGrid>
      <w:tr w14:paraId="04F26BC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5B40FDF5">
            <w:pPr>
              <w:pStyle w:val="90"/>
            </w:pPr>
            <w:r>
              <w:t>统计项目</w:t>
            </w:r>
          </w:p>
        </w:tc>
        <w:tc>
          <w:tcPr>
            <w:tcW w:w="977" w:type="pct"/>
            <w:vAlign w:val="center"/>
          </w:tcPr>
          <w:p w14:paraId="76A47F09">
            <w:pPr>
              <w:pStyle w:val="90"/>
            </w:pPr>
            <w:r>
              <w:t>统计值</w:t>
            </w:r>
          </w:p>
        </w:tc>
        <w:tc>
          <w:tcPr>
            <w:tcW w:w="1254" w:type="pct"/>
            <w:vAlign w:val="center"/>
          </w:tcPr>
          <w:p w14:paraId="65812412">
            <w:pPr>
              <w:pStyle w:val="90"/>
            </w:pPr>
            <w:r>
              <w:t>极值出现时间</w:t>
            </w:r>
          </w:p>
        </w:tc>
      </w:tr>
      <w:tr w14:paraId="745DF04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74AFB9EF">
            <w:pPr>
              <w:pStyle w:val="90"/>
            </w:pPr>
            <w:r>
              <w:t>多年平均气温（</w:t>
            </w:r>
            <w:r>
              <w:rPr>
                <w:rFonts w:hint="eastAsia" w:ascii="微软雅黑" w:hAnsi="微软雅黑" w:eastAsia="微软雅黑" w:cs="微软雅黑"/>
              </w:rPr>
              <w:t>℃</w:t>
            </w:r>
            <w:r>
              <w:t>）</w:t>
            </w:r>
          </w:p>
        </w:tc>
        <w:tc>
          <w:tcPr>
            <w:tcW w:w="977" w:type="pct"/>
            <w:vAlign w:val="center"/>
          </w:tcPr>
          <w:p w14:paraId="30581785">
            <w:pPr>
              <w:pStyle w:val="90"/>
            </w:pPr>
            <w:r>
              <w:rPr>
                <w:rFonts w:hint="eastAsia"/>
              </w:rPr>
              <w:t>9.1</w:t>
            </w:r>
          </w:p>
        </w:tc>
        <w:tc>
          <w:tcPr>
            <w:tcW w:w="1254" w:type="pct"/>
            <w:vAlign w:val="center"/>
          </w:tcPr>
          <w:p w14:paraId="2A6D7671">
            <w:pPr>
              <w:pStyle w:val="90"/>
            </w:pPr>
            <w:r>
              <w:t>/</w:t>
            </w:r>
          </w:p>
        </w:tc>
      </w:tr>
      <w:tr w14:paraId="6CB04A8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49A9FA87">
            <w:pPr>
              <w:pStyle w:val="90"/>
            </w:pPr>
            <w:r>
              <w:t>累年极端最高气温（</w:t>
            </w:r>
            <w:r>
              <w:rPr>
                <w:rFonts w:hint="eastAsia" w:ascii="微软雅黑" w:hAnsi="微软雅黑" w:eastAsia="微软雅黑" w:cs="微软雅黑"/>
              </w:rPr>
              <w:t>℃</w:t>
            </w:r>
            <w:r>
              <w:t>）</w:t>
            </w:r>
          </w:p>
        </w:tc>
        <w:tc>
          <w:tcPr>
            <w:tcW w:w="977" w:type="pct"/>
            <w:vAlign w:val="center"/>
          </w:tcPr>
          <w:p w14:paraId="5D63514D">
            <w:pPr>
              <w:pStyle w:val="90"/>
            </w:pPr>
            <w:r>
              <w:rPr>
                <w:rFonts w:hint="eastAsia"/>
              </w:rPr>
              <w:t>44</w:t>
            </w:r>
          </w:p>
        </w:tc>
        <w:tc>
          <w:tcPr>
            <w:tcW w:w="1254" w:type="pct"/>
            <w:vAlign w:val="center"/>
          </w:tcPr>
          <w:p w14:paraId="7FFCDB5C">
            <w:pPr>
              <w:pStyle w:val="90"/>
            </w:pPr>
            <w:r>
              <w:rPr>
                <w:rFonts w:hint="eastAsia"/>
              </w:rPr>
              <w:t>2004.7.14</w:t>
            </w:r>
          </w:p>
        </w:tc>
      </w:tr>
      <w:tr w14:paraId="5E3AD1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0367C830">
            <w:pPr>
              <w:pStyle w:val="90"/>
            </w:pPr>
            <w:r>
              <w:t>累年极端最低气温（</w:t>
            </w:r>
            <w:r>
              <w:rPr>
                <w:rFonts w:hint="eastAsia" w:ascii="微软雅黑" w:hAnsi="微软雅黑" w:eastAsia="微软雅黑" w:cs="微软雅黑"/>
              </w:rPr>
              <w:t>℃</w:t>
            </w:r>
            <w:r>
              <w:t>）</w:t>
            </w:r>
          </w:p>
        </w:tc>
        <w:tc>
          <w:tcPr>
            <w:tcW w:w="977" w:type="pct"/>
            <w:vAlign w:val="center"/>
          </w:tcPr>
          <w:p w14:paraId="5E5AA255">
            <w:pPr>
              <w:pStyle w:val="90"/>
            </w:pPr>
            <w:r>
              <w:rPr>
                <w:rFonts w:hint="eastAsia"/>
              </w:rPr>
              <w:t>-31.7</w:t>
            </w:r>
          </w:p>
        </w:tc>
        <w:tc>
          <w:tcPr>
            <w:tcW w:w="1254" w:type="pct"/>
            <w:vAlign w:val="center"/>
          </w:tcPr>
          <w:p w14:paraId="4AFFCB33">
            <w:pPr>
              <w:pStyle w:val="90"/>
            </w:pPr>
            <w:r>
              <w:rPr>
                <w:rFonts w:hint="eastAsia"/>
              </w:rPr>
              <w:t>2011.1.6</w:t>
            </w:r>
          </w:p>
        </w:tc>
      </w:tr>
      <w:tr w14:paraId="76A8F7C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35EB8FB8">
            <w:pPr>
              <w:pStyle w:val="90"/>
            </w:pPr>
            <w:r>
              <w:t>多年平均气压（hPa）</w:t>
            </w:r>
          </w:p>
        </w:tc>
        <w:tc>
          <w:tcPr>
            <w:tcW w:w="977" w:type="pct"/>
            <w:vAlign w:val="center"/>
          </w:tcPr>
          <w:p w14:paraId="01717C92">
            <w:pPr>
              <w:pStyle w:val="90"/>
            </w:pPr>
            <w:r>
              <w:t>96</w:t>
            </w:r>
            <w:r>
              <w:rPr>
                <w:rFonts w:hint="eastAsia"/>
              </w:rPr>
              <w:t>6.9</w:t>
            </w:r>
          </w:p>
        </w:tc>
        <w:tc>
          <w:tcPr>
            <w:tcW w:w="1254" w:type="pct"/>
            <w:vAlign w:val="center"/>
          </w:tcPr>
          <w:p w14:paraId="345D7586">
            <w:pPr>
              <w:pStyle w:val="90"/>
            </w:pPr>
            <w:r>
              <w:t>/</w:t>
            </w:r>
          </w:p>
        </w:tc>
      </w:tr>
      <w:tr w14:paraId="3EC2C49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725E7AE2">
            <w:pPr>
              <w:pStyle w:val="90"/>
            </w:pPr>
            <w:r>
              <w:t>多年平均相对湿度</w:t>
            </w:r>
            <w:r>
              <w:rPr>
                <w:rFonts w:hint="eastAsia"/>
              </w:rPr>
              <w:t>（</w:t>
            </w:r>
            <w:r>
              <w:t>%</w:t>
            </w:r>
            <w:r>
              <w:rPr>
                <w:rFonts w:hint="eastAsia"/>
              </w:rPr>
              <w:t>）</w:t>
            </w:r>
          </w:p>
        </w:tc>
        <w:tc>
          <w:tcPr>
            <w:tcW w:w="977" w:type="pct"/>
            <w:vAlign w:val="center"/>
          </w:tcPr>
          <w:p w14:paraId="2C8F72E9">
            <w:pPr>
              <w:pStyle w:val="90"/>
            </w:pPr>
            <w:r>
              <w:rPr>
                <w:rFonts w:hint="eastAsia"/>
              </w:rPr>
              <w:t>50.0</w:t>
            </w:r>
          </w:p>
        </w:tc>
        <w:tc>
          <w:tcPr>
            <w:tcW w:w="1254" w:type="pct"/>
            <w:vAlign w:val="center"/>
          </w:tcPr>
          <w:p w14:paraId="1BCD352E">
            <w:pPr>
              <w:pStyle w:val="90"/>
            </w:pPr>
            <w:r>
              <w:t>/</w:t>
            </w:r>
          </w:p>
        </w:tc>
      </w:tr>
      <w:tr w14:paraId="4754E9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56A45A6F">
            <w:pPr>
              <w:pStyle w:val="90"/>
              <w:rPr>
                <w:lang w:val="en-US"/>
              </w:rPr>
            </w:pPr>
            <w:r>
              <w:t>多年平均降雨量</w:t>
            </w:r>
            <w:r>
              <w:rPr>
                <w:rFonts w:hint="eastAsia"/>
                <w:lang w:val="en-US"/>
              </w:rPr>
              <w:t>（</w:t>
            </w:r>
            <w:r>
              <w:rPr>
                <w:lang w:val="en-US"/>
              </w:rPr>
              <w:t>mm</w:t>
            </w:r>
            <w:r>
              <w:rPr>
                <w:rFonts w:hint="eastAsia"/>
                <w:lang w:val="en-US"/>
              </w:rPr>
              <w:t>）</w:t>
            </w:r>
          </w:p>
        </w:tc>
        <w:tc>
          <w:tcPr>
            <w:tcW w:w="977" w:type="pct"/>
            <w:vAlign w:val="center"/>
          </w:tcPr>
          <w:p w14:paraId="6A13602F">
            <w:pPr>
              <w:pStyle w:val="90"/>
            </w:pPr>
            <w:r>
              <w:rPr>
                <w:rFonts w:hint="eastAsia"/>
              </w:rPr>
              <w:t>131.5</w:t>
            </w:r>
          </w:p>
        </w:tc>
        <w:tc>
          <w:tcPr>
            <w:tcW w:w="1254" w:type="pct"/>
            <w:vAlign w:val="center"/>
          </w:tcPr>
          <w:p w14:paraId="5476B83D">
            <w:pPr>
              <w:pStyle w:val="90"/>
            </w:pPr>
            <w:r>
              <w:t>/</w:t>
            </w:r>
          </w:p>
        </w:tc>
      </w:tr>
      <w:tr w14:paraId="5C5E987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4EC00BCD">
            <w:pPr>
              <w:pStyle w:val="90"/>
              <w:rPr>
                <w:lang w:val="en-US"/>
              </w:rPr>
            </w:pPr>
            <w:r>
              <w:t>最小年降雨量</w:t>
            </w:r>
            <w:r>
              <w:rPr>
                <w:rFonts w:hint="eastAsia"/>
                <w:lang w:val="en-US"/>
              </w:rPr>
              <w:t>（</w:t>
            </w:r>
            <w:r>
              <w:rPr>
                <w:lang w:val="en-US"/>
              </w:rPr>
              <w:t>mm</w:t>
            </w:r>
            <w:r>
              <w:rPr>
                <w:rFonts w:hint="eastAsia"/>
                <w:lang w:val="en-US"/>
              </w:rPr>
              <w:t>）</w:t>
            </w:r>
          </w:p>
        </w:tc>
        <w:tc>
          <w:tcPr>
            <w:tcW w:w="977" w:type="pct"/>
            <w:vAlign w:val="center"/>
          </w:tcPr>
          <w:p w14:paraId="64BE3FD0">
            <w:pPr>
              <w:pStyle w:val="90"/>
            </w:pPr>
            <w:r>
              <w:rPr>
                <w:rFonts w:hint="eastAsia"/>
              </w:rPr>
              <w:t>64.1</w:t>
            </w:r>
          </w:p>
        </w:tc>
        <w:tc>
          <w:tcPr>
            <w:tcW w:w="1254" w:type="pct"/>
            <w:vAlign w:val="center"/>
          </w:tcPr>
          <w:p w14:paraId="6DC6CE5F">
            <w:pPr>
              <w:pStyle w:val="90"/>
            </w:pPr>
            <w:r>
              <w:t>2</w:t>
            </w:r>
            <w:r>
              <w:rPr>
                <w:rFonts w:hint="eastAsia"/>
              </w:rPr>
              <w:t>008</w:t>
            </w:r>
            <w:r>
              <w:t>年</w:t>
            </w:r>
          </w:p>
        </w:tc>
      </w:tr>
      <w:tr w14:paraId="1315FE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115C62E9">
            <w:pPr>
              <w:pStyle w:val="90"/>
              <w:rPr>
                <w:lang w:val="en-US"/>
              </w:rPr>
            </w:pPr>
            <w:r>
              <w:t>最大日降雨量</w:t>
            </w:r>
            <w:r>
              <w:rPr>
                <w:rFonts w:hint="eastAsia"/>
                <w:lang w:val="en-US"/>
              </w:rPr>
              <w:t>（</w:t>
            </w:r>
            <w:r>
              <w:rPr>
                <w:lang w:val="en-US"/>
              </w:rPr>
              <w:t>mm</w:t>
            </w:r>
            <w:r>
              <w:rPr>
                <w:rFonts w:hint="eastAsia"/>
                <w:lang w:val="en-US"/>
              </w:rPr>
              <w:t>）</w:t>
            </w:r>
          </w:p>
        </w:tc>
        <w:tc>
          <w:tcPr>
            <w:tcW w:w="977" w:type="pct"/>
            <w:vAlign w:val="center"/>
          </w:tcPr>
          <w:p w14:paraId="77D57BB5">
            <w:pPr>
              <w:pStyle w:val="90"/>
            </w:pPr>
            <w:r>
              <w:rPr>
                <w:rFonts w:hint="eastAsia"/>
              </w:rPr>
              <w:t>37.9</w:t>
            </w:r>
          </w:p>
        </w:tc>
        <w:tc>
          <w:tcPr>
            <w:tcW w:w="1254" w:type="pct"/>
            <w:vAlign w:val="center"/>
          </w:tcPr>
          <w:p w14:paraId="39DF49DA">
            <w:pPr>
              <w:pStyle w:val="90"/>
            </w:pPr>
            <w:r>
              <w:t>20</w:t>
            </w:r>
            <w:r>
              <w:rPr>
                <w:rFonts w:hint="eastAsia"/>
              </w:rPr>
              <w:t>12.7.14</w:t>
            </w:r>
          </w:p>
        </w:tc>
      </w:tr>
      <w:tr w14:paraId="749C486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870" w:type="pct"/>
            <w:vMerge w:val="restart"/>
            <w:vAlign w:val="center"/>
          </w:tcPr>
          <w:p w14:paraId="1D1889C5">
            <w:pPr>
              <w:pStyle w:val="90"/>
            </w:pPr>
            <w:r>
              <w:t>灾害天气统计</w:t>
            </w:r>
          </w:p>
        </w:tc>
        <w:tc>
          <w:tcPr>
            <w:tcW w:w="1899" w:type="pct"/>
            <w:vAlign w:val="center"/>
          </w:tcPr>
          <w:p w14:paraId="15188325">
            <w:pPr>
              <w:pStyle w:val="90"/>
            </w:pPr>
            <w:r>
              <w:t>多年平均沙暴日数</w:t>
            </w:r>
            <w:r>
              <w:rPr>
                <w:rFonts w:hint="eastAsia"/>
              </w:rPr>
              <w:t>（</w:t>
            </w:r>
            <w:r>
              <w:t>d</w:t>
            </w:r>
            <w:r>
              <w:rPr>
                <w:rFonts w:hint="eastAsia"/>
              </w:rPr>
              <w:t>）</w:t>
            </w:r>
          </w:p>
        </w:tc>
        <w:tc>
          <w:tcPr>
            <w:tcW w:w="977" w:type="pct"/>
            <w:vAlign w:val="center"/>
          </w:tcPr>
          <w:p w14:paraId="20347DF1">
            <w:pPr>
              <w:pStyle w:val="90"/>
            </w:pPr>
            <w:r>
              <w:t>0</w:t>
            </w:r>
          </w:p>
        </w:tc>
        <w:tc>
          <w:tcPr>
            <w:tcW w:w="1254" w:type="pct"/>
            <w:vAlign w:val="center"/>
          </w:tcPr>
          <w:p w14:paraId="0571BBF7">
            <w:pPr>
              <w:pStyle w:val="90"/>
            </w:pPr>
            <w:r>
              <w:t>/</w:t>
            </w:r>
          </w:p>
        </w:tc>
      </w:tr>
      <w:tr w14:paraId="559B41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870" w:type="pct"/>
            <w:vMerge w:val="continue"/>
            <w:vAlign w:val="center"/>
          </w:tcPr>
          <w:p w14:paraId="0581B04F">
            <w:pPr>
              <w:pStyle w:val="90"/>
            </w:pPr>
          </w:p>
        </w:tc>
        <w:tc>
          <w:tcPr>
            <w:tcW w:w="1899" w:type="pct"/>
            <w:vAlign w:val="center"/>
          </w:tcPr>
          <w:p w14:paraId="722E23A1">
            <w:pPr>
              <w:pStyle w:val="90"/>
            </w:pPr>
            <w:r>
              <w:t>多年平均雷暴日数</w:t>
            </w:r>
            <w:r>
              <w:rPr>
                <w:rFonts w:hint="eastAsia"/>
              </w:rPr>
              <w:t>（</w:t>
            </w:r>
            <w:r>
              <w:t>d</w:t>
            </w:r>
            <w:r>
              <w:rPr>
                <w:rFonts w:hint="eastAsia"/>
              </w:rPr>
              <w:t>）</w:t>
            </w:r>
          </w:p>
        </w:tc>
        <w:tc>
          <w:tcPr>
            <w:tcW w:w="977" w:type="pct"/>
            <w:vAlign w:val="center"/>
          </w:tcPr>
          <w:p w14:paraId="35D006BC">
            <w:pPr>
              <w:pStyle w:val="90"/>
            </w:pPr>
            <w:r>
              <w:rPr>
                <w:rFonts w:hint="eastAsia"/>
              </w:rPr>
              <w:t>20.5</w:t>
            </w:r>
          </w:p>
        </w:tc>
        <w:tc>
          <w:tcPr>
            <w:tcW w:w="1254" w:type="pct"/>
            <w:vAlign w:val="center"/>
          </w:tcPr>
          <w:p w14:paraId="2B450B88">
            <w:pPr>
              <w:pStyle w:val="90"/>
            </w:pPr>
            <w:r>
              <w:t>/</w:t>
            </w:r>
          </w:p>
        </w:tc>
      </w:tr>
      <w:tr w14:paraId="19DEF9C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870" w:type="pct"/>
            <w:vMerge w:val="continue"/>
            <w:vAlign w:val="center"/>
          </w:tcPr>
          <w:p w14:paraId="2F5CAC2A">
            <w:pPr>
              <w:pStyle w:val="90"/>
            </w:pPr>
          </w:p>
        </w:tc>
        <w:tc>
          <w:tcPr>
            <w:tcW w:w="1899" w:type="pct"/>
            <w:vAlign w:val="center"/>
          </w:tcPr>
          <w:p w14:paraId="101920E5">
            <w:pPr>
              <w:pStyle w:val="90"/>
            </w:pPr>
            <w:r>
              <w:t>多年平均冰雹日数</w:t>
            </w:r>
            <w:r>
              <w:rPr>
                <w:rFonts w:hint="eastAsia"/>
              </w:rPr>
              <w:t>（</w:t>
            </w:r>
            <w:r>
              <w:t>d</w:t>
            </w:r>
            <w:r>
              <w:rPr>
                <w:rFonts w:hint="eastAsia"/>
              </w:rPr>
              <w:t>）</w:t>
            </w:r>
          </w:p>
        </w:tc>
        <w:tc>
          <w:tcPr>
            <w:tcW w:w="977" w:type="pct"/>
            <w:vAlign w:val="center"/>
          </w:tcPr>
          <w:p w14:paraId="070DE884">
            <w:pPr>
              <w:pStyle w:val="90"/>
            </w:pPr>
            <w:r>
              <w:t>0</w:t>
            </w:r>
            <w:r>
              <w:rPr>
                <w:rFonts w:hint="eastAsia"/>
              </w:rPr>
              <w:t>.7</w:t>
            </w:r>
          </w:p>
        </w:tc>
        <w:tc>
          <w:tcPr>
            <w:tcW w:w="1254" w:type="pct"/>
            <w:vAlign w:val="center"/>
          </w:tcPr>
          <w:p w14:paraId="38DD1CDE">
            <w:pPr>
              <w:pStyle w:val="90"/>
            </w:pPr>
            <w:r>
              <w:t>/</w:t>
            </w:r>
          </w:p>
        </w:tc>
      </w:tr>
      <w:tr w14:paraId="70EFC6F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870" w:type="pct"/>
            <w:vMerge w:val="continue"/>
            <w:vAlign w:val="center"/>
          </w:tcPr>
          <w:p w14:paraId="20C0A800">
            <w:pPr>
              <w:pStyle w:val="90"/>
            </w:pPr>
          </w:p>
        </w:tc>
        <w:tc>
          <w:tcPr>
            <w:tcW w:w="1899" w:type="pct"/>
            <w:vAlign w:val="center"/>
          </w:tcPr>
          <w:p w14:paraId="439C58BA">
            <w:pPr>
              <w:pStyle w:val="90"/>
            </w:pPr>
            <w:r>
              <w:t>多年平均大风日数</w:t>
            </w:r>
            <w:r>
              <w:rPr>
                <w:rFonts w:hint="eastAsia"/>
              </w:rPr>
              <w:t>（</w:t>
            </w:r>
            <w:r>
              <w:t>d</w:t>
            </w:r>
            <w:r>
              <w:rPr>
                <w:rFonts w:hint="eastAsia"/>
              </w:rPr>
              <w:t>）</w:t>
            </w:r>
          </w:p>
        </w:tc>
        <w:tc>
          <w:tcPr>
            <w:tcW w:w="977" w:type="pct"/>
            <w:vAlign w:val="center"/>
          </w:tcPr>
          <w:p w14:paraId="180EE128">
            <w:pPr>
              <w:pStyle w:val="90"/>
            </w:pPr>
            <w:r>
              <w:rPr>
                <w:rFonts w:hint="eastAsia"/>
              </w:rPr>
              <w:t>41.2</w:t>
            </w:r>
          </w:p>
        </w:tc>
        <w:tc>
          <w:tcPr>
            <w:tcW w:w="1254" w:type="pct"/>
            <w:vAlign w:val="center"/>
          </w:tcPr>
          <w:p w14:paraId="2028761B">
            <w:pPr>
              <w:pStyle w:val="90"/>
            </w:pPr>
            <w:r>
              <w:t>/</w:t>
            </w:r>
          </w:p>
        </w:tc>
      </w:tr>
      <w:tr w14:paraId="236EB45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1E691254">
            <w:pPr>
              <w:pStyle w:val="90"/>
            </w:pPr>
            <w:r>
              <w:t>多年实测极大风速（m/s）、相应风向</w:t>
            </w:r>
          </w:p>
        </w:tc>
        <w:tc>
          <w:tcPr>
            <w:tcW w:w="977" w:type="pct"/>
            <w:vAlign w:val="center"/>
          </w:tcPr>
          <w:p w14:paraId="611BD447">
            <w:pPr>
              <w:pStyle w:val="90"/>
            </w:pPr>
            <w:r>
              <w:rPr>
                <w:rFonts w:hint="eastAsia"/>
              </w:rPr>
              <w:t>35.3</w:t>
            </w:r>
            <w:r>
              <w:t>，</w:t>
            </w:r>
            <w:r>
              <w:rPr>
                <w:rFonts w:hint="eastAsia"/>
              </w:rPr>
              <w:t>WN</w:t>
            </w:r>
            <w:r>
              <w:t>W</w:t>
            </w:r>
          </w:p>
        </w:tc>
        <w:tc>
          <w:tcPr>
            <w:tcW w:w="1254" w:type="pct"/>
            <w:vAlign w:val="center"/>
          </w:tcPr>
          <w:p w14:paraId="6D132D2C">
            <w:pPr>
              <w:pStyle w:val="90"/>
            </w:pPr>
            <w:r>
              <w:t>20</w:t>
            </w:r>
            <w:r>
              <w:rPr>
                <w:rFonts w:hint="eastAsia"/>
              </w:rPr>
              <w:t>18.12.1</w:t>
            </w:r>
          </w:p>
        </w:tc>
      </w:tr>
      <w:tr w14:paraId="5C73CF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3961412E">
            <w:pPr>
              <w:pStyle w:val="90"/>
            </w:pPr>
            <w:r>
              <w:t>多年平均风速（m/s）</w:t>
            </w:r>
          </w:p>
        </w:tc>
        <w:tc>
          <w:tcPr>
            <w:tcW w:w="977" w:type="pct"/>
            <w:vAlign w:val="center"/>
          </w:tcPr>
          <w:p w14:paraId="4C749C1C">
            <w:pPr>
              <w:pStyle w:val="90"/>
            </w:pPr>
            <w:r>
              <w:rPr>
                <w:rFonts w:hint="eastAsia"/>
              </w:rPr>
              <w:t>2.4</w:t>
            </w:r>
          </w:p>
        </w:tc>
        <w:tc>
          <w:tcPr>
            <w:tcW w:w="1254" w:type="pct"/>
            <w:vAlign w:val="center"/>
          </w:tcPr>
          <w:p w14:paraId="00F015CB">
            <w:pPr>
              <w:pStyle w:val="90"/>
            </w:pPr>
            <w:r>
              <w:t>/</w:t>
            </w:r>
          </w:p>
        </w:tc>
      </w:tr>
      <w:tr w14:paraId="528CC34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5B88EABE">
            <w:pPr>
              <w:pStyle w:val="90"/>
            </w:pPr>
            <w:r>
              <w:t>多年主导风向、风向频率</w:t>
            </w:r>
            <w:r>
              <w:rPr>
                <w:rFonts w:hint="eastAsia"/>
              </w:rPr>
              <w:t>（</w:t>
            </w:r>
            <w:r>
              <w:t>%</w:t>
            </w:r>
            <w:r>
              <w:rPr>
                <w:rFonts w:hint="eastAsia"/>
              </w:rPr>
              <w:t>）</w:t>
            </w:r>
          </w:p>
        </w:tc>
        <w:tc>
          <w:tcPr>
            <w:tcW w:w="977" w:type="pct"/>
            <w:vAlign w:val="center"/>
          </w:tcPr>
          <w:p w14:paraId="0B2C4948">
            <w:pPr>
              <w:pStyle w:val="90"/>
            </w:pPr>
            <w:r>
              <w:rPr>
                <w:rFonts w:hint="eastAsia"/>
              </w:rPr>
              <w:t>N</w:t>
            </w:r>
            <w:r>
              <w:t>W，1</w:t>
            </w:r>
            <w:r>
              <w:rPr>
                <w:rFonts w:hint="eastAsia"/>
              </w:rPr>
              <w:t>9.3</w:t>
            </w:r>
          </w:p>
        </w:tc>
        <w:tc>
          <w:tcPr>
            <w:tcW w:w="1254" w:type="pct"/>
            <w:vAlign w:val="center"/>
          </w:tcPr>
          <w:p w14:paraId="3948CEB3">
            <w:pPr>
              <w:pStyle w:val="90"/>
            </w:pPr>
            <w:r>
              <w:t>/</w:t>
            </w:r>
          </w:p>
        </w:tc>
      </w:tr>
      <w:tr w14:paraId="5859F13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2769" w:type="pct"/>
            <w:gridSpan w:val="2"/>
            <w:vAlign w:val="center"/>
          </w:tcPr>
          <w:p w14:paraId="70096A53">
            <w:pPr>
              <w:pStyle w:val="90"/>
            </w:pPr>
            <w:r>
              <w:t>多年静风频率</w:t>
            </w:r>
            <w:r>
              <w:rPr>
                <w:rFonts w:hint="eastAsia"/>
              </w:rPr>
              <w:t>（</w:t>
            </w:r>
            <w:r>
              <w:t>风速</w:t>
            </w:r>
            <w:r>
              <w:rPr>
                <w:rFonts w:hint="eastAsia"/>
              </w:rPr>
              <w:t>≤</w:t>
            </w:r>
            <w:r>
              <w:t>0.2m/s</w:t>
            </w:r>
            <w:r>
              <w:rPr>
                <w:rFonts w:hint="eastAsia"/>
              </w:rPr>
              <w:t>）（</w:t>
            </w:r>
            <w:r>
              <w:t>%</w:t>
            </w:r>
            <w:r>
              <w:rPr>
                <w:rFonts w:hint="eastAsia"/>
              </w:rPr>
              <w:t>）</w:t>
            </w:r>
          </w:p>
        </w:tc>
        <w:tc>
          <w:tcPr>
            <w:tcW w:w="977" w:type="pct"/>
            <w:vAlign w:val="center"/>
          </w:tcPr>
          <w:p w14:paraId="475A6539">
            <w:pPr>
              <w:pStyle w:val="90"/>
            </w:pPr>
            <w:r>
              <w:rPr>
                <w:rFonts w:hint="eastAsia"/>
              </w:rPr>
              <w:t>5.5</w:t>
            </w:r>
          </w:p>
        </w:tc>
        <w:tc>
          <w:tcPr>
            <w:tcW w:w="1254" w:type="pct"/>
            <w:vAlign w:val="center"/>
          </w:tcPr>
          <w:p w14:paraId="14E29687">
            <w:pPr>
              <w:pStyle w:val="90"/>
            </w:pPr>
            <w:r>
              <w:t>/</w:t>
            </w:r>
          </w:p>
        </w:tc>
      </w:tr>
    </w:tbl>
    <w:p w14:paraId="0BC4761E">
      <w:pPr>
        <w:widowControl/>
        <w:adjustRightInd w:val="0"/>
        <w:snapToGrid w:val="0"/>
        <w:spacing w:before="163" w:beforeLines="50"/>
        <w:ind w:firstLine="480"/>
        <w:rPr>
          <w:szCs w:val="24"/>
        </w:rPr>
      </w:pPr>
      <w:r>
        <w:rPr>
          <w:szCs w:val="24"/>
        </w:rPr>
        <w:t>2、气象站风观测数据统计</w:t>
      </w:r>
    </w:p>
    <w:p w14:paraId="48B4372B">
      <w:pPr>
        <w:ind w:firstLine="480"/>
      </w:pPr>
      <w:r>
        <w:t>（1）月平均风速</w:t>
      </w:r>
    </w:p>
    <w:p w14:paraId="2FF0E110">
      <w:pPr>
        <w:ind w:firstLine="480"/>
      </w:pPr>
      <w:r>
        <w:rPr>
          <w:rFonts w:hint="eastAsia"/>
        </w:rPr>
        <w:t>克拉玛依</w:t>
      </w:r>
      <w:r>
        <w:t>气象站月平均风速如表5.2-</w:t>
      </w:r>
      <w:r>
        <w:rPr>
          <w:kern w:val="0"/>
        </w:rPr>
        <w:t>4及图5.2-2</w:t>
      </w:r>
      <w:r>
        <w:t>，其中累年值4月、5月、6月平均风速最大（2.3米/秒），1月风最小（0.9米/秒）。</w:t>
      </w:r>
    </w:p>
    <w:p w14:paraId="719D0193">
      <w:pPr>
        <w:pStyle w:val="47"/>
        <w:spacing w:before="65"/>
      </w:pPr>
      <w:r>
        <w:t xml:space="preserve">表5.1-4   </w:t>
      </w:r>
      <w:r>
        <w:rPr>
          <w:rFonts w:hint="eastAsia"/>
        </w:rPr>
        <w:t>克拉玛依</w:t>
      </w:r>
      <w:r>
        <w:t xml:space="preserve">气象站月平均风速统计    单位：m/s </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019"/>
        <w:gridCol w:w="645"/>
        <w:gridCol w:w="640"/>
        <w:gridCol w:w="642"/>
        <w:gridCol w:w="643"/>
        <w:gridCol w:w="641"/>
        <w:gridCol w:w="643"/>
        <w:gridCol w:w="646"/>
        <w:gridCol w:w="643"/>
        <w:gridCol w:w="643"/>
        <w:gridCol w:w="643"/>
        <w:gridCol w:w="639"/>
        <w:gridCol w:w="643"/>
      </w:tblGrid>
      <w:tr w14:paraId="4308A3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84" w:type="pct"/>
            <w:vAlign w:val="center"/>
          </w:tcPr>
          <w:p w14:paraId="22BD038E">
            <w:pPr>
              <w:pStyle w:val="90"/>
            </w:pPr>
            <w:r>
              <w:t>月份</w:t>
            </w:r>
          </w:p>
        </w:tc>
        <w:tc>
          <w:tcPr>
            <w:tcW w:w="370" w:type="pct"/>
            <w:vAlign w:val="center"/>
          </w:tcPr>
          <w:p w14:paraId="5123C6DF">
            <w:pPr>
              <w:pStyle w:val="90"/>
            </w:pPr>
            <w:r>
              <w:t>1</w:t>
            </w:r>
          </w:p>
        </w:tc>
        <w:tc>
          <w:tcPr>
            <w:tcW w:w="367" w:type="pct"/>
            <w:vAlign w:val="center"/>
          </w:tcPr>
          <w:p w14:paraId="064B5C83">
            <w:pPr>
              <w:pStyle w:val="90"/>
            </w:pPr>
            <w:r>
              <w:t>2</w:t>
            </w:r>
          </w:p>
        </w:tc>
        <w:tc>
          <w:tcPr>
            <w:tcW w:w="368" w:type="pct"/>
            <w:vAlign w:val="center"/>
          </w:tcPr>
          <w:p w14:paraId="4A503B4F">
            <w:pPr>
              <w:pStyle w:val="90"/>
            </w:pPr>
            <w:r>
              <w:t>3</w:t>
            </w:r>
          </w:p>
        </w:tc>
        <w:tc>
          <w:tcPr>
            <w:tcW w:w="368" w:type="pct"/>
            <w:vAlign w:val="center"/>
          </w:tcPr>
          <w:p w14:paraId="1715177B">
            <w:pPr>
              <w:pStyle w:val="90"/>
            </w:pPr>
            <w:r>
              <w:t>4</w:t>
            </w:r>
          </w:p>
        </w:tc>
        <w:tc>
          <w:tcPr>
            <w:tcW w:w="367" w:type="pct"/>
            <w:vAlign w:val="center"/>
          </w:tcPr>
          <w:p w14:paraId="1DB55A31">
            <w:pPr>
              <w:pStyle w:val="90"/>
            </w:pPr>
            <w:r>
              <w:t>5</w:t>
            </w:r>
          </w:p>
        </w:tc>
        <w:tc>
          <w:tcPr>
            <w:tcW w:w="368" w:type="pct"/>
            <w:vAlign w:val="center"/>
          </w:tcPr>
          <w:p w14:paraId="2B9C5927">
            <w:pPr>
              <w:pStyle w:val="90"/>
            </w:pPr>
            <w:r>
              <w:t>6</w:t>
            </w:r>
          </w:p>
        </w:tc>
        <w:tc>
          <w:tcPr>
            <w:tcW w:w="370" w:type="pct"/>
            <w:vAlign w:val="center"/>
          </w:tcPr>
          <w:p w14:paraId="3BE96073">
            <w:pPr>
              <w:pStyle w:val="90"/>
            </w:pPr>
            <w:r>
              <w:t>7</w:t>
            </w:r>
          </w:p>
        </w:tc>
        <w:tc>
          <w:tcPr>
            <w:tcW w:w="368" w:type="pct"/>
            <w:vAlign w:val="center"/>
          </w:tcPr>
          <w:p w14:paraId="08679462">
            <w:pPr>
              <w:pStyle w:val="90"/>
            </w:pPr>
            <w:r>
              <w:t>8</w:t>
            </w:r>
          </w:p>
        </w:tc>
        <w:tc>
          <w:tcPr>
            <w:tcW w:w="368" w:type="pct"/>
            <w:vAlign w:val="center"/>
          </w:tcPr>
          <w:p w14:paraId="21208085">
            <w:pPr>
              <w:pStyle w:val="90"/>
            </w:pPr>
            <w:r>
              <w:t>9</w:t>
            </w:r>
          </w:p>
        </w:tc>
        <w:tc>
          <w:tcPr>
            <w:tcW w:w="368" w:type="pct"/>
            <w:vAlign w:val="center"/>
          </w:tcPr>
          <w:p w14:paraId="52871812">
            <w:pPr>
              <w:pStyle w:val="90"/>
            </w:pPr>
            <w:r>
              <w:t>10</w:t>
            </w:r>
          </w:p>
        </w:tc>
        <w:tc>
          <w:tcPr>
            <w:tcW w:w="366" w:type="pct"/>
            <w:vAlign w:val="center"/>
          </w:tcPr>
          <w:p w14:paraId="508833CD">
            <w:pPr>
              <w:pStyle w:val="90"/>
            </w:pPr>
            <w:r>
              <w:t>11</w:t>
            </w:r>
          </w:p>
        </w:tc>
        <w:tc>
          <w:tcPr>
            <w:tcW w:w="368" w:type="pct"/>
            <w:vAlign w:val="center"/>
          </w:tcPr>
          <w:p w14:paraId="4EF7E935">
            <w:pPr>
              <w:pStyle w:val="90"/>
            </w:pPr>
            <w:r>
              <w:t>12</w:t>
            </w:r>
          </w:p>
        </w:tc>
      </w:tr>
      <w:tr w14:paraId="17DA0FA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84" w:type="pct"/>
            <w:vAlign w:val="center"/>
          </w:tcPr>
          <w:p w14:paraId="5B91E9E6">
            <w:pPr>
              <w:pStyle w:val="90"/>
            </w:pPr>
            <w:r>
              <w:t>平均风速</w:t>
            </w:r>
          </w:p>
        </w:tc>
        <w:tc>
          <w:tcPr>
            <w:tcW w:w="370" w:type="pct"/>
            <w:vAlign w:val="center"/>
          </w:tcPr>
          <w:p w14:paraId="7A4E30D7">
            <w:pPr>
              <w:pStyle w:val="90"/>
            </w:pPr>
            <w:r>
              <w:rPr>
                <w:rFonts w:hint="eastAsia"/>
              </w:rPr>
              <w:t>1.1</w:t>
            </w:r>
          </w:p>
        </w:tc>
        <w:tc>
          <w:tcPr>
            <w:tcW w:w="367" w:type="pct"/>
            <w:vAlign w:val="center"/>
          </w:tcPr>
          <w:p w14:paraId="15E95308">
            <w:pPr>
              <w:pStyle w:val="90"/>
            </w:pPr>
            <w:r>
              <w:rPr>
                <w:rFonts w:hint="eastAsia"/>
              </w:rPr>
              <w:t>1.4</w:t>
            </w:r>
          </w:p>
        </w:tc>
        <w:tc>
          <w:tcPr>
            <w:tcW w:w="368" w:type="pct"/>
            <w:vAlign w:val="center"/>
          </w:tcPr>
          <w:p w14:paraId="589C17A6">
            <w:pPr>
              <w:pStyle w:val="90"/>
            </w:pPr>
            <w:r>
              <w:rPr>
                <w:rFonts w:hint="eastAsia"/>
              </w:rPr>
              <w:t>2.3</w:t>
            </w:r>
          </w:p>
        </w:tc>
        <w:tc>
          <w:tcPr>
            <w:tcW w:w="368" w:type="pct"/>
            <w:vAlign w:val="center"/>
          </w:tcPr>
          <w:p w14:paraId="1D3D3F51">
            <w:pPr>
              <w:pStyle w:val="90"/>
            </w:pPr>
            <w:r>
              <w:rPr>
                <w:rFonts w:hint="eastAsia"/>
              </w:rPr>
              <w:t>3.3</w:t>
            </w:r>
          </w:p>
        </w:tc>
        <w:tc>
          <w:tcPr>
            <w:tcW w:w="367" w:type="pct"/>
            <w:vAlign w:val="center"/>
          </w:tcPr>
          <w:p w14:paraId="46C1768A">
            <w:pPr>
              <w:pStyle w:val="90"/>
            </w:pPr>
            <w:r>
              <w:rPr>
                <w:rFonts w:hint="eastAsia"/>
              </w:rPr>
              <w:t>3.5</w:t>
            </w:r>
          </w:p>
        </w:tc>
        <w:tc>
          <w:tcPr>
            <w:tcW w:w="368" w:type="pct"/>
            <w:vAlign w:val="center"/>
          </w:tcPr>
          <w:p w14:paraId="1AF5675E">
            <w:pPr>
              <w:pStyle w:val="90"/>
            </w:pPr>
            <w:r>
              <w:rPr>
                <w:rFonts w:hint="eastAsia"/>
              </w:rPr>
              <w:t>3.2</w:t>
            </w:r>
          </w:p>
        </w:tc>
        <w:tc>
          <w:tcPr>
            <w:tcW w:w="370" w:type="pct"/>
            <w:vAlign w:val="center"/>
          </w:tcPr>
          <w:p w14:paraId="32AA2008">
            <w:pPr>
              <w:pStyle w:val="90"/>
            </w:pPr>
            <w:r>
              <w:rPr>
                <w:rFonts w:hint="eastAsia"/>
              </w:rPr>
              <w:t>3</w:t>
            </w:r>
          </w:p>
        </w:tc>
        <w:tc>
          <w:tcPr>
            <w:tcW w:w="368" w:type="pct"/>
            <w:vAlign w:val="center"/>
          </w:tcPr>
          <w:p w14:paraId="71626937">
            <w:pPr>
              <w:pStyle w:val="90"/>
            </w:pPr>
            <w:r>
              <w:rPr>
                <w:rFonts w:hint="eastAsia"/>
              </w:rPr>
              <w:t>2.9</w:t>
            </w:r>
          </w:p>
        </w:tc>
        <w:tc>
          <w:tcPr>
            <w:tcW w:w="368" w:type="pct"/>
            <w:vAlign w:val="center"/>
          </w:tcPr>
          <w:p w14:paraId="791E3B37">
            <w:pPr>
              <w:pStyle w:val="90"/>
            </w:pPr>
            <w:r>
              <w:rPr>
                <w:rFonts w:hint="eastAsia"/>
              </w:rPr>
              <w:t>2.7</w:t>
            </w:r>
          </w:p>
        </w:tc>
        <w:tc>
          <w:tcPr>
            <w:tcW w:w="368" w:type="pct"/>
            <w:vAlign w:val="center"/>
          </w:tcPr>
          <w:p w14:paraId="5A2C5807">
            <w:pPr>
              <w:pStyle w:val="90"/>
            </w:pPr>
            <w:r>
              <w:rPr>
                <w:rFonts w:hint="eastAsia"/>
              </w:rPr>
              <w:t>2.4</w:t>
            </w:r>
          </w:p>
        </w:tc>
        <w:tc>
          <w:tcPr>
            <w:tcW w:w="366" w:type="pct"/>
            <w:vAlign w:val="center"/>
          </w:tcPr>
          <w:p w14:paraId="010D8B6B">
            <w:pPr>
              <w:pStyle w:val="90"/>
            </w:pPr>
            <w:r>
              <w:rPr>
                <w:rFonts w:hint="eastAsia"/>
              </w:rPr>
              <w:t>1.9</w:t>
            </w:r>
          </w:p>
        </w:tc>
        <w:tc>
          <w:tcPr>
            <w:tcW w:w="368" w:type="pct"/>
            <w:vAlign w:val="center"/>
          </w:tcPr>
          <w:p w14:paraId="039E1FCA">
            <w:pPr>
              <w:pStyle w:val="90"/>
            </w:pPr>
            <w:r>
              <w:rPr>
                <w:rFonts w:hint="eastAsia"/>
              </w:rPr>
              <w:t>1.3</w:t>
            </w:r>
          </w:p>
        </w:tc>
      </w:tr>
    </w:tbl>
    <w:p w14:paraId="17E3DC21">
      <w:pPr>
        <w:widowControl/>
        <w:adjustRightInd w:val="0"/>
        <w:snapToGrid w:val="0"/>
        <w:spacing w:before="163" w:beforeLines="50" w:line="240" w:lineRule="auto"/>
        <w:ind w:firstLine="0" w:firstLineChars="0"/>
        <w:rPr>
          <w:szCs w:val="24"/>
        </w:rPr>
      </w:pPr>
    </w:p>
    <w:p w14:paraId="664061C0">
      <w:pPr>
        <w:ind w:firstLine="480"/>
      </w:pPr>
      <w:r>
        <w:t>（2）风向特征</w:t>
      </w:r>
    </w:p>
    <w:p w14:paraId="4A0D7EA2">
      <w:pPr>
        <w:ind w:firstLine="480"/>
      </w:pPr>
      <w:r>
        <w:t>近20年资料分析的风向玫瑰图如图5.2-3所示，</w:t>
      </w:r>
      <w:r>
        <w:rPr>
          <w:rFonts w:hint="eastAsia"/>
        </w:rPr>
        <w:t>克拉玛依</w:t>
      </w:r>
      <w:r>
        <w:t>气象站主要风向为</w:t>
      </w:r>
      <w:r>
        <w:rPr>
          <w:rFonts w:hint="eastAsia"/>
        </w:rPr>
        <w:t>NW</w:t>
      </w:r>
      <w:r>
        <w:t>和</w:t>
      </w:r>
      <w:r>
        <w:rPr>
          <w:rFonts w:hint="eastAsia"/>
        </w:rPr>
        <w:t>NNW</w:t>
      </w:r>
      <w:r>
        <w:t>，占到全年的</w:t>
      </w:r>
      <w:r>
        <w:rPr>
          <w:rFonts w:hint="eastAsia"/>
        </w:rPr>
        <w:t>19.3</w:t>
      </w:r>
      <w:r>
        <w:t>％</w:t>
      </w:r>
      <w:r>
        <w:rPr>
          <w:rFonts w:hint="eastAsia"/>
        </w:rPr>
        <w:t>和10.97</w:t>
      </w:r>
      <w:r>
        <w:t>%左右。</w:t>
      </w:r>
    </w:p>
    <w:p w14:paraId="742034F1">
      <w:pPr>
        <w:pStyle w:val="47"/>
        <w:spacing w:before="65"/>
      </w:pPr>
      <w:r>
        <w:t xml:space="preserve">表5.1-5   </w:t>
      </w:r>
      <w:r>
        <w:rPr>
          <w:rFonts w:hint="eastAsia"/>
        </w:rPr>
        <w:t>克拉玛依</w:t>
      </w:r>
      <w:r>
        <w:t>气象站年风向频率统计    单位：%</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431"/>
        <w:gridCol w:w="494"/>
        <w:gridCol w:w="494"/>
        <w:gridCol w:w="494"/>
        <w:gridCol w:w="494"/>
        <w:gridCol w:w="492"/>
        <w:gridCol w:w="493"/>
        <w:gridCol w:w="387"/>
        <w:gridCol w:w="470"/>
        <w:gridCol w:w="387"/>
        <w:gridCol w:w="470"/>
        <w:gridCol w:w="600"/>
        <w:gridCol w:w="535"/>
        <w:gridCol w:w="387"/>
        <w:gridCol w:w="570"/>
        <w:gridCol w:w="493"/>
        <w:gridCol w:w="570"/>
        <w:gridCol w:w="469"/>
      </w:tblGrid>
      <w:tr w14:paraId="7140111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52" w:type="pct"/>
            <w:vAlign w:val="center"/>
          </w:tcPr>
          <w:p w14:paraId="54C9CBE5">
            <w:pPr>
              <w:autoSpaceDE w:val="0"/>
              <w:autoSpaceDN w:val="0"/>
              <w:adjustRightInd w:val="0"/>
              <w:snapToGrid w:val="0"/>
              <w:spacing w:line="240" w:lineRule="auto"/>
              <w:ind w:firstLine="0" w:firstLineChars="0"/>
              <w:jc w:val="center"/>
              <w:rPr>
                <w:bCs/>
                <w:sz w:val="20"/>
                <w:szCs w:val="18"/>
              </w:rPr>
            </w:pPr>
            <w:r>
              <w:rPr>
                <w:bCs/>
                <w:sz w:val="20"/>
                <w:szCs w:val="18"/>
              </w:rPr>
              <w:t>风向</w:t>
            </w:r>
          </w:p>
        </w:tc>
        <w:tc>
          <w:tcPr>
            <w:tcW w:w="288" w:type="pct"/>
            <w:vAlign w:val="center"/>
          </w:tcPr>
          <w:p w14:paraId="5039BBD4">
            <w:pPr>
              <w:autoSpaceDE w:val="0"/>
              <w:autoSpaceDN w:val="0"/>
              <w:adjustRightInd w:val="0"/>
              <w:snapToGrid w:val="0"/>
              <w:spacing w:line="240" w:lineRule="auto"/>
              <w:ind w:firstLine="0" w:firstLineChars="0"/>
              <w:jc w:val="center"/>
              <w:rPr>
                <w:bCs/>
                <w:sz w:val="20"/>
                <w:szCs w:val="18"/>
              </w:rPr>
            </w:pPr>
            <w:r>
              <w:rPr>
                <w:bCs/>
                <w:sz w:val="20"/>
                <w:szCs w:val="18"/>
              </w:rPr>
              <w:t>N</w:t>
            </w:r>
          </w:p>
        </w:tc>
        <w:tc>
          <w:tcPr>
            <w:tcW w:w="288" w:type="pct"/>
            <w:vAlign w:val="center"/>
          </w:tcPr>
          <w:p w14:paraId="64A7D3EB">
            <w:pPr>
              <w:autoSpaceDE w:val="0"/>
              <w:autoSpaceDN w:val="0"/>
              <w:adjustRightInd w:val="0"/>
              <w:snapToGrid w:val="0"/>
              <w:spacing w:line="240" w:lineRule="auto"/>
              <w:ind w:firstLine="0" w:firstLineChars="0"/>
              <w:jc w:val="center"/>
              <w:rPr>
                <w:bCs/>
                <w:sz w:val="20"/>
                <w:szCs w:val="18"/>
              </w:rPr>
            </w:pPr>
            <w:r>
              <w:rPr>
                <w:bCs/>
                <w:sz w:val="20"/>
                <w:szCs w:val="18"/>
              </w:rPr>
              <w:t>NNE</w:t>
            </w:r>
          </w:p>
        </w:tc>
        <w:tc>
          <w:tcPr>
            <w:tcW w:w="288" w:type="pct"/>
            <w:vAlign w:val="center"/>
          </w:tcPr>
          <w:p w14:paraId="79165078">
            <w:pPr>
              <w:autoSpaceDE w:val="0"/>
              <w:autoSpaceDN w:val="0"/>
              <w:adjustRightInd w:val="0"/>
              <w:snapToGrid w:val="0"/>
              <w:spacing w:line="240" w:lineRule="auto"/>
              <w:ind w:firstLine="0" w:firstLineChars="0"/>
              <w:jc w:val="center"/>
              <w:rPr>
                <w:bCs/>
                <w:sz w:val="20"/>
                <w:szCs w:val="18"/>
              </w:rPr>
            </w:pPr>
            <w:r>
              <w:rPr>
                <w:bCs/>
                <w:sz w:val="20"/>
                <w:szCs w:val="18"/>
              </w:rPr>
              <w:t>NE</w:t>
            </w:r>
          </w:p>
        </w:tc>
        <w:tc>
          <w:tcPr>
            <w:tcW w:w="288" w:type="pct"/>
            <w:vAlign w:val="center"/>
          </w:tcPr>
          <w:p w14:paraId="7CD3A802">
            <w:pPr>
              <w:autoSpaceDE w:val="0"/>
              <w:autoSpaceDN w:val="0"/>
              <w:adjustRightInd w:val="0"/>
              <w:snapToGrid w:val="0"/>
              <w:spacing w:line="240" w:lineRule="auto"/>
              <w:ind w:firstLine="0" w:firstLineChars="0"/>
              <w:jc w:val="center"/>
              <w:rPr>
                <w:bCs/>
                <w:sz w:val="20"/>
                <w:szCs w:val="18"/>
              </w:rPr>
            </w:pPr>
            <w:r>
              <w:rPr>
                <w:bCs/>
                <w:sz w:val="20"/>
                <w:szCs w:val="18"/>
              </w:rPr>
              <w:t>ENE</w:t>
            </w:r>
          </w:p>
        </w:tc>
        <w:tc>
          <w:tcPr>
            <w:tcW w:w="287" w:type="pct"/>
            <w:vAlign w:val="center"/>
          </w:tcPr>
          <w:p w14:paraId="792EEF0D">
            <w:pPr>
              <w:autoSpaceDE w:val="0"/>
              <w:autoSpaceDN w:val="0"/>
              <w:adjustRightInd w:val="0"/>
              <w:snapToGrid w:val="0"/>
              <w:spacing w:line="240" w:lineRule="auto"/>
              <w:ind w:firstLine="0" w:firstLineChars="0"/>
              <w:jc w:val="center"/>
              <w:rPr>
                <w:bCs/>
                <w:sz w:val="20"/>
                <w:szCs w:val="18"/>
              </w:rPr>
            </w:pPr>
            <w:r>
              <w:rPr>
                <w:bCs/>
                <w:sz w:val="20"/>
                <w:szCs w:val="18"/>
              </w:rPr>
              <w:t>E</w:t>
            </w:r>
          </w:p>
        </w:tc>
        <w:tc>
          <w:tcPr>
            <w:tcW w:w="287" w:type="pct"/>
            <w:vAlign w:val="center"/>
          </w:tcPr>
          <w:p w14:paraId="6ACF95C8">
            <w:pPr>
              <w:autoSpaceDE w:val="0"/>
              <w:autoSpaceDN w:val="0"/>
              <w:adjustRightInd w:val="0"/>
              <w:snapToGrid w:val="0"/>
              <w:spacing w:line="240" w:lineRule="auto"/>
              <w:ind w:firstLine="0" w:firstLineChars="0"/>
              <w:jc w:val="center"/>
              <w:rPr>
                <w:bCs/>
                <w:sz w:val="20"/>
                <w:szCs w:val="18"/>
              </w:rPr>
            </w:pPr>
            <w:r>
              <w:rPr>
                <w:bCs/>
                <w:sz w:val="20"/>
                <w:szCs w:val="18"/>
              </w:rPr>
              <w:t>ESE</w:t>
            </w:r>
          </w:p>
        </w:tc>
        <w:tc>
          <w:tcPr>
            <w:tcW w:w="226" w:type="pct"/>
            <w:vAlign w:val="center"/>
          </w:tcPr>
          <w:p w14:paraId="149C6D08">
            <w:pPr>
              <w:autoSpaceDE w:val="0"/>
              <w:autoSpaceDN w:val="0"/>
              <w:adjustRightInd w:val="0"/>
              <w:snapToGrid w:val="0"/>
              <w:spacing w:line="240" w:lineRule="auto"/>
              <w:ind w:firstLine="0" w:firstLineChars="0"/>
              <w:jc w:val="center"/>
              <w:rPr>
                <w:bCs/>
                <w:sz w:val="20"/>
                <w:szCs w:val="18"/>
              </w:rPr>
            </w:pPr>
            <w:r>
              <w:rPr>
                <w:bCs/>
                <w:sz w:val="20"/>
                <w:szCs w:val="18"/>
              </w:rPr>
              <w:t>SE</w:t>
            </w:r>
          </w:p>
        </w:tc>
        <w:tc>
          <w:tcPr>
            <w:tcW w:w="226" w:type="pct"/>
            <w:vAlign w:val="center"/>
          </w:tcPr>
          <w:p w14:paraId="7C75F997">
            <w:pPr>
              <w:autoSpaceDE w:val="0"/>
              <w:autoSpaceDN w:val="0"/>
              <w:adjustRightInd w:val="0"/>
              <w:snapToGrid w:val="0"/>
              <w:spacing w:line="240" w:lineRule="auto"/>
              <w:ind w:firstLine="0" w:firstLineChars="0"/>
              <w:jc w:val="center"/>
              <w:rPr>
                <w:bCs/>
                <w:sz w:val="20"/>
                <w:szCs w:val="18"/>
              </w:rPr>
            </w:pPr>
            <w:r>
              <w:rPr>
                <w:bCs/>
                <w:sz w:val="20"/>
                <w:szCs w:val="18"/>
              </w:rPr>
              <w:t>SSE</w:t>
            </w:r>
          </w:p>
        </w:tc>
        <w:tc>
          <w:tcPr>
            <w:tcW w:w="226" w:type="pct"/>
            <w:vAlign w:val="center"/>
          </w:tcPr>
          <w:p w14:paraId="30E9BCE2">
            <w:pPr>
              <w:autoSpaceDE w:val="0"/>
              <w:autoSpaceDN w:val="0"/>
              <w:adjustRightInd w:val="0"/>
              <w:snapToGrid w:val="0"/>
              <w:spacing w:line="240" w:lineRule="auto"/>
              <w:ind w:firstLine="0" w:firstLineChars="0"/>
              <w:jc w:val="center"/>
              <w:rPr>
                <w:bCs/>
                <w:sz w:val="20"/>
                <w:szCs w:val="18"/>
              </w:rPr>
            </w:pPr>
            <w:r>
              <w:rPr>
                <w:bCs/>
                <w:sz w:val="20"/>
                <w:szCs w:val="18"/>
              </w:rPr>
              <w:t>S</w:t>
            </w:r>
          </w:p>
        </w:tc>
        <w:tc>
          <w:tcPr>
            <w:tcW w:w="264" w:type="pct"/>
            <w:vAlign w:val="center"/>
          </w:tcPr>
          <w:p w14:paraId="435073C6">
            <w:pPr>
              <w:autoSpaceDE w:val="0"/>
              <w:autoSpaceDN w:val="0"/>
              <w:adjustRightInd w:val="0"/>
              <w:snapToGrid w:val="0"/>
              <w:spacing w:line="240" w:lineRule="auto"/>
              <w:ind w:firstLine="0" w:firstLineChars="0"/>
              <w:jc w:val="center"/>
              <w:rPr>
                <w:bCs/>
                <w:sz w:val="20"/>
                <w:szCs w:val="18"/>
              </w:rPr>
            </w:pPr>
            <w:r>
              <w:rPr>
                <w:bCs/>
                <w:sz w:val="20"/>
                <w:szCs w:val="18"/>
              </w:rPr>
              <w:t>SSW</w:t>
            </w:r>
          </w:p>
        </w:tc>
        <w:tc>
          <w:tcPr>
            <w:tcW w:w="348" w:type="pct"/>
            <w:vAlign w:val="center"/>
          </w:tcPr>
          <w:p w14:paraId="4B47A06A">
            <w:pPr>
              <w:autoSpaceDE w:val="0"/>
              <w:autoSpaceDN w:val="0"/>
              <w:adjustRightInd w:val="0"/>
              <w:snapToGrid w:val="0"/>
              <w:spacing w:line="240" w:lineRule="auto"/>
              <w:ind w:firstLine="0" w:firstLineChars="0"/>
              <w:jc w:val="center"/>
              <w:rPr>
                <w:bCs/>
                <w:sz w:val="20"/>
                <w:szCs w:val="18"/>
              </w:rPr>
            </w:pPr>
            <w:r>
              <w:rPr>
                <w:bCs/>
                <w:sz w:val="20"/>
                <w:szCs w:val="18"/>
              </w:rPr>
              <w:t>SW</w:t>
            </w:r>
          </w:p>
        </w:tc>
        <w:tc>
          <w:tcPr>
            <w:tcW w:w="311" w:type="pct"/>
            <w:vAlign w:val="center"/>
          </w:tcPr>
          <w:p w14:paraId="50FB84BE">
            <w:pPr>
              <w:autoSpaceDE w:val="0"/>
              <w:autoSpaceDN w:val="0"/>
              <w:adjustRightInd w:val="0"/>
              <w:snapToGrid w:val="0"/>
              <w:spacing w:line="240" w:lineRule="auto"/>
              <w:ind w:firstLine="0" w:firstLineChars="0"/>
              <w:jc w:val="center"/>
              <w:rPr>
                <w:bCs/>
                <w:sz w:val="20"/>
                <w:szCs w:val="18"/>
              </w:rPr>
            </w:pPr>
            <w:r>
              <w:rPr>
                <w:bCs/>
                <w:sz w:val="20"/>
                <w:szCs w:val="18"/>
              </w:rPr>
              <w:t>WSW</w:t>
            </w:r>
          </w:p>
        </w:tc>
        <w:tc>
          <w:tcPr>
            <w:tcW w:w="226" w:type="pct"/>
            <w:vAlign w:val="center"/>
          </w:tcPr>
          <w:p w14:paraId="5A91AF02">
            <w:pPr>
              <w:autoSpaceDE w:val="0"/>
              <w:autoSpaceDN w:val="0"/>
              <w:adjustRightInd w:val="0"/>
              <w:snapToGrid w:val="0"/>
              <w:spacing w:line="240" w:lineRule="auto"/>
              <w:ind w:firstLine="0" w:firstLineChars="0"/>
              <w:jc w:val="center"/>
              <w:rPr>
                <w:bCs/>
                <w:sz w:val="20"/>
                <w:szCs w:val="18"/>
              </w:rPr>
            </w:pPr>
            <w:r>
              <w:rPr>
                <w:bCs/>
                <w:sz w:val="20"/>
                <w:szCs w:val="18"/>
              </w:rPr>
              <w:t>W</w:t>
            </w:r>
          </w:p>
        </w:tc>
        <w:tc>
          <w:tcPr>
            <w:tcW w:w="331" w:type="pct"/>
            <w:vAlign w:val="center"/>
          </w:tcPr>
          <w:p w14:paraId="47DA52E4">
            <w:pPr>
              <w:autoSpaceDE w:val="0"/>
              <w:autoSpaceDN w:val="0"/>
              <w:adjustRightInd w:val="0"/>
              <w:snapToGrid w:val="0"/>
              <w:spacing w:line="240" w:lineRule="auto"/>
              <w:ind w:firstLine="0" w:firstLineChars="0"/>
              <w:jc w:val="center"/>
              <w:rPr>
                <w:bCs/>
                <w:sz w:val="20"/>
                <w:szCs w:val="18"/>
              </w:rPr>
            </w:pPr>
            <w:r>
              <w:rPr>
                <w:bCs/>
                <w:sz w:val="20"/>
                <w:szCs w:val="18"/>
              </w:rPr>
              <w:t>WNW</w:t>
            </w:r>
          </w:p>
        </w:tc>
        <w:tc>
          <w:tcPr>
            <w:tcW w:w="287" w:type="pct"/>
            <w:vAlign w:val="center"/>
          </w:tcPr>
          <w:p w14:paraId="0A108FAA">
            <w:pPr>
              <w:autoSpaceDE w:val="0"/>
              <w:autoSpaceDN w:val="0"/>
              <w:adjustRightInd w:val="0"/>
              <w:snapToGrid w:val="0"/>
              <w:spacing w:line="240" w:lineRule="auto"/>
              <w:ind w:firstLine="0" w:firstLineChars="0"/>
              <w:jc w:val="center"/>
              <w:rPr>
                <w:bCs/>
                <w:sz w:val="20"/>
                <w:szCs w:val="18"/>
              </w:rPr>
            </w:pPr>
            <w:r>
              <w:rPr>
                <w:bCs/>
                <w:sz w:val="20"/>
                <w:szCs w:val="18"/>
              </w:rPr>
              <w:t>NW</w:t>
            </w:r>
          </w:p>
        </w:tc>
        <w:tc>
          <w:tcPr>
            <w:tcW w:w="304" w:type="pct"/>
            <w:vAlign w:val="center"/>
          </w:tcPr>
          <w:p w14:paraId="18BD5DE7">
            <w:pPr>
              <w:autoSpaceDE w:val="0"/>
              <w:autoSpaceDN w:val="0"/>
              <w:adjustRightInd w:val="0"/>
              <w:snapToGrid w:val="0"/>
              <w:spacing w:line="240" w:lineRule="auto"/>
              <w:ind w:firstLine="0" w:firstLineChars="0"/>
              <w:jc w:val="center"/>
              <w:rPr>
                <w:bCs/>
                <w:sz w:val="20"/>
                <w:szCs w:val="18"/>
              </w:rPr>
            </w:pPr>
            <w:r>
              <w:rPr>
                <w:bCs/>
                <w:sz w:val="20"/>
                <w:szCs w:val="18"/>
              </w:rPr>
              <w:t>NNW</w:t>
            </w:r>
          </w:p>
        </w:tc>
        <w:tc>
          <w:tcPr>
            <w:tcW w:w="274" w:type="pct"/>
            <w:vAlign w:val="center"/>
          </w:tcPr>
          <w:p w14:paraId="04FC0AFB">
            <w:pPr>
              <w:autoSpaceDE w:val="0"/>
              <w:autoSpaceDN w:val="0"/>
              <w:adjustRightInd w:val="0"/>
              <w:snapToGrid w:val="0"/>
              <w:spacing w:line="240" w:lineRule="auto"/>
              <w:ind w:firstLine="0" w:firstLineChars="0"/>
              <w:jc w:val="center"/>
              <w:rPr>
                <w:bCs/>
                <w:sz w:val="20"/>
                <w:szCs w:val="18"/>
              </w:rPr>
            </w:pPr>
            <w:r>
              <w:rPr>
                <w:bCs/>
                <w:sz w:val="20"/>
                <w:szCs w:val="18"/>
              </w:rPr>
              <w:t>C</w:t>
            </w:r>
          </w:p>
        </w:tc>
      </w:tr>
      <w:tr w14:paraId="694498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52" w:type="pct"/>
            <w:vAlign w:val="center"/>
          </w:tcPr>
          <w:p w14:paraId="57AE382C">
            <w:pPr>
              <w:autoSpaceDE w:val="0"/>
              <w:autoSpaceDN w:val="0"/>
              <w:adjustRightInd w:val="0"/>
              <w:snapToGrid w:val="0"/>
              <w:spacing w:line="240" w:lineRule="auto"/>
              <w:ind w:firstLine="0" w:firstLineChars="0"/>
              <w:jc w:val="center"/>
              <w:rPr>
                <w:bCs/>
                <w:sz w:val="20"/>
                <w:szCs w:val="18"/>
              </w:rPr>
            </w:pPr>
            <w:r>
              <w:rPr>
                <w:bCs/>
                <w:sz w:val="20"/>
                <w:szCs w:val="18"/>
              </w:rPr>
              <w:t>频率</w:t>
            </w:r>
          </w:p>
        </w:tc>
        <w:tc>
          <w:tcPr>
            <w:tcW w:w="478" w:type="dxa"/>
            <w:vAlign w:val="center"/>
          </w:tcPr>
          <w:p w14:paraId="131397BA">
            <w:pPr>
              <w:autoSpaceDE w:val="0"/>
              <w:autoSpaceDN w:val="0"/>
              <w:adjustRightInd w:val="0"/>
              <w:snapToGrid w:val="0"/>
              <w:spacing w:line="240" w:lineRule="auto"/>
              <w:ind w:firstLine="0" w:firstLineChars="0"/>
              <w:jc w:val="center"/>
              <w:rPr>
                <w:bCs/>
                <w:sz w:val="20"/>
                <w:szCs w:val="18"/>
              </w:rPr>
            </w:pPr>
            <w:r>
              <w:rPr>
                <w:rFonts w:hint="eastAsia"/>
                <w:bCs/>
                <w:sz w:val="20"/>
                <w:szCs w:val="18"/>
              </w:rPr>
              <w:t>3.68</w:t>
            </w:r>
          </w:p>
        </w:tc>
        <w:tc>
          <w:tcPr>
            <w:tcW w:w="478" w:type="dxa"/>
            <w:vAlign w:val="center"/>
          </w:tcPr>
          <w:p w14:paraId="7947147C">
            <w:pPr>
              <w:autoSpaceDE w:val="0"/>
              <w:autoSpaceDN w:val="0"/>
              <w:adjustRightInd w:val="0"/>
              <w:snapToGrid w:val="0"/>
              <w:spacing w:line="240" w:lineRule="auto"/>
              <w:ind w:firstLine="0" w:firstLineChars="0"/>
              <w:jc w:val="center"/>
              <w:rPr>
                <w:bCs/>
                <w:sz w:val="20"/>
                <w:szCs w:val="18"/>
              </w:rPr>
            </w:pPr>
            <w:r>
              <w:rPr>
                <w:rFonts w:hint="eastAsia"/>
                <w:bCs/>
                <w:sz w:val="20"/>
                <w:szCs w:val="18"/>
              </w:rPr>
              <w:t>2.985</w:t>
            </w:r>
          </w:p>
        </w:tc>
        <w:tc>
          <w:tcPr>
            <w:tcW w:w="478" w:type="dxa"/>
            <w:vAlign w:val="center"/>
          </w:tcPr>
          <w:p w14:paraId="5736B4F4">
            <w:pPr>
              <w:autoSpaceDE w:val="0"/>
              <w:autoSpaceDN w:val="0"/>
              <w:adjustRightInd w:val="0"/>
              <w:snapToGrid w:val="0"/>
              <w:spacing w:line="240" w:lineRule="auto"/>
              <w:ind w:firstLine="0" w:firstLineChars="0"/>
              <w:jc w:val="center"/>
              <w:rPr>
                <w:bCs/>
                <w:sz w:val="20"/>
                <w:szCs w:val="18"/>
              </w:rPr>
            </w:pPr>
            <w:r>
              <w:rPr>
                <w:rFonts w:hint="eastAsia"/>
                <w:bCs/>
                <w:sz w:val="20"/>
                <w:szCs w:val="18"/>
              </w:rPr>
              <w:t>4.52</w:t>
            </w:r>
          </w:p>
        </w:tc>
        <w:tc>
          <w:tcPr>
            <w:tcW w:w="478" w:type="dxa"/>
            <w:vAlign w:val="center"/>
          </w:tcPr>
          <w:p w14:paraId="52FB55AD">
            <w:pPr>
              <w:autoSpaceDE w:val="0"/>
              <w:autoSpaceDN w:val="0"/>
              <w:adjustRightInd w:val="0"/>
              <w:snapToGrid w:val="0"/>
              <w:spacing w:line="240" w:lineRule="auto"/>
              <w:ind w:firstLine="0" w:firstLineChars="0"/>
              <w:jc w:val="center"/>
              <w:rPr>
                <w:bCs/>
                <w:sz w:val="20"/>
                <w:szCs w:val="18"/>
              </w:rPr>
            </w:pPr>
            <w:r>
              <w:rPr>
                <w:rFonts w:hint="eastAsia"/>
                <w:bCs/>
                <w:sz w:val="20"/>
                <w:szCs w:val="18"/>
              </w:rPr>
              <w:t>8.51</w:t>
            </w:r>
          </w:p>
        </w:tc>
        <w:tc>
          <w:tcPr>
            <w:tcW w:w="477" w:type="dxa"/>
            <w:vAlign w:val="center"/>
          </w:tcPr>
          <w:p w14:paraId="6940E434">
            <w:pPr>
              <w:autoSpaceDE w:val="0"/>
              <w:autoSpaceDN w:val="0"/>
              <w:adjustRightInd w:val="0"/>
              <w:snapToGrid w:val="0"/>
              <w:spacing w:line="240" w:lineRule="auto"/>
              <w:ind w:firstLine="0" w:firstLineChars="0"/>
              <w:jc w:val="center"/>
              <w:rPr>
                <w:bCs/>
                <w:sz w:val="20"/>
                <w:szCs w:val="18"/>
              </w:rPr>
            </w:pPr>
            <w:r>
              <w:rPr>
                <w:rFonts w:hint="eastAsia"/>
                <w:bCs/>
                <w:sz w:val="20"/>
                <w:szCs w:val="18"/>
              </w:rPr>
              <w:t>6.76</w:t>
            </w:r>
          </w:p>
        </w:tc>
        <w:tc>
          <w:tcPr>
            <w:tcW w:w="477" w:type="dxa"/>
            <w:vAlign w:val="center"/>
          </w:tcPr>
          <w:p w14:paraId="141C9705">
            <w:pPr>
              <w:autoSpaceDE w:val="0"/>
              <w:autoSpaceDN w:val="0"/>
              <w:adjustRightInd w:val="0"/>
              <w:snapToGrid w:val="0"/>
              <w:spacing w:line="240" w:lineRule="auto"/>
              <w:ind w:firstLine="0" w:firstLineChars="0"/>
              <w:jc w:val="center"/>
              <w:rPr>
                <w:bCs/>
                <w:sz w:val="20"/>
                <w:szCs w:val="18"/>
              </w:rPr>
            </w:pPr>
            <w:r>
              <w:rPr>
                <w:rFonts w:hint="eastAsia"/>
                <w:bCs/>
                <w:sz w:val="20"/>
                <w:szCs w:val="18"/>
              </w:rPr>
              <w:t>4.035</w:t>
            </w:r>
          </w:p>
        </w:tc>
        <w:tc>
          <w:tcPr>
            <w:tcW w:w="375" w:type="dxa"/>
            <w:vAlign w:val="center"/>
          </w:tcPr>
          <w:p w14:paraId="3741A626">
            <w:pPr>
              <w:autoSpaceDE w:val="0"/>
              <w:autoSpaceDN w:val="0"/>
              <w:adjustRightInd w:val="0"/>
              <w:snapToGrid w:val="0"/>
              <w:spacing w:line="240" w:lineRule="auto"/>
              <w:ind w:firstLine="0" w:firstLineChars="0"/>
              <w:jc w:val="center"/>
              <w:rPr>
                <w:bCs/>
                <w:sz w:val="20"/>
                <w:szCs w:val="18"/>
              </w:rPr>
            </w:pPr>
            <w:r>
              <w:rPr>
                <w:rFonts w:hint="eastAsia"/>
                <w:bCs/>
                <w:sz w:val="20"/>
                <w:szCs w:val="18"/>
              </w:rPr>
              <w:t>3.8</w:t>
            </w:r>
          </w:p>
        </w:tc>
        <w:tc>
          <w:tcPr>
            <w:tcW w:w="375" w:type="dxa"/>
            <w:vAlign w:val="center"/>
          </w:tcPr>
          <w:p w14:paraId="39569D67">
            <w:pPr>
              <w:autoSpaceDE w:val="0"/>
              <w:autoSpaceDN w:val="0"/>
              <w:adjustRightInd w:val="0"/>
              <w:snapToGrid w:val="0"/>
              <w:spacing w:line="240" w:lineRule="auto"/>
              <w:ind w:firstLine="0" w:firstLineChars="0"/>
              <w:jc w:val="center"/>
              <w:rPr>
                <w:bCs/>
                <w:sz w:val="20"/>
                <w:szCs w:val="18"/>
              </w:rPr>
            </w:pPr>
            <w:r>
              <w:rPr>
                <w:rFonts w:hint="eastAsia"/>
                <w:bCs/>
                <w:sz w:val="20"/>
                <w:szCs w:val="18"/>
              </w:rPr>
              <w:t>3.615</w:t>
            </w:r>
          </w:p>
        </w:tc>
        <w:tc>
          <w:tcPr>
            <w:tcW w:w="375" w:type="dxa"/>
            <w:vAlign w:val="center"/>
          </w:tcPr>
          <w:p w14:paraId="3771C554">
            <w:pPr>
              <w:autoSpaceDE w:val="0"/>
              <w:autoSpaceDN w:val="0"/>
              <w:adjustRightInd w:val="0"/>
              <w:snapToGrid w:val="0"/>
              <w:spacing w:line="240" w:lineRule="auto"/>
              <w:ind w:firstLine="0" w:firstLineChars="0"/>
              <w:jc w:val="center"/>
              <w:rPr>
                <w:bCs/>
                <w:sz w:val="20"/>
                <w:szCs w:val="18"/>
              </w:rPr>
            </w:pPr>
            <w:r>
              <w:rPr>
                <w:rFonts w:hint="eastAsia"/>
                <w:bCs/>
                <w:sz w:val="20"/>
                <w:szCs w:val="18"/>
              </w:rPr>
              <w:t>4.18</w:t>
            </w:r>
          </w:p>
        </w:tc>
        <w:tc>
          <w:tcPr>
            <w:tcW w:w="439" w:type="dxa"/>
            <w:vAlign w:val="center"/>
          </w:tcPr>
          <w:p w14:paraId="032D1C21">
            <w:pPr>
              <w:autoSpaceDE w:val="0"/>
              <w:autoSpaceDN w:val="0"/>
              <w:adjustRightInd w:val="0"/>
              <w:snapToGrid w:val="0"/>
              <w:spacing w:line="240" w:lineRule="auto"/>
              <w:ind w:firstLine="0" w:firstLineChars="0"/>
              <w:jc w:val="center"/>
              <w:rPr>
                <w:bCs/>
                <w:sz w:val="20"/>
                <w:szCs w:val="18"/>
              </w:rPr>
            </w:pPr>
            <w:r>
              <w:rPr>
                <w:rFonts w:hint="eastAsia"/>
                <w:bCs/>
                <w:sz w:val="20"/>
                <w:szCs w:val="18"/>
              </w:rPr>
              <w:t>3.945</w:t>
            </w:r>
          </w:p>
        </w:tc>
        <w:tc>
          <w:tcPr>
            <w:tcW w:w="578" w:type="dxa"/>
            <w:vAlign w:val="center"/>
          </w:tcPr>
          <w:p w14:paraId="106115E9">
            <w:pPr>
              <w:autoSpaceDE w:val="0"/>
              <w:autoSpaceDN w:val="0"/>
              <w:adjustRightInd w:val="0"/>
              <w:snapToGrid w:val="0"/>
              <w:spacing w:line="240" w:lineRule="auto"/>
              <w:ind w:firstLine="0" w:firstLineChars="0"/>
              <w:jc w:val="center"/>
              <w:rPr>
                <w:bCs/>
                <w:sz w:val="20"/>
                <w:szCs w:val="18"/>
              </w:rPr>
            </w:pPr>
            <w:r>
              <w:rPr>
                <w:rFonts w:hint="eastAsia"/>
                <w:bCs/>
                <w:sz w:val="20"/>
                <w:szCs w:val="18"/>
              </w:rPr>
              <w:t>4.81</w:t>
            </w:r>
          </w:p>
        </w:tc>
        <w:tc>
          <w:tcPr>
            <w:tcW w:w="517" w:type="dxa"/>
            <w:vAlign w:val="center"/>
          </w:tcPr>
          <w:p w14:paraId="168C5310">
            <w:pPr>
              <w:autoSpaceDE w:val="0"/>
              <w:autoSpaceDN w:val="0"/>
              <w:adjustRightInd w:val="0"/>
              <w:snapToGrid w:val="0"/>
              <w:spacing w:line="240" w:lineRule="auto"/>
              <w:ind w:firstLine="0" w:firstLineChars="0"/>
              <w:jc w:val="center"/>
              <w:rPr>
                <w:bCs/>
                <w:sz w:val="20"/>
                <w:szCs w:val="18"/>
              </w:rPr>
            </w:pPr>
            <w:r>
              <w:rPr>
                <w:rFonts w:hint="eastAsia"/>
                <w:bCs/>
                <w:sz w:val="20"/>
                <w:szCs w:val="18"/>
              </w:rPr>
              <w:t>3.395</w:t>
            </w:r>
          </w:p>
        </w:tc>
        <w:tc>
          <w:tcPr>
            <w:tcW w:w="375" w:type="dxa"/>
            <w:vAlign w:val="center"/>
          </w:tcPr>
          <w:p w14:paraId="4CBF5F35">
            <w:pPr>
              <w:autoSpaceDE w:val="0"/>
              <w:autoSpaceDN w:val="0"/>
              <w:adjustRightInd w:val="0"/>
              <w:snapToGrid w:val="0"/>
              <w:spacing w:line="240" w:lineRule="auto"/>
              <w:ind w:firstLine="0" w:firstLineChars="0"/>
              <w:jc w:val="center"/>
              <w:rPr>
                <w:bCs/>
                <w:sz w:val="20"/>
                <w:szCs w:val="18"/>
              </w:rPr>
            </w:pPr>
            <w:r>
              <w:rPr>
                <w:rFonts w:hint="eastAsia"/>
                <w:bCs/>
                <w:sz w:val="20"/>
                <w:szCs w:val="18"/>
              </w:rPr>
              <w:t>3.14</w:t>
            </w:r>
          </w:p>
        </w:tc>
        <w:tc>
          <w:tcPr>
            <w:tcW w:w="550" w:type="dxa"/>
            <w:vAlign w:val="center"/>
          </w:tcPr>
          <w:p w14:paraId="24CFB286">
            <w:pPr>
              <w:autoSpaceDE w:val="0"/>
              <w:autoSpaceDN w:val="0"/>
              <w:adjustRightInd w:val="0"/>
              <w:snapToGrid w:val="0"/>
              <w:spacing w:line="240" w:lineRule="auto"/>
              <w:ind w:firstLine="0" w:firstLineChars="0"/>
              <w:jc w:val="center"/>
              <w:rPr>
                <w:bCs/>
                <w:sz w:val="20"/>
                <w:szCs w:val="18"/>
              </w:rPr>
            </w:pPr>
            <w:r>
              <w:rPr>
                <w:rFonts w:hint="eastAsia"/>
                <w:bCs/>
                <w:sz w:val="20"/>
                <w:szCs w:val="18"/>
              </w:rPr>
              <w:t>6.55</w:t>
            </w:r>
          </w:p>
        </w:tc>
        <w:tc>
          <w:tcPr>
            <w:tcW w:w="477" w:type="dxa"/>
            <w:vAlign w:val="center"/>
          </w:tcPr>
          <w:p w14:paraId="52F31805">
            <w:pPr>
              <w:autoSpaceDE w:val="0"/>
              <w:autoSpaceDN w:val="0"/>
              <w:adjustRightInd w:val="0"/>
              <w:snapToGrid w:val="0"/>
              <w:spacing w:line="240" w:lineRule="auto"/>
              <w:ind w:firstLine="0" w:firstLineChars="0"/>
              <w:jc w:val="center"/>
              <w:rPr>
                <w:bCs/>
                <w:sz w:val="20"/>
                <w:szCs w:val="18"/>
              </w:rPr>
            </w:pPr>
            <w:r>
              <w:rPr>
                <w:rFonts w:hint="eastAsia"/>
                <w:bCs/>
                <w:sz w:val="20"/>
                <w:szCs w:val="18"/>
              </w:rPr>
              <w:t>19.3</w:t>
            </w:r>
          </w:p>
        </w:tc>
        <w:tc>
          <w:tcPr>
            <w:tcW w:w="505" w:type="dxa"/>
            <w:vAlign w:val="center"/>
          </w:tcPr>
          <w:p w14:paraId="44B1482F">
            <w:pPr>
              <w:autoSpaceDE w:val="0"/>
              <w:autoSpaceDN w:val="0"/>
              <w:adjustRightInd w:val="0"/>
              <w:snapToGrid w:val="0"/>
              <w:spacing w:line="240" w:lineRule="auto"/>
              <w:ind w:firstLine="0" w:firstLineChars="0"/>
              <w:jc w:val="center"/>
              <w:rPr>
                <w:bCs/>
                <w:sz w:val="20"/>
                <w:szCs w:val="18"/>
              </w:rPr>
            </w:pPr>
            <w:r>
              <w:rPr>
                <w:rFonts w:hint="eastAsia"/>
                <w:bCs/>
                <w:sz w:val="20"/>
                <w:szCs w:val="18"/>
              </w:rPr>
              <w:t>10.965</w:t>
            </w:r>
          </w:p>
        </w:tc>
        <w:tc>
          <w:tcPr>
            <w:tcW w:w="454" w:type="dxa"/>
            <w:vAlign w:val="center"/>
          </w:tcPr>
          <w:p w14:paraId="5421A866">
            <w:pPr>
              <w:autoSpaceDE w:val="0"/>
              <w:autoSpaceDN w:val="0"/>
              <w:adjustRightInd w:val="0"/>
              <w:snapToGrid w:val="0"/>
              <w:spacing w:line="240" w:lineRule="auto"/>
              <w:ind w:firstLine="0" w:firstLineChars="0"/>
              <w:jc w:val="center"/>
              <w:rPr>
                <w:bCs/>
                <w:sz w:val="20"/>
                <w:szCs w:val="18"/>
              </w:rPr>
            </w:pPr>
            <w:r>
              <w:rPr>
                <w:rFonts w:hint="eastAsia"/>
                <w:bCs/>
                <w:sz w:val="20"/>
                <w:szCs w:val="18"/>
              </w:rPr>
              <w:t>5.53</w:t>
            </w:r>
          </w:p>
        </w:tc>
      </w:tr>
    </w:tbl>
    <w:p w14:paraId="09B51DDB">
      <w:pPr>
        <w:adjustRightInd w:val="0"/>
        <w:snapToGrid w:val="0"/>
        <w:spacing w:line="240" w:lineRule="auto"/>
        <w:ind w:firstLine="0" w:firstLineChars="0"/>
        <w:jc w:val="center"/>
        <w:rPr>
          <w:sz w:val="18"/>
          <w:szCs w:val="18"/>
        </w:rPr>
      </w:pPr>
    </w:p>
    <w:p w14:paraId="70D996A7">
      <w:pPr>
        <w:adjustRightInd w:val="0"/>
        <w:snapToGrid w:val="0"/>
        <w:spacing w:line="240" w:lineRule="auto"/>
        <w:ind w:firstLine="0" w:firstLineChars="0"/>
        <w:jc w:val="center"/>
        <w:rPr>
          <w:szCs w:val="24"/>
        </w:rPr>
      </w:pPr>
    </w:p>
    <w:p w14:paraId="1F3734B9">
      <w:pPr>
        <w:pStyle w:val="49"/>
        <w:spacing w:before="163" w:after="163"/>
        <w:rPr>
          <w:sz w:val="28"/>
          <w:szCs w:val="20"/>
        </w:rPr>
      </w:pPr>
      <w:r>
        <w:t xml:space="preserve">图5.1-2   </w:t>
      </w:r>
      <w:r>
        <w:rPr>
          <w:rFonts w:hint="eastAsia"/>
        </w:rPr>
        <w:t>克拉玛依</w:t>
      </w:r>
      <w:r>
        <w:t>近20年风向玫瑰图</w:t>
      </w:r>
    </w:p>
    <w:p w14:paraId="22797288">
      <w:pPr>
        <w:ind w:firstLine="540" w:firstLineChars="225"/>
        <w:rPr>
          <w:bCs/>
          <w:snapToGrid w:val="0"/>
          <w:kern w:val="0"/>
          <w:szCs w:val="24"/>
        </w:rPr>
      </w:pPr>
      <w:r>
        <w:rPr>
          <w:bCs/>
          <w:snapToGrid w:val="0"/>
          <w:kern w:val="0"/>
          <w:szCs w:val="24"/>
        </w:rPr>
        <w:t>各月风向频率见表5.1-6和图5.1-4：</w:t>
      </w:r>
    </w:p>
    <w:p w14:paraId="77ED8851">
      <w:pPr>
        <w:pStyle w:val="47"/>
        <w:spacing w:before="65"/>
      </w:pPr>
      <w:r>
        <w:t xml:space="preserve">表5.1-6   </w:t>
      </w:r>
      <w:r>
        <w:rPr>
          <w:rFonts w:hint="eastAsia"/>
        </w:rPr>
        <w:t>克拉玛依</w:t>
      </w:r>
      <w:r>
        <w:t>气象站月风向频率统计       单位：%</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68"/>
        <w:gridCol w:w="306"/>
        <w:gridCol w:w="489"/>
        <w:gridCol w:w="327"/>
        <w:gridCol w:w="465"/>
        <w:gridCol w:w="414"/>
        <w:gridCol w:w="428"/>
        <w:gridCol w:w="307"/>
        <w:gridCol w:w="416"/>
        <w:gridCol w:w="307"/>
        <w:gridCol w:w="491"/>
        <w:gridCol w:w="421"/>
        <w:gridCol w:w="578"/>
        <w:gridCol w:w="421"/>
        <w:gridCol w:w="615"/>
        <w:gridCol w:w="402"/>
        <w:gridCol w:w="566"/>
        <w:gridCol w:w="409"/>
      </w:tblGrid>
      <w:tr w14:paraId="1967D7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1209D6A4">
            <w:pPr>
              <w:pStyle w:val="90"/>
            </w:pPr>
            <w:r>
              <w:t>风向频率月份</w:t>
            </w:r>
          </w:p>
        </w:tc>
        <w:tc>
          <w:tcPr>
            <w:tcW w:w="176" w:type="pct"/>
            <w:vAlign w:val="center"/>
          </w:tcPr>
          <w:p w14:paraId="1E374F41">
            <w:pPr>
              <w:pStyle w:val="90"/>
            </w:pPr>
            <w:r>
              <w:t>N</w:t>
            </w:r>
          </w:p>
        </w:tc>
        <w:tc>
          <w:tcPr>
            <w:tcW w:w="280" w:type="pct"/>
            <w:vAlign w:val="center"/>
          </w:tcPr>
          <w:p w14:paraId="17F0C251">
            <w:pPr>
              <w:pStyle w:val="90"/>
            </w:pPr>
            <w:r>
              <w:t>NNE</w:t>
            </w:r>
          </w:p>
        </w:tc>
        <w:tc>
          <w:tcPr>
            <w:tcW w:w="187" w:type="pct"/>
            <w:vAlign w:val="center"/>
          </w:tcPr>
          <w:p w14:paraId="7BBA7F4A">
            <w:pPr>
              <w:pStyle w:val="90"/>
            </w:pPr>
            <w:r>
              <w:t>NE</w:t>
            </w:r>
          </w:p>
        </w:tc>
        <w:tc>
          <w:tcPr>
            <w:tcW w:w="266" w:type="pct"/>
            <w:vAlign w:val="center"/>
          </w:tcPr>
          <w:p w14:paraId="68E446EF">
            <w:pPr>
              <w:pStyle w:val="90"/>
            </w:pPr>
            <w:r>
              <w:t>ENE</w:t>
            </w:r>
          </w:p>
        </w:tc>
        <w:tc>
          <w:tcPr>
            <w:tcW w:w="237" w:type="pct"/>
            <w:vAlign w:val="center"/>
          </w:tcPr>
          <w:p w14:paraId="3F222F63">
            <w:pPr>
              <w:pStyle w:val="90"/>
            </w:pPr>
            <w:r>
              <w:t>E</w:t>
            </w:r>
          </w:p>
        </w:tc>
        <w:tc>
          <w:tcPr>
            <w:tcW w:w="245" w:type="pct"/>
            <w:vAlign w:val="center"/>
          </w:tcPr>
          <w:p w14:paraId="4994C11B">
            <w:pPr>
              <w:pStyle w:val="90"/>
            </w:pPr>
            <w:r>
              <w:t>ESE</w:t>
            </w:r>
          </w:p>
        </w:tc>
        <w:tc>
          <w:tcPr>
            <w:tcW w:w="176" w:type="pct"/>
            <w:vAlign w:val="center"/>
          </w:tcPr>
          <w:p w14:paraId="79B92931">
            <w:pPr>
              <w:pStyle w:val="90"/>
            </w:pPr>
            <w:r>
              <w:t>SE</w:t>
            </w:r>
          </w:p>
        </w:tc>
        <w:tc>
          <w:tcPr>
            <w:tcW w:w="238" w:type="pct"/>
            <w:vAlign w:val="center"/>
          </w:tcPr>
          <w:p w14:paraId="410783F1">
            <w:pPr>
              <w:pStyle w:val="90"/>
            </w:pPr>
            <w:r>
              <w:t>SSE</w:t>
            </w:r>
          </w:p>
        </w:tc>
        <w:tc>
          <w:tcPr>
            <w:tcW w:w="176" w:type="pct"/>
            <w:vAlign w:val="center"/>
          </w:tcPr>
          <w:p w14:paraId="5278C01E">
            <w:pPr>
              <w:pStyle w:val="90"/>
            </w:pPr>
            <w:r>
              <w:t>S</w:t>
            </w:r>
          </w:p>
        </w:tc>
        <w:tc>
          <w:tcPr>
            <w:tcW w:w="281" w:type="pct"/>
            <w:vAlign w:val="center"/>
          </w:tcPr>
          <w:p w14:paraId="389B2BDD">
            <w:pPr>
              <w:pStyle w:val="90"/>
            </w:pPr>
            <w:r>
              <w:t>SSW</w:t>
            </w:r>
          </w:p>
        </w:tc>
        <w:tc>
          <w:tcPr>
            <w:tcW w:w="241" w:type="pct"/>
            <w:vAlign w:val="center"/>
          </w:tcPr>
          <w:p w14:paraId="3F0E32E7">
            <w:pPr>
              <w:pStyle w:val="90"/>
            </w:pPr>
            <w:r>
              <w:t>SW</w:t>
            </w:r>
          </w:p>
        </w:tc>
        <w:tc>
          <w:tcPr>
            <w:tcW w:w="331" w:type="pct"/>
            <w:vAlign w:val="center"/>
          </w:tcPr>
          <w:p w14:paraId="65581F25">
            <w:pPr>
              <w:pStyle w:val="90"/>
            </w:pPr>
            <w:r>
              <w:t>WSW</w:t>
            </w:r>
          </w:p>
        </w:tc>
        <w:tc>
          <w:tcPr>
            <w:tcW w:w="241" w:type="pct"/>
            <w:vAlign w:val="center"/>
          </w:tcPr>
          <w:p w14:paraId="6CDF9C21">
            <w:pPr>
              <w:pStyle w:val="90"/>
            </w:pPr>
            <w:r>
              <w:t>W</w:t>
            </w:r>
          </w:p>
        </w:tc>
        <w:tc>
          <w:tcPr>
            <w:tcW w:w="352" w:type="pct"/>
            <w:vAlign w:val="center"/>
          </w:tcPr>
          <w:p w14:paraId="4CA98D64">
            <w:pPr>
              <w:pStyle w:val="90"/>
            </w:pPr>
            <w:r>
              <w:t>WNW</w:t>
            </w:r>
          </w:p>
        </w:tc>
        <w:tc>
          <w:tcPr>
            <w:tcW w:w="230" w:type="pct"/>
            <w:vAlign w:val="center"/>
          </w:tcPr>
          <w:p w14:paraId="5450E235">
            <w:pPr>
              <w:pStyle w:val="90"/>
            </w:pPr>
            <w:r>
              <w:t>NW</w:t>
            </w:r>
          </w:p>
        </w:tc>
        <w:tc>
          <w:tcPr>
            <w:tcW w:w="324" w:type="pct"/>
            <w:vAlign w:val="center"/>
          </w:tcPr>
          <w:p w14:paraId="73EFAEC2">
            <w:pPr>
              <w:pStyle w:val="90"/>
            </w:pPr>
            <w:r>
              <w:t>NNW</w:t>
            </w:r>
          </w:p>
        </w:tc>
        <w:tc>
          <w:tcPr>
            <w:tcW w:w="234" w:type="pct"/>
            <w:vAlign w:val="center"/>
          </w:tcPr>
          <w:p w14:paraId="2DE233E6">
            <w:pPr>
              <w:pStyle w:val="90"/>
            </w:pPr>
            <w:r>
              <w:t>C</w:t>
            </w:r>
          </w:p>
        </w:tc>
      </w:tr>
      <w:tr w14:paraId="54F9E90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69E3359C">
            <w:pPr>
              <w:pStyle w:val="90"/>
            </w:pPr>
            <w:r>
              <w:t>01</w:t>
            </w:r>
          </w:p>
        </w:tc>
        <w:tc>
          <w:tcPr>
            <w:tcW w:w="176" w:type="pct"/>
            <w:vAlign w:val="center"/>
          </w:tcPr>
          <w:p w14:paraId="20063663">
            <w:pPr>
              <w:pStyle w:val="90"/>
            </w:pPr>
            <w:r>
              <w:rPr>
                <w:rFonts w:hint="eastAsia"/>
              </w:rPr>
              <w:t>5.3</w:t>
            </w:r>
          </w:p>
        </w:tc>
        <w:tc>
          <w:tcPr>
            <w:tcW w:w="280" w:type="pct"/>
            <w:vAlign w:val="center"/>
          </w:tcPr>
          <w:p w14:paraId="4B17AD7E">
            <w:pPr>
              <w:pStyle w:val="90"/>
            </w:pPr>
            <w:r>
              <w:rPr>
                <w:rFonts w:hint="eastAsia"/>
              </w:rPr>
              <w:t>3.8</w:t>
            </w:r>
          </w:p>
        </w:tc>
        <w:tc>
          <w:tcPr>
            <w:tcW w:w="187" w:type="pct"/>
            <w:vAlign w:val="center"/>
          </w:tcPr>
          <w:p w14:paraId="27CF1244">
            <w:pPr>
              <w:pStyle w:val="90"/>
            </w:pPr>
            <w:r>
              <w:rPr>
                <w:rFonts w:hint="eastAsia"/>
              </w:rPr>
              <w:t>5.2</w:t>
            </w:r>
          </w:p>
        </w:tc>
        <w:tc>
          <w:tcPr>
            <w:tcW w:w="266" w:type="pct"/>
            <w:vAlign w:val="center"/>
          </w:tcPr>
          <w:p w14:paraId="467DE7A7">
            <w:pPr>
              <w:pStyle w:val="90"/>
            </w:pPr>
            <w:r>
              <w:rPr>
                <w:rFonts w:hint="eastAsia"/>
              </w:rPr>
              <w:t>10.1</w:t>
            </w:r>
          </w:p>
        </w:tc>
        <w:tc>
          <w:tcPr>
            <w:tcW w:w="237" w:type="pct"/>
            <w:vAlign w:val="center"/>
          </w:tcPr>
          <w:p w14:paraId="14B689C0">
            <w:pPr>
              <w:pStyle w:val="90"/>
            </w:pPr>
            <w:r>
              <w:rPr>
                <w:rFonts w:hint="eastAsia"/>
              </w:rPr>
              <w:t>5.8</w:t>
            </w:r>
          </w:p>
        </w:tc>
        <w:tc>
          <w:tcPr>
            <w:tcW w:w="245" w:type="pct"/>
            <w:vAlign w:val="center"/>
          </w:tcPr>
          <w:p w14:paraId="0A985823">
            <w:pPr>
              <w:pStyle w:val="90"/>
            </w:pPr>
            <w:r>
              <w:rPr>
                <w:rFonts w:hint="eastAsia"/>
              </w:rPr>
              <w:t>1.3</w:t>
            </w:r>
          </w:p>
        </w:tc>
        <w:tc>
          <w:tcPr>
            <w:tcW w:w="176" w:type="pct"/>
            <w:vAlign w:val="center"/>
          </w:tcPr>
          <w:p w14:paraId="68D3E0C5">
            <w:pPr>
              <w:pStyle w:val="90"/>
            </w:pPr>
            <w:r>
              <w:rPr>
                <w:rFonts w:hint="eastAsia"/>
              </w:rPr>
              <w:t>1.1</w:t>
            </w:r>
          </w:p>
        </w:tc>
        <w:tc>
          <w:tcPr>
            <w:tcW w:w="238" w:type="pct"/>
            <w:vAlign w:val="center"/>
          </w:tcPr>
          <w:p w14:paraId="67CDDD35">
            <w:pPr>
              <w:pStyle w:val="90"/>
            </w:pPr>
            <w:r>
              <w:rPr>
                <w:rFonts w:hint="eastAsia"/>
              </w:rPr>
              <w:t>0.9</w:t>
            </w:r>
          </w:p>
        </w:tc>
        <w:tc>
          <w:tcPr>
            <w:tcW w:w="176" w:type="pct"/>
            <w:vAlign w:val="center"/>
          </w:tcPr>
          <w:p w14:paraId="7F7B7DBB">
            <w:pPr>
              <w:pStyle w:val="90"/>
            </w:pPr>
            <w:r>
              <w:rPr>
                <w:rFonts w:hint="eastAsia"/>
              </w:rPr>
              <w:t>1.4</w:t>
            </w:r>
          </w:p>
        </w:tc>
        <w:tc>
          <w:tcPr>
            <w:tcW w:w="281" w:type="pct"/>
            <w:vAlign w:val="center"/>
          </w:tcPr>
          <w:p w14:paraId="612B507E">
            <w:pPr>
              <w:pStyle w:val="90"/>
            </w:pPr>
            <w:r>
              <w:rPr>
                <w:rFonts w:hint="eastAsia"/>
              </w:rPr>
              <w:t>4.6</w:t>
            </w:r>
          </w:p>
        </w:tc>
        <w:tc>
          <w:tcPr>
            <w:tcW w:w="241" w:type="pct"/>
            <w:vAlign w:val="center"/>
          </w:tcPr>
          <w:p w14:paraId="66EB28B7">
            <w:pPr>
              <w:pStyle w:val="90"/>
            </w:pPr>
            <w:r>
              <w:rPr>
                <w:rFonts w:hint="eastAsia"/>
              </w:rPr>
              <w:t>12.2</w:t>
            </w:r>
          </w:p>
        </w:tc>
        <w:tc>
          <w:tcPr>
            <w:tcW w:w="331" w:type="pct"/>
            <w:vAlign w:val="center"/>
          </w:tcPr>
          <w:p w14:paraId="1FB1235D">
            <w:pPr>
              <w:pStyle w:val="90"/>
            </w:pPr>
            <w:r>
              <w:rPr>
                <w:rFonts w:hint="eastAsia"/>
              </w:rPr>
              <w:t>8.4</w:t>
            </w:r>
          </w:p>
        </w:tc>
        <w:tc>
          <w:tcPr>
            <w:tcW w:w="241" w:type="pct"/>
            <w:vAlign w:val="center"/>
          </w:tcPr>
          <w:p w14:paraId="56E6942D">
            <w:pPr>
              <w:pStyle w:val="90"/>
            </w:pPr>
            <w:r>
              <w:rPr>
                <w:rFonts w:hint="eastAsia"/>
              </w:rPr>
              <w:t>3.6</w:t>
            </w:r>
          </w:p>
        </w:tc>
        <w:tc>
          <w:tcPr>
            <w:tcW w:w="352" w:type="pct"/>
            <w:vAlign w:val="center"/>
          </w:tcPr>
          <w:p w14:paraId="33C78040">
            <w:pPr>
              <w:pStyle w:val="90"/>
            </w:pPr>
            <w:r>
              <w:rPr>
                <w:rFonts w:hint="eastAsia"/>
              </w:rPr>
              <w:t>3.5</w:t>
            </w:r>
          </w:p>
        </w:tc>
        <w:tc>
          <w:tcPr>
            <w:tcW w:w="230" w:type="pct"/>
            <w:vAlign w:val="center"/>
          </w:tcPr>
          <w:p w14:paraId="6E6C791E">
            <w:pPr>
              <w:pStyle w:val="90"/>
            </w:pPr>
            <w:r>
              <w:rPr>
                <w:rFonts w:hint="eastAsia"/>
              </w:rPr>
              <w:t>8.2</w:t>
            </w:r>
          </w:p>
        </w:tc>
        <w:tc>
          <w:tcPr>
            <w:tcW w:w="324" w:type="pct"/>
            <w:vAlign w:val="center"/>
          </w:tcPr>
          <w:p w14:paraId="29BB9B8E">
            <w:pPr>
              <w:pStyle w:val="90"/>
            </w:pPr>
            <w:r>
              <w:rPr>
                <w:rFonts w:hint="eastAsia"/>
              </w:rPr>
              <w:t>11.6</w:t>
            </w:r>
          </w:p>
        </w:tc>
        <w:tc>
          <w:tcPr>
            <w:tcW w:w="234" w:type="pct"/>
            <w:vAlign w:val="center"/>
          </w:tcPr>
          <w:p w14:paraId="10BA42F7">
            <w:pPr>
              <w:pStyle w:val="90"/>
            </w:pPr>
            <w:r>
              <w:rPr>
                <w:rFonts w:hint="eastAsia"/>
              </w:rPr>
              <w:t>14.3</w:t>
            </w:r>
          </w:p>
        </w:tc>
      </w:tr>
      <w:tr w14:paraId="6CEBCE3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1EF9EC99">
            <w:pPr>
              <w:pStyle w:val="90"/>
            </w:pPr>
            <w:r>
              <w:t>02</w:t>
            </w:r>
          </w:p>
        </w:tc>
        <w:tc>
          <w:tcPr>
            <w:tcW w:w="176" w:type="pct"/>
            <w:vAlign w:val="center"/>
          </w:tcPr>
          <w:p w14:paraId="63D9EBA7">
            <w:pPr>
              <w:pStyle w:val="90"/>
            </w:pPr>
            <w:r>
              <w:rPr>
                <w:rFonts w:hint="eastAsia"/>
              </w:rPr>
              <w:t>4.5</w:t>
            </w:r>
          </w:p>
        </w:tc>
        <w:tc>
          <w:tcPr>
            <w:tcW w:w="280" w:type="pct"/>
            <w:vAlign w:val="center"/>
          </w:tcPr>
          <w:p w14:paraId="234A52DA">
            <w:pPr>
              <w:pStyle w:val="90"/>
            </w:pPr>
            <w:r>
              <w:rPr>
                <w:rFonts w:hint="eastAsia"/>
              </w:rPr>
              <w:t>3.6</w:t>
            </w:r>
          </w:p>
        </w:tc>
        <w:tc>
          <w:tcPr>
            <w:tcW w:w="187" w:type="pct"/>
            <w:vAlign w:val="center"/>
          </w:tcPr>
          <w:p w14:paraId="53C8EA5B">
            <w:pPr>
              <w:pStyle w:val="90"/>
            </w:pPr>
            <w:r>
              <w:rPr>
                <w:rFonts w:hint="eastAsia"/>
              </w:rPr>
              <w:t>5.3</w:t>
            </w:r>
          </w:p>
        </w:tc>
        <w:tc>
          <w:tcPr>
            <w:tcW w:w="266" w:type="pct"/>
            <w:vAlign w:val="center"/>
          </w:tcPr>
          <w:p w14:paraId="1E4528FB">
            <w:pPr>
              <w:pStyle w:val="90"/>
            </w:pPr>
            <w:r>
              <w:rPr>
                <w:rFonts w:hint="eastAsia"/>
              </w:rPr>
              <w:t>12.7</w:t>
            </w:r>
          </w:p>
        </w:tc>
        <w:tc>
          <w:tcPr>
            <w:tcW w:w="237" w:type="pct"/>
            <w:vAlign w:val="center"/>
          </w:tcPr>
          <w:p w14:paraId="6A19AA9E">
            <w:pPr>
              <w:pStyle w:val="90"/>
            </w:pPr>
            <w:r>
              <w:rPr>
                <w:rFonts w:hint="eastAsia"/>
              </w:rPr>
              <w:t>7.3</w:t>
            </w:r>
          </w:p>
        </w:tc>
        <w:tc>
          <w:tcPr>
            <w:tcW w:w="245" w:type="pct"/>
            <w:vAlign w:val="center"/>
          </w:tcPr>
          <w:p w14:paraId="3188FC7F">
            <w:pPr>
              <w:pStyle w:val="90"/>
            </w:pPr>
            <w:r>
              <w:rPr>
                <w:rFonts w:hint="eastAsia"/>
              </w:rPr>
              <w:t>1.9</w:t>
            </w:r>
          </w:p>
        </w:tc>
        <w:tc>
          <w:tcPr>
            <w:tcW w:w="176" w:type="pct"/>
            <w:vAlign w:val="center"/>
          </w:tcPr>
          <w:p w14:paraId="47AB0B5E">
            <w:pPr>
              <w:pStyle w:val="90"/>
            </w:pPr>
            <w:r>
              <w:rPr>
                <w:rFonts w:hint="eastAsia"/>
              </w:rPr>
              <w:t>1.4</w:t>
            </w:r>
          </w:p>
        </w:tc>
        <w:tc>
          <w:tcPr>
            <w:tcW w:w="238" w:type="pct"/>
            <w:vAlign w:val="center"/>
          </w:tcPr>
          <w:p w14:paraId="4B074064">
            <w:pPr>
              <w:pStyle w:val="90"/>
            </w:pPr>
            <w:r>
              <w:rPr>
                <w:rFonts w:hint="eastAsia"/>
              </w:rPr>
              <w:t>1.2</w:t>
            </w:r>
          </w:p>
        </w:tc>
        <w:tc>
          <w:tcPr>
            <w:tcW w:w="176" w:type="pct"/>
            <w:vAlign w:val="center"/>
          </w:tcPr>
          <w:p w14:paraId="4F160E83">
            <w:pPr>
              <w:pStyle w:val="90"/>
            </w:pPr>
            <w:r>
              <w:rPr>
                <w:rFonts w:hint="eastAsia"/>
              </w:rPr>
              <w:t>2.4</w:t>
            </w:r>
          </w:p>
        </w:tc>
        <w:tc>
          <w:tcPr>
            <w:tcW w:w="281" w:type="pct"/>
            <w:vAlign w:val="center"/>
          </w:tcPr>
          <w:p w14:paraId="4C9BDE12">
            <w:pPr>
              <w:pStyle w:val="90"/>
            </w:pPr>
            <w:r>
              <w:rPr>
                <w:rFonts w:hint="eastAsia"/>
              </w:rPr>
              <w:t>5.2</w:t>
            </w:r>
          </w:p>
        </w:tc>
        <w:tc>
          <w:tcPr>
            <w:tcW w:w="241" w:type="pct"/>
            <w:vAlign w:val="center"/>
          </w:tcPr>
          <w:p w14:paraId="451D3996">
            <w:pPr>
              <w:pStyle w:val="90"/>
            </w:pPr>
            <w:r>
              <w:rPr>
                <w:rFonts w:hint="eastAsia"/>
              </w:rPr>
              <w:t>11.7</w:t>
            </w:r>
          </w:p>
        </w:tc>
        <w:tc>
          <w:tcPr>
            <w:tcW w:w="331" w:type="pct"/>
            <w:vAlign w:val="center"/>
          </w:tcPr>
          <w:p w14:paraId="2CB38D18">
            <w:pPr>
              <w:pStyle w:val="90"/>
            </w:pPr>
            <w:r>
              <w:rPr>
                <w:rFonts w:hint="eastAsia"/>
              </w:rPr>
              <w:t>6</w:t>
            </w:r>
          </w:p>
        </w:tc>
        <w:tc>
          <w:tcPr>
            <w:tcW w:w="241" w:type="pct"/>
            <w:vAlign w:val="center"/>
          </w:tcPr>
          <w:p w14:paraId="2F1BD979">
            <w:pPr>
              <w:pStyle w:val="90"/>
            </w:pPr>
            <w:r>
              <w:rPr>
                <w:rFonts w:hint="eastAsia"/>
              </w:rPr>
              <w:t>3.3</w:t>
            </w:r>
          </w:p>
        </w:tc>
        <w:tc>
          <w:tcPr>
            <w:tcW w:w="352" w:type="pct"/>
            <w:vAlign w:val="center"/>
          </w:tcPr>
          <w:p w14:paraId="3DAE4134">
            <w:pPr>
              <w:pStyle w:val="90"/>
            </w:pPr>
            <w:r>
              <w:rPr>
                <w:rFonts w:hint="eastAsia"/>
              </w:rPr>
              <w:t>3.8</w:t>
            </w:r>
          </w:p>
        </w:tc>
        <w:tc>
          <w:tcPr>
            <w:tcW w:w="230" w:type="pct"/>
            <w:vAlign w:val="center"/>
          </w:tcPr>
          <w:p w14:paraId="7EAE74AB">
            <w:pPr>
              <w:pStyle w:val="90"/>
            </w:pPr>
            <w:r>
              <w:rPr>
                <w:rFonts w:hint="eastAsia"/>
              </w:rPr>
              <w:t>8.7</w:t>
            </w:r>
          </w:p>
        </w:tc>
        <w:tc>
          <w:tcPr>
            <w:tcW w:w="324" w:type="pct"/>
            <w:vAlign w:val="center"/>
          </w:tcPr>
          <w:p w14:paraId="6BF47F30">
            <w:pPr>
              <w:pStyle w:val="90"/>
            </w:pPr>
            <w:r>
              <w:rPr>
                <w:rFonts w:hint="eastAsia"/>
              </w:rPr>
              <w:t>10.1</w:t>
            </w:r>
          </w:p>
        </w:tc>
        <w:tc>
          <w:tcPr>
            <w:tcW w:w="234" w:type="pct"/>
            <w:vAlign w:val="center"/>
          </w:tcPr>
          <w:p w14:paraId="3FD124D2">
            <w:pPr>
              <w:pStyle w:val="90"/>
            </w:pPr>
            <w:r>
              <w:rPr>
                <w:rFonts w:hint="eastAsia"/>
              </w:rPr>
              <w:t>11.8</w:t>
            </w:r>
          </w:p>
        </w:tc>
      </w:tr>
      <w:tr w14:paraId="2AE458D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262E2723">
            <w:pPr>
              <w:pStyle w:val="90"/>
            </w:pPr>
            <w:r>
              <w:t>03</w:t>
            </w:r>
          </w:p>
        </w:tc>
        <w:tc>
          <w:tcPr>
            <w:tcW w:w="176" w:type="pct"/>
            <w:vAlign w:val="center"/>
          </w:tcPr>
          <w:p w14:paraId="6DC3CB55">
            <w:pPr>
              <w:pStyle w:val="90"/>
            </w:pPr>
            <w:r>
              <w:rPr>
                <w:rFonts w:hint="eastAsia"/>
              </w:rPr>
              <w:t>3.7</w:t>
            </w:r>
          </w:p>
        </w:tc>
        <w:tc>
          <w:tcPr>
            <w:tcW w:w="280" w:type="pct"/>
            <w:vAlign w:val="center"/>
          </w:tcPr>
          <w:p w14:paraId="668F114F">
            <w:pPr>
              <w:pStyle w:val="90"/>
            </w:pPr>
            <w:r>
              <w:rPr>
                <w:rFonts w:hint="eastAsia"/>
              </w:rPr>
              <w:t>3.1</w:t>
            </w:r>
          </w:p>
        </w:tc>
        <w:tc>
          <w:tcPr>
            <w:tcW w:w="187" w:type="pct"/>
            <w:vAlign w:val="center"/>
          </w:tcPr>
          <w:p w14:paraId="52969A4F">
            <w:pPr>
              <w:pStyle w:val="90"/>
            </w:pPr>
            <w:r>
              <w:rPr>
                <w:rFonts w:hint="eastAsia"/>
              </w:rPr>
              <w:t>6</w:t>
            </w:r>
          </w:p>
        </w:tc>
        <w:tc>
          <w:tcPr>
            <w:tcW w:w="266" w:type="pct"/>
            <w:vAlign w:val="center"/>
          </w:tcPr>
          <w:p w14:paraId="6DD8BBDA">
            <w:pPr>
              <w:pStyle w:val="90"/>
            </w:pPr>
            <w:r>
              <w:rPr>
                <w:rFonts w:hint="eastAsia"/>
              </w:rPr>
              <w:t>12.9</w:t>
            </w:r>
          </w:p>
        </w:tc>
        <w:tc>
          <w:tcPr>
            <w:tcW w:w="237" w:type="pct"/>
            <w:vAlign w:val="center"/>
          </w:tcPr>
          <w:p w14:paraId="60EFF653">
            <w:pPr>
              <w:pStyle w:val="90"/>
            </w:pPr>
            <w:r>
              <w:rPr>
                <w:rFonts w:hint="eastAsia"/>
              </w:rPr>
              <w:t>8.1</w:t>
            </w:r>
          </w:p>
        </w:tc>
        <w:tc>
          <w:tcPr>
            <w:tcW w:w="245" w:type="pct"/>
            <w:vAlign w:val="center"/>
          </w:tcPr>
          <w:p w14:paraId="318BDF80">
            <w:pPr>
              <w:pStyle w:val="90"/>
            </w:pPr>
            <w:r>
              <w:rPr>
                <w:rFonts w:hint="eastAsia"/>
              </w:rPr>
              <w:t>4.5</w:t>
            </w:r>
          </w:p>
        </w:tc>
        <w:tc>
          <w:tcPr>
            <w:tcW w:w="176" w:type="pct"/>
            <w:vAlign w:val="center"/>
          </w:tcPr>
          <w:p w14:paraId="273D4D9E">
            <w:pPr>
              <w:pStyle w:val="90"/>
            </w:pPr>
            <w:r>
              <w:rPr>
                <w:rFonts w:hint="eastAsia"/>
              </w:rPr>
              <w:t>3.3</w:t>
            </w:r>
          </w:p>
        </w:tc>
        <w:tc>
          <w:tcPr>
            <w:tcW w:w="238" w:type="pct"/>
            <w:vAlign w:val="center"/>
          </w:tcPr>
          <w:p w14:paraId="388F1DCB">
            <w:pPr>
              <w:pStyle w:val="90"/>
            </w:pPr>
            <w:r>
              <w:rPr>
                <w:rFonts w:hint="eastAsia"/>
              </w:rPr>
              <w:t>2.9</w:t>
            </w:r>
          </w:p>
        </w:tc>
        <w:tc>
          <w:tcPr>
            <w:tcW w:w="176" w:type="pct"/>
            <w:vAlign w:val="center"/>
          </w:tcPr>
          <w:p w14:paraId="1E4D7AE0">
            <w:pPr>
              <w:pStyle w:val="90"/>
            </w:pPr>
            <w:r>
              <w:rPr>
                <w:rFonts w:hint="eastAsia"/>
              </w:rPr>
              <w:t>5.9</w:t>
            </w:r>
          </w:p>
        </w:tc>
        <w:tc>
          <w:tcPr>
            <w:tcW w:w="281" w:type="pct"/>
            <w:vAlign w:val="center"/>
          </w:tcPr>
          <w:p w14:paraId="22258B06">
            <w:pPr>
              <w:pStyle w:val="90"/>
            </w:pPr>
            <w:r>
              <w:rPr>
                <w:rFonts w:hint="eastAsia"/>
              </w:rPr>
              <w:t>6.5</w:t>
            </w:r>
          </w:p>
        </w:tc>
        <w:tc>
          <w:tcPr>
            <w:tcW w:w="241" w:type="pct"/>
            <w:vAlign w:val="center"/>
          </w:tcPr>
          <w:p w14:paraId="7FF507D6">
            <w:pPr>
              <w:pStyle w:val="90"/>
            </w:pPr>
            <w:r>
              <w:rPr>
                <w:rFonts w:hint="eastAsia"/>
              </w:rPr>
              <w:t>4.2</w:t>
            </w:r>
          </w:p>
        </w:tc>
        <w:tc>
          <w:tcPr>
            <w:tcW w:w="331" w:type="pct"/>
            <w:vAlign w:val="center"/>
          </w:tcPr>
          <w:p w14:paraId="299C7303">
            <w:pPr>
              <w:pStyle w:val="90"/>
            </w:pPr>
            <w:r>
              <w:rPr>
                <w:rFonts w:hint="eastAsia"/>
              </w:rPr>
              <w:t>2.5</w:t>
            </w:r>
          </w:p>
        </w:tc>
        <w:tc>
          <w:tcPr>
            <w:tcW w:w="241" w:type="pct"/>
            <w:vAlign w:val="center"/>
          </w:tcPr>
          <w:p w14:paraId="7AC34E39">
            <w:pPr>
              <w:pStyle w:val="90"/>
            </w:pPr>
            <w:r>
              <w:rPr>
                <w:rFonts w:hint="eastAsia"/>
              </w:rPr>
              <w:t>2.5</w:t>
            </w:r>
          </w:p>
        </w:tc>
        <w:tc>
          <w:tcPr>
            <w:tcW w:w="352" w:type="pct"/>
            <w:vAlign w:val="center"/>
          </w:tcPr>
          <w:p w14:paraId="48782F21">
            <w:pPr>
              <w:pStyle w:val="90"/>
            </w:pPr>
            <w:r>
              <w:rPr>
                <w:rFonts w:hint="eastAsia"/>
              </w:rPr>
              <w:t>5.2</w:t>
            </w:r>
          </w:p>
        </w:tc>
        <w:tc>
          <w:tcPr>
            <w:tcW w:w="230" w:type="pct"/>
            <w:vAlign w:val="center"/>
          </w:tcPr>
          <w:p w14:paraId="26FA1DC5">
            <w:pPr>
              <w:pStyle w:val="90"/>
            </w:pPr>
            <w:r>
              <w:rPr>
                <w:rFonts w:hint="eastAsia"/>
              </w:rPr>
              <w:t>13.7</w:t>
            </w:r>
          </w:p>
        </w:tc>
        <w:tc>
          <w:tcPr>
            <w:tcW w:w="324" w:type="pct"/>
            <w:vAlign w:val="center"/>
          </w:tcPr>
          <w:p w14:paraId="1E7A3148">
            <w:pPr>
              <w:pStyle w:val="90"/>
            </w:pPr>
            <w:r>
              <w:rPr>
                <w:rFonts w:hint="eastAsia"/>
              </w:rPr>
              <w:t>9.6</w:t>
            </w:r>
          </w:p>
        </w:tc>
        <w:tc>
          <w:tcPr>
            <w:tcW w:w="234" w:type="pct"/>
            <w:vAlign w:val="center"/>
          </w:tcPr>
          <w:p w14:paraId="4E0F1E3C">
            <w:pPr>
              <w:pStyle w:val="90"/>
            </w:pPr>
            <w:r>
              <w:rPr>
                <w:rFonts w:hint="eastAsia"/>
              </w:rPr>
              <w:t>6.1</w:t>
            </w:r>
          </w:p>
        </w:tc>
      </w:tr>
      <w:tr w14:paraId="3F37A8B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65BFC8FE">
            <w:pPr>
              <w:pStyle w:val="90"/>
            </w:pPr>
            <w:r>
              <w:t>04</w:t>
            </w:r>
          </w:p>
        </w:tc>
        <w:tc>
          <w:tcPr>
            <w:tcW w:w="176" w:type="pct"/>
            <w:vAlign w:val="center"/>
          </w:tcPr>
          <w:p w14:paraId="1B4D5472">
            <w:pPr>
              <w:pStyle w:val="90"/>
            </w:pPr>
            <w:r>
              <w:rPr>
                <w:rFonts w:hint="eastAsia"/>
              </w:rPr>
              <w:t>2.9</w:t>
            </w:r>
          </w:p>
        </w:tc>
        <w:tc>
          <w:tcPr>
            <w:tcW w:w="280" w:type="pct"/>
            <w:vAlign w:val="center"/>
          </w:tcPr>
          <w:p w14:paraId="69084B82">
            <w:pPr>
              <w:pStyle w:val="90"/>
            </w:pPr>
            <w:r>
              <w:rPr>
                <w:rFonts w:hint="eastAsia"/>
              </w:rPr>
              <w:t>3</w:t>
            </w:r>
          </w:p>
        </w:tc>
        <w:tc>
          <w:tcPr>
            <w:tcW w:w="187" w:type="pct"/>
            <w:vAlign w:val="center"/>
          </w:tcPr>
          <w:p w14:paraId="5E71CD5E">
            <w:pPr>
              <w:pStyle w:val="90"/>
            </w:pPr>
            <w:r>
              <w:rPr>
                <w:rFonts w:hint="eastAsia"/>
              </w:rPr>
              <w:t>4.2</w:t>
            </w:r>
          </w:p>
        </w:tc>
        <w:tc>
          <w:tcPr>
            <w:tcW w:w="266" w:type="pct"/>
            <w:vAlign w:val="center"/>
          </w:tcPr>
          <w:p w14:paraId="03B48557">
            <w:pPr>
              <w:pStyle w:val="90"/>
            </w:pPr>
            <w:r>
              <w:rPr>
                <w:rFonts w:hint="eastAsia"/>
              </w:rPr>
              <w:t>7</w:t>
            </w:r>
          </w:p>
        </w:tc>
        <w:tc>
          <w:tcPr>
            <w:tcW w:w="237" w:type="pct"/>
            <w:vAlign w:val="center"/>
          </w:tcPr>
          <w:p w14:paraId="65C1FD7B">
            <w:pPr>
              <w:pStyle w:val="90"/>
            </w:pPr>
            <w:r>
              <w:rPr>
                <w:rFonts w:hint="eastAsia"/>
              </w:rPr>
              <w:t>6.8</w:t>
            </w:r>
          </w:p>
        </w:tc>
        <w:tc>
          <w:tcPr>
            <w:tcW w:w="245" w:type="pct"/>
            <w:vAlign w:val="center"/>
          </w:tcPr>
          <w:p w14:paraId="707BDA8F">
            <w:pPr>
              <w:pStyle w:val="90"/>
            </w:pPr>
            <w:r>
              <w:rPr>
                <w:rFonts w:hint="eastAsia"/>
              </w:rPr>
              <w:t>4.3</w:t>
            </w:r>
          </w:p>
        </w:tc>
        <w:tc>
          <w:tcPr>
            <w:tcW w:w="176" w:type="pct"/>
            <w:vAlign w:val="center"/>
          </w:tcPr>
          <w:p w14:paraId="0A466F93">
            <w:pPr>
              <w:pStyle w:val="90"/>
            </w:pPr>
            <w:r>
              <w:rPr>
                <w:rFonts w:hint="eastAsia"/>
              </w:rPr>
              <w:t>4.2</w:t>
            </w:r>
          </w:p>
        </w:tc>
        <w:tc>
          <w:tcPr>
            <w:tcW w:w="238" w:type="pct"/>
            <w:vAlign w:val="center"/>
          </w:tcPr>
          <w:p w14:paraId="1578FAF3">
            <w:pPr>
              <w:pStyle w:val="90"/>
            </w:pPr>
            <w:r>
              <w:rPr>
                <w:rFonts w:hint="eastAsia"/>
              </w:rPr>
              <w:t>4.5</w:t>
            </w:r>
          </w:p>
        </w:tc>
        <w:tc>
          <w:tcPr>
            <w:tcW w:w="176" w:type="pct"/>
            <w:vAlign w:val="center"/>
          </w:tcPr>
          <w:p w14:paraId="307520F6">
            <w:pPr>
              <w:pStyle w:val="90"/>
            </w:pPr>
            <w:r>
              <w:rPr>
                <w:rFonts w:hint="eastAsia"/>
              </w:rPr>
              <w:t>5.6</w:t>
            </w:r>
          </w:p>
        </w:tc>
        <w:tc>
          <w:tcPr>
            <w:tcW w:w="281" w:type="pct"/>
            <w:vAlign w:val="center"/>
          </w:tcPr>
          <w:p w14:paraId="2B4817E7">
            <w:pPr>
              <w:pStyle w:val="90"/>
            </w:pPr>
            <w:r>
              <w:rPr>
                <w:rFonts w:hint="eastAsia"/>
              </w:rPr>
              <w:t>4.5</w:t>
            </w:r>
          </w:p>
        </w:tc>
        <w:tc>
          <w:tcPr>
            <w:tcW w:w="241" w:type="pct"/>
            <w:vAlign w:val="center"/>
          </w:tcPr>
          <w:p w14:paraId="22A859A6">
            <w:pPr>
              <w:pStyle w:val="90"/>
            </w:pPr>
            <w:r>
              <w:rPr>
                <w:rFonts w:hint="eastAsia"/>
              </w:rPr>
              <w:t>2.4</w:t>
            </w:r>
          </w:p>
        </w:tc>
        <w:tc>
          <w:tcPr>
            <w:tcW w:w="331" w:type="pct"/>
            <w:vAlign w:val="center"/>
          </w:tcPr>
          <w:p w14:paraId="0CB21F6E">
            <w:pPr>
              <w:pStyle w:val="90"/>
            </w:pPr>
            <w:r>
              <w:rPr>
                <w:rFonts w:hint="eastAsia"/>
              </w:rPr>
              <w:t>2.3</w:t>
            </w:r>
          </w:p>
        </w:tc>
        <w:tc>
          <w:tcPr>
            <w:tcW w:w="241" w:type="pct"/>
            <w:vAlign w:val="center"/>
          </w:tcPr>
          <w:p w14:paraId="5E4799E1">
            <w:pPr>
              <w:pStyle w:val="90"/>
            </w:pPr>
            <w:r>
              <w:rPr>
                <w:rFonts w:hint="eastAsia"/>
              </w:rPr>
              <w:t>3.2</w:t>
            </w:r>
          </w:p>
        </w:tc>
        <w:tc>
          <w:tcPr>
            <w:tcW w:w="352" w:type="pct"/>
            <w:vAlign w:val="center"/>
          </w:tcPr>
          <w:p w14:paraId="30CC52FC">
            <w:pPr>
              <w:pStyle w:val="90"/>
            </w:pPr>
            <w:r>
              <w:rPr>
                <w:rFonts w:hint="eastAsia"/>
              </w:rPr>
              <w:t>9.4</w:t>
            </w:r>
          </w:p>
        </w:tc>
        <w:tc>
          <w:tcPr>
            <w:tcW w:w="230" w:type="pct"/>
            <w:vAlign w:val="center"/>
          </w:tcPr>
          <w:p w14:paraId="6F13E511">
            <w:pPr>
              <w:pStyle w:val="90"/>
            </w:pPr>
            <w:r>
              <w:rPr>
                <w:rFonts w:hint="eastAsia"/>
              </w:rPr>
              <w:t>25</w:t>
            </w:r>
          </w:p>
        </w:tc>
        <w:tc>
          <w:tcPr>
            <w:tcW w:w="324" w:type="pct"/>
            <w:vAlign w:val="center"/>
          </w:tcPr>
          <w:p w14:paraId="580F4158">
            <w:pPr>
              <w:pStyle w:val="90"/>
            </w:pPr>
            <w:r>
              <w:rPr>
                <w:rFonts w:hint="eastAsia"/>
              </w:rPr>
              <w:t>10.7</w:t>
            </w:r>
          </w:p>
        </w:tc>
        <w:tc>
          <w:tcPr>
            <w:tcW w:w="234" w:type="pct"/>
            <w:vAlign w:val="center"/>
          </w:tcPr>
          <w:p w14:paraId="4393694C">
            <w:pPr>
              <w:pStyle w:val="90"/>
            </w:pPr>
            <w:r>
              <w:rPr>
                <w:rFonts w:hint="eastAsia"/>
              </w:rPr>
              <w:t>2.8</w:t>
            </w:r>
          </w:p>
        </w:tc>
      </w:tr>
      <w:tr w14:paraId="01F4D57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4D2B3952">
            <w:pPr>
              <w:pStyle w:val="90"/>
            </w:pPr>
            <w:r>
              <w:t>05</w:t>
            </w:r>
          </w:p>
        </w:tc>
        <w:tc>
          <w:tcPr>
            <w:tcW w:w="176" w:type="pct"/>
            <w:vAlign w:val="center"/>
          </w:tcPr>
          <w:p w14:paraId="46BDEFB3">
            <w:pPr>
              <w:pStyle w:val="90"/>
            </w:pPr>
            <w:r>
              <w:rPr>
                <w:rFonts w:hint="eastAsia"/>
              </w:rPr>
              <w:t>3.4</w:t>
            </w:r>
          </w:p>
        </w:tc>
        <w:tc>
          <w:tcPr>
            <w:tcW w:w="280" w:type="pct"/>
            <w:vAlign w:val="center"/>
          </w:tcPr>
          <w:p w14:paraId="3257B666">
            <w:pPr>
              <w:pStyle w:val="90"/>
            </w:pPr>
            <w:r>
              <w:rPr>
                <w:rFonts w:hint="eastAsia"/>
              </w:rPr>
              <w:t>2.7</w:t>
            </w:r>
          </w:p>
        </w:tc>
        <w:tc>
          <w:tcPr>
            <w:tcW w:w="187" w:type="pct"/>
            <w:vAlign w:val="center"/>
          </w:tcPr>
          <w:p w14:paraId="393E4222">
            <w:pPr>
              <w:pStyle w:val="90"/>
            </w:pPr>
            <w:r>
              <w:rPr>
                <w:rFonts w:hint="eastAsia"/>
              </w:rPr>
              <w:t>3.6</w:t>
            </w:r>
          </w:p>
        </w:tc>
        <w:tc>
          <w:tcPr>
            <w:tcW w:w="266" w:type="pct"/>
            <w:vAlign w:val="center"/>
          </w:tcPr>
          <w:p w14:paraId="37CCF906">
            <w:pPr>
              <w:pStyle w:val="90"/>
            </w:pPr>
            <w:r>
              <w:rPr>
                <w:rFonts w:hint="eastAsia"/>
              </w:rPr>
              <w:t>3.9</w:t>
            </w:r>
          </w:p>
        </w:tc>
        <w:tc>
          <w:tcPr>
            <w:tcW w:w="237" w:type="pct"/>
            <w:vAlign w:val="center"/>
          </w:tcPr>
          <w:p w14:paraId="5516D6FB">
            <w:pPr>
              <w:pStyle w:val="90"/>
            </w:pPr>
            <w:r>
              <w:rPr>
                <w:rFonts w:hint="eastAsia"/>
              </w:rPr>
              <w:t>4.2</w:t>
            </w:r>
          </w:p>
        </w:tc>
        <w:tc>
          <w:tcPr>
            <w:tcW w:w="245" w:type="pct"/>
            <w:vAlign w:val="center"/>
          </w:tcPr>
          <w:p w14:paraId="17291BAE">
            <w:pPr>
              <w:pStyle w:val="90"/>
            </w:pPr>
            <w:r>
              <w:rPr>
                <w:rFonts w:hint="eastAsia"/>
              </w:rPr>
              <w:t>4.7</w:t>
            </w:r>
          </w:p>
        </w:tc>
        <w:tc>
          <w:tcPr>
            <w:tcW w:w="176" w:type="pct"/>
            <w:vAlign w:val="center"/>
          </w:tcPr>
          <w:p w14:paraId="17AEC30C">
            <w:pPr>
              <w:pStyle w:val="90"/>
            </w:pPr>
            <w:r>
              <w:rPr>
                <w:rFonts w:hint="eastAsia"/>
              </w:rPr>
              <w:t>4.7</w:t>
            </w:r>
          </w:p>
        </w:tc>
        <w:tc>
          <w:tcPr>
            <w:tcW w:w="238" w:type="pct"/>
            <w:vAlign w:val="center"/>
          </w:tcPr>
          <w:p w14:paraId="525616E0">
            <w:pPr>
              <w:pStyle w:val="90"/>
            </w:pPr>
            <w:r>
              <w:rPr>
                <w:rFonts w:hint="eastAsia"/>
              </w:rPr>
              <w:t>4.9</w:t>
            </w:r>
          </w:p>
        </w:tc>
        <w:tc>
          <w:tcPr>
            <w:tcW w:w="176" w:type="pct"/>
            <w:vAlign w:val="center"/>
          </w:tcPr>
          <w:p w14:paraId="138AD902">
            <w:pPr>
              <w:pStyle w:val="90"/>
            </w:pPr>
            <w:r>
              <w:rPr>
                <w:rFonts w:hint="eastAsia"/>
              </w:rPr>
              <w:t>6.1</w:t>
            </w:r>
          </w:p>
        </w:tc>
        <w:tc>
          <w:tcPr>
            <w:tcW w:w="281" w:type="pct"/>
            <w:vAlign w:val="center"/>
          </w:tcPr>
          <w:p w14:paraId="13BECAE2">
            <w:pPr>
              <w:pStyle w:val="90"/>
            </w:pPr>
            <w:r>
              <w:rPr>
                <w:rFonts w:hint="eastAsia"/>
              </w:rPr>
              <w:t>4</w:t>
            </w:r>
          </w:p>
        </w:tc>
        <w:tc>
          <w:tcPr>
            <w:tcW w:w="241" w:type="pct"/>
            <w:vAlign w:val="center"/>
          </w:tcPr>
          <w:p w14:paraId="506EBF76">
            <w:pPr>
              <w:pStyle w:val="90"/>
            </w:pPr>
            <w:r>
              <w:rPr>
                <w:rFonts w:hint="eastAsia"/>
              </w:rPr>
              <w:t>2.5</w:t>
            </w:r>
          </w:p>
        </w:tc>
        <w:tc>
          <w:tcPr>
            <w:tcW w:w="331" w:type="pct"/>
            <w:vAlign w:val="center"/>
          </w:tcPr>
          <w:p w14:paraId="27AD91D7">
            <w:pPr>
              <w:pStyle w:val="90"/>
            </w:pPr>
            <w:r>
              <w:rPr>
                <w:rFonts w:hint="eastAsia"/>
              </w:rPr>
              <w:t>2.2</w:t>
            </w:r>
          </w:p>
        </w:tc>
        <w:tc>
          <w:tcPr>
            <w:tcW w:w="241" w:type="pct"/>
            <w:vAlign w:val="center"/>
          </w:tcPr>
          <w:p w14:paraId="369282DC">
            <w:pPr>
              <w:pStyle w:val="90"/>
            </w:pPr>
            <w:r>
              <w:rPr>
                <w:rFonts w:hint="eastAsia"/>
              </w:rPr>
              <w:t>3.5</w:t>
            </w:r>
          </w:p>
        </w:tc>
        <w:tc>
          <w:tcPr>
            <w:tcW w:w="352" w:type="pct"/>
            <w:vAlign w:val="center"/>
          </w:tcPr>
          <w:p w14:paraId="52F973DA">
            <w:pPr>
              <w:pStyle w:val="90"/>
            </w:pPr>
            <w:r>
              <w:rPr>
                <w:rFonts w:hint="eastAsia"/>
              </w:rPr>
              <w:t>12.1</w:t>
            </w:r>
          </w:p>
        </w:tc>
        <w:tc>
          <w:tcPr>
            <w:tcW w:w="230" w:type="pct"/>
            <w:vAlign w:val="center"/>
          </w:tcPr>
          <w:p w14:paraId="7E46E639">
            <w:pPr>
              <w:pStyle w:val="90"/>
            </w:pPr>
            <w:r>
              <w:rPr>
                <w:rFonts w:hint="eastAsia"/>
              </w:rPr>
              <w:t>27.4</w:t>
            </w:r>
          </w:p>
        </w:tc>
        <w:tc>
          <w:tcPr>
            <w:tcW w:w="324" w:type="pct"/>
            <w:vAlign w:val="center"/>
          </w:tcPr>
          <w:p w14:paraId="11A524FD">
            <w:pPr>
              <w:pStyle w:val="90"/>
            </w:pPr>
            <w:r>
              <w:rPr>
                <w:rFonts w:hint="eastAsia"/>
              </w:rPr>
              <w:t>9.5</w:t>
            </w:r>
          </w:p>
        </w:tc>
        <w:tc>
          <w:tcPr>
            <w:tcW w:w="234" w:type="pct"/>
            <w:vAlign w:val="center"/>
          </w:tcPr>
          <w:p w14:paraId="2778BE6D">
            <w:pPr>
              <w:pStyle w:val="90"/>
            </w:pPr>
            <w:r>
              <w:rPr>
                <w:rFonts w:hint="eastAsia"/>
              </w:rPr>
              <w:t>1.8</w:t>
            </w:r>
          </w:p>
        </w:tc>
      </w:tr>
      <w:tr w14:paraId="2EE424C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25EF04AD">
            <w:pPr>
              <w:pStyle w:val="90"/>
            </w:pPr>
            <w:r>
              <w:t>06</w:t>
            </w:r>
          </w:p>
        </w:tc>
        <w:tc>
          <w:tcPr>
            <w:tcW w:w="176" w:type="pct"/>
            <w:vAlign w:val="center"/>
          </w:tcPr>
          <w:p w14:paraId="4470E13B">
            <w:pPr>
              <w:pStyle w:val="90"/>
            </w:pPr>
            <w:r>
              <w:rPr>
                <w:rFonts w:hint="eastAsia"/>
              </w:rPr>
              <w:t>3</w:t>
            </w:r>
          </w:p>
        </w:tc>
        <w:tc>
          <w:tcPr>
            <w:tcW w:w="280" w:type="pct"/>
            <w:vAlign w:val="center"/>
          </w:tcPr>
          <w:p w14:paraId="7BC32A04">
            <w:pPr>
              <w:pStyle w:val="90"/>
            </w:pPr>
            <w:r>
              <w:rPr>
                <w:rFonts w:hint="eastAsia"/>
              </w:rPr>
              <w:t>2.8</w:t>
            </w:r>
          </w:p>
        </w:tc>
        <w:tc>
          <w:tcPr>
            <w:tcW w:w="187" w:type="pct"/>
            <w:vAlign w:val="center"/>
          </w:tcPr>
          <w:p w14:paraId="5463F6E5">
            <w:pPr>
              <w:pStyle w:val="90"/>
            </w:pPr>
            <w:r>
              <w:rPr>
                <w:rFonts w:hint="eastAsia"/>
              </w:rPr>
              <w:t>3.3</w:t>
            </w:r>
          </w:p>
        </w:tc>
        <w:tc>
          <w:tcPr>
            <w:tcW w:w="266" w:type="pct"/>
            <w:vAlign w:val="center"/>
          </w:tcPr>
          <w:p w14:paraId="53F5A2DA">
            <w:pPr>
              <w:pStyle w:val="90"/>
            </w:pPr>
            <w:r>
              <w:rPr>
                <w:rFonts w:hint="eastAsia"/>
              </w:rPr>
              <w:t>3.4</w:t>
            </w:r>
          </w:p>
        </w:tc>
        <w:tc>
          <w:tcPr>
            <w:tcW w:w="237" w:type="pct"/>
            <w:vAlign w:val="center"/>
          </w:tcPr>
          <w:p w14:paraId="4C93B7A5">
            <w:pPr>
              <w:pStyle w:val="90"/>
            </w:pPr>
            <w:r>
              <w:rPr>
                <w:rFonts w:hint="eastAsia"/>
              </w:rPr>
              <w:t>3.9</w:t>
            </w:r>
          </w:p>
        </w:tc>
        <w:tc>
          <w:tcPr>
            <w:tcW w:w="245" w:type="pct"/>
            <w:vAlign w:val="center"/>
          </w:tcPr>
          <w:p w14:paraId="6E97FDB6">
            <w:pPr>
              <w:pStyle w:val="90"/>
            </w:pPr>
            <w:r>
              <w:rPr>
                <w:rFonts w:hint="eastAsia"/>
              </w:rPr>
              <w:t>4.3</w:t>
            </w:r>
          </w:p>
        </w:tc>
        <w:tc>
          <w:tcPr>
            <w:tcW w:w="176" w:type="pct"/>
            <w:vAlign w:val="center"/>
          </w:tcPr>
          <w:p w14:paraId="20503A1F">
            <w:pPr>
              <w:pStyle w:val="90"/>
            </w:pPr>
            <w:r>
              <w:rPr>
                <w:rFonts w:hint="eastAsia"/>
              </w:rPr>
              <w:t>5.6</w:t>
            </w:r>
          </w:p>
        </w:tc>
        <w:tc>
          <w:tcPr>
            <w:tcW w:w="238" w:type="pct"/>
            <w:vAlign w:val="center"/>
          </w:tcPr>
          <w:p w14:paraId="1C192C5B">
            <w:pPr>
              <w:pStyle w:val="90"/>
            </w:pPr>
            <w:r>
              <w:rPr>
                <w:rFonts w:hint="eastAsia"/>
              </w:rPr>
              <w:t>6.3</w:t>
            </w:r>
          </w:p>
        </w:tc>
        <w:tc>
          <w:tcPr>
            <w:tcW w:w="176" w:type="pct"/>
            <w:vAlign w:val="center"/>
          </w:tcPr>
          <w:p w14:paraId="142B62FC">
            <w:pPr>
              <w:pStyle w:val="90"/>
            </w:pPr>
            <w:r>
              <w:rPr>
                <w:rFonts w:hint="eastAsia"/>
              </w:rPr>
              <w:t>6</w:t>
            </w:r>
          </w:p>
        </w:tc>
        <w:tc>
          <w:tcPr>
            <w:tcW w:w="281" w:type="pct"/>
            <w:vAlign w:val="center"/>
          </w:tcPr>
          <w:p w14:paraId="3BC84442">
            <w:pPr>
              <w:pStyle w:val="90"/>
            </w:pPr>
            <w:r>
              <w:rPr>
                <w:rFonts w:hint="eastAsia"/>
              </w:rPr>
              <w:t>3.4</w:t>
            </w:r>
          </w:p>
        </w:tc>
        <w:tc>
          <w:tcPr>
            <w:tcW w:w="241" w:type="pct"/>
            <w:vAlign w:val="center"/>
          </w:tcPr>
          <w:p w14:paraId="1398E494">
            <w:pPr>
              <w:pStyle w:val="90"/>
            </w:pPr>
            <w:r>
              <w:rPr>
                <w:rFonts w:hint="eastAsia"/>
              </w:rPr>
              <w:t>2.6</w:t>
            </w:r>
          </w:p>
        </w:tc>
        <w:tc>
          <w:tcPr>
            <w:tcW w:w="331" w:type="pct"/>
            <w:vAlign w:val="center"/>
          </w:tcPr>
          <w:p w14:paraId="7AFE7B79">
            <w:pPr>
              <w:pStyle w:val="90"/>
            </w:pPr>
            <w:r>
              <w:rPr>
                <w:rFonts w:hint="eastAsia"/>
              </w:rPr>
              <w:t>2.3</w:t>
            </w:r>
          </w:p>
        </w:tc>
        <w:tc>
          <w:tcPr>
            <w:tcW w:w="241" w:type="pct"/>
            <w:vAlign w:val="center"/>
          </w:tcPr>
          <w:p w14:paraId="72865E2B">
            <w:pPr>
              <w:pStyle w:val="90"/>
            </w:pPr>
            <w:r>
              <w:rPr>
                <w:rFonts w:hint="eastAsia"/>
              </w:rPr>
              <w:t>3.7</w:t>
            </w:r>
          </w:p>
        </w:tc>
        <w:tc>
          <w:tcPr>
            <w:tcW w:w="352" w:type="pct"/>
            <w:vAlign w:val="center"/>
          </w:tcPr>
          <w:p w14:paraId="69960999">
            <w:pPr>
              <w:pStyle w:val="90"/>
            </w:pPr>
            <w:r>
              <w:rPr>
                <w:rFonts w:hint="eastAsia"/>
              </w:rPr>
              <w:t>10.4</w:t>
            </w:r>
          </w:p>
        </w:tc>
        <w:tc>
          <w:tcPr>
            <w:tcW w:w="230" w:type="pct"/>
            <w:vAlign w:val="center"/>
          </w:tcPr>
          <w:p w14:paraId="1DCBECC9">
            <w:pPr>
              <w:pStyle w:val="90"/>
            </w:pPr>
            <w:r>
              <w:rPr>
                <w:rFonts w:hint="eastAsia"/>
              </w:rPr>
              <w:t>28.8</w:t>
            </w:r>
          </w:p>
        </w:tc>
        <w:tc>
          <w:tcPr>
            <w:tcW w:w="324" w:type="pct"/>
            <w:vAlign w:val="center"/>
          </w:tcPr>
          <w:p w14:paraId="2B2026C1">
            <w:pPr>
              <w:pStyle w:val="90"/>
            </w:pPr>
            <w:r>
              <w:rPr>
                <w:rFonts w:hint="eastAsia"/>
              </w:rPr>
              <w:t>10.1</w:t>
            </w:r>
          </w:p>
        </w:tc>
        <w:tc>
          <w:tcPr>
            <w:tcW w:w="234" w:type="pct"/>
            <w:vAlign w:val="center"/>
          </w:tcPr>
          <w:p w14:paraId="2E6B8B66">
            <w:pPr>
              <w:pStyle w:val="90"/>
            </w:pPr>
            <w:r>
              <w:rPr>
                <w:rFonts w:hint="eastAsia"/>
              </w:rPr>
              <w:t>3.1</w:t>
            </w:r>
          </w:p>
        </w:tc>
      </w:tr>
      <w:tr w14:paraId="45D425C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457A5235">
            <w:pPr>
              <w:pStyle w:val="90"/>
            </w:pPr>
            <w:r>
              <w:t>07</w:t>
            </w:r>
          </w:p>
        </w:tc>
        <w:tc>
          <w:tcPr>
            <w:tcW w:w="176" w:type="pct"/>
            <w:vAlign w:val="center"/>
          </w:tcPr>
          <w:p w14:paraId="7D7033C6">
            <w:pPr>
              <w:pStyle w:val="90"/>
            </w:pPr>
            <w:r>
              <w:rPr>
                <w:rFonts w:hint="eastAsia"/>
              </w:rPr>
              <w:t>3.6</w:t>
            </w:r>
          </w:p>
        </w:tc>
        <w:tc>
          <w:tcPr>
            <w:tcW w:w="280" w:type="pct"/>
            <w:vAlign w:val="center"/>
          </w:tcPr>
          <w:p w14:paraId="6EBDE27E">
            <w:pPr>
              <w:pStyle w:val="90"/>
            </w:pPr>
            <w:r>
              <w:rPr>
                <w:rFonts w:hint="eastAsia"/>
              </w:rPr>
              <w:t>2.6</w:t>
            </w:r>
          </w:p>
        </w:tc>
        <w:tc>
          <w:tcPr>
            <w:tcW w:w="187" w:type="pct"/>
            <w:vAlign w:val="center"/>
          </w:tcPr>
          <w:p w14:paraId="1D3F026A">
            <w:pPr>
              <w:pStyle w:val="90"/>
            </w:pPr>
            <w:r>
              <w:rPr>
                <w:rFonts w:hint="eastAsia"/>
              </w:rPr>
              <w:t>3.5</w:t>
            </w:r>
          </w:p>
        </w:tc>
        <w:tc>
          <w:tcPr>
            <w:tcW w:w="266" w:type="pct"/>
            <w:vAlign w:val="center"/>
          </w:tcPr>
          <w:p w14:paraId="0FA72B00">
            <w:pPr>
              <w:pStyle w:val="90"/>
            </w:pPr>
            <w:r>
              <w:rPr>
                <w:rFonts w:hint="eastAsia"/>
              </w:rPr>
              <w:t>2.8</w:t>
            </w:r>
          </w:p>
        </w:tc>
        <w:tc>
          <w:tcPr>
            <w:tcW w:w="237" w:type="pct"/>
            <w:vAlign w:val="center"/>
          </w:tcPr>
          <w:p w14:paraId="450F8390">
            <w:pPr>
              <w:pStyle w:val="90"/>
            </w:pPr>
            <w:r>
              <w:rPr>
                <w:rFonts w:hint="eastAsia"/>
              </w:rPr>
              <w:t>3.9</w:t>
            </w:r>
          </w:p>
        </w:tc>
        <w:tc>
          <w:tcPr>
            <w:tcW w:w="245" w:type="pct"/>
            <w:vAlign w:val="center"/>
          </w:tcPr>
          <w:p w14:paraId="33BA6919">
            <w:pPr>
              <w:pStyle w:val="90"/>
            </w:pPr>
            <w:r>
              <w:rPr>
                <w:rFonts w:hint="eastAsia"/>
              </w:rPr>
              <w:t>5</w:t>
            </w:r>
          </w:p>
        </w:tc>
        <w:tc>
          <w:tcPr>
            <w:tcW w:w="176" w:type="pct"/>
            <w:vAlign w:val="center"/>
          </w:tcPr>
          <w:p w14:paraId="257590DB">
            <w:pPr>
              <w:pStyle w:val="90"/>
            </w:pPr>
            <w:r>
              <w:rPr>
                <w:rFonts w:hint="eastAsia"/>
              </w:rPr>
              <w:t>7.3</w:t>
            </w:r>
          </w:p>
        </w:tc>
        <w:tc>
          <w:tcPr>
            <w:tcW w:w="238" w:type="pct"/>
            <w:vAlign w:val="center"/>
          </w:tcPr>
          <w:p w14:paraId="7DCE7611">
            <w:pPr>
              <w:pStyle w:val="90"/>
            </w:pPr>
            <w:r>
              <w:rPr>
                <w:rFonts w:hint="eastAsia"/>
              </w:rPr>
              <w:t>7.2</w:t>
            </w:r>
          </w:p>
        </w:tc>
        <w:tc>
          <w:tcPr>
            <w:tcW w:w="176" w:type="pct"/>
            <w:vAlign w:val="center"/>
          </w:tcPr>
          <w:p w14:paraId="1A4631ED">
            <w:pPr>
              <w:pStyle w:val="90"/>
            </w:pPr>
            <w:r>
              <w:rPr>
                <w:rFonts w:hint="eastAsia"/>
              </w:rPr>
              <w:t>5.8</w:t>
            </w:r>
          </w:p>
        </w:tc>
        <w:tc>
          <w:tcPr>
            <w:tcW w:w="281" w:type="pct"/>
            <w:vAlign w:val="center"/>
          </w:tcPr>
          <w:p w14:paraId="6DA5D1EA">
            <w:pPr>
              <w:pStyle w:val="90"/>
            </w:pPr>
            <w:r>
              <w:rPr>
                <w:rFonts w:hint="eastAsia"/>
              </w:rPr>
              <w:t>3.4</w:t>
            </w:r>
          </w:p>
        </w:tc>
        <w:tc>
          <w:tcPr>
            <w:tcW w:w="241" w:type="pct"/>
            <w:vAlign w:val="center"/>
          </w:tcPr>
          <w:p w14:paraId="4B769EE8">
            <w:pPr>
              <w:pStyle w:val="90"/>
            </w:pPr>
            <w:r>
              <w:rPr>
                <w:rFonts w:hint="eastAsia"/>
              </w:rPr>
              <w:t>2.7</w:t>
            </w:r>
          </w:p>
        </w:tc>
        <w:tc>
          <w:tcPr>
            <w:tcW w:w="331" w:type="pct"/>
            <w:vAlign w:val="center"/>
          </w:tcPr>
          <w:p w14:paraId="3B418B78">
            <w:pPr>
              <w:pStyle w:val="90"/>
            </w:pPr>
            <w:r>
              <w:rPr>
                <w:rFonts w:hint="eastAsia"/>
              </w:rPr>
              <w:t>2.3</w:t>
            </w:r>
          </w:p>
        </w:tc>
        <w:tc>
          <w:tcPr>
            <w:tcW w:w="241" w:type="pct"/>
            <w:vAlign w:val="center"/>
          </w:tcPr>
          <w:p w14:paraId="00B62720">
            <w:pPr>
              <w:pStyle w:val="90"/>
            </w:pPr>
            <w:r>
              <w:rPr>
                <w:rFonts w:hint="eastAsia"/>
              </w:rPr>
              <w:t>4</w:t>
            </w:r>
          </w:p>
        </w:tc>
        <w:tc>
          <w:tcPr>
            <w:tcW w:w="352" w:type="pct"/>
            <w:vAlign w:val="center"/>
          </w:tcPr>
          <w:p w14:paraId="45CC2D0C">
            <w:pPr>
              <w:pStyle w:val="90"/>
            </w:pPr>
            <w:r>
              <w:rPr>
                <w:rFonts w:hint="eastAsia"/>
              </w:rPr>
              <w:t>8.4</w:t>
            </w:r>
          </w:p>
        </w:tc>
        <w:tc>
          <w:tcPr>
            <w:tcW w:w="230" w:type="pct"/>
            <w:vAlign w:val="center"/>
          </w:tcPr>
          <w:p w14:paraId="15007A53">
            <w:pPr>
              <w:pStyle w:val="90"/>
            </w:pPr>
            <w:r>
              <w:rPr>
                <w:rFonts w:hint="eastAsia"/>
              </w:rPr>
              <w:t>24.9</w:t>
            </w:r>
          </w:p>
        </w:tc>
        <w:tc>
          <w:tcPr>
            <w:tcW w:w="324" w:type="pct"/>
            <w:vAlign w:val="center"/>
          </w:tcPr>
          <w:p w14:paraId="665738F9">
            <w:pPr>
              <w:pStyle w:val="90"/>
            </w:pPr>
            <w:r>
              <w:rPr>
                <w:rFonts w:hint="eastAsia"/>
              </w:rPr>
              <w:t>10.7</w:t>
            </w:r>
          </w:p>
        </w:tc>
        <w:tc>
          <w:tcPr>
            <w:tcW w:w="234" w:type="pct"/>
            <w:vAlign w:val="center"/>
          </w:tcPr>
          <w:p w14:paraId="1B68451E">
            <w:pPr>
              <w:pStyle w:val="90"/>
            </w:pPr>
            <w:r>
              <w:rPr>
                <w:rFonts w:hint="eastAsia"/>
              </w:rPr>
              <w:t>2.4</w:t>
            </w:r>
          </w:p>
        </w:tc>
      </w:tr>
      <w:tr w14:paraId="3528A6B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1057BF0A">
            <w:pPr>
              <w:pStyle w:val="90"/>
            </w:pPr>
            <w:r>
              <w:t>08</w:t>
            </w:r>
          </w:p>
        </w:tc>
        <w:tc>
          <w:tcPr>
            <w:tcW w:w="176" w:type="pct"/>
            <w:vAlign w:val="center"/>
          </w:tcPr>
          <w:p w14:paraId="698A3DD1">
            <w:pPr>
              <w:pStyle w:val="90"/>
            </w:pPr>
            <w:r>
              <w:rPr>
                <w:rFonts w:hint="eastAsia"/>
              </w:rPr>
              <w:t>2.9</w:t>
            </w:r>
          </w:p>
        </w:tc>
        <w:tc>
          <w:tcPr>
            <w:tcW w:w="280" w:type="pct"/>
            <w:vAlign w:val="center"/>
          </w:tcPr>
          <w:p w14:paraId="13117864">
            <w:pPr>
              <w:pStyle w:val="90"/>
            </w:pPr>
            <w:r>
              <w:rPr>
                <w:rFonts w:hint="eastAsia"/>
              </w:rPr>
              <w:t>2.7</w:t>
            </w:r>
          </w:p>
        </w:tc>
        <w:tc>
          <w:tcPr>
            <w:tcW w:w="187" w:type="pct"/>
            <w:vAlign w:val="center"/>
          </w:tcPr>
          <w:p w14:paraId="739DC9C8">
            <w:pPr>
              <w:pStyle w:val="90"/>
            </w:pPr>
            <w:r>
              <w:rPr>
                <w:rFonts w:hint="eastAsia"/>
              </w:rPr>
              <w:t>3.3</w:t>
            </w:r>
          </w:p>
        </w:tc>
        <w:tc>
          <w:tcPr>
            <w:tcW w:w="266" w:type="pct"/>
            <w:vAlign w:val="center"/>
          </w:tcPr>
          <w:p w14:paraId="25C90D30">
            <w:pPr>
              <w:pStyle w:val="90"/>
            </w:pPr>
            <w:r>
              <w:rPr>
                <w:rFonts w:hint="eastAsia"/>
              </w:rPr>
              <w:t>4.2</w:t>
            </w:r>
          </w:p>
        </w:tc>
        <w:tc>
          <w:tcPr>
            <w:tcW w:w="237" w:type="pct"/>
            <w:vAlign w:val="center"/>
          </w:tcPr>
          <w:p w14:paraId="2180BDA6">
            <w:pPr>
              <w:pStyle w:val="90"/>
            </w:pPr>
            <w:r>
              <w:rPr>
                <w:rFonts w:hint="eastAsia"/>
              </w:rPr>
              <w:t>5.3</w:t>
            </w:r>
          </w:p>
        </w:tc>
        <w:tc>
          <w:tcPr>
            <w:tcW w:w="245" w:type="pct"/>
            <w:vAlign w:val="center"/>
          </w:tcPr>
          <w:p w14:paraId="1961C63A">
            <w:pPr>
              <w:pStyle w:val="90"/>
            </w:pPr>
            <w:r>
              <w:rPr>
                <w:rFonts w:hint="eastAsia"/>
              </w:rPr>
              <w:t>6.3</w:t>
            </w:r>
          </w:p>
        </w:tc>
        <w:tc>
          <w:tcPr>
            <w:tcW w:w="176" w:type="pct"/>
            <w:vAlign w:val="center"/>
          </w:tcPr>
          <w:p w14:paraId="59071D5C">
            <w:pPr>
              <w:pStyle w:val="90"/>
            </w:pPr>
            <w:r>
              <w:rPr>
                <w:rFonts w:hint="eastAsia"/>
              </w:rPr>
              <w:t>6.6</w:t>
            </w:r>
          </w:p>
        </w:tc>
        <w:tc>
          <w:tcPr>
            <w:tcW w:w="238" w:type="pct"/>
            <w:vAlign w:val="center"/>
          </w:tcPr>
          <w:p w14:paraId="329419C9">
            <w:pPr>
              <w:pStyle w:val="90"/>
            </w:pPr>
            <w:r>
              <w:rPr>
                <w:rFonts w:hint="eastAsia"/>
              </w:rPr>
              <w:t>6.2</w:t>
            </w:r>
          </w:p>
        </w:tc>
        <w:tc>
          <w:tcPr>
            <w:tcW w:w="176" w:type="pct"/>
            <w:vAlign w:val="center"/>
          </w:tcPr>
          <w:p w14:paraId="41BF6DA6">
            <w:pPr>
              <w:pStyle w:val="90"/>
            </w:pPr>
            <w:r>
              <w:rPr>
                <w:rFonts w:hint="eastAsia"/>
              </w:rPr>
              <w:t>5.6</w:t>
            </w:r>
          </w:p>
        </w:tc>
        <w:tc>
          <w:tcPr>
            <w:tcW w:w="281" w:type="pct"/>
            <w:vAlign w:val="center"/>
          </w:tcPr>
          <w:p w14:paraId="6EA1AE63">
            <w:pPr>
              <w:pStyle w:val="90"/>
            </w:pPr>
            <w:r>
              <w:rPr>
                <w:rFonts w:hint="eastAsia"/>
              </w:rPr>
              <w:t>3.1</w:t>
            </w:r>
          </w:p>
        </w:tc>
        <w:tc>
          <w:tcPr>
            <w:tcW w:w="241" w:type="pct"/>
            <w:vAlign w:val="center"/>
          </w:tcPr>
          <w:p w14:paraId="20D59876">
            <w:pPr>
              <w:pStyle w:val="90"/>
            </w:pPr>
            <w:r>
              <w:rPr>
                <w:rFonts w:hint="eastAsia"/>
              </w:rPr>
              <w:t>2</w:t>
            </w:r>
          </w:p>
        </w:tc>
        <w:tc>
          <w:tcPr>
            <w:tcW w:w="331" w:type="pct"/>
            <w:vAlign w:val="center"/>
          </w:tcPr>
          <w:p w14:paraId="7534ECB7">
            <w:pPr>
              <w:pStyle w:val="90"/>
            </w:pPr>
            <w:r>
              <w:rPr>
                <w:rFonts w:hint="eastAsia"/>
              </w:rPr>
              <w:t>2.6</w:t>
            </w:r>
          </w:p>
        </w:tc>
        <w:tc>
          <w:tcPr>
            <w:tcW w:w="241" w:type="pct"/>
            <w:vAlign w:val="center"/>
          </w:tcPr>
          <w:p w14:paraId="15D4294C">
            <w:pPr>
              <w:pStyle w:val="90"/>
            </w:pPr>
            <w:r>
              <w:rPr>
                <w:rFonts w:hint="eastAsia"/>
              </w:rPr>
              <w:t>2.5</w:t>
            </w:r>
          </w:p>
        </w:tc>
        <w:tc>
          <w:tcPr>
            <w:tcW w:w="352" w:type="pct"/>
            <w:vAlign w:val="center"/>
          </w:tcPr>
          <w:p w14:paraId="022D684B">
            <w:pPr>
              <w:pStyle w:val="90"/>
            </w:pPr>
            <w:r>
              <w:rPr>
                <w:rFonts w:hint="eastAsia"/>
              </w:rPr>
              <w:t>6.7</w:t>
            </w:r>
          </w:p>
        </w:tc>
        <w:tc>
          <w:tcPr>
            <w:tcW w:w="230" w:type="pct"/>
            <w:vAlign w:val="center"/>
          </w:tcPr>
          <w:p w14:paraId="56E3E3A7">
            <w:pPr>
              <w:pStyle w:val="90"/>
            </w:pPr>
            <w:r>
              <w:rPr>
                <w:rFonts w:hint="eastAsia"/>
              </w:rPr>
              <w:t>26.1</w:t>
            </w:r>
          </w:p>
        </w:tc>
        <w:tc>
          <w:tcPr>
            <w:tcW w:w="324" w:type="pct"/>
            <w:vAlign w:val="center"/>
          </w:tcPr>
          <w:p w14:paraId="3D766C5A">
            <w:pPr>
              <w:pStyle w:val="90"/>
            </w:pPr>
            <w:r>
              <w:rPr>
                <w:rFonts w:hint="eastAsia"/>
              </w:rPr>
              <w:t>11.3</w:t>
            </w:r>
          </w:p>
        </w:tc>
        <w:tc>
          <w:tcPr>
            <w:tcW w:w="234" w:type="pct"/>
            <w:vAlign w:val="center"/>
          </w:tcPr>
          <w:p w14:paraId="3F31CB23">
            <w:pPr>
              <w:pStyle w:val="90"/>
            </w:pPr>
            <w:r>
              <w:rPr>
                <w:rFonts w:hint="eastAsia"/>
              </w:rPr>
              <w:t>2.4</w:t>
            </w:r>
          </w:p>
        </w:tc>
      </w:tr>
      <w:tr w14:paraId="79098E6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0A712F69">
            <w:pPr>
              <w:pStyle w:val="90"/>
            </w:pPr>
            <w:r>
              <w:t>09</w:t>
            </w:r>
          </w:p>
        </w:tc>
        <w:tc>
          <w:tcPr>
            <w:tcW w:w="176" w:type="pct"/>
            <w:vAlign w:val="center"/>
          </w:tcPr>
          <w:p w14:paraId="412E8AFD">
            <w:pPr>
              <w:pStyle w:val="90"/>
            </w:pPr>
            <w:r>
              <w:rPr>
                <w:rFonts w:hint="eastAsia"/>
              </w:rPr>
              <w:t>3.9</w:t>
            </w:r>
          </w:p>
        </w:tc>
        <w:tc>
          <w:tcPr>
            <w:tcW w:w="280" w:type="pct"/>
            <w:vAlign w:val="center"/>
          </w:tcPr>
          <w:p w14:paraId="18E43127">
            <w:pPr>
              <w:pStyle w:val="90"/>
            </w:pPr>
            <w:r>
              <w:rPr>
                <w:rFonts w:hint="eastAsia"/>
              </w:rPr>
              <w:t>2.9</w:t>
            </w:r>
          </w:p>
        </w:tc>
        <w:tc>
          <w:tcPr>
            <w:tcW w:w="187" w:type="pct"/>
            <w:vAlign w:val="center"/>
          </w:tcPr>
          <w:p w14:paraId="6F321295">
            <w:pPr>
              <w:pStyle w:val="90"/>
            </w:pPr>
            <w:r>
              <w:rPr>
                <w:rFonts w:hint="eastAsia"/>
              </w:rPr>
              <w:t>3.9</w:t>
            </w:r>
          </w:p>
        </w:tc>
        <w:tc>
          <w:tcPr>
            <w:tcW w:w="266" w:type="pct"/>
            <w:vAlign w:val="center"/>
          </w:tcPr>
          <w:p w14:paraId="2CAEF376">
            <w:pPr>
              <w:pStyle w:val="90"/>
            </w:pPr>
            <w:r>
              <w:rPr>
                <w:rFonts w:hint="eastAsia"/>
              </w:rPr>
              <w:t>5.8</w:t>
            </w:r>
          </w:p>
        </w:tc>
        <w:tc>
          <w:tcPr>
            <w:tcW w:w="237" w:type="pct"/>
            <w:vAlign w:val="center"/>
          </w:tcPr>
          <w:p w14:paraId="098A1C45">
            <w:pPr>
              <w:pStyle w:val="90"/>
            </w:pPr>
            <w:r>
              <w:rPr>
                <w:rFonts w:hint="eastAsia"/>
              </w:rPr>
              <w:t>6.9</w:t>
            </w:r>
          </w:p>
        </w:tc>
        <w:tc>
          <w:tcPr>
            <w:tcW w:w="245" w:type="pct"/>
            <w:vAlign w:val="center"/>
          </w:tcPr>
          <w:p w14:paraId="33538EA1">
            <w:pPr>
              <w:pStyle w:val="90"/>
            </w:pPr>
            <w:r>
              <w:rPr>
                <w:rFonts w:hint="eastAsia"/>
              </w:rPr>
              <w:t>6</w:t>
            </w:r>
          </w:p>
        </w:tc>
        <w:tc>
          <w:tcPr>
            <w:tcW w:w="176" w:type="pct"/>
            <w:vAlign w:val="center"/>
          </w:tcPr>
          <w:p w14:paraId="5CCC051C">
            <w:pPr>
              <w:pStyle w:val="90"/>
            </w:pPr>
            <w:r>
              <w:rPr>
                <w:rFonts w:hint="eastAsia"/>
              </w:rPr>
              <w:t>5.7</w:t>
            </w:r>
          </w:p>
        </w:tc>
        <w:tc>
          <w:tcPr>
            <w:tcW w:w="238" w:type="pct"/>
            <w:vAlign w:val="center"/>
          </w:tcPr>
          <w:p w14:paraId="7945E6AE">
            <w:pPr>
              <w:pStyle w:val="90"/>
            </w:pPr>
            <w:r>
              <w:rPr>
                <w:rFonts w:hint="eastAsia"/>
              </w:rPr>
              <w:t>6.1</w:t>
            </w:r>
          </w:p>
        </w:tc>
        <w:tc>
          <w:tcPr>
            <w:tcW w:w="176" w:type="pct"/>
            <w:vAlign w:val="center"/>
          </w:tcPr>
          <w:p w14:paraId="0B2F1AD0">
            <w:pPr>
              <w:pStyle w:val="90"/>
            </w:pPr>
            <w:r>
              <w:rPr>
                <w:rFonts w:hint="eastAsia"/>
              </w:rPr>
              <w:t>4.7</w:t>
            </w:r>
          </w:p>
        </w:tc>
        <w:tc>
          <w:tcPr>
            <w:tcW w:w="281" w:type="pct"/>
            <w:vAlign w:val="center"/>
          </w:tcPr>
          <w:p w14:paraId="5B4509D2">
            <w:pPr>
              <w:pStyle w:val="90"/>
            </w:pPr>
            <w:r>
              <w:rPr>
                <w:rFonts w:hint="eastAsia"/>
              </w:rPr>
              <w:t>2.8</w:t>
            </w:r>
          </w:p>
        </w:tc>
        <w:tc>
          <w:tcPr>
            <w:tcW w:w="241" w:type="pct"/>
            <w:vAlign w:val="center"/>
          </w:tcPr>
          <w:p w14:paraId="0DA1A4A2">
            <w:pPr>
              <w:pStyle w:val="90"/>
            </w:pPr>
            <w:r>
              <w:rPr>
                <w:rFonts w:hint="eastAsia"/>
              </w:rPr>
              <w:t>1.7</w:t>
            </w:r>
          </w:p>
        </w:tc>
        <w:tc>
          <w:tcPr>
            <w:tcW w:w="331" w:type="pct"/>
            <w:vAlign w:val="center"/>
          </w:tcPr>
          <w:p w14:paraId="14C4BE69">
            <w:pPr>
              <w:pStyle w:val="90"/>
            </w:pPr>
            <w:r>
              <w:rPr>
                <w:rFonts w:hint="eastAsia"/>
              </w:rPr>
              <w:t>1.9</w:t>
            </w:r>
          </w:p>
        </w:tc>
        <w:tc>
          <w:tcPr>
            <w:tcW w:w="241" w:type="pct"/>
            <w:vAlign w:val="center"/>
          </w:tcPr>
          <w:p w14:paraId="24F7FFFE">
            <w:pPr>
              <w:pStyle w:val="90"/>
            </w:pPr>
            <w:r>
              <w:rPr>
                <w:rFonts w:hint="eastAsia"/>
              </w:rPr>
              <w:t>2.5</w:t>
            </w:r>
          </w:p>
        </w:tc>
        <w:tc>
          <w:tcPr>
            <w:tcW w:w="352" w:type="pct"/>
            <w:vAlign w:val="center"/>
          </w:tcPr>
          <w:p w14:paraId="45025A94">
            <w:pPr>
              <w:pStyle w:val="90"/>
            </w:pPr>
            <w:r>
              <w:rPr>
                <w:rFonts w:hint="eastAsia"/>
              </w:rPr>
              <w:t>5.4</w:t>
            </w:r>
          </w:p>
        </w:tc>
        <w:tc>
          <w:tcPr>
            <w:tcW w:w="230" w:type="pct"/>
            <w:vAlign w:val="center"/>
          </w:tcPr>
          <w:p w14:paraId="7D163F1C">
            <w:pPr>
              <w:pStyle w:val="90"/>
            </w:pPr>
            <w:r>
              <w:rPr>
                <w:rFonts w:hint="eastAsia"/>
              </w:rPr>
              <w:t>26.8</w:t>
            </w:r>
          </w:p>
        </w:tc>
        <w:tc>
          <w:tcPr>
            <w:tcW w:w="324" w:type="pct"/>
            <w:vAlign w:val="center"/>
          </w:tcPr>
          <w:p w14:paraId="27B3EDC5">
            <w:pPr>
              <w:pStyle w:val="90"/>
            </w:pPr>
            <w:r>
              <w:rPr>
                <w:rFonts w:hint="eastAsia"/>
              </w:rPr>
              <w:t>12.9</w:t>
            </w:r>
          </w:p>
        </w:tc>
        <w:tc>
          <w:tcPr>
            <w:tcW w:w="234" w:type="pct"/>
            <w:vAlign w:val="center"/>
          </w:tcPr>
          <w:p w14:paraId="5F79EB2B">
            <w:pPr>
              <w:pStyle w:val="90"/>
            </w:pPr>
            <w:r>
              <w:rPr>
                <w:rFonts w:hint="eastAsia"/>
              </w:rPr>
              <w:t>2.7</w:t>
            </w:r>
          </w:p>
        </w:tc>
      </w:tr>
      <w:tr w14:paraId="4586F5E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1C3B9524">
            <w:pPr>
              <w:pStyle w:val="90"/>
            </w:pPr>
            <w:r>
              <w:t>10</w:t>
            </w:r>
          </w:p>
        </w:tc>
        <w:tc>
          <w:tcPr>
            <w:tcW w:w="176" w:type="pct"/>
            <w:vAlign w:val="center"/>
          </w:tcPr>
          <w:p w14:paraId="7FA87EB9">
            <w:pPr>
              <w:pStyle w:val="90"/>
            </w:pPr>
            <w:r>
              <w:rPr>
                <w:rFonts w:hint="eastAsia"/>
              </w:rPr>
              <w:t>3.4</w:t>
            </w:r>
          </w:p>
        </w:tc>
        <w:tc>
          <w:tcPr>
            <w:tcW w:w="280" w:type="pct"/>
            <w:vAlign w:val="center"/>
          </w:tcPr>
          <w:p w14:paraId="7D5A1542">
            <w:pPr>
              <w:pStyle w:val="90"/>
            </w:pPr>
            <w:r>
              <w:rPr>
                <w:rFonts w:hint="eastAsia"/>
              </w:rPr>
              <w:t>2.7</w:t>
            </w:r>
          </w:p>
        </w:tc>
        <w:tc>
          <w:tcPr>
            <w:tcW w:w="187" w:type="pct"/>
            <w:vAlign w:val="center"/>
          </w:tcPr>
          <w:p w14:paraId="2CDEEEAA">
            <w:pPr>
              <w:pStyle w:val="90"/>
            </w:pPr>
            <w:r>
              <w:rPr>
                <w:rFonts w:hint="eastAsia"/>
              </w:rPr>
              <w:t>3.7</w:t>
            </w:r>
          </w:p>
        </w:tc>
        <w:tc>
          <w:tcPr>
            <w:tcW w:w="266" w:type="pct"/>
            <w:vAlign w:val="center"/>
          </w:tcPr>
          <w:p w14:paraId="147085D9">
            <w:pPr>
              <w:pStyle w:val="90"/>
            </w:pPr>
            <w:r>
              <w:rPr>
                <w:rFonts w:hint="eastAsia"/>
              </w:rPr>
              <w:t>7.2</w:t>
            </w:r>
          </w:p>
        </w:tc>
        <w:tc>
          <w:tcPr>
            <w:tcW w:w="237" w:type="pct"/>
            <w:vAlign w:val="center"/>
          </w:tcPr>
          <w:p w14:paraId="34BAA316">
            <w:pPr>
              <w:pStyle w:val="90"/>
            </w:pPr>
            <w:r>
              <w:rPr>
                <w:rFonts w:hint="eastAsia"/>
              </w:rPr>
              <w:t>7.8</w:t>
            </w:r>
          </w:p>
        </w:tc>
        <w:tc>
          <w:tcPr>
            <w:tcW w:w="245" w:type="pct"/>
            <w:vAlign w:val="center"/>
          </w:tcPr>
          <w:p w14:paraId="7F926FAC">
            <w:pPr>
              <w:pStyle w:val="90"/>
            </w:pPr>
            <w:r>
              <w:rPr>
                <w:rFonts w:hint="eastAsia"/>
              </w:rPr>
              <w:t>5</w:t>
            </w:r>
          </w:p>
        </w:tc>
        <w:tc>
          <w:tcPr>
            <w:tcW w:w="176" w:type="pct"/>
            <w:vAlign w:val="center"/>
          </w:tcPr>
          <w:p w14:paraId="7BF9089A">
            <w:pPr>
              <w:pStyle w:val="90"/>
            </w:pPr>
            <w:r>
              <w:rPr>
                <w:rFonts w:hint="eastAsia"/>
              </w:rPr>
              <w:t>4</w:t>
            </w:r>
          </w:p>
        </w:tc>
        <w:tc>
          <w:tcPr>
            <w:tcW w:w="238" w:type="pct"/>
            <w:vAlign w:val="center"/>
          </w:tcPr>
          <w:p w14:paraId="22903457">
            <w:pPr>
              <w:pStyle w:val="90"/>
            </w:pPr>
            <w:r>
              <w:rPr>
                <w:rFonts w:hint="eastAsia"/>
              </w:rPr>
              <w:t>3.3</w:t>
            </w:r>
          </w:p>
        </w:tc>
        <w:tc>
          <w:tcPr>
            <w:tcW w:w="176" w:type="pct"/>
            <w:vAlign w:val="center"/>
          </w:tcPr>
          <w:p w14:paraId="23DC28D9">
            <w:pPr>
              <w:pStyle w:val="90"/>
            </w:pPr>
            <w:r>
              <w:rPr>
                <w:rFonts w:hint="eastAsia"/>
              </w:rPr>
              <w:t>4.3</w:t>
            </w:r>
          </w:p>
        </w:tc>
        <w:tc>
          <w:tcPr>
            <w:tcW w:w="281" w:type="pct"/>
            <w:vAlign w:val="center"/>
          </w:tcPr>
          <w:p w14:paraId="0885BD35">
            <w:pPr>
              <w:pStyle w:val="90"/>
            </w:pPr>
            <w:r>
              <w:rPr>
                <w:rFonts w:hint="eastAsia"/>
              </w:rPr>
              <w:t>3.4</w:t>
            </w:r>
          </w:p>
        </w:tc>
        <w:tc>
          <w:tcPr>
            <w:tcW w:w="241" w:type="pct"/>
            <w:vAlign w:val="center"/>
          </w:tcPr>
          <w:p w14:paraId="02FEDFFB">
            <w:pPr>
              <w:pStyle w:val="90"/>
            </w:pPr>
            <w:r>
              <w:rPr>
                <w:rFonts w:hint="eastAsia"/>
              </w:rPr>
              <w:t>2.3</w:t>
            </w:r>
          </w:p>
        </w:tc>
        <w:tc>
          <w:tcPr>
            <w:tcW w:w="331" w:type="pct"/>
            <w:vAlign w:val="center"/>
          </w:tcPr>
          <w:p w14:paraId="195A2876">
            <w:pPr>
              <w:pStyle w:val="90"/>
            </w:pPr>
            <w:r>
              <w:rPr>
                <w:rFonts w:hint="eastAsia"/>
              </w:rPr>
              <w:t>1.9</w:t>
            </w:r>
          </w:p>
        </w:tc>
        <w:tc>
          <w:tcPr>
            <w:tcW w:w="241" w:type="pct"/>
            <w:vAlign w:val="center"/>
          </w:tcPr>
          <w:p w14:paraId="05D6CF9C">
            <w:pPr>
              <w:pStyle w:val="90"/>
            </w:pPr>
            <w:r>
              <w:rPr>
                <w:rFonts w:hint="eastAsia"/>
              </w:rPr>
              <w:t>2.3</w:t>
            </w:r>
          </w:p>
        </w:tc>
        <w:tc>
          <w:tcPr>
            <w:tcW w:w="352" w:type="pct"/>
            <w:vAlign w:val="center"/>
          </w:tcPr>
          <w:p w14:paraId="238D6F66">
            <w:pPr>
              <w:pStyle w:val="90"/>
            </w:pPr>
            <w:r>
              <w:rPr>
                <w:rFonts w:hint="eastAsia"/>
              </w:rPr>
              <w:t>5.8</w:t>
            </w:r>
          </w:p>
        </w:tc>
        <w:tc>
          <w:tcPr>
            <w:tcW w:w="230" w:type="pct"/>
            <w:vAlign w:val="center"/>
          </w:tcPr>
          <w:p w14:paraId="0C50A5D6">
            <w:pPr>
              <w:pStyle w:val="90"/>
            </w:pPr>
            <w:r>
              <w:rPr>
                <w:rFonts w:hint="eastAsia"/>
              </w:rPr>
              <w:t>25.4</w:t>
            </w:r>
          </w:p>
        </w:tc>
        <w:tc>
          <w:tcPr>
            <w:tcW w:w="324" w:type="pct"/>
            <w:vAlign w:val="center"/>
          </w:tcPr>
          <w:p w14:paraId="0CBD08AB">
            <w:pPr>
              <w:pStyle w:val="90"/>
            </w:pPr>
            <w:r>
              <w:rPr>
                <w:rFonts w:hint="eastAsia"/>
              </w:rPr>
              <w:t>13.6</w:t>
            </w:r>
          </w:p>
        </w:tc>
        <w:tc>
          <w:tcPr>
            <w:tcW w:w="234" w:type="pct"/>
            <w:vAlign w:val="center"/>
          </w:tcPr>
          <w:p w14:paraId="7DF956A1">
            <w:pPr>
              <w:pStyle w:val="90"/>
            </w:pPr>
            <w:r>
              <w:rPr>
                <w:rFonts w:hint="eastAsia"/>
              </w:rPr>
              <w:t>5</w:t>
            </w:r>
          </w:p>
        </w:tc>
      </w:tr>
      <w:tr w14:paraId="5EFE4BD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57844CFF">
            <w:pPr>
              <w:pStyle w:val="90"/>
            </w:pPr>
            <w:r>
              <w:t>11</w:t>
            </w:r>
          </w:p>
        </w:tc>
        <w:tc>
          <w:tcPr>
            <w:tcW w:w="176" w:type="pct"/>
            <w:vAlign w:val="center"/>
          </w:tcPr>
          <w:p w14:paraId="406F9BAC">
            <w:pPr>
              <w:pStyle w:val="90"/>
            </w:pPr>
            <w:r>
              <w:rPr>
                <w:rFonts w:hint="eastAsia"/>
              </w:rPr>
              <w:t>3.5</w:t>
            </w:r>
          </w:p>
        </w:tc>
        <w:tc>
          <w:tcPr>
            <w:tcW w:w="280" w:type="pct"/>
            <w:vAlign w:val="center"/>
          </w:tcPr>
          <w:p w14:paraId="48DF0339">
            <w:pPr>
              <w:pStyle w:val="90"/>
            </w:pPr>
            <w:r>
              <w:rPr>
                <w:rFonts w:hint="eastAsia"/>
              </w:rPr>
              <w:t>3.2</w:t>
            </w:r>
          </w:p>
        </w:tc>
        <w:tc>
          <w:tcPr>
            <w:tcW w:w="187" w:type="pct"/>
            <w:vAlign w:val="center"/>
          </w:tcPr>
          <w:p w14:paraId="35F2781B">
            <w:pPr>
              <w:pStyle w:val="90"/>
            </w:pPr>
            <w:r>
              <w:rPr>
                <w:rFonts w:hint="eastAsia"/>
              </w:rPr>
              <w:t>5</w:t>
            </w:r>
          </w:p>
        </w:tc>
        <w:tc>
          <w:tcPr>
            <w:tcW w:w="266" w:type="pct"/>
            <w:vAlign w:val="center"/>
          </w:tcPr>
          <w:p w14:paraId="1D93E752">
            <w:pPr>
              <w:pStyle w:val="90"/>
            </w:pPr>
            <w:r>
              <w:rPr>
                <w:rFonts w:hint="eastAsia"/>
              </w:rPr>
              <w:t>13</w:t>
            </w:r>
          </w:p>
        </w:tc>
        <w:tc>
          <w:tcPr>
            <w:tcW w:w="237" w:type="pct"/>
            <w:vAlign w:val="center"/>
          </w:tcPr>
          <w:p w14:paraId="6A3E36B2">
            <w:pPr>
              <w:pStyle w:val="90"/>
            </w:pPr>
            <w:r>
              <w:rPr>
                <w:rFonts w:hint="eastAsia"/>
              </w:rPr>
              <w:t>8.7</w:t>
            </w:r>
          </w:p>
        </w:tc>
        <w:tc>
          <w:tcPr>
            <w:tcW w:w="245" w:type="pct"/>
            <w:vAlign w:val="center"/>
          </w:tcPr>
          <w:p w14:paraId="25AB9B98">
            <w:pPr>
              <w:pStyle w:val="90"/>
            </w:pPr>
            <w:r>
              <w:rPr>
                <w:rFonts w:hint="eastAsia"/>
              </w:rPr>
              <w:t>2.8</w:t>
            </w:r>
          </w:p>
        </w:tc>
        <w:tc>
          <w:tcPr>
            <w:tcW w:w="176" w:type="pct"/>
            <w:vAlign w:val="center"/>
          </w:tcPr>
          <w:p w14:paraId="7CC42A57">
            <w:pPr>
              <w:pStyle w:val="90"/>
            </w:pPr>
            <w:r>
              <w:rPr>
                <w:rFonts w:hint="eastAsia"/>
              </w:rPr>
              <w:t>2.3</w:t>
            </w:r>
          </w:p>
        </w:tc>
        <w:tc>
          <w:tcPr>
            <w:tcW w:w="238" w:type="pct"/>
            <w:vAlign w:val="center"/>
          </w:tcPr>
          <w:p w14:paraId="2554D1B9">
            <w:pPr>
              <w:pStyle w:val="90"/>
            </w:pPr>
            <w:r>
              <w:rPr>
                <w:rFonts w:hint="eastAsia"/>
              </w:rPr>
              <w:t>2.8</w:t>
            </w:r>
          </w:p>
        </w:tc>
        <w:tc>
          <w:tcPr>
            <w:tcW w:w="176" w:type="pct"/>
            <w:vAlign w:val="center"/>
          </w:tcPr>
          <w:p w14:paraId="6F8A4D6F">
            <w:pPr>
              <w:pStyle w:val="90"/>
            </w:pPr>
            <w:r>
              <w:rPr>
                <w:rFonts w:hint="eastAsia"/>
              </w:rPr>
              <w:t>2.9</w:t>
            </w:r>
          </w:p>
        </w:tc>
        <w:tc>
          <w:tcPr>
            <w:tcW w:w="281" w:type="pct"/>
            <w:vAlign w:val="center"/>
          </w:tcPr>
          <w:p w14:paraId="7F4B1C02">
            <w:pPr>
              <w:pStyle w:val="90"/>
            </w:pPr>
            <w:r>
              <w:rPr>
                <w:rFonts w:hint="eastAsia"/>
              </w:rPr>
              <w:t>4.5</w:t>
            </w:r>
          </w:p>
        </w:tc>
        <w:tc>
          <w:tcPr>
            <w:tcW w:w="241" w:type="pct"/>
            <w:vAlign w:val="center"/>
          </w:tcPr>
          <w:p w14:paraId="5DFF3953">
            <w:pPr>
              <w:pStyle w:val="90"/>
            </w:pPr>
            <w:r>
              <w:rPr>
                <w:rFonts w:hint="eastAsia"/>
              </w:rPr>
              <w:t>5</w:t>
            </w:r>
          </w:p>
        </w:tc>
        <w:tc>
          <w:tcPr>
            <w:tcW w:w="331" w:type="pct"/>
            <w:vAlign w:val="center"/>
          </w:tcPr>
          <w:p w14:paraId="21E1227C">
            <w:pPr>
              <w:pStyle w:val="90"/>
            </w:pPr>
            <w:r>
              <w:rPr>
                <w:rFonts w:hint="eastAsia"/>
              </w:rPr>
              <w:t>3.9</w:t>
            </w:r>
          </w:p>
        </w:tc>
        <w:tc>
          <w:tcPr>
            <w:tcW w:w="241" w:type="pct"/>
            <w:vAlign w:val="center"/>
          </w:tcPr>
          <w:p w14:paraId="13D13816">
            <w:pPr>
              <w:pStyle w:val="90"/>
            </w:pPr>
            <w:r>
              <w:rPr>
                <w:rFonts w:hint="eastAsia"/>
              </w:rPr>
              <w:t>3.6</w:t>
            </w:r>
          </w:p>
        </w:tc>
        <w:tc>
          <w:tcPr>
            <w:tcW w:w="352" w:type="pct"/>
            <w:vAlign w:val="center"/>
          </w:tcPr>
          <w:p w14:paraId="7B4684D0">
            <w:pPr>
              <w:pStyle w:val="90"/>
            </w:pPr>
            <w:r>
              <w:rPr>
                <w:rFonts w:hint="eastAsia"/>
              </w:rPr>
              <w:t>5.8</w:t>
            </w:r>
          </w:p>
        </w:tc>
        <w:tc>
          <w:tcPr>
            <w:tcW w:w="230" w:type="pct"/>
            <w:vAlign w:val="center"/>
          </w:tcPr>
          <w:p w14:paraId="65B36BE5">
            <w:pPr>
              <w:pStyle w:val="90"/>
            </w:pPr>
            <w:r>
              <w:rPr>
                <w:rFonts w:hint="eastAsia"/>
              </w:rPr>
              <w:t>14.7</w:t>
            </w:r>
          </w:p>
        </w:tc>
        <w:tc>
          <w:tcPr>
            <w:tcW w:w="324" w:type="pct"/>
            <w:vAlign w:val="center"/>
          </w:tcPr>
          <w:p w14:paraId="752E4C53">
            <w:pPr>
              <w:pStyle w:val="90"/>
            </w:pPr>
            <w:r>
              <w:rPr>
                <w:rFonts w:hint="eastAsia"/>
              </w:rPr>
              <w:t>13.1</w:t>
            </w:r>
          </w:p>
        </w:tc>
        <w:tc>
          <w:tcPr>
            <w:tcW w:w="234" w:type="pct"/>
            <w:vAlign w:val="center"/>
          </w:tcPr>
          <w:p w14:paraId="09F3F3B3">
            <w:pPr>
              <w:pStyle w:val="90"/>
            </w:pPr>
            <w:r>
              <w:rPr>
                <w:rFonts w:hint="eastAsia"/>
              </w:rPr>
              <w:t>6.5</w:t>
            </w:r>
          </w:p>
        </w:tc>
      </w:tr>
      <w:tr w14:paraId="25531A2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784" w:type="pct"/>
            <w:vAlign w:val="center"/>
          </w:tcPr>
          <w:p w14:paraId="50D7706F">
            <w:pPr>
              <w:pStyle w:val="90"/>
            </w:pPr>
            <w:r>
              <w:t>12</w:t>
            </w:r>
          </w:p>
        </w:tc>
        <w:tc>
          <w:tcPr>
            <w:tcW w:w="176" w:type="pct"/>
            <w:vAlign w:val="center"/>
          </w:tcPr>
          <w:p w14:paraId="0C6EAFC9">
            <w:pPr>
              <w:pStyle w:val="90"/>
            </w:pPr>
            <w:r>
              <w:rPr>
                <w:rFonts w:hint="eastAsia"/>
              </w:rPr>
              <w:t>4.6</w:t>
            </w:r>
          </w:p>
        </w:tc>
        <w:tc>
          <w:tcPr>
            <w:tcW w:w="280" w:type="pct"/>
            <w:vAlign w:val="center"/>
          </w:tcPr>
          <w:p w14:paraId="6BBFD4CC">
            <w:pPr>
              <w:pStyle w:val="90"/>
            </w:pPr>
            <w:r>
              <w:rPr>
                <w:rFonts w:hint="eastAsia"/>
              </w:rPr>
              <w:t>3.5</w:t>
            </w:r>
          </w:p>
        </w:tc>
        <w:tc>
          <w:tcPr>
            <w:tcW w:w="187" w:type="pct"/>
            <w:vAlign w:val="center"/>
          </w:tcPr>
          <w:p w14:paraId="1D4E30FB">
            <w:pPr>
              <w:pStyle w:val="90"/>
            </w:pPr>
            <w:r>
              <w:rPr>
                <w:rFonts w:hint="eastAsia"/>
              </w:rPr>
              <w:t>5.4</w:t>
            </w:r>
          </w:p>
        </w:tc>
        <w:tc>
          <w:tcPr>
            <w:tcW w:w="266" w:type="pct"/>
            <w:vAlign w:val="center"/>
          </w:tcPr>
          <w:p w14:paraId="24D94FE5">
            <w:pPr>
              <w:pStyle w:val="90"/>
            </w:pPr>
            <w:r>
              <w:rPr>
                <w:rFonts w:hint="eastAsia"/>
              </w:rPr>
              <w:t>15.1</w:t>
            </w:r>
          </w:p>
        </w:tc>
        <w:tc>
          <w:tcPr>
            <w:tcW w:w="237" w:type="pct"/>
            <w:vAlign w:val="center"/>
          </w:tcPr>
          <w:p w14:paraId="49223B94">
            <w:pPr>
              <w:pStyle w:val="90"/>
            </w:pPr>
            <w:r>
              <w:rPr>
                <w:rFonts w:hint="eastAsia"/>
              </w:rPr>
              <w:t>8.4</w:t>
            </w:r>
          </w:p>
        </w:tc>
        <w:tc>
          <w:tcPr>
            <w:tcW w:w="245" w:type="pct"/>
            <w:vAlign w:val="center"/>
          </w:tcPr>
          <w:p w14:paraId="2D35B6B4">
            <w:pPr>
              <w:pStyle w:val="90"/>
            </w:pPr>
            <w:r>
              <w:rPr>
                <w:rFonts w:hint="eastAsia"/>
              </w:rPr>
              <w:t>2.2</w:t>
            </w:r>
          </w:p>
        </w:tc>
        <w:tc>
          <w:tcPr>
            <w:tcW w:w="176" w:type="pct"/>
            <w:vAlign w:val="center"/>
          </w:tcPr>
          <w:p w14:paraId="1975C39F">
            <w:pPr>
              <w:pStyle w:val="90"/>
            </w:pPr>
            <w:r>
              <w:rPr>
                <w:rFonts w:hint="eastAsia"/>
              </w:rPr>
              <w:t>1.3</w:t>
            </w:r>
          </w:p>
        </w:tc>
        <w:tc>
          <w:tcPr>
            <w:tcW w:w="238" w:type="pct"/>
            <w:vAlign w:val="center"/>
          </w:tcPr>
          <w:p w14:paraId="4227323A">
            <w:pPr>
              <w:pStyle w:val="90"/>
            </w:pPr>
            <w:r>
              <w:rPr>
                <w:rFonts w:hint="eastAsia"/>
              </w:rPr>
              <w:t>1.3</w:t>
            </w:r>
          </w:p>
        </w:tc>
        <w:tc>
          <w:tcPr>
            <w:tcW w:w="176" w:type="pct"/>
            <w:vAlign w:val="center"/>
          </w:tcPr>
          <w:p w14:paraId="758CBBE1">
            <w:pPr>
              <w:pStyle w:val="90"/>
            </w:pPr>
            <w:r>
              <w:rPr>
                <w:rFonts w:hint="eastAsia"/>
              </w:rPr>
              <w:t>1.7</w:t>
            </w:r>
          </w:p>
        </w:tc>
        <w:tc>
          <w:tcPr>
            <w:tcW w:w="281" w:type="pct"/>
            <w:vAlign w:val="center"/>
          </w:tcPr>
          <w:p w14:paraId="62B35057">
            <w:pPr>
              <w:pStyle w:val="90"/>
            </w:pPr>
            <w:r>
              <w:rPr>
                <w:rFonts w:hint="eastAsia"/>
              </w:rPr>
              <w:t>4.1</w:t>
            </w:r>
          </w:p>
        </w:tc>
        <w:tc>
          <w:tcPr>
            <w:tcW w:w="241" w:type="pct"/>
            <w:vAlign w:val="center"/>
          </w:tcPr>
          <w:p w14:paraId="05226157">
            <w:pPr>
              <w:pStyle w:val="90"/>
            </w:pPr>
            <w:r>
              <w:rPr>
                <w:rFonts w:hint="eastAsia"/>
              </w:rPr>
              <w:t>8.8</w:t>
            </w:r>
          </w:p>
        </w:tc>
        <w:tc>
          <w:tcPr>
            <w:tcW w:w="331" w:type="pct"/>
            <w:vAlign w:val="center"/>
          </w:tcPr>
          <w:p w14:paraId="48752DF0">
            <w:pPr>
              <w:pStyle w:val="90"/>
            </w:pPr>
            <w:r>
              <w:rPr>
                <w:rFonts w:hint="eastAsia"/>
              </w:rPr>
              <w:t>6.2</w:t>
            </w:r>
          </w:p>
        </w:tc>
        <w:tc>
          <w:tcPr>
            <w:tcW w:w="241" w:type="pct"/>
            <w:vAlign w:val="center"/>
          </w:tcPr>
          <w:p w14:paraId="4044327B">
            <w:pPr>
              <w:pStyle w:val="90"/>
            </w:pPr>
            <w:r>
              <w:rPr>
                <w:rFonts w:hint="eastAsia"/>
              </w:rPr>
              <w:t>3.3</w:t>
            </w:r>
          </w:p>
        </w:tc>
        <w:tc>
          <w:tcPr>
            <w:tcW w:w="352" w:type="pct"/>
            <w:vAlign w:val="center"/>
          </w:tcPr>
          <w:p w14:paraId="167DB7E3">
            <w:pPr>
              <w:pStyle w:val="90"/>
            </w:pPr>
            <w:r>
              <w:rPr>
                <w:rFonts w:hint="eastAsia"/>
              </w:rPr>
              <w:t>3.9</w:t>
            </w:r>
          </w:p>
        </w:tc>
        <w:tc>
          <w:tcPr>
            <w:tcW w:w="230" w:type="pct"/>
            <w:vAlign w:val="center"/>
          </w:tcPr>
          <w:p w14:paraId="4830BC8B">
            <w:pPr>
              <w:pStyle w:val="90"/>
            </w:pPr>
            <w:r>
              <w:rPr>
                <w:rFonts w:hint="eastAsia"/>
              </w:rPr>
              <w:t>8.2</w:t>
            </w:r>
          </w:p>
        </w:tc>
        <w:tc>
          <w:tcPr>
            <w:tcW w:w="324" w:type="pct"/>
            <w:vAlign w:val="center"/>
          </w:tcPr>
          <w:p w14:paraId="65839F95">
            <w:pPr>
              <w:pStyle w:val="90"/>
            </w:pPr>
            <w:r>
              <w:rPr>
                <w:rFonts w:hint="eastAsia"/>
              </w:rPr>
              <w:t>10.5</w:t>
            </w:r>
          </w:p>
        </w:tc>
        <w:tc>
          <w:tcPr>
            <w:tcW w:w="234" w:type="pct"/>
            <w:vAlign w:val="center"/>
          </w:tcPr>
          <w:p w14:paraId="0530A818">
            <w:pPr>
              <w:pStyle w:val="90"/>
            </w:pPr>
            <w:r>
              <w:rPr>
                <w:rFonts w:hint="eastAsia"/>
              </w:rPr>
              <w:t>12.3</w:t>
            </w:r>
          </w:p>
        </w:tc>
      </w:tr>
    </w:tbl>
    <w:p w14:paraId="24606E40">
      <w:pPr>
        <w:adjustRightInd w:val="0"/>
        <w:snapToGrid w:val="0"/>
        <w:spacing w:line="240" w:lineRule="auto"/>
        <w:ind w:firstLine="0" w:firstLineChars="0"/>
        <w:jc w:val="center"/>
        <w:textAlignment w:val="baseline"/>
        <w:rPr>
          <w:b/>
          <w:kern w:val="0"/>
          <w:sz w:val="18"/>
          <w:szCs w:val="18"/>
        </w:rPr>
      </w:pPr>
    </w:p>
    <w:p w14:paraId="10B2064C">
      <w:pPr>
        <w:ind w:firstLine="480"/>
        <w:rPr>
          <w:snapToGrid w:val="0"/>
        </w:rPr>
      </w:pPr>
      <w:r>
        <w:rPr>
          <w:snapToGrid w:val="0"/>
        </w:rPr>
        <w:t>（3）风速年际变化特征与周期分析</w:t>
      </w:r>
    </w:p>
    <w:p w14:paraId="00C2731D">
      <w:pPr>
        <w:ind w:firstLine="480"/>
        <w:rPr>
          <w:snapToGrid w:val="0"/>
        </w:rPr>
      </w:pPr>
      <w:r>
        <w:rPr>
          <w:snapToGrid w:val="0"/>
        </w:rPr>
        <w:t>根据近20年资料分析，</w:t>
      </w:r>
      <w:r>
        <w:rPr>
          <w:rFonts w:hint="eastAsia"/>
          <w:snapToGrid w:val="0"/>
        </w:rPr>
        <w:t>克拉玛依</w:t>
      </w:r>
      <w:r>
        <w:rPr>
          <w:snapToGrid w:val="0"/>
        </w:rPr>
        <w:t>气象站风速呈现下降趋势，</w:t>
      </w:r>
      <w:r>
        <w:rPr>
          <w:rFonts w:hint="eastAsia"/>
          <w:snapToGrid w:val="0"/>
        </w:rPr>
        <w:t>克拉玛依</w:t>
      </w:r>
      <w:r>
        <w:rPr>
          <w:snapToGrid w:val="0"/>
        </w:rPr>
        <w:t>近20年平均风速变化情况见图5.1-5。</w:t>
      </w:r>
    </w:p>
    <w:p w14:paraId="0CCA2D90">
      <w:pPr>
        <w:spacing w:line="240" w:lineRule="auto"/>
        <w:ind w:firstLine="0" w:firstLineChars="0"/>
        <w:jc w:val="center"/>
        <w:rPr>
          <w:bCs/>
          <w:snapToGrid w:val="0"/>
          <w:kern w:val="0"/>
          <w:szCs w:val="24"/>
        </w:rPr>
      </w:pPr>
    </w:p>
    <w:p w14:paraId="6D4929ED">
      <w:pPr>
        <w:pStyle w:val="49"/>
        <w:spacing w:before="163" w:after="163"/>
        <w:rPr>
          <w:snapToGrid w:val="0"/>
        </w:rPr>
      </w:pPr>
      <w:r>
        <w:rPr>
          <w:snapToGrid w:val="0"/>
        </w:rPr>
        <w:t xml:space="preserve">图5.1-5 </w:t>
      </w:r>
      <w:r>
        <w:rPr>
          <w:rFonts w:hint="eastAsia"/>
          <w:snapToGrid w:val="0"/>
        </w:rPr>
        <w:t>克拉玛依</w:t>
      </w:r>
      <w:r>
        <w:rPr>
          <w:snapToGrid w:val="0"/>
        </w:rPr>
        <w:t>近20年平均风速变化情况图（单位：m/s，虚线为趋势线）</w:t>
      </w:r>
    </w:p>
    <w:p w14:paraId="526EC26E">
      <w:pPr>
        <w:ind w:firstLine="480"/>
        <w:rPr>
          <w:snapToGrid w:val="0"/>
        </w:rPr>
      </w:pPr>
      <w:r>
        <w:rPr>
          <w:snapToGrid w:val="0"/>
        </w:rPr>
        <w:t>3、气象站温度分析</w:t>
      </w:r>
    </w:p>
    <w:p w14:paraId="3C6EC289">
      <w:pPr>
        <w:ind w:firstLine="480"/>
        <w:rPr>
          <w:snapToGrid w:val="0"/>
        </w:rPr>
      </w:pPr>
      <w:r>
        <w:rPr>
          <w:snapToGrid w:val="0"/>
        </w:rPr>
        <w:t>（1）月平均气温与极端气温</w:t>
      </w:r>
    </w:p>
    <w:p w14:paraId="2483EBD4">
      <w:pPr>
        <w:ind w:firstLine="480"/>
        <w:rPr>
          <w:snapToGrid w:val="0"/>
        </w:rPr>
      </w:pPr>
      <w:r>
        <w:rPr>
          <w:rFonts w:hint="eastAsia"/>
          <w:snapToGrid w:val="0"/>
        </w:rPr>
        <w:t>克拉玛依</w:t>
      </w:r>
      <w:r>
        <w:rPr>
          <w:snapToGrid w:val="0"/>
        </w:rPr>
        <w:t>气象站7月气温最高（2</w:t>
      </w:r>
      <w:r>
        <w:rPr>
          <w:rFonts w:hint="eastAsia"/>
          <w:snapToGrid w:val="0"/>
        </w:rPr>
        <w:t>7.6</w:t>
      </w:r>
      <w:r>
        <w:rPr>
          <w:snapToGrid w:val="0"/>
        </w:rPr>
        <w:t>℃），1月气温最低（-16.2℃），近20年极端最高气温出现在20</w:t>
      </w:r>
      <w:r>
        <w:rPr>
          <w:rFonts w:hint="eastAsia"/>
          <w:snapToGrid w:val="0"/>
        </w:rPr>
        <w:t>04</w:t>
      </w:r>
      <w:r>
        <w:rPr>
          <w:snapToGrid w:val="0"/>
        </w:rPr>
        <w:t>年7月</w:t>
      </w:r>
      <w:r>
        <w:rPr>
          <w:rFonts w:hint="eastAsia"/>
          <w:snapToGrid w:val="0"/>
        </w:rPr>
        <w:t>14</w:t>
      </w:r>
      <w:r>
        <w:rPr>
          <w:snapToGrid w:val="0"/>
        </w:rPr>
        <w:t>日（</w:t>
      </w:r>
      <w:r>
        <w:rPr>
          <w:rFonts w:hint="eastAsia"/>
          <w:snapToGrid w:val="0"/>
        </w:rPr>
        <w:t>44</w:t>
      </w:r>
      <w:r>
        <w:rPr>
          <w:snapToGrid w:val="0"/>
        </w:rPr>
        <w:t>℃），近20年极端最低气温出现在20</w:t>
      </w:r>
      <w:r>
        <w:rPr>
          <w:rFonts w:hint="eastAsia"/>
          <w:snapToGrid w:val="0"/>
        </w:rPr>
        <w:t>11</w:t>
      </w:r>
      <w:r>
        <w:rPr>
          <w:snapToGrid w:val="0"/>
        </w:rPr>
        <w:t>年</w:t>
      </w:r>
      <w:r>
        <w:rPr>
          <w:rFonts w:hint="eastAsia"/>
          <w:snapToGrid w:val="0"/>
        </w:rPr>
        <w:t>1</w:t>
      </w:r>
      <w:r>
        <w:rPr>
          <w:snapToGrid w:val="0"/>
        </w:rPr>
        <w:t>月</w:t>
      </w:r>
      <w:r>
        <w:rPr>
          <w:rFonts w:hint="eastAsia"/>
          <w:snapToGrid w:val="0"/>
        </w:rPr>
        <w:t>6</w:t>
      </w:r>
      <w:r>
        <w:rPr>
          <w:snapToGrid w:val="0"/>
        </w:rPr>
        <w:t>日（</w:t>
      </w:r>
      <w:r>
        <w:rPr>
          <w:rFonts w:hint="eastAsia"/>
          <w:snapToGrid w:val="0"/>
        </w:rPr>
        <w:t>-31.7</w:t>
      </w:r>
      <w:r>
        <w:rPr>
          <w:snapToGrid w:val="0"/>
        </w:rPr>
        <w:t>℃）。</w:t>
      </w:r>
    </w:p>
    <w:p w14:paraId="24BCC948">
      <w:pPr>
        <w:spacing w:line="240" w:lineRule="auto"/>
        <w:ind w:firstLine="0" w:firstLineChars="0"/>
        <w:jc w:val="center"/>
        <w:rPr>
          <w:bCs/>
          <w:snapToGrid w:val="0"/>
          <w:kern w:val="0"/>
          <w:szCs w:val="24"/>
        </w:rPr>
      </w:pPr>
    </w:p>
    <w:p w14:paraId="459F7A03">
      <w:pPr>
        <w:pStyle w:val="47"/>
        <w:spacing w:before="65"/>
        <w:rPr>
          <w:snapToGrid w:val="0"/>
        </w:rPr>
      </w:pPr>
      <w:r>
        <w:rPr>
          <w:snapToGrid w:val="0"/>
        </w:rPr>
        <w:t xml:space="preserve">图5.1-6   </w:t>
      </w:r>
      <w:r>
        <w:rPr>
          <w:rFonts w:hint="eastAsia"/>
          <w:snapToGrid w:val="0"/>
        </w:rPr>
        <w:t>克拉玛依</w:t>
      </w:r>
      <w:r>
        <w:rPr>
          <w:snapToGrid w:val="0"/>
        </w:rPr>
        <w:t>近20年累年月平均气温   单位：℃</w:t>
      </w:r>
    </w:p>
    <w:p w14:paraId="38F2372D">
      <w:pPr>
        <w:ind w:firstLine="540" w:firstLineChars="225"/>
        <w:rPr>
          <w:bCs/>
          <w:snapToGrid w:val="0"/>
          <w:kern w:val="0"/>
          <w:szCs w:val="24"/>
        </w:rPr>
      </w:pPr>
      <w:r>
        <w:rPr>
          <w:bCs/>
          <w:snapToGrid w:val="0"/>
          <w:kern w:val="0"/>
          <w:szCs w:val="24"/>
        </w:rPr>
        <w:t>（2）温度年际变化趋势与周期分析</w:t>
      </w:r>
    </w:p>
    <w:p w14:paraId="542047EC">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气象站近20年气温无明显变化趋势，201</w:t>
      </w:r>
      <w:r>
        <w:rPr>
          <w:rFonts w:hint="eastAsia"/>
          <w:bCs/>
          <w:snapToGrid w:val="0"/>
          <w:kern w:val="0"/>
          <w:szCs w:val="24"/>
        </w:rPr>
        <w:t>6</w:t>
      </w:r>
      <w:r>
        <w:rPr>
          <w:bCs/>
          <w:snapToGrid w:val="0"/>
          <w:kern w:val="0"/>
          <w:szCs w:val="24"/>
        </w:rPr>
        <w:t>年年平均气温最高（</w:t>
      </w:r>
      <w:r>
        <w:rPr>
          <w:rFonts w:hint="eastAsia"/>
          <w:bCs/>
          <w:snapToGrid w:val="0"/>
          <w:kern w:val="0"/>
          <w:szCs w:val="24"/>
        </w:rPr>
        <w:t>11.1</w:t>
      </w:r>
      <w:r>
        <w:rPr>
          <w:bCs/>
          <w:snapToGrid w:val="0"/>
          <w:kern w:val="0"/>
          <w:szCs w:val="24"/>
        </w:rPr>
        <w:t>℃），20</w:t>
      </w:r>
      <w:r>
        <w:rPr>
          <w:rFonts w:hint="eastAsia"/>
          <w:bCs/>
          <w:snapToGrid w:val="0"/>
          <w:kern w:val="0"/>
          <w:szCs w:val="24"/>
        </w:rPr>
        <w:t>12</w:t>
      </w:r>
      <w:r>
        <w:rPr>
          <w:bCs/>
          <w:snapToGrid w:val="0"/>
          <w:kern w:val="0"/>
          <w:szCs w:val="24"/>
        </w:rPr>
        <w:t>年年平均气温最低（</w:t>
      </w:r>
      <w:r>
        <w:rPr>
          <w:rFonts w:hint="eastAsia"/>
          <w:bCs/>
          <w:snapToGrid w:val="0"/>
          <w:kern w:val="0"/>
          <w:szCs w:val="24"/>
        </w:rPr>
        <w:t>8.1</w:t>
      </w:r>
      <w:r>
        <w:rPr>
          <w:bCs/>
          <w:snapToGrid w:val="0"/>
          <w:kern w:val="0"/>
          <w:szCs w:val="24"/>
        </w:rPr>
        <w:t>℃），周期为20年。</w:t>
      </w:r>
    </w:p>
    <w:p w14:paraId="468D8681">
      <w:pPr>
        <w:spacing w:line="240" w:lineRule="auto"/>
        <w:ind w:firstLine="0" w:firstLineChars="0"/>
        <w:jc w:val="center"/>
        <w:rPr>
          <w:bCs/>
          <w:snapToGrid w:val="0"/>
          <w:kern w:val="0"/>
          <w:szCs w:val="24"/>
        </w:rPr>
      </w:pPr>
    </w:p>
    <w:p w14:paraId="58455CA3">
      <w:pPr>
        <w:pStyle w:val="47"/>
        <w:spacing w:before="65"/>
        <w:rPr>
          <w:snapToGrid w:val="0"/>
        </w:rPr>
      </w:pPr>
      <w:r>
        <w:rPr>
          <w:snapToGrid w:val="0"/>
        </w:rPr>
        <w:t xml:space="preserve">图5.1-7   </w:t>
      </w:r>
      <w:r>
        <w:rPr>
          <w:rFonts w:hint="eastAsia"/>
          <w:snapToGrid w:val="0"/>
        </w:rPr>
        <w:t>克拉玛依</w:t>
      </w:r>
      <w:r>
        <w:rPr>
          <w:snapToGrid w:val="0"/>
        </w:rPr>
        <w:t>近20年年平均气温  （单位：℃，虚线为趋势线）</w:t>
      </w:r>
    </w:p>
    <w:p w14:paraId="0205BE9D">
      <w:pPr>
        <w:ind w:firstLine="540" w:firstLineChars="225"/>
        <w:rPr>
          <w:bCs/>
          <w:snapToGrid w:val="0"/>
          <w:kern w:val="0"/>
          <w:szCs w:val="24"/>
        </w:rPr>
      </w:pPr>
      <w:r>
        <w:rPr>
          <w:bCs/>
          <w:snapToGrid w:val="0"/>
          <w:kern w:val="0"/>
          <w:szCs w:val="24"/>
        </w:rPr>
        <w:t>4、气象站降水分析</w:t>
      </w:r>
    </w:p>
    <w:p w14:paraId="334D85A7">
      <w:pPr>
        <w:ind w:firstLine="540" w:firstLineChars="225"/>
        <w:rPr>
          <w:bCs/>
          <w:snapToGrid w:val="0"/>
          <w:kern w:val="0"/>
          <w:szCs w:val="24"/>
        </w:rPr>
      </w:pPr>
      <w:r>
        <w:rPr>
          <w:bCs/>
          <w:snapToGrid w:val="0"/>
          <w:kern w:val="0"/>
          <w:szCs w:val="24"/>
        </w:rPr>
        <w:t>（1）月平均降水与极端降水</w:t>
      </w:r>
    </w:p>
    <w:p w14:paraId="7868784E">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w:t>
      </w:r>
      <w:r>
        <w:rPr>
          <w:rFonts w:hint="eastAsia"/>
          <w:bCs/>
          <w:snapToGrid w:val="0"/>
          <w:kern w:val="0"/>
          <w:szCs w:val="24"/>
        </w:rPr>
        <w:t>7</w:t>
      </w:r>
      <w:r>
        <w:rPr>
          <w:bCs/>
          <w:snapToGrid w:val="0"/>
          <w:kern w:val="0"/>
          <w:szCs w:val="24"/>
        </w:rPr>
        <w:t>月降水量最大（</w:t>
      </w:r>
      <w:r>
        <w:rPr>
          <w:rFonts w:hint="eastAsia"/>
          <w:bCs/>
          <w:snapToGrid w:val="0"/>
          <w:kern w:val="0"/>
          <w:szCs w:val="24"/>
        </w:rPr>
        <w:t>27.6</w:t>
      </w:r>
      <w:r>
        <w:rPr>
          <w:bCs/>
          <w:snapToGrid w:val="0"/>
          <w:kern w:val="0"/>
          <w:szCs w:val="24"/>
        </w:rPr>
        <w:t>毫米），</w:t>
      </w:r>
      <w:r>
        <w:rPr>
          <w:rFonts w:hint="eastAsia"/>
          <w:bCs/>
          <w:snapToGrid w:val="0"/>
          <w:kern w:val="0"/>
          <w:szCs w:val="24"/>
        </w:rPr>
        <w:t>2</w:t>
      </w:r>
      <w:r>
        <w:rPr>
          <w:bCs/>
          <w:snapToGrid w:val="0"/>
          <w:kern w:val="0"/>
          <w:szCs w:val="24"/>
        </w:rPr>
        <w:t>月降水量最小（</w:t>
      </w:r>
      <w:r>
        <w:rPr>
          <w:rFonts w:hint="eastAsia"/>
          <w:bCs/>
          <w:snapToGrid w:val="0"/>
          <w:kern w:val="0"/>
          <w:szCs w:val="24"/>
        </w:rPr>
        <w:t>3.7</w:t>
      </w:r>
      <w:r>
        <w:rPr>
          <w:bCs/>
          <w:snapToGrid w:val="0"/>
          <w:kern w:val="0"/>
          <w:szCs w:val="24"/>
        </w:rPr>
        <w:t>毫米），近20年极端最大日降水出现在20</w:t>
      </w:r>
      <w:r>
        <w:rPr>
          <w:rFonts w:hint="eastAsia"/>
          <w:bCs/>
          <w:snapToGrid w:val="0"/>
          <w:kern w:val="0"/>
          <w:szCs w:val="24"/>
        </w:rPr>
        <w:t>12</w:t>
      </w:r>
      <w:r>
        <w:rPr>
          <w:bCs/>
          <w:snapToGrid w:val="0"/>
          <w:kern w:val="0"/>
          <w:szCs w:val="24"/>
        </w:rPr>
        <w:t>年7月1</w:t>
      </w:r>
      <w:r>
        <w:rPr>
          <w:rFonts w:hint="eastAsia"/>
          <w:bCs/>
          <w:snapToGrid w:val="0"/>
          <w:kern w:val="0"/>
          <w:szCs w:val="24"/>
        </w:rPr>
        <w:t>4</w:t>
      </w:r>
      <w:r>
        <w:rPr>
          <w:bCs/>
          <w:snapToGrid w:val="0"/>
          <w:kern w:val="0"/>
          <w:szCs w:val="24"/>
        </w:rPr>
        <w:t>日（3</w:t>
      </w:r>
      <w:r>
        <w:rPr>
          <w:rFonts w:hint="eastAsia"/>
          <w:bCs/>
          <w:snapToGrid w:val="0"/>
          <w:kern w:val="0"/>
          <w:szCs w:val="24"/>
        </w:rPr>
        <w:t>7.9</w:t>
      </w:r>
      <w:r>
        <w:rPr>
          <w:bCs/>
          <w:snapToGrid w:val="0"/>
          <w:kern w:val="0"/>
          <w:szCs w:val="24"/>
        </w:rPr>
        <w:t>毫米）。</w:t>
      </w:r>
    </w:p>
    <w:p w14:paraId="5EFE63C5">
      <w:pPr>
        <w:spacing w:line="240" w:lineRule="auto"/>
        <w:ind w:firstLine="0" w:firstLineChars="0"/>
        <w:jc w:val="center"/>
        <w:rPr>
          <w:bCs/>
          <w:snapToGrid w:val="0"/>
          <w:kern w:val="0"/>
          <w:szCs w:val="24"/>
        </w:rPr>
      </w:pPr>
    </w:p>
    <w:p w14:paraId="6F833B83">
      <w:pPr>
        <w:pStyle w:val="49"/>
        <w:spacing w:before="163" w:after="163"/>
        <w:rPr>
          <w:snapToGrid w:val="0"/>
        </w:rPr>
      </w:pPr>
      <w:r>
        <w:rPr>
          <w:snapToGrid w:val="0"/>
        </w:rPr>
        <w:t xml:space="preserve">图5.1-8   </w:t>
      </w:r>
      <w:r>
        <w:rPr>
          <w:rFonts w:hint="eastAsia"/>
          <w:snapToGrid w:val="0"/>
        </w:rPr>
        <w:t>克拉玛依</w:t>
      </w:r>
      <w:r>
        <w:rPr>
          <w:snapToGrid w:val="0"/>
        </w:rPr>
        <w:t>近20年月平均降水量    单位：mm</w:t>
      </w:r>
    </w:p>
    <w:p w14:paraId="22F8C7BE">
      <w:pPr>
        <w:ind w:firstLine="540" w:firstLineChars="225"/>
        <w:rPr>
          <w:bCs/>
          <w:snapToGrid w:val="0"/>
          <w:kern w:val="0"/>
          <w:szCs w:val="24"/>
        </w:rPr>
      </w:pPr>
      <w:r>
        <w:rPr>
          <w:bCs/>
          <w:snapToGrid w:val="0"/>
          <w:kern w:val="0"/>
          <w:szCs w:val="24"/>
        </w:rPr>
        <w:t>（2）降水年际变化趋势与周期分析</w:t>
      </w:r>
    </w:p>
    <w:p w14:paraId="4B7ABAA3">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气象站近20年年降水总量无明显变化趋势，201</w:t>
      </w:r>
      <w:r>
        <w:rPr>
          <w:rFonts w:hint="eastAsia"/>
          <w:bCs/>
          <w:snapToGrid w:val="0"/>
          <w:kern w:val="0"/>
          <w:szCs w:val="24"/>
        </w:rPr>
        <w:t>6</w:t>
      </w:r>
      <w:r>
        <w:rPr>
          <w:bCs/>
          <w:snapToGrid w:val="0"/>
          <w:kern w:val="0"/>
          <w:szCs w:val="24"/>
        </w:rPr>
        <w:t>年年总降水量最大（</w:t>
      </w:r>
      <w:r>
        <w:rPr>
          <w:rFonts w:hint="eastAsia"/>
          <w:bCs/>
          <w:snapToGrid w:val="0"/>
          <w:kern w:val="0"/>
          <w:szCs w:val="24"/>
        </w:rPr>
        <w:t>219.4</w:t>
      </w:r>
      <w:r>
        <w:rPr>
          <w:bCs/>
          <w:snapToGrid w:val="0"/>
          <w:kern w:val="0"/>
          <w:szCs w:val="24"/>
        </w:rPr>
        <w:t>毫米），20</w:t>
      </w:r>
      <w:r>
        <w:rPr>
          <w:rFonts w:hint="eastAsia"/>
          <w:bCs/>
          <w:snapToGrid w:val="0"/>
          <w:kern w:val="0"/>
          <w:szCs w:val="24"/>
        </w:rPr>
        <w:t>08</w:t>
      </w:r>
      <w:r>
        <w:rPr>
          <w:bCs/>
          <w:snapToGrid w:val="0"/>
          <w:kern w:val="0"/>
          <w:szCs w:val="24"/>
        </w:rPr>
        <w:t>年年总降水量最小（</w:t>
      </w:r>
      <w:r>
        <w:rPr>
          <w:rFonts w:hint="eastAsia"/>
          <w:bCs/>
          <w:snapToGrid w:val="0"/>
          <w:kern w:val="0"/>
          <w:szCs w:val="24"/>
        </w:rPr>
        <w:t>64.1</w:t>
      </w:r>
      <w:r>
        <w:rPr>
          <w:bCs/>
          <w:snapToGrid w:val="0"/>
          <w:kern w:val="0"/>
          <w:szCs w:val="24"/>
        </w:rPr>
        <w:t>毫米），周期为20年。</w:t>
      </w:r>
    </w:p>
    <w:p w14:paraId="1AA85634">
      <w:pPr>
        <w:adjustRightInd w:val="0"/>
        <w:snapToGrid w:val="0"/>
        <w:spacing w:line="240" w:lineRule="auto"/>
        <w:ind w:firstLine="0" w:firstLineChars="0"/>
        <w:jc w:val="center"/>
        <w:rPr>
          <w:bCs/>
          <w:snapToGrid w:val="0"/>
          <w:kern w:val="0"/>
          <w:szCs w:val="24"/>
        </w:rPr>
      </w:pPr>
    </w:p>
    <w:p w14:paraId="3048E998">
      <w:pPr>
        <w:pStyle w:val="49"/>
        <w:spacing w:before="163" w:after="163"/>
        <w:rPr>
          <w:bCs/>
          <w:snapToGrid w:val="0"/>
        </w:rPr>
      </w:pPr>
      <w:r>
        <w:rPr>
          <w:snapToGrid w:val="0"/>
        </w:rPr>
        <w:t xml:space="preserve">图5.1-9   </w:t>
      </w:r>
      <w:r>
        <w:rPr>
          <w:rFonts w:hint="eastAsia"/>
          <w:snapToGrid w:val="0"/>
        </w:rPr>
        <w:t>克拉玛依</w:t>
      </w:r>
      <w:r>
        <w:rPr>
          <w:snapToGrid w:val="0"/>
        </w:rPr>
        <w:t>近20年年总降水量   （单位：mm，虚线为趋势线）</w:t>
      </w:r>
    </w:p>
    <w:p w14:paraId="246444E2">
      <w:pPr>
        <w:ind w:firstLine="540" w:firstLineChars="225"/>
        <w:rPr>
          <w:bCs/>
          <w:snapToGrid w:val="0"/>
          <w:kern w:val="0"/>
          <w:szCs w:val="24"/>
        </w:rPr>
      </w:pPr>
      <w:r>
        <w:rPr>
          <w:bCs/>
          <w:snapToGrid w:val="0"/>
          <w:kern w:val="0"/>
          <w:szCs w:val="24"/>
        </w:rPr>
        <w:t>5、气象站日照分析</w:t>
      </w:r>
    </w:p>
    <w:p w14:paraId="554516DC">
      <w:pPr>
        <w:ind w:firstLine="540" w:firstLineChars="225"/>
        <w:rPr>
          <w:bCs/>
          <w:snapToGrid w:val="0"/>
          <w:kern w:val="0"/>
          <w:szCs w:val="24"/>
        </w:rPr>
      </w:pPr>
      <w:r>
        <w:rPr>
          <w:bCs/>
          <w:snapToGrid w:val="0"/>
          <w:kern w:val="0"/>
          <w:szCs w:val="24"/>
        </w:rPr>
        <w:t>（1）月日照时数</w:t>
      </w:r>
    </w:p>
    <w:p w14:paraId="642B976A">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w:t>
      </w:r>
      <w:r>
        <w:rPr>
          <w:rFonts w:hint="eastAsia"/>
          <w:bCs/>
          <w:snapToGrid w:val="0"/>
          <w:kern w:val="0"/>
          <w:szCs w:val="24"/>
        </w:rPr>
        <w:t>5</w:t>
      </w:r>
      <w:r>
        <w:rPr>
          <w:bCs/>
          <w:snapToGrid w:val="0"/>
          <w:kern w:val="0"/>
          <w:szCs w:val="24"/>
        </w:rPr>
        <w:t>月日照最长（</w:t>
      </w:r>
      <w:r>
        <w:rPr>
          <w:rFonts w:hint="eastAsia"/>
          <w:bCs/>
          <w:snapToGrid w:val="0"/>
          <w:kern w:val="0"/>
          <w:szCs w:val="24"/>
        </w:rPr>
        <w:t>307.5</w:t>
      </w:r>
      <w:r>
        <w:rPr>
          <w:bCs/>
          <w:snapToGrid w:val="0"/>
          <w:kern w:val="0"/>
          <w:szCs w:val="24"/>
        </w:rPr>
        <w:t>小时），12月日照最短（</w:t>
      </w:r>
      <w:r>
        <w:rPr>
          <w:rFonts w:hint="eastAsia"/>
          <w:bCs/>
          <w:snapToGrid w:val="0"/>
          <w:kern w:val="0"/>
          <w:szCs w:val="24"/>
        </w:rPr>
        <w:t>95.5</w:t>
      </w:r>
      <w:r>
        <w:rPr>
          <w:bCs/>
          <w:snapToGrid w:val="0"/>
          <w:kern w:val="0"/>
          <w:szCs w:val="24"/>
        </w:rPr>
        <w:t>小时）。</w:t>
      </w:r>
    </w:p>
    <w:p w14:paraId="015263C5">
      <w:pPr>
        <w:adjustRightInd w:val="0"/>
        <w:snapToGrid w:val="0"/>
        <w:spacing w:line="240" w:lineRule="auto"/>
        <w:ind w:firstLine="0" w:firstLineChars="0"/>
        <w:jc w:val="center"/>
        <w:rPr>
          <w:bCs/>
          <w:snapToGrid w:val="0"/>
          <w:kern w:val="0"/>
          <w:szCs w:val="24"/>
        </w:rPr>
      </w:pPr>
    </w:p>
    <w:p w14:paraId="6EF26ABF">
      <w:pPr>
        <w:pStyle w:val="49"/>
        <w:spacing w:before="163" w:after="163"/>
        <w:rPr>
          <w:snapToGrid w:val="0"/>
        </w:rPr>
      </w:pPr>
      <w:r>
        <w:rPr>
          <w:snapToGrid w:val="0"/>
        </w:rPr>
        <w:t xml:space="preserve">图5.1-10   </w:t>
      </w:r>
      <w:r>
        <w:rPr>
          <w:rFonts w:hint="eastAsia"/>
          <w:snapToGrid w:val="0"/>
        </w:rPr>
        <w:t>克拉玛依</w:t>
      </w:r>
      <w:r>
        <w:rPr>
          <w:snapToGrid w:val="0"/>
        </w:rPr>
        <w:t>近20年月日照时数    单位：小时</w:t>
      </w:r>
    </w:p>
    <w:p w14:paraId="397F5C6F">
      <w:pPr>
        <w:ind w:firstLine="540" w:firstLineChars="225"/>
        <w:rPr>
          <w:bCs/>
          <w:snapToGrid w:val="0"/>
          <w:kern w:val="0"/>
          <w:szCs w:val="24"/>
        </w:rPr>
      </w:pPr>
      <w:r>
        <w:rPr>
          <w:bCs/>
          <w:snapToGrid w:val="0"/>
          <w:kern w:val="0"/>
          <w:szCs w:val="24"/>
        </w:rPr>
        <w:t>（2）日照时数年际变化趋势与周期分析</w:t>
      </w:r>
    </w:p>
    <w:p w14:paraId="2C6FC29C">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气象站近</w:t>
      </w:r>
      <w:r>
        <w:rPr>
          <w:rFonts w:hint="eastAsia"/>
          <w:bCs/>
          <w:snapToGrid w:val="0"/>
          <w:kern w:val="0"/>
          <w:szCs w:val="24"/>
        </w:rPr>
        <w:t>2</w:t>
      </w:r>
      <w:r>
        <w:rPr>
          <w:bCs/>
          <w:snapToGrid w:val="0"/>
          <w:kern w:val="0"/>
          <w:szCs w:val="24"/>
        </w:rPr>
        <w:t>0年年日照时数呈现下降趋势，2012年年日照时数最长（29</w:t>
      </w:r>
      <w:r>
        <w:rPr>
          <w:rFonts w:hint="eastAsia"/>
          <w:bCs/>
          <w:snapToGrid w:val="0"/>
          <w:kern w:val="0"/>
          <w:szCs w:val="24"/>
        </w:rPr>
        <w:t>56.6</w:t>
      </w:r>
      <w:r>
        <w:rPr>
          <w:bCs/>
          <w:snapToGrid w:val="0"/>
          <w:kern w:val="0"/>
          <w:szCs w:val="24"/>
        </w:rPr>
        <w:t>小时），20</w:t>
      </w:r>
      <w:r>
        <w:rPr>
          <w:rFonts w:hint="eastAsia"/>
          <w:bCs/>
          <w:snapToGrid w:val="0"/>
          <w:kern w:val="0"/>
          <w:szCs w:val="24"/>
        </w:rPr>
        <w:t>17</w:t>
      </w:r>
      <w:r>
        <w:rPr>
          <w:bCs/>
          <w:snapToGrid w:val="0"/>
          <w:kern w:val="0"/>
          <w:szCs w:val="24"/>
        </w:rPr>
        <w:t>年年日照时数最短（2</w:t>
      </w:r>
      <w:r>
        <w:rPr>
          <w:rFonts w:hint="eastAsia"/>
          <w:bCs/>
          <w:snapToGrid w:val="0"/>
          <w:kern w:val="0"/>
          <w:szCs w:val="24"/>
        </w:rPr>
        <w:t>407.2</w:t>
      </w:r>
      <w:r>
        <w:rPr>
          <w:bCs/>
          <w:snapToGrid w:val="0"/>
          <w:kern w:val="0"/>
          <w:szCs w:val="24"/>
        </w:rPr>
        <w:t>小时），周期为20年。</w:t>
      </w:r>
    </w:p>
    <w:p w14:paraId="56516EDD">
      <w:pPr>
        <w:adjustRightInd w:val="0"/>
        <w:snapToGrid w:val="0"/>
        <w:spacing w:line="240" w:lineRule="auto"/>
        <w:ind w:firstLine="0" w:firstLineChars="0"/>
        <w:jc w:val="center"/>
        <w:rPr>
          <w:bCs/>
          <w:snapToGrid w:val="0"/>
          <w:kern w:val="0"/>
          <w:szCs w:val="24"/>
        </w:rPr>
      </w:pPr>
    </w:p>
    <w:p w14:paraId="5DD91958">
      <w:pPr>
        <w:pStyle w:val="49"/>
        <w:spacing w:before="163" w:after="163"/>
        <w:rPr>
          <w:snapToGrid w:val="0"/>
        </w:rPr>
      </w:pPr>
      <w:r>
        <w:rPr>
          <w:snapToGrid w:val="0"/>
        </w:rPr>
        <w:t xml:space="preserve">图5.1-11   </w:t>
      </w:r>
      <w:r>
        <w:rPr>
          <w:rFonts w:hint="eastAsia"/>
          <w:snapToGrid w:val="0"/>
        </w:rPr>
        <w:t>克拉玛依</w:t>
      </w:r>
      <w:r>
        <w:rPr>
          <w:snapToGrid w:val="0"/>
        </w:rPr>
        <w:t>近20年年日照时长  （单位：小时，虚线为趋势线）</w:t>
      </w:r>
    </w:p>
    <w:p w14:paraId="7FE9F00B">
      <w:pPr>
        <w:ind w:firstLine="540" w:firstLineChars="225"/>
        <w:rPr>
          <w:bCs/>
          <w:snapToGrid w:val="0"/>
          <w:kern w:val="0"/>
          <w:szCs w:val="24"/>
        </w:rPr>
      </w:pPr>
      <w:r>
        <w:rPr>
          <w:bCs/>
          <w:snapToGrid w:val="0"/>
          <w:kern w:val="0"/>
          <w:szCs w:val="24"/>
        </w:rPr>
        <w:t>6、气象站相对湿度分析</w:t>
      </w:r>
    </w:p>
    <w:p w14:paraId="68D0F162">
      <w:pPr>
        <w:ind w:firstLine="540" w:firstLineChars="225"/>
        <w:rPr>
          <w:bCs/>
          <w:snapToGrid w:val="0"/>
          <w:kern w:val="0"/>
          <w:szCs w:val="24"/>
        </w:rPr>
      </w:pPr>
      <w:r>
        <w:rPr>
          <w:bCs/>
          <w:snapToGrid w:val="0"/>
          <w:kern w:val="0"/>
          <w:szCs w:val="24"/>
        </w:rPr>
        <w:t>（1）月相对湿度分析</w:t>
      </w:r>
    </w:p>
    <w:p w14:paraId="44D05177">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w:t>
      </w:r>
      <w:r>
        <w:rPr>
          <w:rFonts w:hint="eastAsia"/>
          <w:bCs/>
          <w:snapToGrid w:val="0"/>
          <w:kern w:val="0"/>
          <w:szCs w:val="24"/>
        </w:rPr>
        <w:t>1</w:t>
      </w:r>
      <w:r>
        <w:rPr>
          <w:bCs/>
          <w:snapToGrid w:val="0"/>
          <w:kern w:val="0"/>
          <w:szCs w:val="24"/>
        </w:rPr>
        <w:t>月平均相对湿度最大（</w:t>
      </w:r>
      <w:r>
        <w:rPr>
          <w:rFonts w:hint="eastAsia"/>
          <w:bCs/>
          <w:snapToGrid w:val="0"/>
          <w:kern w:val="0"/>
          <w:szCs w:val="24"/>
        </w:rPr>
        <w:t>77.7</w:t>
      </w:r>
      <w:r>
        <w:rPr>
          <w:bCs/>
          <w:snapToGrid w:val="0"/>
          <w:kern w:val="0"/>
          <w:szCs w:val="24"/>
        </w:rPr>
        <w:t>%），5月平均相对湿度最小（</w:t>
      </w:r>
      <w:r>
        <w:rPr>
          <w:rFonts w:hint="eastAsia"/>
          <w:bCs/>
          <w:snapToGrid w:val="0"/>
          <w:kern w:val="0"/>
          <w:szCs w:val="24"/>
        </w:rPr>
        <w:t>30.8</w:t>
      </w:r>
      <w:r>
        <w:rPr>
          <w:bCs/>
          <w:snapToGrid w:val="0"/>
          <w:kern w:val="0"/>
          <w:szCs w:val="24"/>
        </w:rPr>
        <w:t>%）。</w:t>
      </w:r>
    </w:p>
    <w:p w14:paraId="76CB6B1C">
      <w:pPr>
        <w:adjustRightInd w:val="0"/>
        <w:snapToGrid w:val="0"/>
        <w:spacing w:line="240" w:lineRule="auto"/>
        <w:ind w:firstLine="0" w:firstLineChars="0"/>
        <w:jc w:val="center"/>
        <w:rPr>
          <w:bCs/>
          <w:snapToGrid w:val="0"/>
          <w:kern w:val="0"/>
          <w:szCs w:val="24"/>
        </w:rPr>
      </w:pPr>
    </w:p>
    <w:p w14:paraId="6070DB49">
      <w:pPr>
        <w:pStyle w:val="49"/>
        <w:spacing w:before="163" w:after="163"/>
        <w:rPr>
          <w:snapToGrid w:val="0"/>
        </w:rPr>
      </w:pPr>
      <w:r>
        <w:rPr>
          <w:snapToGrid w:val="0"/>
        </w:rPr>
        <w:t xml:space="preserve">图5.1-12   </w:t>
      </w:r>
      <w:r>
        <w:rPr>
          <w:rFonts w:hint="eastAsia"/>
          <w:snapToGrid w:val="0"/>
        </w:rPr>
        <w:t>克拉玛依</w:t>
      </w:r>
      <w:r>
        <w:rPr>
          <w:snapToGrid w:val="0"/>
        </w:rPr>
        <w:t>近20年月平均相对湿度（纵轴为百分比）</w:t>
      </w:r>
    </w:p>
    <w:p w14:paraId="7960E372">
      <w:pPr>
        <w:ind w:firstLine="540" w:firstLineChars="225"/>
        <w:rPr>
          <w:bCs/>
          <w:snapToGrid w:val="0"/>
          <w:kern w:val="0"/>
          <w:szCs w:val="24"/>
        </w:rPr>
      </w:pPr>
      <w:r>
        <w:rPr>
          <w:bCs/>
          <w:snapToGrid w:val="0"/>
          <w:kern w:val="0"/>
          <w:szCs w:val="24"/>
        </w:rPr>
        <w:t>（2）相对湿度年际变化趋势与周期分析</w:t>
      </w:r>
    </w:p>
    <w:p w14:paraId="4E204F4B">
      <w:pPr>
        <w:ind w:firstLine="540" w:firstLineChars="225"/>
        <w:rPr>
          <w:bCs/>
          <w:snapToGrid w:val="0"/>
          <w:kern w:val="0"/>
          <w:szCs w:val="24"/>
        </w:rPr>
      </w:pPr>
      <w:r>
        <w:rPr>
          <w:rFonts w:hint="eastAsia"/>
          <w:bCs/>
          <w:snapToGrid w:val="0"/>
          <w:kern w:val="0"/>
          <w:szCs w:val="24"/>
        </w:rPr>
        <w:t>克拉玛依</w:t>
      </w:r>
      <w:r>
        <w:rPr>
          <w:bCs/>
          <w:snapToGrid w:val="0"/>
          <w:kern w:val="0"/>
          <w:szCs w:val="24"/>
        </w:rPr>
        <w:t>气象站近20年年平均相对湿度呈现下降趋势，2016年年平均相对湿度最大（</w:t>
      </w:r>
      <w:r>
        <w:rPr>
          <w:rFonts w:hint="eastAsia"/>
          <w:bCs/>
          <w:snapToGrid w:val="0"/>
          <w:kern w:val="0"/>
          <w:szCs w:val="24"/>
        </w:rPr>
        <w:t>54</w:t>
      </w:r>
      <w:r>
        <w:rPr>
          <w:bCs/>
          <w:snapToGrid w:val="0"/>
          <w:kern w:val="0"/>
          <w:szCs w:val="24"/>
        </w:rPr>
        <w:t>%），20</w:t>
      </w:r>
      <w:r>
        <w:rPr>
          <w:rFonts w:hint="eastAsia"/>
          <w:bCs/>
          <w:snapToGrid w:val="0"/>
          <w:kern w:val="0"/>
          <w:szCs w:val="24"/>
        </w:rPr>
        <w:t>08</w:t>
      </w:r>
      <w:r>
        <w:rPr>
          <w:bCs/>
          <w:snapToGrid w:val="0"/>
          <w:kern w:val="0"/>
          <w:szCs w:val="24"/>
        </w:rPr>
        <w:t>年年平均相对湿度最小（</w:t>
      </w:r>
      <w:r>
        <w:rPr>
          <w:rFonts w:hint="eastAsia"/>
          <w:bCs/>
          <w:snapToGrid w:val="0"/>
          <w:kern w:val="0"/>
          <w:szCs w:val="24"/>
        </w:rPr>
        <w:t>46</w:t>
      </w:r>
      <w:r>
        <w:rPr>
          <w:bCs/>
          <w:snapToGrid w:val="0"/>
          <w:kern w:val="0"/>
          <w:szCs w:val="24"/>
        </w:rPr>
        <w:t>%），周期为20年。</w:t>
      </w:r>
    </w:p>
    <w:p w14:paraId="44CC3369">
      <w:pPr>
        <w:snapToGrid w:val="0"/>
        <w:spacing w:line="240" w:lineRule="auto"/>
        <w:ind w:firstLine="0" w:firstLineChars="0"/>
        <w:jc w:val="both"/>
        <w:rPr>
          <w:bCs/>
          <w:snapToGrid w:val="0"/>
          <w:kern w:val="0"/>
          <w:szCs w:val="24"/>
        </w:rPr>
      </w:pPr>
    </w:p>
    <w:p w14:paraId="1D6D695E">
      <w:pPr>
        <w:pStyle w:val="49"/>
        <w:spacing w:before="163" w:after="163"/>
      </w:pPr>
      <w:r>
        <w:t xml:space="preserve">图5.1-13  </w:t>
      </w:r>
      <w:r>
        <w:rPr>
          <w:rFonts w:hint="eastAsia"/>
        </w:rPr>
        <w:t>克拉玛依</w:t>
      </w:r>
      <w:r>
        <w:t>近20年平均相对湿度（纵轴为百分比，虚线为趋势线）</w:t>
      </w:r>
    </w:p>
    <w:p w14:paraId="3267F694">
      <w:pPr>
        <w:pStyle w:val="43"/>
      </w:pPr>
      <w:bookmarkStart w:id="401" w:name="_Toc79515489"/>
      <w:bookmarkStart w:id="402" w:name="_Toc77007818"/>
      <w:bookmarkStart w:id="403" w:name="_Toc81214112"/>
      <w:bookmarkStart w:id="404" w:name="_Toc80193118"/>
      <w:bookmarkStart w:id="405" w:name="_Toc80973544"/>
      <w:bookmarkStart w:id="406" w:name="_Toc152864214"/>
      <w:bookmarkStart w:id="407" w:name="_Toc82518800"/>
      <w:r>
        <w:rPr>
          <w:rFonts w:hint="eastAsia"/>
        </w:rPr>
        <w:t>污染气象</w:t>
      </w:r>
      <w:bookmarkEnd w:id="401"/>
      <w:bookmarkEnd w:id="402"/>
      <w:bookmarkEnd w:id="403"/>
      <w:bookmarkEnd w:id="404"/>
      <w:bookmarkEnd w:id="405"/>
      <w:r>
        <w:rPr>
          <w:rFonts w:hint="eastAsia"/>
        </w:rPr>
        <w:t>特征</w:t>
      </w:r>
      <w:bookmarkEnd w:id="406"/>
      <w:bookmarkEnd w:id="407"/>
    </w:p>
    <w:p w14:paraId="6AD772CC">
      <w:pPr>
        <w:ind w:firstLine="480"/>
      </w:pPr>
      <w:r>
        <w:rPr>
          <w:rFonts w:hint="eastAsia"/>
        </w:rPr>
        <w:t>（1）温度</w:t>
      </w:r>
    </w:p>
    <w:p w14:paraId="68AD5B83">
      <w:pPr>
        <w:ind w:firstLine="480"/>
      </w:pPr>
      <w:r>
        <w:t>当地年平均气温月变化情况见</w:t>
      </w:r>
      <w:r>
        <w:rPr>
          <w:rFonts w:hint="eastAsia"/>
        </w:rPr>
        <w:t>表5</w:t>
      </w:r>
      <w:r>
        <w:t>.1-7，年平均气温月变化曲线见</w:t>
      </w:r>
      <w:r>
        <w:rPr>
          <w:rFonts w:hint="eastAsia"/>
        </w:rPr>
        <w:t>图5</w:t>
      </w:r>
      <w:r>
        <w:t>.1-14。从2022年年平均气温月变化资料中可以看出当地7月份平均气温最高（2</w:t>
      </w:r>
      <w:r>
        <w:rPr>
          <w:rFonts w:hint="eastAsia"/>
        </w:rPr>
        <w:t>9.</w:t>
      </w:r>
      <w:r>
        <w:t>4℃），1月份气温平均最低（-16.</w:t>
      </w:r>
      <w:r>
        <w:rPr>
          <w:rFonts w:hint="eastAsia"/>
        </w:rPr>
        <w:t>5</w:t>
      </w:r>
      <w:r>
        <w:t>℃）。</w:t>
      </w:r>
    </w:p>
    <w:p w14:paraId="7482C093">
      <w:pPr>
        <w:ind w:firstLine="480"/>
      </w:pPr>
    </w:p>
    <w:p w14:paraId="11B26DC5">
      <w:pPr>
        <w:pStyle w:val="47"/>
        <w:spacing w:before="65"/>
      </w:pPr>
      <w:r>
        <w:rPr>
          <w:rFonts w:hint="eastAsia"/>
        </w:rPr>
        <w:t>表5</w:t>
      </w:r>
      <w:r>
        <w:t xml:space="preserve">.1-7   </w:t>
      </w:r>
      <w:r>
        <w:rPr>
          <w:rFonts w:hint="eastAsia"/>
        </w:rPr>
        <w:t>年平均温度月变化统计结果一览表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71"/>
        <w:gridCol w:w="557"/>
        <w:gridCol w:w="557"/>
        <w:gridCol w:w="511"/>
        <w:gridCol w:w="602"/>
        <w:gridCol w:w="602"/>
        <w:gridCol w:w="603"/>
        <w:gridCol w:w="603"/>
        <w:gridCol w:w="603"/>
        <w:gridCol w:w="603"/>
        <w:gridCol w:w="645"/>
        <w:gridCol w:w="635"/>
        <w:gridCol w:w="690"/>
        <w:gridCol w:w="548"/>
      </w:tblGrid>
      <w:tr w14:paraId="2F57C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57" w:type="pct"/>
            <w:shd w:val="clear" w:color="auto" w:fill="auto"/>
            <w:vAlign w:val="center"/>
          </w:tcPr>
          <w:p w14:paraId="67CCF385">
            <w:pPr>
              <w:adjustRightInd w:val="0"/>
              <w:snapToGrid w:val="0"/>
              <w:spacing w:line="240" w:lineRule="auto"/>
              <w:ind w:firstLine="0" w:firstLineChars="0"/>
              <w:jc w:val="center"/>
              <w:rPr>
                <w:sz w:val="21"/>
                <w:szCs w:val="21"/>
                <w:lang w:eastAsia="en-US"/>
              </w:rPr>
            </w:pPr>
            <w:r>
              <w:rPr>
                <w:sz w:val="21"/>
                <w:szCs w:val="21"/>
                <w:lang w:eastAsia="en-US"/>
              </w:rPr>
              <w:t>月份</w:t>
            </w:r>
          </w:p>
        </w:tc>
        <w:tc>
          <w:tcPr>
            <w:tcW w:w="320" w:type="pct"/>
            <w:shd w:val="clear" w:color="auto" w:fill="auto"/>
            <w:vAlign w:val="center"/>
          </w:tcPr>
          <w:p w14:paraId="2582C344">
            <w:pPr>
              <w:adjustRightInd w:val="0"/>
              <w:snapToGrid w:val="0"/>
              <w:spacing w:line="240" w:lineRule="auto"/>
              <w:ind w:firstLine="0" w:firstLineChars="0"/>
              <w:jc w:val="center"/>
              <w:rPr>
                <w:sz w:val="21"/>
                <w:szCs w:val="21"/>
                <w:lang w:eastAsia="en-US"/>
              </w:rPr>
            </w:pPr>
            <w:r>
              <w:rPr>
                <w:rFonts w:eastAsia="Times New Roman"/>
                <w:sz w:val="21"/>
                <w:szCs w:val="21"/>
                <w:lang w:eastAsia="en-US"/>
              </w:rPr>
              <w:t>1</w:t>
            </w:r>
            <w:r>
              <w:rPr>
                <w:sz w:val="21"/>
                <w:szCs w:val="21"/>
                <w:lang w:eastAsia="en-US"/>
              </w:rPr>
              <w:t>月</w:t>
            </w:r>
          </w:p>
        </w:tc>
        <w:tc>
          <w:tcPr>
            <w:tcW w:w="320" w:type="pct"/>
            <w:shd w:val="clear" w:color="auto" w:fill="auto"/>
            <w:vAlign w:val="center"/>
          </w:tcPr>
          <w:p w14:paraId="1885AD35">
            <w:pPr>
              <w:adjustRightInd w:val="0"/>
              <w:snapToGrid w:val="0"/>
              <w:spacing w:line="240" w:lineRule="auto"/>
              <w:ind w:firstLine="0" w:firstLineChars="0"/>
              <w:jc w:val="center"/>
              <w:rPr>
                <w:sz w:val="21"/>
                <w:szCs w:val="21"/>
                <w:lang w:eastAsia="en-US"/>
              </w:rPr>
            </w:pPr>
            <w:r>
              <w:rPr>
                <w:rFonts w:eastAsia="Times New Roman"/>
                <w:sz w:val="21"/>
                <w:szCs w:val="21"/>
                <w:lang w:eastAsia="en-US"/>
              </w:rPr>
              <w:t>2</w:t>
            </w:r>
            <w:r>
              <w:rPr>
                <w:sz w:val="21"/>
                <w:szCs w:val="21"/>
                <w:lang w:eastAsia="en-US"/>
              </w:rPr>
              <w:t>月</w:t>
            </w:r>
          </w:p>
        </w:tc>
        <w:tc>
          <w:tcPr>
            <w:tcW w:w="294" w:type="pct"/>
            <w:shd w:val="clear" w:color="auto" w:fill="auto"/>
            <w:vAlign w:val="center"/>
          </w:tcPr>
          <w:p w14:paraId="0FEDB1BC">
            <w:pPr>
              <w:adjustRightInd w:val="0"/>
              <w:snapToGrid w:val="0"/>
              <w:spacing w:line="240" w:lineRule="auto"/>
              <w:ind w:firstLine="0" w:firstLineChars="0"/>
              <w:jc w:val="center"/>
              <w:rPr>
                <w:sz w:val="21"/>
                <w:szCs w:val="21"/>
                <w:lang w:eastAsia="en-US"/>
              </w:rPr>
            </w:pPr>
            <w:r>
              <w:rPr>
                <w:rFonts w:eastAsia="Times New Roman"/>
                <w:sz w:val="21"/>
                <w:szCs w:val="21"/>
                <w:lang w:eastAsia="en-US"/>
              </w:rPr>
              <w:t>3</w:t>
            </w:r>
            <w:r>
              <w:rPr>
                <w:sz w:val="21"/>
                <w:szCs w:val="21"/>
                <w:lang w:eastAsia="en-US"/>
              </w:rPr>
              <w:t>月</w:t>
            </w:r>
          </w:p>
        </w:tc>
        <w:tc>
          <w:tcPr>
            <w:tcW w:w="346" w:type="pct"/>
            <w:shd w:val="clear" w:color="auto" w:fill="auto"/>
            <w:vAlign w:val="center"/>
          </w:tcPr>
          <w:p w14:paraId="6E09FEB4">
            <w:pPr>
              <w:adjustRightInd w:val="0"/>
              <w:snapToGrid w:val="0"/>
              <w:spacing w:line="240" w:lineRule="auto"/>
              <w:ind w:firstLine="0" w:firstLineChars="0"/>
              <w:jc w:val="center"/>
              <w:rPr>
                <w:sz w:val="21"/>
                <w:szCs w:val="21"/>
                <w:lang w:eastAsia="en-US"/>
              </w:rPr>
            </w:pPr>
            <w:r>
              <w:rPr>
                <w:rFonts w:eastAsia="Times New Roman"/>
                <w:sz w:val="21"/>
                <w:szCs w:val="21"/>
                <w:lang w:eastAsia="en-US"/>
              </w:rPr>
              <w:t>4</w:t>
            </w:r>
            <w:r>
              <w:rPr>
                <w:sz w:val="21"/>
                <w:szCs w:val="21"/>
                <w:lang w:eastAsia="en-US"/>
              </w:rPr>
              <w:t>月</w:t>
            </w:r>
          </w:p>
        </w:tc>
        <w:tc>
          <w:tcPr>
            <w:tcW w:w="346" w:type="pct"/>
            <w:shd w:val="clear" w:color="auto" w:fill="auto"/>
            <w:vAlign w:val="center"/>
          </w:tcPr>
          <w:p w14:paraId="2F1748FE">
            <w:pPr>
              <w:adjustRightInd w:val="0"/>
              <w:snapToGrid w:val="0"/>
              <w:spacing w:line="240" w:lineRule="auto"/>
              <w:ind w:firstLine="0" w:firstLineChars="0"/>
              <w:jc w:val="center"/>
              <w:rPr>
                <w:sz w:val="21"/>
                <w:szCs w:val="21"/>
                <w:lang w:eastAsia="en-US"/>
              </w:rPr>
            </w:pPr>
            <w:r>
              <w:rPr>
                <w:rFonts w:eastAsia="Times New Roman"/>
                <w:sz w:val="21"/>
                <w:szCs w:val="21"/>
                <w:lang w:eastAsia="en-US"/>
              </w:rPr>
              <w:t>5</w:t>
            </w:r>
            <w:r>
              <w:rPr>
                <w:sz w:val="21"/>
                <w:szCs w:val="21"/>
                <w:lang w:eastAsia="en-US"/>
              </w:rPr>
              <w:t>月</w:t>
            </w:r>
          </w:p>
        </w:tc>
        <w:tc>
          <w:tcPr>
            <w:tcW w:w="346" w:type="pct"/>
            <w:shd w:val="clear" w:color="auto" w:fill="auto"/>
            <w:vAlign w:val="center"/>
          </w:tcPr>
          <w:p w14:paraId="260B4E31">
            <w:pPr>
              <w:adjustRightInd w:val="0"/>
              <w:snapToGrid w:val="0"/>
              <w:spacing w:line="240" w:lineRule="auto"/>
              <w:ind w:firstLine="0" w:firstLineChars="0"/>
              <w:jc w:val="center"/>
              <w:rPr>
                <w:sz w:val="21"/>
                <w:szCs w:val="21"/>
                <w:lang w:eastAsia="en-US"/>
              </w:rPr>
            </w:pPr>
            <w:r>
              <w:rPr>
                <w:rFonts w:eastAsia="Times New Roman"/>
                <w:sz w:val="21"/>
                <w:szCs w:val="21"/>
                <w:lang w:eastAsia="en-US"/>
              </w:rPr>
              <w:t>6</w:t>
            </w:r>
            <w:r>
              <w:rPr>
                <w:sz w:val="21"/>
                <w:szCs w:val="21"/>
                <w:lang w:eastAsia="en-US"/>
              </w:rPr>
              <w:t>月</w:t>
            </w:r>
          </w:p>
        </w:tc>
        <w:tc>
          <w:tcPr>
            <w:tcW w:w="346" w:type="pct"/>
            <w:shd w:val="clear" w:color="auto" w:fill="auto"/>
            <w:vAlign w:val="center"/>
          </w:tcPr>
          <w:p w14:paraId="5C54F54C">
            <w:pPr>
              <w:adjustRightInd w:val="0"/>
              <w:snapToGrid w:val="0"/>
              <w:spacing w:line="240" w:lineRule="auto"/>
              <w:ind w:firstLine="0" w:firstLineChars="0"/>
              <w:jc w:val="center"/>
              <w:rPr>
                <w:sz w:val="21"/>
                <w:szCs w:val="21"/>
                <w:lang w:eastAsia="en-US"/>
              </w:rPr>
            </w:pPr>
            <w:r>
              <w:rPr>
                <w:rFonts w:eastAsia="Times New Roman"/>
                <w:sz w:val="21"/>
                <w:szCs w:val="21"/>
                <w:lang w:eastAsia="en-US"/>
              </w:rPr>
              <w:t>7</w:t>
            </w:r>
            <w:r>
              <w:rPr>
                <w:sz w:val="21"/>
                <w:szCs w:val="21"/>
                <w:lang w:eastAsia="en-US"/>
              </w:rPr>
              <w:t>月</w:t>
            </w:r>
          </w:p>
        </w:tc>
        <w:tc>
          <w:tcPr>
            <w:tcW w:w="346" w:type="pct"/>
            <w:shd w:val="clear" w:color="auto" w:fill="auto"/>
            <w:vAlign w:val="center"/>
          </w:tcPr>
          <w:p w14:paraId="013F33DA">
            <w:pPr>
              <w:adjustRightInd w:val="0"/>
              <w:snapToGrid w:val="0"/>
              <w:spacing w:line="240" w:lineRule="auto"/>
              <w:ind w:firstLine="0" w:firstLineChars="0"/>
              <w:jc w:val="center"/>
              <w:rPr>
                <w:sz w:val="21"/>
                <w:szCs w:val="21"/>
                <w:lang w:eastAsia="en-US"/>
              </w:rPr>
            </w:pPr>
            <w:r>
              <w:rPr>
                <w:rFonts w:eastAsia="Times New Roman"/>
                <w:sz w:val="21"/>
                <w:szCs w:val="21"/>
                <w:lang w:eastAsia="en-US"/>
              </w:rPr>
              <w:t>8</w:t>
            </w:r>
            <w:r>
              <w:rPr>
                <w:sz w:val="21"/>
                <w:szCs w:val="21"/>
                <w:lang w:eastAsia="en-US"/>
              </w:rPr>
              <w:t>月</w:t>
            </w:r>
          </w:p>
        </w:tc>
        <w:tc>
          <w:tcPr>
            <w:tcW w:w="346" w:type="pct"/>
            <w:shd w:val="clear" w:color="auto" w:fill="auto"/>
            <w:vAlign w:val="center"/>
          </w:tcPr>
          <w:p w14:paraId="0B263C55">
            <w:pPr>
              <w:adjustRightInd w:val="0"/>
              <w:snapToGrid w:val="0"/>
              <w:spacing w:line="240" w:lineRule="auto"/>
              <w:ind w:firstLine="0" w:firstLineChars="0"/>
              <w:jc w:val="center"/>
              <w:rPr>
                <w:sz w:val="21"/>
                <w:szCs w:val="21"/>
                <w:lang w:eastAsia="en-US"/>
              </w:rPr>
            </w:pPr>
            <w:r>
              <w:rPr>
                <w:rFonts w:eastAsia="Times New Roman"/>
                <w:sz w:val="21"/>
                <w:szCs w:val="21"/>
                <w:lang w:eastAsia="en-US"/>
              </w:rPr>
              <w:t>9</w:t>
            </w:r>
            <w:r>
              <w:rPr>
                <w:sz w:val="21"/>
                <w:szCs w:val="21"/>
                <w:lang w:eastAsia="en-US"/>
              </w:rPr>
              <w:t>月</w:t>
            </w:r>
          </w:p>
        </w:tc>
        <w:tc>
          <w:tcPr>
            <w:tcW w:w="370" w:type="pct"/>
            <w:shd w:val="clear" w:color="auto" w:fill="auto"/>
            <w:vAlign w:val="center"/>
          </w:tcPr>
          <w:p w14:paraId="3277808F">
            <w:pPr>
              <w:adjustRightInd w:val="0"/>
              <w:snapToGrid w:val="0"/>
              <w:spacing w:line="240" w:lineRule="auto"/>
              <w:ind w:firstLine="0" w:firstLineChars="0"/>
              <w:jc w:val="center"/>
              <w:rPr>
                <w:sz w:val="21"/>
                <w:szCs w:val="21"/>
                <w:lang w:eastAsia="en-US"/>
              </w:rPr>
            </w:pPr>
            <w:r>
              <w:rPr>
                <w:rFonts w:eastAsia="Times New Roman"/>
                <w:spacing w:val="1"/>
                <w:sz w:val="21"/>
                <w:szCs w:val="21"/>
                <w:lang w:eastAsia="en-US"/>
              </w:rPr>
              <w:t>1</w:t>
            </w:r>
            <w:r>
              <w:rPr>
                <w:rFonts w:eastAsia="Times New Roman"/>
                <w:sz w:val="21"/>
                <w:szCs w:val="21"/>
                <w:lang w:eastAsia="en-US"/>
              </w:rPr>
              <w:t>0</w:t>
            </w:r>
            <w:r>
              <w:rPr>
                <w:sz w:val="21"/>
                <w:szCs w:val="21"/>
                <w:lang w:eastAsia="en-US"/>
              </w:rPr>
              <w:t>月</w:t>
            </w:r>
          </w:p>
        </w:tc>
        <w:tc>
          <w:tcPr>
            <w:tcW w:w="364" w:type="pct"/>
            <w:shd w:val="clear" w:color="auto" w:fill="auto"/>
            <w:vAlign w:val="center"/>
          </w:tcPr>
          <w:p w14:paraId="5CC6D3B3">
            <w:pPr>
              <w:adjustRightInd w:val="0"/>
              <w:snapToGrid w:val="0"/>
              <w:spacing w:line="240" w:lineRule="auto"/>
              <w:ind w:firstLine="0" w:firstLineChars="0"/>
              <w:jc w:val="center"/>
              <w:rPr>
                <w:sz w:val="21"/>
                <w:szCs w:val="21"/>
                <w:lang w:eastAsia="en-US"/>
              </w:rPr>
            </w:pPr>
            <w:r>
              <w:rPr>
                <w:rFonts w:eastAsia="Times New Roman"/>
                <w:spacing w:val="1"/>
                <w:sz w:val="21"/>
                <w:szCs w:val="21"/>
                <w:lang w:eastAsia="en-US"/>
              </w:rPr>
              <w:t>1</w:t>
            </w:r>
            <w:r>
              <w:rPr>
                <w:rFonts w:eastAsia="Times New Roman"/>
                <w:sz w:val="21"/>
                <w:szCs w:val="21"/>
                <w:lang w:eastAsia="en-US"/>
              </w:rPr>
              <w:t>1</w:t>
            </w:r>
            <w:r>
              <w:rPr>
                <w:sz w:val="21"/>
                <w:szCs w:val="21"/>
                <w:lang w:eastAsia="en-US"/>
              </w:rPr>
              <w:t>月</w:t>
            </w:r>
          </w:p>
        </w:tc>
        <w:tc>
          <w:tcPr>
            <w:tcW w:w="396" w:type="pct"/>
            <w:shd w:val="clear" w:color="auto" w:fill="auto"/>
            <w:vAlign w:val="center"/>
          </w:tcPr>
          <w:p w14:paraId="18B70E86">
            <w:pPr>
              <w:adjustRightInd w:val="0"/>
              <w:snapToGrid w:val="0"/>
              <w:spacing w:line="240" w:lineRule="auto"/>
              <w:ind w:firstLine="0" w:firstLineChars="0"/>
              <w:jc w:val="center"/>
              <w:rPr>
                <w:sz w:val="21"/>
                <w:szCs w:val="21"/>
                <w:lang w:eastAsia="en-US"/>
              </w:rPr>
            </w:pPr>
            <w:r>
              <w:rPr>
                <w:rFonts w:eastAsia="Times New Roman"/>
                <w:spacing w:val="1"/>
                <w:sz w:val="21"/>
                <w:szCs w:val="21"/>
                <w:lang w:eastAsia="en-US"/>
              </w:rPr>
              <w:t>1</w:t>
            </w:r>
            <w:r>
              <w:rPr>
                <w:rFonts w:eastAsia="Times New Roman"/>
                <w:sz w:val="21"/>
                <w:szCs w:val="21"/>
                <w:lang w:eastAsia="en-US"/>
              </w:rPr>
              <w:t>2</w:t>
            </w:r>
            <w:r>
              <w:rPr>
                <w:sz w:val="21"/>
                <w:szCs w:val="21"/>
                <w:lang w:eastAsia="en-US"/>
              </w:rPr>
              <w:t>月</w:t>
            </w:r>
          </w:p>
        </w:tc>
        <w:tc>
          <w:tcPr>
            <w:tcW w:w="303" w:type="pct"/>
            <w:shd w:val="clear" w:color="auto" w:fill="auto"/>
            <w:vAlign w:val="center"/>
          </w:tcPr>
          <w:p w14:paraId="1DA3725F">
            <w:pPr>
              <w:adjustRightInd w:val="0"/>
              <w:snapToGrid w:val="0"/>
              <w:spacing w:line="240" w:lineRule="auto"/>
              <w:ind w:firstLine="0" w:firstLineChars="0"/>
              <w:jc w:val="center"/>
              <w:rPr>
                <w:sz w:val="21"/>
                <w:szCs w:val="21"/>
                <w:lang w:eastAsia="en-US"/>
              </w:rPr>
            </w:pPr>
            <w:r>
              <w:rPr>
                <w:sz w:val="21"/>
                <w:szCs w:val="21"/>
                <w:lang w:eastAsia="en-US"/>
              </w:rPr>
              <w:t>年均</w:t>
            </w:r>
          </w:p>
        </w:tc>
      </w:tr>
      <w:tr w14:paraId="4E7687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57" w:type="pct"/>
            <w:shd w:val="clear" w:color="auto" w:fill="auto"/>
            <w:vAlign w:val="center"/>
          </w:tcPr>
          <w:p w14:paraId="12300452">
            <w:pPr>
              <w:adjustRightInd w:val="0"/>
              <w:snapToGrid w:val="0"/>
              <w:spacing w:line="240" w:lineRule="auto"/>
              <w:ind w:firstLine="0" w:firstLineChars="0"/>
              <w:jc w:val="center"/>
              <w:rPr>
                <w:rFonts w:eastAsia="Times New Roman"/>
                <w:sz w:val="21"/>
                <w:szCs w:val="21"/>
                <w:lang w:eastAsia="en-US"/>
              </w:rPr>
            </w:pPr>
            <w:r>
              <w:rPr>
                <w:sz w:val="21"/>
                <w:szCs w:val="21"/>
                <w:lang w:eastAsia="en-US"/>
              </w:rPr>
              <w:t>温</w:t>
            </w:r>
            <w:r>
              <w:rPr>
                <w:spacing w:val="-1"/>
                <w:sz w:val="21"/>
                <w:szCs w:val="21"/>
                <w:lang w:eastAsia="en-US"/>
              </w:rPr>
              <w:t>度</w:t>
            </w:r>
            <w:r>
              <w:rPr>
                <w:rFonts w:hint="eastAsia" w:ascii="宋体" w:hAnsi="宋体" w:cs="宋体"/>
                <w:sz w:val="21"/>
                <w:szCs w:val="21"/>
                <w:lang w:eastAsia="en-US"/>
              </w:rPr>
              <w:t>（</w:t>
            </w:r>
            <w:r>
              <w:rPr>
                <w:rFonts w:eastAsia="Times New Roman"/>
                <w:sz w:val="21"/>
                <w:szCs w:val="21"/>
                <w:lang w:eastAsia="en-US"/>
              </w:rPr>
              <w:t>℃</w:t>
            </w:r>
            <w:r>
              <w:rPr>
                <w:rFonts w:hint="eastAsia" w:ascii="宋体" w:hAnsi="宋体" w:cs="宋体"/>
                <w:sz w:val="21"/>
                <w:szCs w:val="21"/>
                <w:lang w:eastAsia="en-US"/>
              </w:rPr>
              <w:t>）</w:t>
            </w:r>
          </w:p>
        </w:tc>
        <w:tc>
          <w:tcPr>
            <w:tcW w:w="320" w:type="pct"/>
            <w:shd w:val="clear" w:color="auto" w:fill="auto"/>
            <w:vAlign w:val="center"/>
          </w:tcPr>
          <w:p w14:paraId="20CACA29">
            <w:pPr>
              <w:pStyle w:val="90"/>
            </w:pPr>
            <w:r>
              <w:rPr>
                <w:rFonts w:hint="eastAsia"/>
              </w:rPr>
              <w:t>-16.49</w:t>
            </w:r>
          </w:p>
        </w:tc>
        <w:tc>
          <w:tcPr>
            <w:tcW w:w="320" w:type="pct"/>
            <w:shd w:val="clear" w:color="auto" w:fill="auto"/>
            <w:vAlign w:val="center"/>
          </w:tcPr>
          <w:p w14:paraId="35723357">
            <w:pPr>
              <w:pStyle w:val="90"/>
            </w:pPr>
            <w:r>
              <w:rPr>
                <w:rFonts w:hint="eastAsia"/>
              </w:rPr>
              <w:t>-7.51</w:t>
            </w:r>
          </w:p>
        </w:tc>
        <w:tc>
          <w:tcPr>
            <w:tcW w:w="294" w:type="pct"/>
            <w:shd w:val="clear" w:color="auto" w:fill="auto"/>
            <w:vAlign w:val="center"/>
          </w:tcPr>
          <w:p w14:paraId="61687B4A">
            <w:pPr>
              <w:pStyle w:val="90"/>
            </w:pPr>
            <w:r>
              <w:rPr>
                <w:rFonts w:hint="eastAsia"/>
              </w:rPr>
              <w:t>1.15</w:t>
            </w:r>
          </w:p>
        </w:tc>
        <w:tc>
          <w:tcPr>
            <w:tcW w:w="346" w:type="pct"/>
            <w:shd w:val="clear" w:color="auto" w:fill="auto"/>
            <w:vAlign w:val="center"/>
          </w:tcPr>
          <w:p w14:paraId="62DE3257">
            <w:pPr>
              <w:pStyle w:val="90"/>
            </w:pPr>
            <w:r>
              <w:rPr>
                <w:rFonts w:hint="eastAsia"/>
              </w:rPr>
              <w:t>13.95</w:t>
            </w:r>
          </w:p>
        </w:tc>
        <w:tc>
          <w:tcPr>
            <w:tcW w:w="346" w:type="pct"/>
            <w:shd w:val="clear" w:color="auto" w:fill="auto"/>
            <w:vAlign w:val="center"/>
          </w:tcPr>
          <w:p w14:paraId="4A427C92">
            <w:pPr>
              <w:pStyle w:val="90"/>
            </w:pPr>
            <w:r>
              <w:rPr>
                <w:rFonts w:hint="eastAsia"/>
              </w:rPr>
              <w:t>22.61</w:t>
            </w:r>
          </w:p>
        </w:tc>
        <w:tc>
          <w:tcPr>
            <w:tcW w:w="346" w:type="pct"/>
            <w:shd w:val="clear" w:color="auto" w:fill="auto"/>
            <w:vAlign w:val="center"/>
          </w:tcPr>
          <w:p w14:paraId="024811EF">
            <w:pPr>
              <w:pStyle w:val="90"/>
            </w:pPr>
            <w:r>
              <w:rPr>
                <w:rFonts w:hint="eastAsia"/>
              </w:rPr>
              <w:t>24.15</w:t>
            </w:r>
          </w:p>
        </w:tc>
        <w:tc>
          <w:tcPr>
            <w:tcW w:w="346" w:type="pct"/>
            <w:shd w:val="clear" w:color="auto" w:fill="auto"/>
            <w:vAlign w:val="center"/>
          </w:tcPr>
          <w:p w14:paraId="47176D76">
            <w:pPr>
              <w:pStyle w:val="90"/>
            </w:pPr>
            <w:r>
              <w:rPr>
                <w:rFonts w:hint="eastAsia"/>
              </w:rPr>
              <w:t>29.74</w:t>
            </w:r>
          </w:p>
        </w:tc>
        <w:tc>
          <w:tcPr>
            <w:tcW w:w="346" w:type="pct"/>
            <w:shd w:val="clear" w:color="auto" w:fill="auto"/>
            <w:vAlign w:val="center"/>
          </w:tcPr>
          <w:p w14:paraId="49898AC2">
            <w:pPr>
              <w:pStyle w:val="90"/>
            </w:pPr>
            <w:r>
              <w:rPr>
                <w:rFonts w:hint="eastAsia"/>
              </w:rPr>
              <w:t>26.26</w:t>
            </w:r>
          </w:p>
        </w:tc>
        <w:tc>
          <w:tcPr>
            <w:tcW w:w="346" w:type="pct"/>
            <w:shd w:val="clear" w:color="auto" w:fill="auto"/>
            <w:vAlign w:val="center"/>
          </w:tcPr>
          <w:p w14:paraId="14BF9C16">
            <w:pPr>
              <w:pStyle w:val="90"/>
            </w:pPr>
            <w:r>
              <w:rPr>
                <w:rFonts w:hint="eastAsia"/>
              </w:rPr>
              <w:t>20.96</w:t>
            </w:r>
          </w:p>
        </w:tc>
        <w:tc>
          <w:tcPr>
            <w:tcW w:w="370" w:type="pct"/>
            <w:shd w:val="clear" w:color="auto" w:fill="auto"/>
            <w:vAlign w:val="center"/>
          </w:tcPr>
          <w:p w14:paraId="14D3B8B6">
            <w:pPr>
              <w:pStyle w:val="90"/>
            </w:pPr>
            <w:r>
              <w:rPr>
                <w:rFonts w:hint="eastAsia"/>
              </w:rPr>
              <w:t>9.12</w:t>
            </w:r>
          </w:p>
        </w:tc>
        <w:tc>
          <w:tcPr>
            <w:tcW w:w="364" w:type="pct"/>
            <w:shd w:val="clear" w:color="auto" w:fill="auto"/>
            <w:vAlign w:val="center"/>
          </w:tcPr>
          <w:p w14:paraId="424762C2">
            <w:pPr>
              <w:pStyle w:val="90"/>
            </w:pPr>
            <w:r>
              <w:rPr>
                <w:rFonts w:hint="eastAsia"/>
              </w:rPr>
              <w:t>-2.42</w:t>
            </w:r>
          </w:p>
        </w:tc>
        <w:tc>
          <w:tcPr>
            <w:tcW w:w="396" w:type="pct"/>
            <w:shd w:val="clear" w:color="auto" w:fill="auto"/>
            <w:vAlign w:val="center"/>
          </w:tcPr>
          <w:p w14:paraId="58A0CB0F">
            <w:pPr>
              <w:pStyle w:val="90"/>
            </w:pPr>
            <w:r>
              <w:rPr>
                <w:rFonts w:hint="eastAsia"/>
              </w:rPr>
              <w:t>-8.86</w:t>
            </w:r>
          </w:p>
        </w:tc>
        <w:tc>
          <w:tcPr>
            <w:tcW w:w="303" w:type="pct"/>
            <w:shd w:val="clear" w:color="auto" w:fill="auto"/>
            <w:vAlign w:val="center"/>
          </w:tcPr>
          <w:p w14:paraId="7C3F142C">
            <w:pPr>
              <w:pStyle w:val="90"/>
            </w:pPr>
            <w:r>
              <w:rPr>
                <w:rFonts w:hint="eastAsia"/>
              </w:rPr>
              <w:t>-16.49</w:t>
            </w:r>
          </w:p>
        </w:tc>
      </w:tr>
    </w:tbl>
    <w:p w14:paraId="6616DC4D">
      <w:pPr>
        <w:adjustRightInd w:val="0"/>
        <w:snapToGrid w:val="0"/>
        <w:spacing w:before="163" w:beforeLines="50" w:line="240" w:lineRule="auto"/>
        <w:ind w:firstLine="0" w:firstLineChars="0"/>
        <w:jc w:val="center"/>
      </w:pPr>
    </w:p>
    <w:p w14:paraId="6A20B364">
      <w:pPr>
        <w:pStyle w:val="47"/>
        <w:spacing w:before="65"/>
      </w:pPr>
      <w:r>
        <w:rPr>
          <w:rFonts w:hint="eastAsia"/>
        </w:rPr>
        <w:t>图5</w:t>
      </w:r>
      <w:r>
        <w:t xml:space="preserve">.1-14   </w:t>
      </w:r>
      <w:r>
        <w:rPr>
          <w:rFonts w:hint="eastAsia"/>
        </w:rPr>
        <w:t>年平均月变化曲线图</w:t>
      </w:r>
    </w:p>
    <w:p w14:paraId="47E6E504">
      <w:pPr>
        <w:ind w:firstLine="480"/>
      </w:pPr>
      <w:r>
        <w:t>（2）地面风场特征</w:t>
      </w:r>
    </w:p>
    <w:p w14:paraId="19E27F6C">
      <w:pPr>
        <w:ind w:firstLine="480"/>
      </w:pPr>
      <w:r>
        <w:rPr>
          <w:rFonts w:hint="eastAsia" w:ascii="宋体" w:hAnsi="宋体" w:cs="宋体"/>
        </w:rPr>
        <w:t>①</w:t>
      </w:r>
      <w:r>
        <w:t>风向频率</w:t>
      </w:r>
    </w:p>
    <w:p w14:paraId="3914C146">
      <w:pPr>
        <w:ind w:firstLine="480"/>
      </w:pPr>
      <w:r>
        <w:t>统计评价区2022年风频的月变化、季变化及年均风频情况见</w:t>
      </w:r>
      <w:r>
        <w:rPr>
          <w:rFonts w:hint="eastAsia"/>
        </w:rPr>
        <w:t>表5</w:t>
      </w:r>
      <w:r>
        <w:t>.1-8和</w:t>
      </w:r>
      <w:r>
        <w:rPr>
          <w:rFonts w:hint="eastAsia"/>
        </w:rPr>
        <w:t>表5</w:t>
      </w:r>
      <w:r>
        <w:t>.1-9及风频玫瑰</w:t>
      </w:r>
      <w:r>
        <w:rPr>
          <w:rFonts w:hint="eastAsia"/>
        </w:rPr>
        <w:t>图5</w:t>
      </w:r>
      <w:r>
        <w:t>.1-15。</w:t>
      </w:r>
    </w:p>
    <w:p w14:paraId="07D95B24">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1DE2B794">
      <w:pPr>
        <w:pStyle w:val="47"/>
        <w:spacing w:before="65"/>
      </w:pPr>
      <w:r>
        <w:rPr>
          <w:rFonts w:hint="eastAsia"/>
        </w:rPr>
        <w:t>表5</w:t>
      </w:r>
      <w:r>
        <w:t xml:space="preserve">.1-8   </w:t>
      </w:r>
      <w:r>
        <w:rPr>
          <w:rFonts w:hint="eastAsia"/>
        </w:rPr>
        <w:t>年均风频的月变化情况</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69"/>
        <w:gridCol w:w="644"/>
        <w:gridCol w:w="684"/>
        <w:gridCol w:w="740"/>
        <w:gridCol w:w="754"/>
        <w:gridCol w:w="754"/>
        <w:gridCol w:w="646"/>
        <w:gridCol w:w="757"/>
        <w:gridCol w:w="646"/>
        <w:gridCol w:w="646"/>
        <w:gridCol w:w="734"/>
        <w:gridCol w:w="734"/>
        <w:gridCol w:w="768"/>
        <w:gridCol w:w="751"/>
        <w:gridCol w:w="805"/>
        <w:gridCol w:w="646"/>
        <w:gridCol w:w="757"/>
        <w:gridCol w:w="723"/>
      </w:tblGrid>
      <w:tr w14:paraId="17971A7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tcBorders>
              <w:top w:val="single" w:color="000000" w:sz="12" w:space="0"/>
              <w:bottom w:val="single" w:color="000000" w:sz="8" w:space="0"/>
              <w:tl2br w:val="single" w:color="000000" w:sz="12" w:space="0"/>
            </w:tcBorders>
            <w:shd w:val="clear" w:color="auto" w:fill="auto"/>
            <w:noWrap/>
            <w:vAlign w:val="center"/>
          </w:tcPr>
          <w:p w14:paraId="79D52F5E">
            <w:pPr>
              <w:pStyle w:val="90"/>
            </w:pPr>
            <w:r>
              <w:t>风向</w:t>
            </w:r>
          </w:p>
          <w:p w14:paraId="38A56AE4">
            <w:pPr>
              <w:pStyle w:val="90"/>
            </w:pPr>
            <w:r>
              <w:t>风频</w:t>
            </w:r>
            <w:r>
              <w:rPr>
                <w:rFonts w:hint="eastAsia"/>
              </w:rPr>
              <w:t>（</w:t>
            </w:r>
            <w:r>
              <w:t>%</w:t>
            </w:r>
            <w:r>
              <w:rPr>
                <w:rFonts w:hint="eastAsia"/>
              </w:rPr>
              <w:t>）</w:t>
            </w:r>
          </w:p>
        </w:tc>
        <w:tc>
          <w:tcPr>
            <w:tcW w:w="227" w:type="pct"/>
            <w:shd w:val="clear" w:color="auto" w:fill="auto"/>
            <w:noWrap/>
            <w:vAlign w:val="center"/>
          </w:tcPr>
          <w:p w14:paraId="4FA9A0F7">
            <w:pPr>
              <w:pStyle w:val="90"/>
            </w:pPr>
            <w:r>
              <w:t>N</w:t>
            </w:r>
          </w:p>
        </w:tc>
        <w:tc>
          <w:tcPr>
            <w:tcW w:w="241" w:type="pct"/>
            <w:shd w:val="clear" w:color="auto" w:fill="auto"/>
            <w:noWrap/>
            <w:vAlign w:val="center"/>
          </w:tcPr>
          <w:p w14:paraId="12B17330">
            <w:pPr>
              <w:pStyle w:val="90"/>
            </w:pPr>
            <w:r>
              <w:t>NNE</w:t>
            </w:r>
          </w:p>
        </w:tc>
        <w:tc>
          <w:tcPr>
            <w:tcW w:w="261" w:type="pct"/>
            <w:shd w:val="clear" w:color="auto" w:fill="auto"/>
            <w:noWrap/>
            <w:vAlign w:val="center"/>
          </w:tcPr>
          <w:p w14:paraId="17B4B651">
            <w:pPr>
              <w:pStyle w:val="90"/>
            </w:pPr>
            <w:r>
              <w:t>NE</w:t>
            </w:r>
          </w:p>
        </w:tc>
        <w:tc>
          <w:tcPr>
            <w:tcW w:w="266" w:type="pct"/>
            <w:shd w:val="clear" w:color="auto" w:fill="auto"/>
            <w:noWrap/>
            <w:vAlign w:val="center"/>
          </w:tcPr>
          <w:p w14:paraId="1637529A">
            <w:pPr>
              <w:pStyle w:val="90"/>
            </w:pPr>
            <w:r>
              <w:t>ENE</w:t>
            </w:r>
          </w:p>
        </w:tc>
        <w:tc>
          <w:tcPr>
            <w:tcW w:w="266" w:type="pct"/>
            <w:shd w:val="clear" w:color="auto" w:fill="auto"/>
            <w:noWrap/>
            <w:vAlign w:val="center"/>
          </w:tcPr>
          <w:p w14:paraId="7BFDAD11">
            <w:pPr>
              <w:pStyle w:val="90"/>
            </w:pPr>
            <w:r>
              <w:t>E</w:t>
            </w:r>
          </w:p>
        </w:tc>
        <w:tc>
          <w:tcPr>
            <w:tcW w:w="228" w:type="pct"/>
            <w:shd w:val="clear" w:color="auto" w:fill="auto"/>
            <w:noWrap/>
            <w:vAlign w:val="center"/>
          </w:tcPr>
          <w:p w14:paraId="045296C9">
            <w:pPr>
              <w:pStyle w:val="90"/>
            </w:pPr>
            <w:r>
              <w:t>ESE</w:t>
            </w:r>
          </w:p>
        </w:tc>
        <w:tc>
          <w:tcPr>
            <w:tcW w:w="267" w:type="pct"/>
            <w:shd w:val="clear" w:color="auto" w:fill="auto"/>
            <w:noWrap/>
            <w:vAlign w:val="center"/>
          </w:tcPr>
          <w:p w14:paraId="4CCECC48">
            <w:pPr>
              <w:pStyle w:val="90"/>
            </w:pPr>
            <w:r>
              <w:t>SE</w:t>
            </w:r>
          </w:p>
        </w:tc>
        <w:tc>
          <w:tcPr>
            <w:tcW w:w="228" w:type="pct"/>
            <w:shd w:val="clear" w:color="auto" w:fill="auto"/>
            <w:noWrap/>
            <w:vAlign w:val="center"/>
          </w:tcPr>
          <w:p w14:paraId="12AE2A2E">
            <w:pPr>
              <w:pStyle w:val="90"/>
            </w:pPr>
            <w:r>
              <w:t>SSE</w:t>
            </w:r>
          </w:p>
        </w:tc>
        <w:tc>
          <w:tcPr>
            <w:tcW w:w="228" w:type="pct"/>
            <w:shd w:val="clear" w:color="auto" w:fill="auto"/>
            <w:noWrap/>
            <w:vAlign w:val="center"/>
          </w:tcPr>
          <w:p w14:paraId="796B778F">
            <w:pPr>
              <w:pStyle w:val="90"/>
            </w:pPr>
            <w:r>
              <w:t>S</w:t>
            </w:r>
          </w:p>
        </w:tc>
        <w:tc>
          <w:tcPr>
            <w:tcW w:w="259" w:type="pct"/>
            <w:shd w:val="clear" w:color="auto" w:fill="auto"/>
            <w:noWrap/>
            <w:vAlign w:val="center"/>
          </w:tcPr>
          <w:p w14:paraId="22D8D3DD">
            <w:pPr>
              <w:pStyle w:val="90"/>
            </w:pPr>
            <w:r>
              <w:t>SSW</w:t>
            </w:r>
          </w:p>
        </w:tc>
        <w:tc>
          <w:tcPr>
            <w:tcW w:w="259" w:type="pct"/>
            <w:shd w:val="clear" w:color="auto" w:fill="auto"/>
            <w:noWrap/>
            <w:vAlign w:val="center"/>
          </w:tcPr>
          <w:p w14:paraId="239A48FE">
            <w:pPr>
              <w:pStyle w:val="90"/>
            </w:pPr>
            <w:r>
              <w:t>SW</w:t>
            </w:r>
          </w:p>
        </w:tc>
        <w:tc>
          <w:tcPr>
            <w:tcW w:w="271" w:type="pct"/>
            <w:shd w:val="clear" w:color="auto" w:fill="auto"/>
            <w:noWrap/>
            <w:vAlign w:val="center"/>
          </w:tcPr>
          <w:p w14:paraId="255B474F">
            <w:pPr>
              <w:pStyle w:val="90"/>
            </w:pPr>
            <w:r>
              <w:t>WSW</w:t>
            </w:r>
          </w:p>
        </w:tc>
        <w:tc>
          <w:tcPr>
            <w:tcW w:w="265" w:type="pct"/>
            <w:shd w:val="clear" w:color="auto" w:fill="auto"/>
            <w:noWrap/>
            <w:vAlign w:val="center"/>
          </w:tcPr>
          <w:p w14:paraId="2DD31E54">
            <w:pPr>
              <w:pStyle w:val="90"/>
            </w:pPr>
            <w:r>
              <w:t>W</w:t>
            </w:r>
          </w:p>
        </w:tc>
        <w:tc>
          <w:tcPr>
            <w:tcW w:w="284" w:type="pct"/>
            <w:shd w:val="clear" w:color="auto" w:fill="auto"/>
            <w:noWrap/>
            <w:vAlign w:val="center"/>
          </w:tcPr>
          <w:p w14:paraId="276FFE48">
            <w:pPr>
              <w:pStyle w:val="90"/>
            </w:pPr>
            <w:r>
              <w:t>WNW</w:t>
            </w:r>
          </w:p>
        </w:tc>
        <w:tc>
          <w:tcPr>
            <w:tcW w:w="228" w:type="pct"/>
            <w:shd w:val="clear" w:color="auto" w:fill="auto"/>
            <w:noWrap/>
            <w:vAlign w:val="center"/>
          </w:tcPr>
          <w:p w14:paraId="20772727">
            <w:pPr>
              <w:pStyle w:val="90"/>
            </w:pPr>
            <w:r>
              <w:t>NW</w:t>
            </w:r>
          </w:p>
        </w:tc>
        <w:tc>
          <w:tcPr>
            <w:tcW w:w="267" w:type="pct"/>
            <w:shd w:val="clear" w:color="auto" w:fill="auto"/>
            <w:noWrap/>
            <w:vAlign w:val="center"/>
          </w:tcPr>
          <w:p w14:paraId="36808A9E">
            <w:pPr>
              <w:pStyle w:val="90"/>
            </w:pPr>
            <w:r>
              <w:t>NNW</w:t>
            </w:r>
          </w:p>
        </w:tc>
        <w:tc>
          <w:tcPr>
            <w:tcW w:w="255" w:type="pct"/>
            <w:shd w:val="clear" w:color="auto" w:fill="auto"/>
            <w:noWrap/>
            <w:vAlign w:val="center"/>
          </w:tcPr>
          <w:p w14:paraId="72219B16">
            <w:pPr>
              <w:pStyle w:val="90"/>
            </w:pPr>
            <w:r>
              <w:t>C</w:t>
            </w:r>
          </w:p>
        </w:tc>
      </w:tr>
      <w:tr w14:paraId="0B06D4A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tcBorders>
              <w:top w:val="single" w:color="000000" w:sz="8" w:space="0"/>
            </w:tcBorders>
            <w:shd w:val="clear" w:color="auto" w:fill="auto"/>
            <w:noWrap/>
            <w:vAlign w:val="center"/>
          </w:tcPr>
          <w:p w14:paraId="56B54425">
            <w:pPr>
              <w:pStyle w:val="90"/>
            </w:pPr>
            <w:r>
              <w:t>一月</w:t>
            </w:r>
          </w:p>
        </w:tc>
        <w:tc>
          <w:tcPr>
            <w:tcW w:w="644" w:type="dxa"/>
            <w:shd w:val="clear" w:color="auto" w:fill="auto"/>
            <w:noWrap/>
            <w:vAlign w:val="center"/>
          </w:tcPr>
          <w:p w14:paraId="4D722C82">
            <w:pPr>
              <w:pStyle w:val="90"/>
            </w:pPr>
            <w:r>
              <w:t>6.72</w:t>
            </w:r>
          </w:p>
        </w:tc>
        <w:tc>
          <w:tcPr>
            <w:tcW w:w="684" w:type="dxa"/>
            <w:shd w:val="clear" w:color="auto" w:fill="auto"/>
            <w:noWrap/>
            <w:vAlign w:val="center"/>
          </w:tcPr>
          <w:p w14:paraId="06275CCC">
            <w:pPr>
              <w:pStyle w:val="90"/>
            </w:pPr>
            <w:r>
              <w:t>7.26</w:t>
            </w:r>
          </w:p>
        </w:tc>
        <w:tc>
          <w:tcPr>
            <w:tcW w:w="740" w:type="dxa"/>
            <w:shd w:val="clear" w:color="auto" w:fill="auto"/>
            <w:noWrap/>
            <w:vAlign w:val="center"/>
          </w:tcPr>
          <w:p w14:paraId="38E01DDD">
            <w:pPr>
              <w:pStyle w:val="90"/>
            </w:pPr>
            <w:r>
              <w:t>4.84</w:t>
            </w:r>
          </w:p>
        </w:tc>
        <w:tc>
          <w:tcPr>
            <w:tcW w:w="754" w:type="dxa"/>
            <w:shd w:val="clear" w:color="auto" w:fill="auto"/>
            <w:noWrap/>
            <w:vAlign w:val="center"/>
          </w:tcPr>
          <w:p w14:paraId="18FD6647">
            <w:pPr>
              <w:pStyle w:val="90"/>
            </w:pPr>
            <w:r>
              <w:t>10.89</w:t>
            </w:r>
          </w:p>
        </w:tc>
        <w:tc>
          <w:tcPr>
            <w:tcW w:w="754" w:type="dxa"/>
            <w:shd w:val="clear" w:color="auto" w:fill="auto"/>
            <w:noWrap/>
            <w:vAlign w:val="center"/>
          </w:tcPr>
          <w:p w14:paraId="7DD26651">
            <w:pPr>
              <w:pStyle w:val="90"/>
            </w:pPr>
            <w:r>
              <w:t>12.63</w:t>
            </w:r>
          </w:p>
        </w:tc>
        <w:tc>
          <w:tcPr>
            <w:tcW w:w="646" w:type="dxa"/>
            <w:shd w:val="clear" w:color="auto" w:fill="auto"/>
            <w:noWrap/>
            <w:vAlign w:val="center"/>
          </w:tcPr>
          <w:p w14:paraId="54F0DC4B">
            <w:pPr>
              <w:pStyle w:val="90"/>
            </w:pPr>
            <w:r>
              <w:t>1.75</w:t>
            </w:r>
          </w:p>
        </w:tc>
        <w:tc>
          <w:tcPr>
            <w:tcW w:w="757" w:type="dxa"/>
            <w:shd w:val="clear" w:color="auto" w:fill="auto"/>
            <w:noWrap/>
            <w:vAlign w:val="center"/>
          </w:tcPr>
          <w:p w14:paraId="7C9E24FD">
            <w:pPr>
              <w:pStyle w:val="90"/>
            </w:pPr>
            <w:r>
              <w:t>1.61</w:t>
            </w:r>
          </w:p>
        </w:tc>
        <w:tc>
          <w:tcPr>
            <w:tcW w:w="646" w:type="dxa"/>
            <w:shd w:val="clear" w:color="auto" w:fill="auto"/>
            <w:noWrap/>
            <w:vAlign w:val="center"/>
          </w:tcPr>
          <w:p w14:paraId="69F565FC">
            <w:pPr>
              <w:pStyle w:val="90"/>
            </w:pPr>
            <w:r>
              <w:t>1.75</w:t>
            </w:r>
          </w:p>
        </w:tc>
        <w:tc>
          <w:tcPr>
            <w:tcW w:w="646" w:type="dxa"/>
            <w:shd w:val="clear" w:color="auto" w:fill="auto"/>
            <w:noWrap/>
            <w:vAlign w:val="center"/>
          </w:tcPr>
          <w:p w14:paraId="2F497602">
            <w:pPr>
              <w:pStyle w:val="90"/>
            </w:pPr>
            <w:r>
              <w:t>0.67</w:t>
            </w:r>
          </w:p>
        </w:tc>
        <w:tc>
          <w:tcPr>
            <w:tcW w:w="734" w:type="dxa"/>
            <w:shd w:val="clear" w:color="auto" w:fill="auto"/>
            <w:noWrap/>
            <w:vAlign w:val="center"/>
          </w:tcPr>
          <w:p w14:paraId="4C3F155F">
            <w:pPr>
              <w:pStyle w:val="90"/>
            </w:pPr>
            <w:r>
              <w:t>2.42</w:t>
            </w:r>
          </w:p>
        </w:tc>
        <w:tc>
          <w:tcPr>
            <w:tcW w:w="734" w:type="dxa"/>
            <w:shd w:val="clear" w:color="auto" w:fill="auto"/>
            <w:noWrap/>
            <w:vAlign w:val="center"/>
          </w:tcPr>
          <w:p w14:paraId="21B68CBF">
            <w:pPr>
              <w:pStyle w:val="90"/>
            </w:pPr>
            <w:r>
              <w:t>8.33</w:t>
            </w:r>
          </w:p>
        </w:tc>
        <w:tc>
          <w:tcPr>
            <w:tcW w:w="768" w:type="dxa"/>
            <w:shd w:val="clear" w:color="auto" w:fill="auto"/>
            <w:noWrap/>
            <w:vAlign w:val="center"/>
          </w:tcPr>
          <w:p w14:paraId="44B2160B">
            <w:pPr>
              <w:pStyle w:val="90"/>
            </w:pPr>
            <w:r>
              <w:t>15.99</w:t>
            </w:r>
          </w:p>
        </w:tc>
        <w:tc>
          <w:tcPr>
            <w:tcW w:w="751" w:type="dxa"/>
            <w:shd w:val="clear" w:color="auto" w:fill="auto"/>
            <w:noWrap/>
            <w:vAlign w:val="center"/>
          </w:tcPr>
          <w:p w14:paraId="2EFECB8E">
            <w:pPr>
              <w:pStyle w:val="90"/>
            </w:pPr>
            <w:r>
              <w:t>4.97</w:t>
            </w:r>
          </w:p>
        </w:tc>
        <w:tc>
          <w:tcPr>
            <w:tcW w:w="805" w:type="dxa"/>
            <w:shd w:val="clear" w:color="auto" w:fill="auto"/>
            <w:noWrap/>
            <w:vAlign w:val="center"/>
          </w:tcPr>
          <w:p w14:paraId="0CFCB58B">
            <w:pPr>
              <w:pStyle w:val="90"/>
            </w:pPr>
            <w:r>
              <w:t>2.55</w:t>
            </w:r>
          </w:p>
        </w:tc>
        <w:tc>
          <w:tcPr>
            <w:tcW w:w="646" w:type="dxa"/>
            <w:shd w:val="clear" w:color="auto" w:fill="auto"/>
            <w:noWrap/>
            <w:vAlign w:val="center"/>
          </w:tcPr>
          <w:p w14:paraId="38AFD9BD">
            <w:pPr>
              <w:pStyle w:val="90"/>
            </w:pPr>
            <w:r>
              <w:t>6.05</w:t>
            </w:r>
          </w:p>
        </w:tc>
        <w:tc>
          <w:tcPr>
            <w:tcW w:w="757" w:type="dxa"/>
            <w:shd w:val="clear" w:color="auto" w:fill="auto"/>
            <w:noWrap/>
            <w:vAlign w:val="center"/>
          </w:tcPr>
          <w:p w14:paraId="25BA1ED3">
            <w:pPr>
              <w:pStyle w:val="90"/>
            </w:pPr>
            <w:r>
              <w:t>11.16</w:t>
            </w:r>
          </w:p>
        </w:tc>
        <w:tc>
          <w:tcPr>
            <w:tcW w:w="723" w:type="dxa"/>
            <w:shd w:val="clear" w:color="auto" w:fill="auto"/>
            <w:noWrap/>
            <w:vAlign w:val="center"/>
          </w:tcPr>
          <w:p w14:paraId="53842EB8">
            <w:pPr>
              <w:pStyle w:val="90"/>
            </w:pPr>
            <w:r>
              <w:t>0.40</w:t>
            </w:r>
          </w:p>
        </w:tc>
      </w:tr>
      <w:tr w14:paraId="683A472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19561699">
            <w:pPr>
              <w:pStyle w:val="90"/>
            </w:pPr>
            <w:r>
              <w:t>二月</w:t>
            </w:r>
          </w:p>
        </w:tc>
        <w:tc>
          <w:tcPr>
            <w:tcW w:w="644" w:type="dxa"/>
            <w:shd w:val="clear" w:color="auto" w:fill="auto"/>
            <w:noWrap/>
            <w:vAlign w:val="center"/>
          </w:tcPr>
          <w:p w14:paraId="1E8E7E26">
            <w:pPr>
              <w:pStyle w:val="90"/>
            </w:pPr>
            <w:r>
              <w:t>3.72</w:t>
            </w:r>
          </w:p>
        </w:tc>
        <w:tc>
          <w:tcPr>
            <w:tcW w:w="684" w:type="dxa"/>
            <w:shd w:val="clear" w:color="auto" w:fill="auto"/>
            <w:noWrap/>
            <w:vAlign w:val="center"/>
          </w:tcPr>
          <w:p w14:paraId="54A3FCDC">
            <w:pPr>
              <w:pStyle w:val="90"/>
            </w:pPr>
            <w:r>
              <w:t>6.10</w:t>
            </w:r>
          </w:p>
        </w:tc>
        <w:tc>
          <w:tcPr>
            <w:tcW w:w="740" w:type="dxa"/>
            <w:shd w:val="clear" w:color="auto" w:fill="auto"/>
            <w:noWrap/>
            <w:vAlign w:val="center"/>
          </w:tcPr>
          <w:p w14:paraId="20B3FE75">
            <w:pPr>
              <w:pStyle w:val="90"/>
            </w:pPr>
            <w:r>
              <w:t>5.06</w:t>
            </w:r>
          </w:p>
        </w:tc>
        <w:tc>
          <w:tcPr>
            <w:tcW w:w="754" w:type="dxa"/>
            <w:shd w:val="clear" w:color="auto" w:fill="auto"/>
            <w:noWrap/>
            <w:vAlign w:val="center"/>
          </w:tcPr>
          <w:p w14:paraId="504A4661">
            <w:pPr>
              <w:pStyle w:val="90"/>
            </w:pPr>
            <w:r>
              <w:t>12.05</w:t>
            </w:r>
          </w:p>
        </w:tc>
        <w:tc>
          <w:tcPr>
            <w:tcW w:w="754" w:type="dxa"/>
            <w:shd w:val="clear" w:color="auto" w:fill="auto"/>
            <w:noWrap/>
            <w:vAlign w:val="center"/>
          </w:tcPr>
          <w:p w14:paraId="7EE2FF37">
            <w:pPr>
              <w:pStyle w:val="90"/>
            </w:pPr>
            <w:r>
              <w:t>17.41</w:t>
            </w:r>
          </w:p>
        </w:tc>
        <w:tc>
          <w:tcPr>
            <w:tcW w:w="646" w:type="dxa"/>
            <w:shd w:val="clear" w:color="auto" w:fill="auto"/>
            <w:noWrap/>
            <w:vAlign w:val="center"/>
          </w:tcPr>
          <w:p w14:paraId="37A02C2C">
            <w:pPr>
              <w:pStyle w:val="90"/>
            </w:pPr>
            <w:r>
              <w:t>5.95</w:t>
            </w:r>
          </w:p>
        </w:tc>
        <w:tc>
          <w:tcPr>
            <w:tcW w:w="757" w:type="dxa"/>
            <w:shd w:val="clear" w:color="auto" w:fill="auto"/>
            <w:noWrap/>
            <w:vAlign w:val="center"/>
          </w:tcPr>
          <w:p w14:paraId="0D7272FF">
            <w:pPr>
              <w:pStyle w:val="90"/>
            </w:pPr>
            <w:r>
              <w:t>2.53</w:t>
            </w:r>
          </w:p>
        </w:tc>
        <w:tc>
          <w:tcPr>
            <w:tcW w:w="646" w:type="dxa"/>
            <w:shd w:val="clear" w:color="auto" w:fill="auto"/>
            <w:noWrap/>
            <w:vAlign w:val="center"/>
          </w:tcPr>
          <w:p w14:paraId="6C0DB8FE">
            <w:pPr>
              <w:pStyle w:val="90"/>
            </w:pPr>
            <w:r>
              <w:t>1.93</w:t>
            </w:r>
          </w:p>
        </w:tc>
        <w:tc>
          <w:tcPr>
            <w:tcW w:w="646" w:type="dxa"/>
            <w:shd w:val="clear" w:color="auto" w:fill="auto"/>
            <w:noWrap/>
            <w:vAlign w:val="center"/>
          </w:tcPr>
          <w:p w14:paraId="42B590C6">
            <w:pPr>
              <w:pStyle w:val="90"/>
            </w:pPr>
            <w:r>
              <w:t>4.17</w:t>
            </w:r>
          </w:p>
        </w:tc>
        <w:tc>
          <w:tcPr>
            <w:tcW w:w="734" w:type="dxa"/>
            <w:shd w:val="clear" w:color="auto" w:fill="auto"/>
            <w:noWrap/>
            <w:vAlign w:val="center"/>
          </w:tcPr>
          <w:p w14:paraId="60530054">
            <w:pPr>
              <w:pStyle w:val="90"/>
            </w:pPr>
            <w:r>
              <w:t>4.61</w:t>
            </w:r>
          </w:p>
        </w:tc>
        <w:tc>
          <w:tcPr>
            <w:tcW w:w="734" w:type="dxa"/>
            <w:shd w:val="clear" w:color="auto" w:fill="auto"/>
            <w:noWrap/>
            <w:vAlign w:val="center"/>
          </w:tcPr>
          <w:p w14:paraId="1CE284C2">
            <w:pPr>
              <w:pStyle w:val="90"/>
            </w:pPr>
            <w:r>
              <w:t>10.27</w:t>
            </w:r>
          </w:p>
        </w:tc>
        <w:tc>
          <w:tcPr>
            <w:tcW w:w="768" w:type="dxa"/>
            <w:shd w:val="clear" w:color="auto" w:fill="auto"/>
            <w:noWrap/>
            <w:vAlign w:val="center"/>
          </w:tcPr>
          <w:p w14:paraId="606A3AA1">
            <w:pPr>
              <w:pStyle w:val="90"/>
            </w:pPr>
            <w:r>
              <w:t>7.59</w:t>
            </w:r>
          </w:p>
        </w:tc>
        <w:tc>
          <w:tcPr>
            <w:tcW w:w="751" w:type="dxa"/>
            <w:shd w:val="clear" w:color="auto" w:fill="auto"/>
            <w:noWrap/>
            <w:vAlign w:val="center"/>
          </w:tcPr>
          <w:p w14:paraId="4C5D15C0">
            <w:pPr>
              <w:pStyle w:val="90"/>
            </w:pPr>
            <w:r>
              <w:t>2.83</w:t>
            </w:r>
          </w:p>
        </w:tc>
        <w:tc>
          <w:tcPr>
            <w:tcW w:w="805" w:type="dxa"/>
            <w:shd w:val="clear" w:color="auto" w:fill="auto"/>
            <w:noWrap/>
            <w:vAlign w:val="center"/>
          </w:tcPr>
          <w:p w14:paraId="245DB00F">
            <w:pPr>
              <w:pStyle w:val="90"/>
            </w:pPr>
            <w:r>
              <w:t>2.83</w:t>
            </w:r>
          </w:p>
        </w:tc>
        <w:tc>
          <w:tcPr>
            <w:tcW w:w="646" w:type="dxa"/>
            <w:shd w:val="clear" w:color="auto" w:fill="auto"/>
            <w:noWrap/>
            <w:vAlign w:val="center"/>
          </w:tcPr>
          <w:p w14:paraId="34389AAC">
            <w:pPr>
              <w:pStyle w:val="90"/>
            </w:pPr>
            <w:r>
              <w:t>4.76</w:t>
            </w:r>
          </w:p>
        </w:tc>
        <w:tc>
          <w:tcPr>
            <w:tcW w:w="757" w:type="dxa"/>
            <w:shd w:val="clear" w:color="auto" w:fill="auto"/>
            <w:noWrap/>
            <w:vAlign w:val="center"/>
          </w:tcPr>
          <w:p w14:paraId="35A27A70">
            <w:pPr>
              <w:pStyle w:val="90"/>
            </w:pPr>
            <w:r>
              <w:t>6.99</w:t>
            </w:r>
          </w:p>
        </w:tc>
        <w:tc>
          <w:tcPr>
            <w:tcW w:w="723" w:type="dxa"/>
            <w:shd w:val="clear" w:color="auto" w:fill="auto"/>
            <w:noWrap/>
            <w:vAlign w:val="center"/>
          </w:tcPr>
          <w:p w14:paraId="669A139C">
            <w:pPr>
              <w:pStyle w:val="90"/>
            </w:pPr>
            <w:r>
              <w:t>1.19</w:t>
            </w:r>
          </w:p>
        </w:tc>
      </w:tr>
      <w:tr w14:paraId="23AB7BA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73B68974">
            <w:pPr>
              <w:pStyle w:val="90"/>
            </w:pPr>
            <w:r>
              <w:t>三月</w:t>
            </w:r>
          </w:p>
        </w:tc>
        <w:tc>
          <w:tcPr>
            <w:tcW w:w="644" w:type="dxa"/>
            <w:shd w:val="clear" w:color="auto" w:fill="auto"/>
            <w:noWrap/>
            <w:vAlign w:val="center"/>
          </w:tcPr>
          <w:p w14:paraId="2F494C7A">
            <w:pPr>
              <w:pStyle w:val="90"/>
            </w:pPr>
            <w:r>
              <w:t>2.82</w:t>
            </w:r>
          </w:p>
        </w:tc>
        <w:tc>
          <w:tcPr>
            <w:tcW w:w="684" w:type="dxa"/>
            <w:shd w:val="clear" w:color="auto" w:fill="auto"/>
            <w:noWrap/>
            <w:vAlign w:val="center"/>
          </w:tcPr>
          <w:p w14:paraId="319FC644">
            <w:pPr>
              <w:pStyle w:val="90"/>
            </w:pPr>
            <w:r>
              <w:t>4.30</w:t>
            </w:r>
          </w:p>
        </w:tc>
        <w:tc>
          <w:tcPr>
            <w:tcW w:w="740" w:type="dxa"/>
            <w:shd w:val="clear" w:color="auto" w:fill="auto"/>
            <w:noWrap/>
            <w:vAlign w:val="center"/>
          </w:tcPr>
          <w:p w14:paraId="765836E5">
            <w:pPr>
              <w:pStyle w:val="90"/>
            </w:pPr>
            <w:r>
              <w:t>5.78</w:t>
            </w:r>
          </w:p>
        </w:tc>
        <w:tc>
          <w:tcPr>
            <w:tcW w:w="754" w:type="dxa"/>
            <w:shd w:val="clear" w:color="auto" w:fill="auto"/>
            <w:noWrap/>
            <w:vAlign w:val="center"/>
          </w:tcPr>
          <w:p w14:paraId="781A34B5">
            <w:pPr>
              <w:pStyle w:val="90"/>
            </w:pPr>
            <w:r>
              <w:t>13.84</w:t>
            </w:r>
          </w:p>
        </w:tc>
        <w:tc>
          <w:tcPr>
            <w:tcW w:w="754" w:type="dxa"/>
            <w:shd w:val="clear" w:color="auto" w:fill="auto"/>
            <w:noWrap/>
            <w:vAlign w:val="center"/>
          </w:tcPr>
          <w:p w14:paraId="0B0BF818">
            <w:pPr>
              <w:pStyle w:val="90"/>
            </w:pPr>
            <w:r>
              <w:t>19.89</w:t>
            </w:r>
          </w:p>
        </w:tc>
        <w:tc>
          <w:tcPr>
            <w:tcW w:w="646" w:type="dxa"/>
            <w:shd w:val="clear" w:color="auto" w:fill="auto"/>
            <w:noWrap/>
            <w:vAlign w:val="center"/>
          </w:tcPr>
          <w:p w14:paraId="4BE8A540">
            <w:pPr>
              <w:pStyle w:val="90"/>
            </w:pPr>
            <w:r>
              <w:t>5.51</w:t>
            </w:r>
          </w:p>
        </w:tc>
        <w:tc>
          <w:tcPr>
            <w:tcW w:w="757" w:type="dxa"/>
            <w:shd w:val="clear" w:color="auto" w:fill="auto"/>
            <w:noWrap/>
            <w:vAlign w:val="center"/>
          </w:tcPr>
          <w:p w14:paraId="33E0856D">
            <w:pPr>
              <w:pStyle w:val="90"/>
            </w:pPr>
            <w:r>
              <w:t>2.42</w:t>
            </w:r>
          </w:p>
        </w:tc>
        <w:tc>
          <w:tcPr>
            <w:tcW w:w="646" w:type="dxa"/>
            <w:shd w:val="clear" w:color="auto" w:fill="auto"/>
            <w:noWrap/>
            <w:vAlign w:val="center"/>
          </w:tcPr>
          <w:p w14:paraId="52078308">
            <w:pPr>
              <w:pStyle w:val="90"/>
            </w:pPr>
            <w:r>
              <w:t>2.69</w:t>
            </w:r>
          </w:p>
        </w:tc>
        <w:tc>
          <w:tcPr>
            <w:tcW w:w="646" w:type="dxa"/>
            <w:shd w:val="clear" w:color="auto" w:fill="auto"/>
            <w:noWrap/>
            <w:vAlign w:val="center"/>
          </w:tcPr>
          <w:p w14:paraId="3E426BBA">
            <w:pPr>
              <w:pStyle w:val="90"/>
            </w:pPr>
            <w:r>
              <w:t>4.97</w:t>
            </w:r>
          </w:p>
        </w:tc>
        <w:tc>
          <w:tcPr>
            <w:tcW w:w="734" w:type="dxa"/>
            <w:shd w:val="clear" w:color="auto" w:fill="auto"/>
            <w:noWrap/>
            <w:vAlign w:val="center"/>
          </w:tcPr>
          <w:p w14:paraId="3016DF58">
            <w:pPr>
              <w:pStyle w:val="90"/>
            </w:pPr>
            <w:r>
              <w:t>7.26</w:t>
            </w:r>
          </w:p>
        </w:tc>
        <w:tc>
          <w:tcPr>
            <w:tcW w:w="734" w:type="dxa"/>
            <w:shd w:val="clear" w:color="auto" w:fill="auto"/>
            <w:noWrap/>
            <w:vAlign w:val="center"/>
          </w:tcPr>
          <w:p w14:paraId="7243E9F7">
            <w:pPr>
              <w:pStyle w:val="90"/>
            </w:pPr>
            <w:r>
              <w:t>4.70</w:t>
            </w:r>
          </w:p>
        </w:tc>
        <w:tc>
          <w:tcPr>
            <w:tcW w:w="768" w:type="dxa"/>
            <w:shd w:val="clear" w:color="auto" w:fill="auto"/>
            <w:noWrap/>
            <w:vAlign w:val="center"/>
          </w:tcPr>
          <w:p w14:paraId="696DCBD2">
            <w:pPr>
              <w:pStyle w:val="90"/>
            </w:pPr>
            <w:r>
              <w:t>3.23</w:t>
            </w:r>
          </w:p>
        </w:tc>
        <w:tc>
          <w:tcPr>
            <w:tcW w:w="751" w:type="dxa"/>
            <w:shd w:val="clear" w:color="auto" w:fill="auto"/>
            <w:noWrap/>
            <w:vAlign w:val="center"/>
          </w:tcPr>
          <w:p w14:paraId="587DFDCC">
            <w:pPr>
              <w:pStyle w:val="90"/>
            </w:pPr>
            <w:r>
              <w:t>3.36</w:t>
            </w:r>
          </w:p>
        </w:tc>
        <w:tc>
          <w:tcPr>
            <w:tcW w:w="805" w:type="dxa"/>
            <w:shd w:val="clear" w:color="auto" w:fill="auto"/>
            <w:noWrap/>
            <w:vAlign w:val="center"/>
          </w:tcPr>
          <w:p w14:paraId="3D960DEC">
            <w:pPr>
              <w:pStyle w:val="90"/>
            </w:pPr>
            <w:r>
              <w:t>2.55</w:t>
            </w:r>
          </w:p>
        </w:tc>
        <w:tc>
          <w:tcPr>
            <w:tcW w:w="646" w:type="dxa"/>
            <w:shd w:val="clear" w:color="auto" w:fill="auto"/>
            <w:noWrap/>
            <w:vAlign w:val="center"/>
          </w:tcPr>
          <w:p w14:paraId="2EF52C4E">
            <w:pPr>
              <w:pStyle w:val="90"/>
            </w:pPr>
            <w:r>
              <w:t>9.01</w:t>
            </w:r>
          </w:p>
        </w:tc>
        <w:tc>
          <w:tcPr>
            <w:tcW w:w="757" w:type="dxa"/>
            <w:shd w:val="clear" w:color="auto" w:fill="auto"/>
            <w:noWrap/>
            <w:vAlign w:val="center"/>
          </w:tcPr>
          <w:p w14:paraId="282CF76D">
            <w:pPr>
              <w:pStyle w:val="90"/>
            </w:pPr>
            <w:r>
              <w:t>7.12</w:t>
            </w:r>
          </w:p>
        </w:tc>
        <w:tc>
          <w:tcPr>
            <w:tcW w:w="723" w:type="dxa"/>
            <w:shd w:val="clear" w:color="auto" w:fill="auto"/>
            <w:noWrap/>
            <w:vAlign w:val="center"/>
          </w:tcPr>
          <w:p w14:paraId="4B674381">
            <w:pPr>
              <w:pStyle w:val="90"/>
            </w:pPr>
            <w:r>
              <w:t>0.54</w:t>
            </w:r>
          </w:p>
        </w:tc>
      </w:tr>
      <w:tr w14:paraId="66CA9A6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261E242A">
            <w:pPr>
              <w:pStyle w:val="90"/>
            </w:pPr>
            <w:r>
              <w:t>四月</w:t>
            </w:r>
          </w:p>
        </w:tc>
        <w:tc>
          <w:tcPr>
            <w:tcW w:w="644" w:type="dxa"/>
            <w:shd w:val="clear" w:color="auto" w:fill="auto"/>
            <w:noWrap/>
            <w:vAlign w:val="center"/>
          </w:tcPr>
          <w:p w14:paraId="5F562CF6">
            <w:pPr>
              <w:pStyle w:val="90"/>
            </w:pPr>
            <w:r>
              <w:t>3.61</w:t>
            </w:r>
          </w:p>
        </w:tc>
        <w:tc>
          <w:tcPr>
            <w:tcW w:w="684" w:type="dxa"/>
            <w:shd w:val="clear" w:color="auto" w:fill="auto"/>
            <w:noWrap/>
            <w:vAlign w:val="center"/>
          </w:tcPr>
          <w:p w14:paraId="36919403">
            <w:pPr>
              <w:pStyle w:val="90"/>
            </w:pPr>
            <w:r>
              <w:t>3.06</w:t>
            </w:r>
          </w:p>
        </w:tc>
        <w:tc>
          <w:tcPr>
            <w:tcW w:w="740" w:type="dxa"/>
            <w:shd w:val="clear" w:color="auto" w:fill="auto"/>
            <w:noWrap/>
            <w:vAlign w:val="center"/>
          </w:tcPr>
          <w:p w14:paraId="3090BC99">
            <w:pPr>
              <w:pStyle w:val="90"/>
            </w:pPr>
            <w:r>
              <w:t>4.72</w:t>
            </w:r>
          </w:p>
        </w:tc>
        <w:tc>
          <w:tcPr>
            <w:tcW w:w="754" w:type="dxa"/>
            <w:shd w:val="clear" w:color="auto" w:fill="auto"/>
            <w:noWrap/>
            <w:vAlign w:val="center"/>
          </w:tcPr>
          <w:p w14:paraId="1EB3CEE9">
            <w:pPr>
              <w:pStyle w:val="90"/>
            </w:pPr>
            <w:r>
              <w:t>6.39</w:t>
            </w:r>
          </w:p>
        </w:tc>
        <w:tc>
          <w:tcPr>
            <w:tcW w:w="754" w:type="dxa"/>
            <w:shd w:val="clear" w:color="auto" w:fill="auto"/>
            <w:noWrap/>
            <w:vAlign w:val="center"/>
          </w:tcPr>
          <w:p w14:paraId="2180E5C4">
            <w:pPr>
              <w:pStyle w:val="90"/>
            </w:pPr>
            <w:r>
              <w:t>9.31</w:t>
            </w:r>
          </w:p>
        </w:tc>
        <w:tc>
          <w:tcPr>
            <w:tcW w:w="646" w:type="dxa"/>
            <w:shd w:val="clear" w:color="auto" w:fill="auto"/>
            <w:noWrap/>
            <w:vAlign w:val="center"/>
          </w:tcPr>
          <w:p w14:paraId="498EB2B5">
            <w:pPr>
              <w:pStyle w:val="90"/>
            </w:pPr>
            <w:r>
              <w:t>5.28</w:t>
            </w:r>
          </w:p>
        </w:tc>
        <w:tc>
          <w:tcPr>
            <w:tcW w:w="757" w:type="dxa"/>
            <w:shd w:val="clear" w:color="auto" w:fill="auto"/>
            <w:noWrap/>
            <w:vAlign w:val="center"/>
          </w:tcPr>
          <w:p w14:paraId="5CB8E710">
            <w:pPr>
              <w:pStyle w:val="90"/>
            </w:pPr>
            <w:r>
              <w:t>4.58</w:t>
            </w:r>
          </w:p>
        </w:tc>
        <w:tc>
          <w:tcPr>
            <w:tcW w:w="646" w:type="dxa"/>
            <w:shd w:val="clear" w:color="auto" w:fill="auto"/>
            <w:noWrap/>
            <w:vAlign w:val="center"/>
          </w:tcPr>
          <w:p w14:paraId="3C84B805">
            <w:pPr>
              <w:pStyle w:val="90"/>
            </w:pPr>
            <w:r>
              <w:t>3.89</w:t>
            </w:r>
          </w:p>
        </w:tc>
        <w:tc>
          <w:tcPr>
            <w:tcW w:w="646" w:type="dxa"/>
            <w:shd w:val="clear" w:color="auto" w:fill="auto"/>
            <w:noWrap/>
            <w:vAlign w:val="center"/>
          </w:tcPr>
          <w:p w14:paraId="3083BD81">
            <w:pPr>
              <w:pStyle w:val="90"/>
            </w:pPr>
            <w:r>
              <w:t>5.56</w:t>
            </w:r>
          </w:p>
        </w:tc>
        <w:tc>
          <w:tcPr>
            <w:tcW w:w="734" w:type="dxa"/>
            <w:shd w:val="clear" w:color="auto" w:fill="auto"/>
            <w:noWrap/>
            <w:vAlign w:val="center"/>
          </w:tcPr>
          <w:p w14:paraId="16643DC5">
            <w:pPr>
              <w:pStyle w:val="90"/>
            </w:pPr>
            <w:r>
              <w:t>5.00</w:t>
            </w:r>
          </w:p>
        </w:tc>
        <w:tc>
          <w:tcPr>
            <w:tcW w:w="734" w:type="dxa"/>
            <w:shd w:val="clear" w:color="auto" w:fill="auto"/>
            <w:noWrap/>
            <w:vAlign w:val="center"/>
          </w:tcPr>
          <w:p w14:paraId="3AF41B07">
            <w:pPr>
              <w:pStyle w:val="90"/>
            </w:pPr>
            <w:r>
              <w:t>1.94</w:t>
            </w:r>
          </w:p>
        </w:tc>
        <w:tc>
          <w:tcPr>
            <w:tcW w:w="768" w:type="dxa"/>
            <w:shd w:val="clear" w:color="auto" w:fill="auto"/>
            <w:noWrap/>
            <w:vAlign w:val="center"/>
          </w:tcPr>
          <w:p w14:paraId="792EB40C">
            <w:pPr>
              <w:pStyle w:val="90"/>
            </w:pPr>
            <w:r>
              <w:t>2.22</w:t>
            </w:r>
          </w:p>
        </w:tc>
        <w:tc>
          <w:tcPr>
            <w:tcW w:w="751" w:type="dxa"/>
            <w:shd w:val="clear" w:color="auto" w:fill="auto"/>
            <w:noWrap/>
            <w:vAlign w:val="center"/>
          </w:tcPr>
          <w:p w14:paraId="1D78BD15">
            <w:pPr>
              <w:pStyle w:val="90"/>
            </w:pPr>
            <w:r>
              <w:t>1.25</w:t>
            </w:r>
          </w:p>
        </w:tc>
        <w:tc>
          <w:tcPr>
            <w:tcW w:w="805" w:type="dxa"/>
            <w:shd w:val="clear" w:color="auto" w:fill="auto"/>
            <w:noWrap/>
            <w:vAlign w:val="center"/>
          </w:tcPr>
          <w:p w14:paraId="514058DA">
            <w:pPr>
              <w:pStyle w:val="90"/>
            </w:pPr>
            <w:r>
              <w:t>4.31</w:t>
            </w:r>
          </w:p>
        </w:tc>
        <w:tc>
          <w:tcPr>
            <w:tcW w:w="646" w:type="dxa"/>
            <w:shd w:val="clear" w:color="auto" w:fill="auto"/>
            <w:noWrap/>
            <w:vAlign w:val="center"/>
          </w:tcPr>
          <w:p w14:paraId="4EC76B05">
            <w:pPr>
              <w:pStyle w:val="90"/>
            </w:pPr>
            <w:r>
              <w:t>15.42</w:t>
            </w:r>
          </w:p>
        </w:tc>
        <w:tc>
          <w:tcPr>
            <w:tcW w:w="757" w:type="dxa"/>
            <w:shd w:val="clear" w:color="auto" w:fill="auto"/>
            <w:noWrap/>
            <w:vAlign w:val="center"/>
          </w:tcPr>
          <w:p w14:paraId="4903BBE6">
            <w:pPr>
              <w:pStyle w:val="90"/>
            </w:pPr>
            <w:r>
              <w:t>23.19</w:t>
            </w:r>
          </w:p>
        </w:tc>
        <w:tc>
          <w:tcPr>
            <w:tcW w:w="723" w:type="dxa"/>
            <w:shd w:val="clear" w:color="auto" w:fill="auto"/>
            <w:noWrap/>
            <w:vAlign w:val="center"/>
          </w:tcPr>
          <w:p w14:paraId="3E1C8359">
            <w:pPr>
              <w:pStyle w:val="90"/>
            </w:pPr>
            <w:r>
              <w:t>0.28</w:t>
            </w:r>
          </w:p>
        </w:tc>
      </w:tr>
      <w:tr w14:paraId="5D76BA6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785CE870">
            <w:pPr>
              <w:pStyle w:val="90"/>
            </w:pPr>
            <w:r>
              <w:t>五月</w:t>
            </w:r>
          </w:p>
        </w:tc>
        <w:tc>
          <w:tcPr>
            <w:tcW w:w="644" w:type="dxa"/>
            <w:shd w:val="clear" w:color="auto" w:fill="auto"/>
            <w:noWrap/>
            <w:vAlign w:val="center"/>
          </w:tcPr>
          <w:p w14:paraId="69697A57">
            <w:pPr>
              <w:pStyle w:val="90"/>
            </w:pPr>
            <w:r>
              <w:t>3.23</w:t>
            </w:r>
          </w:p>
        </w:tc>
        <w:tc>
          <w:tcPr>
            <w:tcW w:w="684" w:type="dxa"/>
            <w:shd w:val="clear" w:color="auto" w:fill="auto"/>
            <w:noWrap/>
            <w:vAlign w:val="center"/>
          </w:tcPr>
          <w:p w14:paraId="745B8DB1">
            <w:pPr>
              <w:pStyle w:val="90"/>
            </w:pPr>
            <w:r>
              <w:t>2.69</w:t>
            </w:r>
          </w:p>
        </w:tc>
        <w:tc>
          <w:tcPr>
            <w:tcW w:w="740" w:type="dxa"/>
            <w:shd w:val="clear" w:color="auto" w:fill="auto"/>
            <w:noWrap/>
            <w:vAlign w:val="center"/>
          </w:tcPr>
          <w:p w14:paraId="55F29131">
            <w:pPr>
              <w:pStyle w:val="90"/>
            </w:pPr>
            <w:r>
              <w:t>2.82</w:t>
            </w:r>
          </w:p>
        </w:tc>
        <w:tc>
          <w:tcPr>
            <w:tcW w:w="754" w:type="dxa"/>
            <w:shd w:val="clear" w:color="auto" w:fill="auto"/>
            <w:noWrap/>
            <w:vAlign w:val="center"/>
          </w:tcPr>
          <w:p w14:paraId="07E4283F">
            <w:pPr>
              <w:pStyle w:val="90"/>
            </w:pPr>
            <w:r>
              <w:t>2.42</w:t>
            </w:r>
          </w:p>
        </w:tc>
        <w:tc>
          <w:tcPr>
            <w:tcW w:w="754" w:type="dxa"/>
            <w:shd w:val="clear" w:color="auto" w:fill="auto"/>
            <w:noWrap/>
            <w:vAlign w:val="center"/>
          </w:tcPr>
          <w:p w14:paraId="1114D6F6">
            <w:pPr>
              <w:pStyle w:val="90"/>
            </w:pPr>
            <w:r>
              <w:t>2.96</w:t>
            </w:r>
          </w:p>
        </w:tc>
        <w:tc>
          <w:tcPr>
            <w:tcW w:w="646" w:type="dxa"/>
            <w:shd w:val="clear" w:color="auto" w:fill="auto"/>
            <w:noWrap/>
            <w:vAlign w:val="center"/>
          </w:tcPr>
          <w:p w14:paraId="7735D874">
            <w:pPr>
              <w:pStyle w:val="90"/>
            </w:pPr>
            <w:r>
              <w:t>3.76</w:t>
            </w:r>
          </w:p>
        </w:tc>
        <w:tc>
          <w:tcPr>
            <w:tcW w:w="757" w:type="dxa"/>
            <w:shd w:val="clear" w:color="auto" w:fill="auto"/>
            <w:noWrap/>
            <w:vAlign w:val="center"/>
          </w:tcPr>
          <w:p w14:paraId="1731179E">
            <w:pPr>
              <w:pStyle w:val="90"/>
            </w:pPr>
            <w:r>
              <w:t>5.11</w:t>
            </w:r>
          </w:p>
        </w:tc>
        <w:tc>
          <w:tcPr>
            <w:tcW w:w="646" w:type="dxa"/>
            <w:shd w:val="clear" w:color="auto" w:fill="auto"/>
            <w:noWrap/>
            <w:vAlign w:val="center"/>
          </w:tcPr>
          <w:p w14:paraId="7FDF1A39">
            <w:pPr>
              <w:pStyle w:val="90"/>
            </w:pPr>
            <w:r>
              <w:t>5.38</w:t>
            </w:r>
          </w:p>
        </w:tc>
        <w:tc>
          <w:tcPr>
            <w:tcW w:w="646" w:type="dxa"/>
            <w:shd w:val="clear" w:color="auto" w:fill="auto"/>
            <w:noWrap/>
            <w:vAlign w:val="center"/>
          </w:tcPr>
          <w:p w14:paraId="5EB867DD">
            <w:pPr>
              <w:pStyle w:val="90"/>
            </w:pPr>
            <w:r>
              <w:t>5.24</w:t>
            </w:r>
          </w:p>
        </w:tc>
        <w:tc>
          <w:tcPr>
            <w:tcW w:w="734" w:type="dxa"/>
            <w:shd w:val="clear" w:color="auto" w:fill="auto"/>
            <w:noWrap/>
            <w:vAlign w:val="center"/>
          </w:tcPr>
          <w:p w14:paraId="6473513B">
            <w:pPr>
              <w:pStyle w:val="90"/>
            </w:pPr>
            <w:r>
              <w:t>3.23</w:t>
            </w:r>
          </w:p>
        </w:tc>
        <w:tc>
          <w:tcPr>
            <w:tcW w:w="734" w:type="dxa"/>
            <w:shd w:val="clear" w:color="auto" w:fill="auto"/>
            <w:noWrap/>
            <w:vAlign w:val="center"/>
          </w:tcPr>
          <w:p w14:paraId="0248A443">
            <w:pPr>
              <w:pStyle w:val="90"/>
            </w:pPr>
            <w:r>
              <w:t>2.42</w:t>
            </w:r>
          </w:p>
        </w:tc>
        <w:tc>
          <w:tcPr>
            <w:tcW w:w="768" w:type="dxa"/>
            <w:shd w:val="clear" w:color="auto" w:fill="auto"/>
            <w:noWrap/>
            <w:vAlign w:val="center"/>
          </w:tcPr>
          <w:p w14:paraId="69BFBABC">
            <w:pPr>
              <w:pStyle w:val="90"/>
            </w:pPr>
            <w:r>
              <w:t>1.88</w:t>
            </w:r>
          </w:p>
        </w:tc>
        <w:tc>
          <w:tcPr>
            <w:tcW w:w="751" w:type="dxa"/>
            <w:shd w:val="clear" w:color="auto" w:fill="auto"/>
            <w:noWrap/>
            <w:vAlign w:val="center"/>
          </w:tcPr>
          <w:p w14:paraId="50FA2AA4">
            <w:pPr>
              <w:pStyle w:val="90"/>
            </w:pPr>
            <w:r>
              <w:t>2.42</w:t>
            </w:r>
          </w:p>
        </w:tc>
        <w:tc>
          <w:tcPr>
            <w:tcW w:w="805" w:type="dxa"/>
            <w:shd w:val="clear" w:color="auto" w:fill="auto"/>
            <w:noWrap/>
            <w:vAlign w:val="center"/>
          </w:tcPr>
          <w:p w14:paraId="06DE1746">
            <w:pPr>
              <w:pStyle w:val="90"/>
            </w:pPr>
            <w:r>
              <w:t>6.72</w:t>
            </w:r>
          </w:p>
        </w:tc>
        <w:tc>
          <w:tcPr>
            <w:tcW w:w="646" w:type="dxa"/>
            <w:shd w:val="clear" w:color="auto" w:fill="auto"/>
            <w:noWrap/>
            <w:vAlign w:val="center"/>
          </w:tcPr>
          <w:p w14:paraId="58B398FA">
            <w:pPr>
              <w:pStyle w:val="90"/>
            </w:pPr>
            <w:r>
              <w:t>30.24</w:t>
            </w:r>
          </w:p>
        </w:tc>
        <w:tc>
          <w:tcPr>
            <w:tcW w:w="757" w:type="dxa"/>
            <w:shd w:val="clear" w:color="auto" w:fill="auto"/>
            <w:noWrap/>
            <w:vAlign w:val="center"/>
          </w:tcPr>
          <w:p w14:paraId="641776DA">
            <w:pPr>
              <w:pStyle w:val="90"/>
            </w:pPr>
            <w:r>
              <w:t>19.09</w:t>
            </w:r>
          </w:p>
        </w:tc>
        <w:tc>
          <w:tcPr>
            <w:tcW w:w="723" w:type="dxa"/>
            <w:shd w:val="clear" w:color="auto" w:fill="auto"/>
            <w:noWrap/>
            <w:vAlign w:val="center"/>
          </w:tcPr>
          <w:p w14:paraId="47A118C4">
            <w:pPr>
              <w:pStyle w:val="90"/>
            </w:pPr>
            <w:r>
              <w:t>0.40</w:t>
            </w:r>
          </w:p>
        </w:tc>
      </w:tr>
      <w:tr w14:paraId="6F9B6E4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019A0FB8">
            <w:pPr>
              <w:pStyle w:val="90"/>
            </w:pPr>
            <w:r>
              <w:t>六月</w:t>
            </w:r>
          </w:p>
        </w:tc>
        <w:tc>
          <w:tcPr>
            <w:tcW w:w="644" w:type="dxa"/>
            <w:shd w:val="clear" w:color="auto" w:fill="auto"/>
            <w:noWrap/>
            <w:vAlign w:val="center"/>
          </w:tcPr>
          <w:p w14:paraId="47353BD6">
            <w:pPr>
              <w:pStyle w:val="90"/>
            </w:pPr>
            <w:r>
              <w:t>4.72</w:t>
            </w:r>
          </w:p>
        </w:tc>
        <w:tc>
          <w:tcPr>
            <w:tcW w:w="684" w:type="dxa"/>
            <w:shd w:val="clear" w:color="auto" w:fill="auto"/>
            <w:noWrap/>
            <w:vAlign w:val="center"/>
          </w:tcPr>
          <w:p w14:paraId="6A1A28AF">
            <w:pPr>
              <w:pStyle w:val="90"/>
            </w:pPr>
            <w:r>
              <w:t>2.64</w:t>
            </w:r>
          </w:p>
        </w:tc>
        <w:tc>
          <w:tcPr>
            <w:tcW w:w="740" w:type="dxa"/>
            <w:shd w:val="clear" w:color="auto" w:fill="auto"/>
            <w:noWrap/>
            <w:vAlign w:val="center"/>
          </w:tcPr>
          <w:p w14:paraId="206FA394">
            <w:pPr>
              <w:pStyle w:val="90"/>
            </w:pPr>
            <w:r>
              <w:t>3.33</w:t>
            </w:r>
          </w:p>
        </w:tc>
        <w:tc>
          <w:tcPr>
            <w:tcW w:w="754" w:type="dxa"/>
            <w:shd w:val="clear" w:color="auto" w:fill="auto"/>
            <w:noWrap/>
            <w:vAlign w:val="center"/>
          </w:tcPr>
          <w:p w14:paraId="3E59EC55">
            <w:pPr>
              <w:pStyle w:val="90"/>
            </w:pPr>
            <w:r>
              <w:t>2.50</w:t>
            </w:r>
          </w:p>
        </w:tc>
        <w:tc>
          <w:tcPr>
            <w:tcW w:w="754" w:type="dxa"/>
            <w:shd w:val="clear" w:color="auto" w:fill="auto"/>
            <w:noWrap/>
            <w:vAlign w:val="center"/>
          </w:tcPr>
          <w:p w14:paraId="1F87A0EA">
            <w:pPr>
              <w:pStyle w:val="90"/>
            </w:pPr>
            <w:r>
              <w:t>4.31</w:t>
            </w:r>
          </w:p>
        </w:tc>
        <w:tc>
          <w:tcPr>
            <w:tcW w:w="646" w:type="dxa"/>
            <w:shd w:val="clear" w:color="auto" w:fill="auto"/>
            <w:noWrap/>
            <w:vAlign w:val="center"/>
          </w:tcPr>
          <w:p w14:paraId="7C805D8D">
            <w:pPr>
              <w:pStyle w:val="90"/>
            </w:pPr>
            <w:r>
              <w:t>5.28</w:t>
            </w:r>
          </w:p>
        </w:tc>
        <w:tc>
          <w:tcPr>
            <w:tcW w:w="757" w:type="dxa"/>
            <w:shd w:val="clear" w:color="auto" w:fill="auto"/>
            <w:noWrap/>
            <w:vAlign w:val="center"/>
          </w:tcPr>
          <w:p w14:paraId="542635DC">
            <w:pPr>
              <w:pStyle w:val="90"/>
            </w:pPr>
            <w:r>
              <w:t>4.03</w:t>
            </w:r>
          </w:p>
        </w:tc>
        <w:tc>
          <w:tcPr>
            <w:tcW w:w="646" w:type="dxa"/>
            <w:shd w:val="clear" w:color="auto" w:fill="auto"/>
            <w:noWrap/>
            <w:vAlign w:val="center"/>
          </w:tcPr>
          <w:p w14:paraId="26379DE6">
            <w:pPr>
              <w:pStyle w:val="90"/>
            </w:pPr>
            <w:r>
              <w:t>5.14</w:t>
            </w:r>
          </w:p>
        </w:tc>
        <w:tc>
          <w:tcPr>
            <w:tcW w:w="646" w:type="dxa"/>
            <w:shd w:val="clear" w:color="auto" w:fill="auto"/>
            <w:noWrap/>
            <w:vAlign w:val="center"/>
          </w:tcPr>
          <w:p w14:paraId="19D96446">
            <w:pPr>
              <w:pStyle w:val="90"/>
            </w:pPr>
            <w:r>
              <w:t>5.69</w:t>
            </w:r>
          </w:p>
        </w:tc>
        <w:tc>
          <w:tcPr>
            <w:tcW w:w="734" w:type="dxa"/>
            <w:shd w:val="clear" w:color="auto" w:fill="auto"/>
            <w:noWrap/>
            <w:vAlign w:val="center"/>
          </w:tcPr>
          <w:p w14:paraId="3B57D7AF">
            <w:pPr>
              <w:pStyle w:val="90"/>
            </w:pPr>
            <w:r>
              <w:t>3.75</w:t>
            </w:r>
          </w:p>
        </w:tc>
        <w:tc>
          <w:tcPr>
            <w:tcW w:w="734" w:type="dxa"/>
            <w:shd w:val="clear" w:color="auto" w:fill="auto"/>
            <w:noWrap/>
            <w:vAlign w:val="center"/>
          </w:tcPr>
          <w:p w14:paraId="349F9B94">
            <w:pPr>
              <w:pStyle w:val="90"/>
            </w:pPr>
            <w:r>
              <w:t>2.64</w:t>
            </w:r>
          </w:p>
        </w:tc>
        <w:tc>
          <w:tcPr>
            <w:tcW w:w="768" w:type="dxa"/>
            <w:shd w:val="clear" w:color="auto" w:fill="auto"/>
            <w:noWrap/>
            <w:vAlign w:val="center"/>
          </w:tcPr>
          <w:p w14:paraId="1CB87DC5">
            <w:pPr>
              <w:pStyle w:val="90"/>
            </w:pPr>
            <w:r>
              <w:t>2.50</w:t>
            </w:r>
          </w:p>
        </w:tc>
        <w:tc>
          <w:tcPr>
            <w:tcW w:w="751" w:type="dxa"/>
            <w:shd w:val="clear" w:color="auto" w:fill="auto"/>
            <w:noWrap/>
            <w:vAlign w:val="center"/>
          </w:tcPr>
          <w:p w14:paraId="2AFDD390">
            <w:pPr>
              <w:pStyle w:val="90"/>
            </w:pPr>
            <w:r>
              <w:t>3.75</w:t>
            </w:r>
          </w:p>
        </w:tc>
        <w:tc>
          <w:tcPr>
            <w:tcW w:w="805" w:type="dxa"/>
            <w:shd w:val="clear" w:color="auto" w:fill="auto"/>
            <w:noWrap/>
            <w:vAlign w:val="center"/>
          </w:tcPr>
          <w:p w14:paraId="278121FF">
            <w:pPr>
              <w:pStyle w:val="90"/>
            </w:pPr>
            <w:r>
              <w:t>4.17</w:t>
            </w:r>
          </w:p>
        </w:tc>
        <w:tc>
          <w:tcPr>
            <w:tcW w:w="646" w:type="dxa"/>
            <w:shd w:val="clear" w:color="auto" w:fill="auto"/>
            <w:noWrap/>
            <w:vAlign w:val="center"/>
          </w:tcPr>
          <w:p w14:paraId="38FD0C85">
            <w:pPr>
              <w:pStyle w:val="90"/>
            </w:pPr>
            <w:r>
              <w:t>24.72</w:t>
            </w:r>
          </w:p>
        </w:tc>
        <w:tc>
          <w:tcPr>
            <w:tcW w:w="757" w:type="dxa"/>
            <w:shd w:val="clear" w:color="auto" w:fill="auto"/>
            <w:noWrap/>
            <w:vAlign w:val="center"/>
          </w:tcPr>
          <w:p w14:paraId="5B7C2ECC">
            <w:pPr>
              <w:pStyle w:val="90"/>
            </w:pPr>
            <w:r>
              <w:t>20.69</w:t>
            </w:r>
          </w:p>
        </w:tc>
        <w:tc>
          <w:tcPr>
            <w:tcW w:w="723" w:type="dxa"/>
            <w:shd w:val="clear" w:color="auto" w:fill="auto"/>
            <w:noWrap/>
            <w:vAlign w:val="center"/>
          </w:tcPr>
          <w:p w14:paraId="2C6E6BB3">
            <w:pPr>
              <w:pStyle w:val="90"/>
            </w:pPr>
            <w:r>
              <w:t>0.14</w:t>
            </w:r>
          </w:p>
        </w:tc>
      </w:tr>
      <w:tr w14:paraId="3F98916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0F643092">
            <w:pPr>
              <w:pStyle w:val="90"/>
            </w:pPr>
            <w:r>
              <w:t>七月</w:t>
            </w:r>
          </w:p>
        </w:tc>
        <w:tc>
          <w:tcPr>
            <w:tcW w:w="644" w:type="dxa"/>
            <w:shd w:val="clear" w:color="auto" w:fill="auto"/>
            <w:noWrap/>
            <w:vAlign w:val="center"/>
          </w:tcPr>
          <w:p w14:paraId="695E8C6D">
            <w:pPr>
              <w:pStyle w:val="90"/>
            </w:pPr>
            <w:r>
              <w:t>4.57</w:t>
            </w:r>
          </w:p>
        </w:tc>
        <w:tc>
          <w:tcPr>
            <w:tcW w:w="684" w:type="dxa"/>
            <w:shd w:val="clear" w:color="auto" w:fill="auto"/>
            <w:noWrap/>
            <w:vAlign w:val="center"/>
          </w:tcPr>
          <w:p w14:paraId="499789F7">
            <w:pPr>
              <w:pStyle w:val="90"/>
            </w:pPr>
            <w:r>
              <w:t>3.49</w:t>
            </w:r>
          </w:p>
        </w:tc>
        <w:tc>
          <w:tcPr>
            <w:tcW w:w="740" w:type="dxa"/>
            <w:shd w:val="clear" w:color="auto" w:fill="auto"/>
            <w:noWrap/>
            <w:vAlign w:val="center"/>
          </w:tcPr>
          <w:p w14:paraId="0E76BDF9">
            <w:pPr>
              <w:pStyle w:val="90"/>
            </w:pPr>
            <w:r>
              <w:t>2.55</w:t>
            </w:r>
          </w:p>
        </w:tc>
        <w:tc>
          <w:tcPr>
            <w:tcW w:w="754" w:type="dxa"/>
            <w:shd w:val="clear" w:color="auto" w:fill="auto"/>
            <w:noWrap/>
            <w:vAlign w:val="center"/>
          </w:tcPr>
          <w:p w14:paraId="3088BD55">
            <w:pPr>
              <w:pStyle w:val="90"/>
            </w:pPr>
            <w:r>
              <w:t>3.63</w:t>
            </w:r>
          </w:p>
        </w:tc>
        <w:tc>
          <w:tcPr>
            <w:tcW w:w="754" w:type="dxa"/>
            <w:shd w:val="clear" w:color="auto" w:fill="auto"/>
            <w:noWrap/>
            <w:vAlign w:val="center"/>
          </w:tcPr>
          <w:p w14:paraId="4F42350B">
            <w:pPr>
              <w:pStyle w:val="90"/>
            </w:pPr>
            <w:r>
              <w:t>4.84</w:t>
            </w:r>
          </w:p>
        </w:tc>
        <w:tc>
          <w:tcPr>
            <w:tcW w:w="646" w:type="dxa"/>
            <w:shd w:val="clear" w:color="auto" w:fill="auto"/>
            <w:noWrap/>
            <w:vAlign w:val="center"/>
          </w:tcPr>
          <w:p w14:paraId="28B4C210">
            <w:pPr>
              <w:pStyle w:val="90"/>
            </w:pPr>
            <w:r>
              <w:t>3.90</w:t>
            </w:r>
          </w:p>
        </w:tc>
        <w:tc>
          <w:tcPr>
            <w:tcW w:w="757" w:type="dxa"/>
            <w:shd w:val="clear" w:color="auto" w:fill="auto"/>
            <w:noWrap/>
            <w:vAlign w:val="center"/>
          </w:tcPr>
          <w:p w14:paraId="4AA432E5">
            <w:pPr>
              <w:pStyle w:val="90"/>
            </w:pPr>
            <w:r>
              <w:t>7.39</w:t>
            </w:r>
          </w:p>
        </w:tc>
        <w:tc>
          <w:tcPr>
            <w:tcW w:w="646" w:type="dxa"/>
            <w:shd w:val="clear" w:color="auto" w:fill="auto"/>
            <w:noWrap/>
            <w:vAlign w:val="center"/>
          </w:tcPr>
          <w:p w14:paraId="6E07A8F3">
            <w:pPr>
              <w:pStyle w:val="90"/>
            </w:pPr>
            <w:r>
              <w:t>6.45</w:t>
            </w:r>
          </w:p>
        </w:tc>
        <w:tc>
          <w:tcPr>
            <w:tcW w:w="646" w:type="dxa"/>
            <w:shd w:val="clear" w:color="auto" w:fill="auto"/>
            <w:noWrap/>
            <w:vAlign w:val="center"/>
          </w:tcPr>
          <w:p w14:paraId="110FA59D">
            <w:pPr>
              <w:pStyle w:val="90"/>
            </w:pPr>
            <w:r>
              <w:t>7.93</w:t>
            </w:r>
          </w:p>
        </w:tc>
        <w:tc>
          <w:tcPr>
            <w:tcW w:w="734" w:type="dxa"/>
            <w:shd w:val="clear" w:color="auto" w:fill="auto"/>
            <w:noWrap/>
            <w:vAlign w:val="center"/>
          </w:tcPr>
          <w:p w14:paraId="327EBFCD">
            <w:pPr>
              <w:pStyle w:val="90"/>
            </w:pPr>
            <w:r>
              <w:t>3.49</w:t>
            </w:r>
          </w:p>
        </w:tc>
        <w:tc>
          <w:tcPr>
            <w:tcW w:w="734" w:type="dxa"/>
            <w:shd w:val="clear" w:color="auto" w:fill="auto"/>
            <w:noWrap/>
            <w:vAlign w:val="center"/>
          </w:tcPr>
          <w:p w14:paraId="1562AD44">
            <w:pPr>
              <w:pStyle w:val="90"/>
            </w:pPr>
            <w:r>
              <w:t>2.42</w:t>
            </w:r>
          </w:p>
        </w:tc>
        <w:tc>
          <w:tcPr>
            <w:tcW w:w="768" w:type="dxa"/>
            <w:shd w:val="clear" w:color="auto" w:fill="auto"/>
            <w:noWrap/>
            <w:vAlign w:val="center"/>
          </w:tcPr>
          <w:p w14:paraId="25478E06">
            <w:pPr>
              <w:pStyle w:val="90"/>
            </w:pPr>
            <w:r>
              <w:t>1.88</w:t>
            </w:r>
          </w:p>
        </w:tc>
        <w:tc>
          <w:tcPr>
            <w:tcW w:w="751" w:type="dxa"/>
            <w:shd w:val="clear" w:color="auto" w:fill="auto"/>
            <w:noWrap/>
            <w:vAlign w:val="center"/>
          </w:tcPr>
          <w:p w14:paraId="61C9B85B">
            <w:pPr>
              <w:pStyle w:val="90"/>
            </w:pPr>
            <w:r>
              <w:t>3.76</w:t>
            </w:r>
          </w:p>
        </w:tc>
        <w:tc>
          <w:tcPr>
            <w:tcW w:w="805" w:type="dxa"/>
            <w:shd w:val="clear" w:color="auto" w:fill="auto"/>
            <w:noWrap/>
            <w:vAlign w:val="center"/>
          </w:tcPr>
          <w:p w14:paraId="4253FF91">
            <w:pPr>
              <w:pStyle w:val="90"/>
            </w:pPr>
            <w:r>
              <w:t>4.70</w:t>
            </w:r>
          </w:p>
        </w:tc>
        <w:tc>
          <w:tcPr>
            <w:tcW w:w="646" w:type="dxa"/>
            <w:shd w:val="clear" w:color="auto" w:fill="auto"/>
            <w:noWrap/>
            <w:vAlign w:val="center"/>
          </w:tcPr>
          <w:p w14:paraId="2D93F4C5">
            <w:pPr>
              <w:pStyle w:val="90"/>
            </w:pPr>
            <w:r>
              <w:t>20.56</w:t>
            </w:r>
          </w:p>
        </w:tc>
        <w:tc>
          <w:tcPr>
            <w:tcW w:w="757" w:type="dxa"/>
            <w:shd w:val="clear" w:color="auto" w:fill="auto"/>
            <w:noWrap/>
            <w:vAlign w:val="center"/>
          </w:tcPr>
          <w:p w14:paraId="48D95D12">
            <w:pPr>
              <w:pStyle w:val="90"/>
            </w:pPr>
            <w:r>
              <w:t>18.28</w:t>
            </w:r>
          </w:p>
        </w:tc>
        <w:tc>
          <w:tcPr>
            <w:tcW w:w="723" w:type="dxa"/>
            <w:shd w:val="clear" w:color="auto" w:fill="auto"/>
            <w:noWrap/>
            <w:vAlign w:val="center"/>
          </w:tcPr>
          <w:p w14:paraId="3856B20A">
            <w:pPr>
              <w:pStyle w:val="90"/>
            </w:pPr>
            <w:r>
              <w:t>0.13</w:t>
            </w:r>
          </w:p>
        </w:tc>
      </w:tr>
      <w:tr w14:paraId="219689A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7F1BC9EF">
            <w:pPr>
              <w:pStyle w:val="90"/>
            </w:pPr>
            <w:r>
              <w:t>八月</w:t>
            </w:r>
          </w:p>
        </w:tc>
        <w:tc>
          <w:tcPr>
            <w:tcW w:w="644" w:type="dxa"/>
            <w:shd w:val="clear" w:color="auto" w:fill="auto"/>
            <w:noWrap/>
            <w:vAlign w:val="center"/>
          </w:tcPr>
          <w:p w14:paraId="4DC3BF8D">
            <w:pPr>
              <w:pStyle w:val="90"/>
            </w:pPr>
            <w:r>
              <w:t>4.44</w:t>
            </w:r>
          </w:p>
        </w:tc>
        <w:tc>
          <w:tcPr>
            <w:tcW w:w="684" w:type="dxa"/>
            <w:shd w:val="clear" w:color="auto" w:fill="auto"/>
            <w:noWrap/>
            <w:vAlign w:val="center"/>
          </w:tcPr>
          <w:p w14:paraId="1D9A247E">
            <w:pPr>
              <w:pStyle w:val="90"/>
            </w:pPr>
            <w:r>
              <w:t>2.28</w:t>
            </w:r>
          </w:p>
        </w:tc>
        <w:tc>
          <w:tcPr>
            <w:tcW w:w="740" w:type="dxa"/>
            <w:shd w:val="clear" w:color="auto" w:fill="auto"/>
            <w:noWrap/>
            <w:vAlign w:val="center"/>
          </w:tcPr>
          <w:p w14:paraId="40EDC015">
            <w:pPr>
              <w:pStyle w:val="90"/>
            </w:pPr>
            <w:r>
              <w:t>3.49</w:t>
            </w:r>
          </w:p>
        </w:tc>
        <w:tc>
          <w:tcPr>
            <w:tcW w:w="754" w:type="dxa"/>
            <w:shd w:val="clear" w:color="auto" w:fill="auto"/>
            <w:noWrap/>
            <w:vAlign w:val="center"/>
          </w:tcPr>
          <w:p w14:paraId="4B516A5C">
            <w:pPr>
              <w:pStyle w:val="90"/>
            </w:pPr>
            <w:r>
              <w:t>2.15</w:t>
            </w:r>
          </w:p>
        </w:tc>
        <w:tc>
          <w:tcPr>
            <w:tcW w:w="754" w:type="dxa"/>
            <w:shd w:val="clear" w:color="auto" w:fill="auto"/>
            <w:noWrap/>
            <w:vAlign w:val="center"/>
          </w:tcPr>
          <w:p w14:paraId="140ADE1E">
            <w:pPr>
              <w:pStyle w:val="90"/>
            </w:pPr>
            <w:r>
              <w:t>5.78</w:t>
            </w:r>
          </w:p>
        </w:tc>
        <w:tc>
          <w:tcPr>
            <w:tcW w:w="646" w:type="dxa"/>
            <w:shd w:val="clear" w:color="auto" w:fill="auto"/>
            <w:noWrap/>
            <w:vAlign w:val="center"/>
          </w:tcPr>
          <w:p w14:paraId="2AA59F02">
            <w:pPr>
              <w:pStyle w:val="90"/>
            </w:pPr>
            <w:r>
              <w:t>8.47</w:t>
            </w:r>
          </w:p>
        </w:tc>
        <w:tc>
          <w:tcPr>
            <w:tcW w:w="757" w:type="dxa"/>
            <w:shd w:val="clear" w:color="auto" w:fill="auto"/>
            <w:noWrap/>
            <w:vAlign w:val="center"/>
          </w:tcPr>
          <w:p w14:paraId="7E8175B8">
            <w:pPr>
              <w:pStyle w:val="90"/>
            </w:pPr>
            <w:r>
              <w:t>7.66</w:t>
            </w:r>
          </w:p>
        </w:tc>
        <w:tc>
          <w:tcPr>
            <w:tcW w:w="646" w:type="dxa"/>
            <w:shd w:val="clear" w:color="auto" w:fill="auto"/>
            <w:noWrap/>
            <w:vAlign w:val="center"/>
          </w:tcPr>
          <w:p w14:paraId="4D0A4D10">
            <w:pPr>
              <w:pStyle w:val="90"/>
            </w:pPr>
            <w:r>
              <w:t>4.30</w:t>
            </w:r>
          </w:p>
        </w:tc>
        <w:tc>
          <w:tcPr>
            <w:tcW w:w="646" w:type="dxa"/>
            <w:shd w:val="clear" w:color="auto" w:fill="auto"/>
            <w:noWrap/>
            <w:vAlign w:val="center"/>
          </w:tcPr>
          <w:p w14:paraId="6766EC71">
            <w:pPr>
              <w:pStyle w:val="90"/>
            </w:pPr>
            <w:r>
              <w:t>8.06</w:t>
            </w:r>
          </w:p>
        </w:tc>
        <w:tc>
          <w:tcPr>
            <w:tcW w:w="734" w:type="dxa"/>
            <w:shd w:val="clear" w:color="auto" w:fill="auto"/>
            <w:noWrap/>
            <w:vAlign w:val="center"/>
          </w:tcPr>
          <w:p w14:paraId="23EF6F56">
            <w:pPr>
              <w:pStyle w:val="90"/>
            </w:pPr>
            <w:r>
              <w:t>4.70</w:t>
            </w:r>
          </w:p>
        </w:tc>
        <w:tc>
          <w:tcPr>
            <w:tcW w:w="734" w:type="dxa"/>
            <w:shd w:val="clear" w:color="auto" w:fill="auto"/>
            <w:noWrap/>
            <w:vAlign w:val="center"/>
          </w:tcPr>
          <w:p w14:paraId="66040CED">
            <w:pPr>
              <w:pStyle w:val="90"/>
            </w:pPr>
            <w:r>
              <w:t>2.28</w:t>
            </w:r>
          </w:p>
        </w:tc>
        <w:tc>
          <w:tcPr>
            <w:tcW w:w="768" w:type="dxa"/>
            <w:shd w:val="clear" w:color="auto" w:fill="auto"/>
            <w:noWrap/>
            <w:vAlign w:val="center"/>
          </w:tcPr>
          <w:p w14:paraId="2F762FF6">
            <w:pPr>
              <w:pStyle w:val="90"/>
            </w:pPr>
            <w:r>
              <w:t>1.61</w:t>
            </w:r>
          </w:p>
        </w:tc>
        <w:tc>
          <w:tcPr>
            <w:tcW w:w="751" w:type="dxa"/>
            <w:shd w:val="clear" w:color="auto" w:fill="auto"/>
            <w:noWrap/>
            <w:vAlign w:val="center"/>
          </w:tcPr>
          <w:p w14:paraId="54E039F1">
            <w:pPr>
              <w:pStyle w:val="90"/>
            </w:pPr>
            <w:r>
              <w:t>2.42</w:t>
            </w:r>
          </w:p>
        </w:tc>
        <w:tc>
          <w:tcPr>
            <w:tcW w:w="805" w:type="dxa"/>
            <w:shd w:val="clear" w:color="auto" w:fill="auto"/>
            <w:noWrap/>
            <w:vAlign w:val="center"/>
          </w:tcPr>
          <w:p w14:paraId="626AA981">
            <w:pPr>
              <w:pStyle w:val="90"/>
            </w:pPr>
            <w:r>
              <w:t>4.03</w:t>
            </w:r>
          </w:p>
        </w:tc>
        <w:tc>
          <w:tcPr>
            <w:tcW w:w="646" w:type="dxa"/>
            <w:shd w:val="clear" w:color="auto" w:fill="auto"/>
            <w:noWrap/>
            <w:vAlign w:val="center"/>
          </w:tcPr>
          <w:p w14:paraId="258AA2FC">
            <w:pPr>
              <w:pStyle w:val="90"/>
            </w:pPr>
            <w:r>
              <w:t>14.78</w:t>
            </w:r>
          </w:p>
        </w:tc>
        <w:tc>
          <w:tcPr>
            <w:tcW w:w="757" w:type="dxa"/>
            <w:shd w:val="clear" w:color="auto" w:fill="auto"/>
            <w:noWrap/>
            <w:vAlign w:val="center"/>
          </w:tcPr>
          <w:p w14:paraId="6855694A">
            <w:pPr>
              <w:pStyle w:val="90"/>
            </w:pPr>
            <w:r>
              <w:t>23.39</w:t>
            </w:r>
          </w:p>
        </w:tc>
        <w:tc>
          <w:tcPr>
            <w:tcW w:w="723" w:type="dxa"/>
            <w:shd w:val="clear" w:color="auto" w:fill="auto"/>
            <w:noWrap/>
            <w:vAlign w:val="center"/>
          </w:tcPr>
          <w:p w14:paraId="2362F21C">
            <w:pPr>
              <w:pStyle w:val="90"/>
            </w:pPr>
            <w:r>
              <w:t>0.13</w:t>
            </w:r>
          </w:p>
        </w:tc>
      </w:tr>
      <w:tr w14:paraId="60BA68D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01F807AF">
            <w:pPr>
              <w:pStyle w:val="90"/>
            </w:pPr>
            <w:r>
              <w:t>九月</w:t>
            </w:r>
          </w:p>
        </w:tc>
        <w:tc>
          <w:tcPr>
            <w:tcW w:w="644" w:type="dxa"/>
            <w:shd w:val="clear" w:color="auto" w:fill="auto"/>
            <w:noWrap/>
            <w:vAlign w:val="center"/>
          </w:tcPr>
          <w:p w14:paraId="1C7DABC1">
            <w:pPr>
              <w:pStyle w:val="90"/>
            </w:pPr>
            <w:r>
              <w:t>3.89</w:t>
            </w:r>
          </w:p>
        </w:tc>
        <w:tc>
          <w:tcPr>
            <w:tcW w:w="684" w:type="dxa"/>
            <w:shd w:val="clear" w:color="auto" w:fill="auto"/>
            <w:noWrap/>
            <w:vAlign w:val="center"/>
          </w:tcPr>
          <w:p w14:paraId="0AEA9BFC">
            <w:pPr>
              <w:pStyle w:val="90"/>
            </w:pPr>
            <w:r>
              <w:t>3.47</w:t>
            </w:r>
          </w:p>
        </w:tc>
        <w:tc>
          <w:tcPr>
            <w:tcW w:w="740" w:type="dxa"/>
            <w:shd w:val="clear" w:color="auto" w:fill="auto"/>
            <w:noWrap/>
            <w:vAlign w:val="center"/>
          </w:tcPr>
          <w:p w14:paraId="3D9CE06A">
            <w:pPr>
              <w:pStyle w:val="90"/>
            </w:pPr>
            <w:r>
              <w:t>2.92</w:t>
            </w:r>
          </w:p>
        </w:tc>
        <w:tc>
          <w:tcPr>
            <w:tcW w:w="754" w:type="dxa"/>
            <w:shd w:val="clear" w:color="auto" w:fill="auto"/>
            <w:noWrap/>
            <w:vAlign w:val="center"/>
          </w:tcPr>
          <w:p w14:paraId="14DCB065">
            <w:pPr>
              <w:pStyle w:val="90"/>
            </w:pPr>
            <w:r>
              <w:t>4.31</w:t>
            </w:r>
          </w:p>
        </w:tc>
        <w:tc>
          <w:tcPr>
            <w:tcW w:w="754" w:type="dxa"/>
            <w:shd w:val="clear" w:color="auto" w:fill="auto"/>
            <w:noWrap/>
            <w:vAlign w:val="center"/>
          </w:tcPr>
          <w:p w14:paraId="2AAB9662">
            <w:pPr>
              <w:pStyle w:val="90"/>
            </w:pPr>
            <w:r>
              <w:t>7.08</w:t>
            </w:r>
          </w:p>
        </w:tc>
        <w:tc>
          <w:tcPr>
            <w:tcW w:w="646" w:type="dxa"/>
            <w:shd w:val="clear" w:color="auto" w:fill="auto"/>
            <w:noWrap/>
            <w:vAlign w:val="center"/>
          </w:tcPr>
          <w:p w14:paraId="46D3C805">
            <w:pPr>
              <w:pStyle w:val="90"/>
            </w:pPr>
            <w:r>
              <w:t>6.25</w:t>
            </w:r>
          </w:p>
        </w:tc>
        <w:tc>
          <w:tcPr>
            <w:tcW w:w="757" w:type="dxa"/>
            <w:shd w:val="clear" w:color="auto" w:fill="auto"/>
            <w:noWrap/>
            <w:vAlign w:val="center"/>
          </w:tcPr>
          <w:p w14:paraId="656BFC41">
            <w:pPr>
              <w:pStyle w:val="90"/>
            </w:pPr>
            <w:r>
              <w:t>5.56</w:t>
            </w:r>
          </w:p>
        </w:tc>
        <w:tc>
          <w:tcPr>
            <w:tcW w:w="646" w:type="dxa"/>
            <w:shd w:val="clear" w:color="auto" w:fill="auto"/>
            <w:noWrap/>
            <w:vAlign w:val="center"/>
          </w:tcPr>
          <w:p w14:paraId="1C10B78C">
            <w:pPr>
              <w:pStyle w:val="90"/>
            </w:pPr>
            <w:r>
              <w:t>5.42</w:t>
            </w:r>
          </w:p>
        </w:tc>
        <w:tc>
          <w:tcPr>
            <w:tcW w:w="646" w:type="dxa"/>
            <w:shd w:val="clear" w:color="auto" w:fill="auto"/>
            <w:noWrap/>
            <w:vAlign w:val="center"/>
          </w:tcPr>
          <w:p w14:paraId="35ACF3A5">
            <w:pPr>
              <w:pStyle w:val="90"/>
            </w:pPr>
            <w:r>
              <w:t>5.83</w:t>
            </w:r>
          </w:p>
        </w:tc>
        <w:tc>
          <w:tcPr>
            <w:tcW w:w="734" w:type="dxa"/>
            <w:shd w:val="clear" w:color="auto" w:fill="auto"/>
            <w:noWrap/>
            <w:vAlign w:val="center"/>
          </w:tcPr>
          <w:p w14:paraId="0166D846">
            <w:pPr>
              <w:pStyle w:val="90"/>
            </w:pPr>
            <w:r>
              <w:t>3.47</w:t>
            </w:r>
          </w:p>
        </w:tc>
        <w:tc>
          <w:tcPr>
            <w:tcW w:w="734" w:type="dxa"/>
            <w:shd w:val="clear" w:color="auto" w:fill="auto"/>
            <w:noWrap/>
            <w:vAlign w:val="center"/>
          </w:tcPr>
          <w:p w14:paraId="49188501">
            <w:pPr>
              <w:pStyle w:val="90"/>
            </w:pPr>
            <w:r>
              <w:t>0.69</w:t>
            </w:r>
          </w:p>
        </w:tc>
        <w:tc>
          <w:tcPr>
            <w:tcW w:w="768" w:type="dxa"/>
            <w:shd w:val="clear" w:color="auto" w:fill="auto"/>
            <w:noWrap/>
            <w:vAlign w:val="center"/>
          </w:tcPr>
          <w:p w14:paraId="49FDF0EC">
            <w:pPr>
              <w:pStyle w:val="90"/>
            </w:pPr>
            <w:r>
              <w:t>2.08</w:t>
            </w:r>
          </w:p>
        </w:tc>
        <w:tc>
          <w:tcPr>
            <w:tcW w:w="751" w:type="dxa"/>
            <w:shd w:val="clear" w:color="auto" w:fill="auto"/>
            <w:noWrap/>
            <w:vAlign w:val="center"/>
          </w:tcPr>
          <w:p w14:paraId="5746CC1A">
            <w:pPr>
              <w:pStyle w:val="90"/>
            </w:pPr>
            <w:r>
              <w:t>2.22</w:t>
            </w:r>
          </w:p>
        </w:tc>
        <w:tc>
          <w:tcPr>
            <w:tcW w:w="805" w:type="dxa"/>
            <w:shd w:val="clear" w:color="auto" w:fill="auto"/>
            <w:noWrap/>
            <w:vAlign w:val="center"/>
          </w:tcPr>
          <w:p w14:paraId="03721B2F">
            <w:pPr>
              <w:pStyle w:val="90"/>
            </w:pPr>
            <w:r>
              <w:t>3.75</w:t>
            </w:r>
          </w:p>
        </w:tc>
        <w:tc>
          <w:tcPr>
            <w:tcW w:w="646" w:type="dxa"/>
            <w:shd w:val="clear" w:color="auto" w:fill="auto"/>
            <w:noWrap/>
            <w:vAlign w:val="center"/>
          </w:tcPr>
          <w:p w14:paraId="363BFD45">
            <w:pPr>
              <w:pStyle w:val="90"/>
            </w:pPr>
            <w:r>
              <w:t>15.14</w:t>
            </w:r>
          </w:p>
        </w:tc>
        <w:tc>
          <w:tcPr>
            <w:tcW w:w="757" w:type="dxa"/>
            <w:shd w:val="clear" w:color="auto" w:fill="auto"/>
            <w:noWrap/>
            <w:vAlign w:val="center"/>
          </w:tcPr>
          <w:p w14:paraId="1A266332">
            <w:pPr>
              <w:pStyle w:val="90"/>
            </w:pPr>
            <w:r>
              <w:t>27.64</w:t>
            </w:r>
          </w:p>
        </w:tc>
        <w:tc>
          <w:tcPr>
            <w:tcW w:w="723" w:type="dxa"/>
            <w:shd w:val="clear" w:color="auto" w:fill="auto"/>
            <w:noWrap/>
            <w:vAlign w:val="center"/>
          </w:tcPr>
          <w:p w14:paraId="23945C0D">
            <w:pPr>
              <w:pStyle w:val="90"/>
            </w:pPr>
            <w:r>
              <w:t>0.28</w:t>
            </w:r>
          </w:p>
        </w:tc>
      </w:tr>
      <w:tr w14:paraId="221DDA3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58057011">
            <w:pPr>
              <w:pStyle w:val="90"/>
            </w:pPr>
            <w:r>
              <w:t>十月</w:t>
            </w:r>
          </w:p>
        </w:tc>
        <w:tc>
          <w:tcPr>
            <w:tcW w:w="644" w:type="dxa"/>
            <w:shd w:val="clear" w:color="auto" w:fill="auto"/>
            <w:noWrap/>
            <w:vAlign w:val="center"/>
          </w:tcPr>
          <w:p w14:paraId="1822E4E0">
            <w:pPr>
              <w:pStyle w:val="90"/>
            </w:pPr>
            <w:r>
              <w:t>2.55</w:t>
            </w:r>
          </w:p>
        </w:tc>
        <w:tc>
          <w:tcPr>
            <w:tcW w:w="684" w:type="dxa"/>
            <w:shd w:val="clear" w:color="auto" w:fill="auto"/>
            <w:noWrap/>
            <w:vAlign w:val="center"/>
          </w:tcPr>
          <w:p w14:paraId="4FA660CC">
            <w:pPr>
              <w:pStyle w:val="90"/>
            </w:pPr>
            <w:r>
              <w:t>2.42</w:t>
            </w:r>
          </w:p>
        </w:tc>
        <w:tc>
          <w:tcPr>
            <w:tcW w:w="740" w:type="dxa"/>
            <w:shd w:val="clear" w:color="auto" w:fill="auto"/>
            <w:noWrap/>
            <w:vAlign w:val="center"/>
          </w:tcPr>
          <w:p w14:paraId="248008A4">
            <w:pPr>
              <w:pStyle w:val="90"/>
            </w:pPr>
            <w:r>
              <w:t>2.28</w:t>
            </w:r>
          </w:p>
        </w:tc>
        <w:tc>
          <w:tcPr>
            <w:tcW w:w="754" w:type="dxa"/>
            <w:shd w:val="clear" w:color="auto" w:fill="auto"/>
            <w:noWrap/>
            <w:vAlign w:val="center"/>
          </w:tcPr>
          <w:p w14:paraId="6F7DD778">
            <w:pPr>
              <w:pStyle w:val="90"/>
            </w:pPr>
            <w:r>
              <w:t>2.28</w:t>
            </w:r>
          </w:p>
        </w:tc>
        <w:tc>
          <w:tcPr>
            <w:tcW w:w="754" w:type="dxa"/>
            <w:shd w:val="clear" w:color="auto" w:fill="auto"/>
            <w:noWrap/>
            <w:vAlign w:val="center"/>
          </w:tcPr>
          <w:p w14:paraId="32845886">
            <w:pPr>
              <w:pStyle w:val="90"/>
            </w:pPr>
            <w:r>
              <w:t>8.87</w:t>
            </w:r>
          </w:p>
        </w:tc>
        <w:tc>
          <w:tcPr>
            <w:tcW w:w="646" w:type="dxa"/>
            <w:shd w:val="clear" w:color="auto" w:fill="auto"/>
            <w:noWrap/>
            <w:vAlign w:val="center"/>
          </w:tcPr>
          <w:p w14:paraId="6534DC65">
            <w:pPr>
              <w:pStyle w:val="90"/>
            </w:pPr>
            <w:r>
              <w:t>5.24</w:t>
            </w:r>
          </w:p>
        </w:tc>
        <w:tc>
          <w:tcPr>
            <w:tcW w:w="757" w:type="dxa"/>
            <w:shd w:val="clear" w:color="auto" w:fill="auto"/>
            <w:noWrap/>
            <w:vAlign w:val="center"/>
          </w:tcPr>
          <w:p w14:paraId="51BBFEDC">
            <w:pPr>
              <w:pStyle w:val="90"/>
            </w:pPr>
            <w:r>
              <w:t>4.84</w:t>
            </w:r>
          </w:p>
        </w:tc>
        <w:tc>
          <w:tcPr>
            <w:tcW w:w="646" w:type="dxa"/>
            <w:shd w:val="clear" w:color="auto" w:fill="auto"/>
            <w:noWrap/>
            <w:vAlign w:val="center"/>
          </w:tcPr>
          <w:p w14:paraId="54F097E6">
            <w:pPr>
              <w:pStyle w:val="90"/>
            </w:pPr>
            <w:r>
              <w:t>3.49</w:t>
            </w:r>
          </w:p>
        </w:tc>
        <w:tc>
          <w:tcPr>
            <w:tcW w:w="646" w:type="dxa"/>
            <w:shd w:val="clear" w:color="auto" w:fill="auto"/>
            <w:noWrap/>
            <w:vAlign w:val="center"/>
          </w:tcPr>
          <w:p w14:paraId="1048D796">
            <w:pPr>
              <w:pStyle w:val="90"/>
            </w:pPr>
            <w:r>
              <w:t>4.17</w:t>
            </w:r>
          </w:p>
        </w:tc>
        <w:tc>
          <w:tcPr>
            <w:tcW w:w="734" w:type="dxa"/>
            <w:shd w:val="clear" w:color="auto" w:fill="auto"/>
            <w:noWrap/>
            <w:vAlign w:val="center"/>
          </w:tcPr>
          <w:p w14:paraId="7A20CF17">
            <w:pPr>
              <w:pStyle w:val="90"/>
            </w:pPr>
            <w:r>
              <w:t>2.96</w:t>
            </w:r>
          </w:p>
        </w:tc>
        <w:tc>
          <w:tcPr>
            <w:tcW w:w="734" w:type="dxa"/>
            <w:shd w:val="clear" w:color="auto" w:fill="auto"/>
            <w:noWrap/>
            <w:vAlign w:val="center"/>
          </w:tcPr>
          <w:p w14:paraId="0A723A76">
            <w:pPr>
              <w:pStyle w:val="90"/>
            </w:pPr>
            <w:r>
              <w:t>3.09</w:t>
            </w:r>
          </w:p>
        </w:tc>
        <w:tc>
          <w:tcPr>
            <w:tcW w:w="768" w:type="dxa"/>
            <w:shd w:val="clear" w:color="auto" w:fill="auto"/>
            <w:noWrap/>
            <w:vAlign w:val="center"/>
          </w:tcPr>
          <w:p w14:paraId="49EFE8FF">
            <w:pPr>
              <w:pStyle w:val="90"/>
            </w:pPr>
            <w:r>
              <w:t>1.75</w:t>
            </w:r>
          </w:p>
        </w:tc>
        <w:tc>
          <w:tcPr>
            <w:tcW w:w="751" w:type="dxa"/>
            <w:shd w:val="clear" w:color="auto" w:fill="auto"/>
            <w:noWrap/>
            <w:vAlign w:val="center"/>
          </w:tcPr>
          <w:p w14:paraId="71660C0D">
            <w:pPr>
              <w:pStyle w:val="90"/>
            </w:pPr>
            <w:r>
              <w:t>1.75</w:t>
            </w:r>
          </w:p>
        </w:tc>
        <w:tc>
          <w:tcPr>
            <w:tcW w:w="805" w:type="dxa"/>
            <w:shd w:val="clear" w:color="auto" w:fill="auto"/>
            <w:noWrap/>
            <w:vAlign w:val="center"/>
          </w:tcPr>
          <w:p w14:paraId="705DAAB1">
            <w:pPr>
              <w:pStyle w:val="90"/>
            </w:pPr>
            <w:r>
              <w:t>2.69</w:t>
            </w:r>
          </w:p>
        </w:tc>
        <w:tc>
          <w:tcPr>
            <w:tcW w:w="646" w:type="dxa"/>
            <w:shd w:val="clear" w:color="auto" w:fill="auto"/>
            <w:noWrap/>
            <w:vAlign w:val="center"/>
          </w:tcPr>
          <w:p w14:paraId="32C17424">
            <w:pPr>
              <w:pStyle w:val="90"/>
            </w:pPr>
            <w:r>
              <w:t>25.13</w:t>
            </w:r>
          </w:p>
        </w:tc>
        <w:tc>
          <w:tcPr>
            <w:tcW w:w="757" w:type="dxa"/>
            <w:shd w:val="clear" w:color="auto" w:fill="auto"/>
            <w:noWrap/>
            <w:vAlign w:val="center"/>
          </w:tcPr>
          <w:p w14:paraId="67294011">
            <w:pPr>
              <w:pStyle w:val="90"/>
            </w:pPr>
            <w:r>
              <w:t>26.21</w:t>
            </w:r>
          </w:p>
        </w:tc>
        <w:tc>
          <w:tcPr>
            <w:tcW w:w="723" w:type="dxa"/>
            <w:shd w:val="clear" w:color="auto" w:fill="auto"/>
            <w:noWrap/>
            <w:vAlign w:val="center"/>
          </w:tcPr>
          <w:p w14:paraId="47C2CA46">
            <w:pPr>
              <w:pStyle w:val="90"/>
            </w:pPr>
            <w:r>
              <w:t>0.27</w:t>
            </w:r>
          </w:p>
        </w:tc>
      </w:tr>
      <w:tr w14:paraId="3CC8A3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3F995BC3">
            <w:pPr>
              <w:pStyle w:val="90"/>
            </w:pPr>
            <w:r>
              <w:t>十一月</w:t>
            </w:r>
          </w:p>
        </w:tc>
        <w:tc>
          <w:tcPr>
            <w:tcW w:w="644" w:type="dxa"/>
            <w:shd w:val="clear" w:color="auto" w:fill="auto"/>
            <w:noWrap/>
            <w:vAlign w:val="center"/>
          </w:tcPr>
          <w:p w14:paraId="29C0F3A3">
            <w:pPr>
              <w:pStyle w:val="90"/>
            </w:pPr>
            <w:r>
              <w:t>3.89</w:t>
            </w:r>
          </w:p>
        </w:tc>
        <w:tc>
          <w:tcPr>
            <w:tcW w:w="684" w:type="dxa"/>
            <w:shd w:val="clear" w:color="auto" w:fill="auto"/>
            <w:noWrap/>
            <w:vAlign w:val="center"/>
          </w:tcPr>
          <w:p w14:paraId="52CA9560">
            <w:pPr>
              <w:pStyle w:val="90"/>
            </w:pPr>
            <w:r>
              <w:t>8.89</w:t>
            </w:r>
          </w:p>
        </w:tc>
        <w:tc>
          <w:tcPr>
            <w:tcW w:w="740" w:type="dxa"/>
            <w:shd w:val="clear" w:color="auto" w:fill="auto"/>
            <w:noWrap/>
            <w:vAlign w:val="center"/>
          </w:tcPr>
          <w:p w14:paraId="6860A517">
            <w:pPr>
              <w:pStyle w:val="90"/>
            </w:pPr>
            <w:r>
              <w:t>4.58</w:t>
            </w:r>
          </w:p>
        </w:tc>
        <w:tc>
          <w:tcPr>
            <w:tcW w:w="754" w:type="dxa"/>
            <w:shd w:val="clear" w:color="auto" w:fill="auto"/>
            <w:noWrap/>
            <w:vAlign w:val="center"/>
          </w:tcPr>
          <w:p w14:paraId="4F6D5740">
            <w:pPr>
              <w:pStyle w:val="90"/>
            </w:pPr>
            <w:r>
              <w:t>8.61</w:t>
            </w:r>
          </w:p>
        </w:tc>
        <w:tc>
          <w:tcPr>
            <w:tcW w:w="754" w:type="dxa"/>
            <w:shd w:val="clear" w:color="auto" w:fill="auto"/>
            <w:noWrap/>
            <w:vAlign w:val="center"/>
          </w:tcPr>
          <w:p w14:paraId="59843195">
            <w:pPr>
              <w:pStyle w:val="90"/>
            </w:pPr>
            <w:r>
              <w:t>4.31</w:t>
            </w:r>
          </w:p>
        </w:tc>
        <w:tc>
          <w:tcPr>
            <w:tcW w:w="646" w:type="dxa"/>
            <w:shd w:val="clear" w:color="auto" w:fill="auto"/>
            <w:noWrap/>
            <w:vAlign w:val="center"/>
          </w:tcPr>
          <w:p w14:paraId="1EDDCAFB">
            <w:pPr>
              <w:pStyle w:val="90"/>
            </w:pPr>
            <w:r>
              <w:t>1.67</w:t>
            </w:r>
          </w:p>
        </w:tc>
        <w:tc>
          <w:tcPr>
            <w:tcW w:w="757" w:type="dxa"/>
            <w:shd w:val="clear" w:color="auto" w:fill="auto"/>
            <w:noWrap/>
            <w:vAlign w:val="center"/>
          </w:tcPr>
          <w:p w14:paraId="4E4A89F3">
            <w:pPr>
              <w:pStyle w:val="90"/>
            </w:pPr>
            <w:r>
              <w:t>1.81</w:t>
            </w:r>
          </w:p>
        </w:tc>
        <w:tc>
          <w:tcPr>
            <w:tcW w:w="646" w:type="dxa"/>
            <w:shd w:val="clear" w:color="auto" w:fill="auto"/>
            <w:noWrap/>
            <w:vAlign w:val="center"/>
          </w:tcPr>
          <w:p w14:paraId="1B044ADC">
            <w:pPr>
              <w:pStyle w:val="90"/>
            </w:pPr>
            <w:r>
              <w:t>2.08</w:t>
            </w:r>
          </w:p>
        </w:tc>
        <w:tc>
          <w:tcPr>
            <w:tcW w:w="646" w:type="dxa"/>
            <w:shd w:val="clear" w:color="auto" w:fill="auto"/>
            <w:noWrap/>
            <w:vAlign w:val="center"/>
          </w:tcPr>
          <w:p w14:paraId="482EDFE3">
            <w:pPr>
              <w:pStyle w:val="90"/>
            </w:pPr>
            <w:r>
              <w:t>5.69</w:t>
            </w:r>
          </w:p>
        </w:tc>
        <w:tc>
          <w:tcPr>
            <w:tcW w:w="734" w:type="dxa"/>
            <w:shd w:val="clear" w:color="auto" w:fill="auto"/>
            <w:noWrap/>
            <w:vAlign w:val="center"/>
          </w:tcPr>
          <w:p w14:paraId="3049D9CD">
            <w:pPr>
              <w:pStyle w:val="90"/>
            </w:pPr>
            <w:r>
              <w:t>6.81</w:t>
            </w:r>
          </w:p>
        </w:tc>
        <w:tc>
          <w:tcPr>
            <w:tcW w:w="734" w:type="dxa"/>
            <w:shd w:val="clear" w:color="auto" w:fill="auto"/>
            <w:noWrap/>
            <w:vAlign w:val="center"/>
          </w:tcPr>
          <w:p w14:paraId="42A35B53">
            <w:pPr>
              <w:pStyle w:val="90"/>
            </w:pPr>
            <w:r>
              <w:t>4.72</w:t>
            </w:r>
          </w:p>
        </w:tc>
        <w:tc>
          <w:tcPr>
            <w:tcW w:w="768" w:type="dxa"/>
            <w:shd w:val="clear" w:color="auto" w:fill="auto"/>
            <w:noWrap/>
            <w:vAlign w:val="center"/>
          </w:tcPr>
          <w:p w14:paraId="0DA66BB4">
            <w:pPr>
              <w:pStyle w:val="90"/>
            </w:pPr>
            <w:r>
              <w:t>2.36</w:t>
            </w:r>
          </w:p>
        </w:tc>
        <w:tc>
          <w:tcPr>
            <w:tcW w:w="751" w:type="dxa"/>
            <w:shd w:val="clear" w:color="auto" w:fill="auto"/>
            <w:noWrap/>
            <w:vAlign w:val="center"/>
          </w:tcPr>
          <w:p w14:paraId="5B8A1B7F">
            <w:pPr>
              <w:pStyle w:val="90"/>
            </w:pPr>
            <w:r>
              <w:t>2.50</w:t>
            </w:r>
          </w:p>
        </w:tc>
        <w:tc>
          <w:tcPr>
            <w:tcW w:w="805" w:type="dxa"/>
            <w:shd w:val="clear" w:color="auto" w:fill="auto"/>
            <w:noWrap/>
            <w:vAlign w:val="center"/>
          </w:tcPr>
          <w:p w14:paraId="75603A4F">
            <w:pPr>
              <w:pStyle w:val="90"/>
            </w:pPr>
            <w:r>
              <w:t>7.64</w:t>
            </w:r>
          </w:p>
        </w:tc>
        <w:tc>
          <w:tcPr>
            <w:tcW w:w="646" w:type="dxa"/>
            <w:shd w:val="clear" w:color="auto" w:fill="auto"/>
            <w:noWrap/>
            <w:vAlign w:val="center"/>
          </w:tcPr>
          <w:p w14:paraId="16D62934">
            <w:pPr>
              <w:pStyle w:val="90"/>
            </w:pPr>
            <w:r>
              <w:t>22.08</w:t>
            </w:r>
          </w:p>
        </w:tc>
        <w:tc>
          <w:tcPr>
            <w:tcW w:w="757" w:type="dxa"/>
            <w:shd w:val="clear" w:color="auto" w:fill="auto"/>
            <w:noWrap/>
            <w:vAlign w:val="center"/>
          </w:tcPr>
          <w:p w14:paraId="321FE547">
            <w:pPr>
              <w:pStyle w:val="90"/>
            </w:pPr>
            <w:r>
              <w:t>9.86</w:t>
            </w:r>
          </w:p>
        </w:tc>
        <w:tc>
          <w:tcPr>
            <w:tcW w:w="723" w:type="dxa"/>
            <w:shd w:val="clear" w:color="auto" w:fill="auto"/>
            <w:noWrap/>
            <w:vAlign w:val="center"/>
          </w:tcPr>
          <w:p w14:paraId="5DD3796B">
            <w:pPr>
              <w:pStyle w:val="90"/>
            </w:pPr>
            <w:r>
              <w:t>2.50</w:t>
            </w:r>
          </w:p>
        </w:tc>
      </w:tr>
      <w:tr w14:paraId="5C483BB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00" w:type="pct"/>
            <w:shd w:val="clear" w:color="auto" w:fill="auto"/>
            <w:noWrap/>
            <w:vAlign w:val="center"/>
          </w:tcPr>
          <w:p w14:paraId="429BEFCB">
            <w:pPr>
              <w:pStyle w:val="90"/>
            </w:pPr>
            <w:r>
              <w:t>十二月</w:t>
            </w:r>
          </w:p>
        </w:tc>
        <w:tc>
          <w:tcPr>
            <w:tcW w:w="644" w:type="dxa"/>
            <w:shd w:val="clear" w:color="auto" w:fill="auto"/>
            <w:noWrap/>
            <w:vAlign w:val="center"/>
          </w:tcPr>
          <w:p w14:paraId="1B8437BC">
            <w:pPr>
              <w:pStyle w:val="90"/>
            </w:pPr>
            <w:r>
              <w:t>1.88</w:t>
            </w:r>
          </w:p>
        </w:tc>
        <w:tc>
          <w:tcPr>
            <w:tcW w:w="684" w:type="dxa"/>
            <w:shd w:val="clear" w:color="auto" w:fill="auto"/>
            <w:noWrap/>
            <w:vAlign w:val="center"/>
          </w:tcPr>
          <w:p w14:paraId="0157D48E">
            <w:pPr>
              <w:pStyle w:val="90"/>
            </w:pPr>
            <w:r>
              <w:t>20.30</w:t>
            </w:r>
          </w:p>
        </w:tc>
        <w:tc>
          <w:tcPr>
            <w:tcW w:w="740" w:type="dxa"/>
            <w:shd w:val="clear" w:color="auto" w:fill="auto"/>
            <w:noWrap/>
            <w:vAlign w:val="center"/>
          </w:tcPr>
          <w:p w14:paraId="119C94E1">
            <w:pPr>
              <w:pStyle w:val="90"/>
            </w:pPr>
            <w:r>
              <w:t>5.91</w:t>
            </w:r>
          </w:p>
        </w:tc>
        <w:tc>
          <w:tcPr>
            <w:tcW w:w="754" w:type="dxa"/>
            <w:shd w:val="clear" w:color="auto" w:fill="auto"/>
            <w:noWrap/>
            <w:vAlign w:val="center"/>
          </w:tcPr>
          <w:p w14:paraId="7F11BC19">
            <w:pPr>
              <w:pStyle w:val="90"/>
            </w:pPr>
            <w:r>
              <w:t>18.28</w:t>
            </w:r>
          </w:p>
        </w:tc>
        <w:tc>
          <w:tcPr>
            <w:tcW w:w="754" w:type="dxa"/>
            <w:shd w:val="clear" w:color="auto" w:fill="auto"/>
            <w:noWrap/>
            <w:vAlign w:val="center"/>
          </w:tcPr>
          <w:p w14:paraId="1C24F7FD">
            <w:pPr>
              <w:pStyle w:val="90"/>
            </w:pPr>
            <w:r>
              <w:t>4.57</w:t>
            </w:r>
          </w:p>
        </w:tc>
        <w:tc>
          <w:tcPr>
            <w:tcW w:w="646" w:type="dxa"/>
            <w:shd w:val="clear" w:color="auto" w:fill="auto"/>
            <w:noWrap/>
            <w:vAlign w:val="center"/>
          </w:tcPr>
          <w:p w14:paraId="454659E7">
            <w:pPr>
              <w:pStyle w:val="90"/>
            </w:pPr>
            <w:r>
              <w:t>1.61</w:t>
            </w:r>
          </w:p>
        </w:tc>
        <w:tc>
          <w:tcPr>
            <w:tcW w:w="757" w:type="dxa"/>
            <w:shd w:val="clear" w:color="auto" w:fill="auto"/>
            <w:noWrap/>
            <w:vAlign w:val="center"/>
          </w:tcPr>
          <w:p w14:paraId="4C4E44CB">
            <w:pPr>
              <w:pStyle w:val="90"/>
            </w:pPr>
            <w:r>
              <w:t>0.00</w:t>
            </w:r>
          </w:p>
        </w:tc>
        <w:tc>
          <w:tcPr>
            <w:tcW w:w="646" w:type="dxa"/>
            <w:shd w:val="clear" w:color="auto" w:fill="auto"/>
            <w:noWrap/>
            <w:vAlign w:val="center"/>
          </w:tcPr>
          <w:p w14:paraId="76EB447F">
            <w:pPr>
              <w:pStyle w:val="90"/>
            </w:pPr>
            <w:r>
              <w:t>1.21</w:t>
            </w:r>
          </w:p>
        </w:tc>
        <w:tc>
          <w:tcPr>
            <w:tcW w:w="646" w:type="dxa"/>
            <w:shd w:val="clear" w:color="auto" w:fill="auto"/>
            <w:noWrap/>
            <w:vAlign w:val="center"/>
          </w:tcPr>
          <w:p w14:paraId="2FA80416">
            <w:pPr>
              <w:pStyle w:val="90"/>
            </w:pPr>
            <w:r>
              <w:t>2.15</w:t>
            </w:r>
          </w:p>
        </w:tc>
        <w:tc>
          <w:tcPr>
            <w:tcW w:w="734" w:type="dxa"/>
            <w:shd w:val="clear" w:color="auto" w:fill="auto"/>
            <w:noWrap/>
            <w:vAlign w:val="center"/>
          </w:tcPr>
          <w:p w14:paraId="0D0A42F9">
            <w:pPr>
              <w:pStyle w:val="90"/>
            </w:pPr>
            <w:r>
              <w:t>4.57</w:t>
            </w:r>
          </w:p>
        </w:tc>
        <w:tc>
          <w:tcPr>
            <w:tcW w:w="734" w:type="dxa"/>
            <w:shd w:val="clear" w:color="auto" w:fill="auto"/>
            <w:noWrap/>
            <w:vAlign w:val="center"/>
          </w:tcPr>
          <w:p w14:paraId="092BF308">
            <w:pPr>
              <w:pStyle w:val="90"/>
            </w:pPr>
            <w:r>
              <w:t>9.14</w:t>
            </w:r>
          </w:p>
        </w:tc>
        <w:tc>
          <w:tcPr>
            <w:tcW w:w="768" w:type="dxa"/>
            <w:shd w:val="clear" w:color="auto" w:fill="auto"/>
            <w:noWrap/>
            <w:vAlign w:val="center"/>
          </w:tcPr>
          <w:p w14:paraId="50989BBE">
            <w:pPr>
              <w:pStyle w:val="90"/>
            </w:pPr>
            <w:r>
              <w:t>2.82</w:t>
            </w:r>
          </w:p>
        </w:tc>
        <w:tc>
          <w:tcPr>
            <w:tcW w:w="751" w:type="dxa"/>
            <w:shd w:val="clear" w:color="auto" w:fill="auto"/>
            <w:noWrap/>
            <w:vAlign w:val="center"/>
          </w:tcPr>
          <w:p w14:paraId="7ED7B2BB">
            <w:pPr>
              <w:pStyle w:val="90"/>
            </w:pPr>
            <w:r>
              <w:t>1.21</w:t>
            </w:r>
          </w:p>
        </w:tc>
        <w:tc>
          <w:tcPr>
            <w:tcW w:w="805" w:type="dxa"/>
            <w:shd w:val="clear" w:color="auto" w:fill="auto"/>
            <w:noWrap/>
            <w:vAlign w:val="center"/>
          </w:tcPr>
          <w:p w14:paraId="5625802B">
            <w:pPr>
              <w:pStyle w:val="90"/>
            </w:pPr>
            <w:r>
              <w:t>1.75</w:t>
            </w:r>
          </w:p>
        </w:tc>
        <w:tc>
          <w:tcPr>
            <w:tcW w:w="646" w:type="dxa"/>
            <w:shd w:val="clear" w:color="auto" w:fill="auto"/>
            <w:noWrap/>
            <w:vAlign w:val="center"/>
          </w:tcPr>
          <w:p w14:paraId="476C24B4">
            <w:pPr>
              <w:pStyle w:val="90"/>
            </w:pPr>
            <w:r>
              <w:t>7.53</w:t>
            </w:r>
          </w:p>
        </w:tc>
        <w:tc>
          <w:tcPr>
            <w:tcW w:w="757" w:type="dxa"/>
            <w:shd w:val="clear" w:color="auto" w:fill="auto"/>
            <w:noWrap/>
            <w:vAlign w:val="center"/>
          </w:tcPr>
          <w:p w14:paraId="18902EA3">
            <w:pPr>
              <w:pStyle w:val="90"/>
            </w:pPr>
            <w:r>
              <w:t>6.85</w:t>
            </w:r>
          </w:p>
        </w:tc>
        <w:tc>
          <w:tcPr>
            <w:tcW w:w="723" w:type="dxa"/>
            <w:shd w:val="clear" w:color="auto" w:fill="auto"/>
            <w:noWrap/>
            <w:vAlign w:val="center"/>
          </w:tcPr>
          <w:p w14:paraId="2B4EA452">
            <w:pPr>
              <w:pStyle w:val="90"/>
            </w:pPr>
            <w:r>
              <w:t>10.22</w:t>
            </w:r>
          </w:p>
        </w:tc>
      </w:tr>
    </w:tbl>
    <w:p w14:paraId="492EDAED">
      <w:pPr>
        <w:pStyle w:val="47"/>
        <w:spacing w:before="65"/>
      </w:pPr>
      <w:r>
        <w:rPr>
          <w:rFonts w:hint="eastAsia"/>
        </w:rPr>
        <w:t>表5</w:t>
      </w:r>
      <w:r>
        <w:t xml:space="preserve">.1-9   </w:t>
      </w:r>
      <w:r>
        <w:rPr>
          <w:rFonts w:hint="eastAsia"/>
        </w:rPr>
        <w:t>年均风频的季变化及年均风频</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69"/>
        <w:gridCol w:w="644"/>
        <w:gridCol w:w="684"/>
        <w:gridCol w:w="740"/>
        <w:gridCol w:w="754"/>
        <w:gridCol w:w="754"/>
        <w:gridCol w:w="646"/>
        <w:gridCol w:w="757"/>
        <w:gridCol w:w="646"/>
        <w:gridCol w:w="646"/>
        <w:gridCol w:w="734"/>
        <w:gridCol w:w="734"/>
        <w:gridCol w:w="768"/>
        <w:gridCol w:w="751"/>
        <w:gridCol w:w="805"/>
        <w:gridCol w:w="646"/>
        <w:gridCol w:w="757"/>
        <w:gridCol w:w="723"/>
      </w:tblGrid>
      <w:tr w14:paraId="7C496B8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700" w:type="pct"/>
            <w:tcBorders>
              <w:top w:val="single" w:color="000000" w:sz="12" w:space="0"/>
              <w:bottom w:val="single" w:color="000000" w:sz="8" w:space="0"/>
              <w:tl2br w:val="single" w:color="000000" w:sz="12" w:space="0"/>
            </w:tcBorders>
            <w:shd w:val="clear" w:color="auto" w:fill="auto"/>
            <w:noWrap/>
            <w:vAlign w:val="center"/>
          </w:tcPr>
          <w:p w14:paraId="59363598">
            <w:pPr>
              <w:pStyle w:val="90"/>
            </w:pPr>
            <w:r>
              <w:t>风向</w:t>
            </w:r>
          </w:p>
          <w:p w14:paraId="5030E4E0">
            <w:pPr>
              <w:pStyle w:val="90"/>
            </w:pPr>
            <w:r>
              <w:t>风频</w:t>
            </w:r>
            <w:r>
              <w:rPr>
                <w:rFonts w:hint="eastAsia"/>
              </w:rPr>
              <w:t>（</w:t>
            </w:r>
            <w:r>
              <w:t>%</w:t>
            </w:r>
            <w:r>
              <w:rPr>
                <w:rFonts w:hint="eastAsia"/>
              </w:rPr>
              <w:t>）</w:t>
            </w:r>
          </w:p>
        </w:tc>
        <w:tc>
          <w:tcPr>
            <w:tcW w:w="227" w:type="pct"/>
            <w:shd w:val="clear" w:color="auto" w:fill="auto"/>
            <w:noWrap/>
            <w:vAlign w:val="center"/>
          </w:tcPr>
          <w:p w14:paraId="40EEF5BD">
            <w:pPr>
              <w:pStyle w:val="90"/>
            </w:pPr>
            <w:r>
              <w:t>N</w:t>
            </w:r>
          </w:p>
        </w:tc>
        <w:tc>
          <w:tcPr>
            <w:tcW w:w="241" w:type="pct"/>
            <w:shd w:val="clear" w:color="auto" w:fill="auto"/>
            <w:noWrap/>
            <w:vAlign w:val="center"/>
          </w:tcPr>
          <w:p w14:paraId="0516C373">
            <w:pPr>
              <w:pStyle w:val="90"/>
            </w:pPr>
            <w:r>
              <w:t>NNE</w:t>
            </w:r>
          </w:p>
        </w:tc>
        <w:tc>
          <w:tcPr>
            <w:tcW w:w="261" w:type="pct"/>
            <w:shd w:val="clear" w:color="auto" w:fill="auto"/>
            <w:noWrap/>
            <w:vAlign w:val="center"/>
          </w:tcPr>
          <w:p w14:paraId="525F99C3">
            <w:pPr>
              <w:pStyle w:val="90"/>
            </w:pPr>
            <w:r>
              <w:t>NE</w:t>
            </w:r>
          </w:p>
        </w:tc>
        <w:tc>
          <w:tcPr>
            <w:tcW w:w="266" w:type="pct"/>
            <w:shd w:val="clear" w:color="auto" w:fill="auto"/>
            <w:noWrap/>
            <w:vAlign w:val="center"/>
          </w:tcPr>
          <w:p w14:paraId="068F423E">
            <w:pPr>
              <w:pStyle w:val="90"/>
            </w:pPr>
            <w:r>
              <w:t>ENE</w:t>
            </w:r>
          </w:p>
        </w:tc>
        <w:tc>
          <w:tcPr>
            <w:tcW w:w="266" w:type="pct"/>
            <w:shd w:val="clear" w:color="auto" w:fill="auto"/>
            <w:noWrap/>
            <w:vAlign w:val="center"/>
          </w:tcPr>
          <w:p w14:paraId="79CA1581">
            <w:pPr>
              <w:pStyle w:val="90"/>
            </w:pPr>
            <w:r>
              <w:t>E</w:t>
            </w:r>
          </w:p>
        </w:tc>
        <w:tc>
          <w:tcPr>
            <w:tcW w:w="228" w:type="pct"/>
            <w:shd w:val="clear" w:color="auto" w:fill="auto"/>
            <w:noWrap/>
            <w:vAlign w:val="center"/>
          </w:tcPr>
          <w:p w14:paraId="1B683B0B">
            <w:pPr>
              <w:pStyle w:val="90"/>
            </w:pPr>
            <w:r>
              <w:t>ESE</w:t>
            </w:r>
          </w:p>
        </w:tc>
        <w:tc>
          <w:tcPr>
            <w:tcW w:w="267" w:type="pct"/>
            <w:shd w:val="clear" w:color="auto" w:fill="auto"/>
            <w:noWrap/>
            <w:vAlign w:val="center"/>
          </w:tcPr>
          <w:p w14:paraId="21A3A73C">
            <w:pPr>
              <w:pStyle w:val="90"/>
            </w:pPr>
            <w:r>
              <w:t>SE</w:t>
            </w:r>
          </w:p>
        </w:tc>
        <w:tc>
          <w:tcPr>
            <w:tcW w:w="228" w:type="pct"/>
            <w:shd w:val="clear" w:color="auto" w:fill="auto"/>
            <w:noWrap/>
            <w:vAlign w:val="center"/>
          </w:tcPr>
          <w:p w14:paraId="085A435B">
            <w:pPr>
              <w:pStyle w:val="90"/>
            </w:pPr>
            <w:r>
              <w:t>SSE</w:t>
            </w:r>
          </w:p>
        </w:tc>
        <w:tc>
          <w:tcPr>
            <w:tcW w:w="228" w:type="pct"/>
            <w:shd w:val="clear" w:color="auto" w:fill="auto"/>
            <w:noWrap/>
            <w:vAlign w:val="center"/>
          </w:tcPr>
          <w:p w14:paraId="0592D63B">
            <w:pPr>
              <w:pStyle w:val="90"/>
            </w:pPr>
            <w:r>
              <w:t>S</w:t>
            </w:r>
          </w:p>
        </w:tc>
        <w:tc>
          <w:tcPr>
            <w:tcW w:w="259" w:type="pct"/>
            <w:shd w:val="clear" w:color="auto" w:fill="auto"/>
            <w:noWrap/>
            <w:vAlign w:val="center"/>
          </w:tcPr>
          <w:p w14:paraId="0B9C6959">
            <w:pPr>
              <w:pStyle w:val="90"/>
            </w:pPr>
            <w:r>
              <w:t>SSW</w:t>
            </w:r>
          </w:p>
        </w:tc>
        <w:tc>
          <w:tcPr>
            <w:tcW w:w="259" w:type="pct"/>
            <w:shd w:val="clear" w:color="auto" w:fill="auto"/>
            <w:noWrap/>
            <w:vAlign w:val="center"/>
          </w:tcPr>
          <w:p w14:paraId="4C9A2B0B">
            <w:pPr>
              <w:pStyle w:val="90"/>
            </w:pPr>
            <w:r>
              <w:t>SW</w:t>
            </w:r>
          </w:p>
        </w:tc>
        <w:tc>
          <w:tcPr>
            <w:tcW w:w="271" w:type="pct"/>
            <w:shd w:val="clear" w:color="auto" w:fill="auto"/>
            <w:noWrap/>
            <w:vAlign w:val="center"/>
          </w:tcPr>
          <w:p w14:paraId="559C8854">
            <w:pPr>
              <w:pStyle w:val="90"/>
            </w:pPr>
            <w:r>
              <w:t>WSW</w:t>
            </w:r>
          </w:p>
        </w:tc>
        <w:tc>
          <w:tcPr>
            <w:tcW w:w="265" w:type="pct"/>
            <w:shd w:val="clear" w:color="auto" w:fill="auto"/>
            <w:noWrap/>
            <w:vAlign w:val="center"/>
          </w:tcPr>
          <w:p w14:paraId="0D7D496E">
            <w:pPr>
              <w:pStyle w:val="90"/>
            </w:pPr>
            <w:r>
              <w:t>W</w:t>
            </w:r>
          </w:p>
        </w:tc>
        <w:tc>
          <w:tcPr>
            <w:tcW w:w="284" w:type="pct"/>
            <w:shd w:val="clear" w:color="auto" w:fill="auto"/>
            <w:noWrap/>
            <w:vAlign w:val="center"/>
          </w:tcPr>
          <w:p w14:paraId="2CA3588E">
            <w:pPr>
              <w:pStyle w:val="90"/>
            </w:pPr>
            <w:r>
              <w:t>WNW</w:t>
            </w:r>
          </w:p>
        </w:tc>
        <w:tc>
          <w:tcPr>
            <w:tcW w:w="228" w:type="pct"/>
            <w:shd w:val="clear" w:color="auto" w:fill="auto"/>
            <w:noWrap/>
            <w:vAlign w:val="center"/>
          </w:tcPr>
          <w:p w14:paraId="22E4452D">
            <w:pPr>
              <w:pStyle w:val="90"/>
            </w:pPr>
            <w:r>
              <w:t>NW</w:t>
            </w:r>
          </w:p>
        </w:tc>
        <w:tc>
          <w:tcPr>
            <w:tcW w:w="267" w:type="pct"/>
            <w:shd w:val="clear" w:color="auto" w:fill="auto"/>
            <w:noWrap/>
            <w:vAlign w:val="center"/>
          </w:tcPr>
          <w:p w14:paraId="1FF4CF60">
            <w:pPr>
              <w:pStyle w:val="90"/>
            </w:pPr>
            <w:r>
              <w:t>NNW</w:t>
            </w:r>
          </w:p>
        </w:tc>
        <w:tc>
          <w:tcPr>
            <w:tcW w:w="255" w:type="pct"/>
            <w:shd w:val="clear" w:color="auto" w:fill="auto"/>
            <w:noWrap/>
            <w:vAlign w:val="center"/>
          </w:tcPr>
          <w:p w14:paraId="776B8E6C">
            <w:pPr>
              <w:pStyle w:val="90"/>
            </w:pPr>
            <w:r>
              <w:t>C</w:t>
            </w:r>
          </w:p>
        </w:tc>
      </w:tr>
      <w:tr w14:paraId="5DE1B2C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700" w:type="pct"/>
            <w:tcBorders>
              <w:top w:val="single" w:color="000000" w:sz="8" w:space="0"/>
            </w:tcBorders>
            <w:shd w:val="clear" w:color="auto" w:fill="auto"/>
            <w:noWrap/>
            <w:vAlign w:val="center"/>
          </w:tcPr>
          <w:p w14:paraId="0BB0AEA3">
            <w:pPr>
              <w:pStyle w:val="90"/>
            </w:pPr>
            <w:r>
              <w:t>春季</w:t>
            </w:r>
          </w:p>
        </w:tc>
        <w:tc>
          <w:tcPr>
            <w:tcW w:w="644" w:type="dxa"/>
            <w:shd w:val="clear" w:color="auto" w:fill="auto"/>
            <w:noWrap/>
            <w:vAlign w:val="center"/>
          </w:tcPr>
          <w:p w14:paraId="5BCCD846">
            <w:pPr>
              <w:pStyle w:val="90"/>
            </w:pPr>
            <w:r>
              <w:t>3.22</w:t>
            </w:r>
          </w:p>
        </w:tc>
        <w:tc>
          <w:tcPr>
            <w:tcW w:w="684" w:type="dxa"/>
            <w:shd w:val="clear" w:color="auto" w:fill="auto"/>
            <w:noWrap/>
            <w:vAlign w:val="center"/>
          </w:tcPr>
          <w:p w14:paraId="53599E9E">
            <w:pPr>
              <w:pStyle w:val="90"/>
            </w:pPr>
            <w:r>
              <w:t>3.35</w:t>
            </w:r>
          </w:p>
        </w:tc>
        <w:tc>
          <w:tcPr>
            <w:tcW w:w="740" w:type="dxa"/>
            <w:shd w:val="clear" w:color="auto" w:fill="auto"/>
            <w:noWrap/>
            <w:vAlign w:val="center"/>
          </w:tcPr>
          <w:p w14:paraId="5CD2D3A7">
            <w:pPr>
              <w:pStyle w:val="90"/>
            </w:pPr>
            <w:r>
              <w:t>4.44</w:t>
            </w:r>
          </w:p>
        </w:tc>
        <w:tc>
          <w:tcPr>
            <w:tcW w:w="754" w:type="dxa"/>
            <w:shd w:val="clear" w:color="auto" w:fill="auto"/>
            <w:noWrap/>
            <w:vAlign w:val="center"/>
          </w:tcPr>
          <w:p w14:paraId="6F9D97D8">
            <w:pPr>
              <w:pStyle w:val="90"/>
            </w:pPr>
            <w:r>
              <w:t>7.56</w:t>
            </w:r>
          </w:p>
        </w:tc>
        <w:tc>
          <w:tcPr>
            <w:tcW w:w="754" w:type="dxa"/>
            <w:shd w:val="clear" w:color="auto" w:fill="auto"/>
            <w:noWrap/>
            <w:vAlign w:val="center"/>
          </w:tcPr>
          <w:p w14:paraId="1FAE1720">
            <w:pPr>
              <w:pStyle w:val="90"/>
            </w:pPr>
            <w:r>
              <w:t>10.73</w:t>
            </w:r>
          </w:p>
        </w:tc>
        <w:tc>
          <w:tcPr>
            <w:tcW w:w="646" w:type="dxa"/>
            <w:shd w:val="clear" w:color="auto" w:fill="auto"/>
            <w:noWrap/>
            <w:vAlign w:val="center"/>
          </w:tcPr>
          <w:p w14:paraId="4DA4CEB9">
            <w:pPr>
              <w:pStyle w:val="90"/>
            </w:pPr>
            <w:r>
              <w:t>4.85</w:t>
            </w:r>
          </w:p>
        </w:tc>
        <w:tc>
          <w:tcPr>
            <w:tcW w:w="757" w:type="dxa"/>
            <w:shd w:val="clear" w:color="auto" w:fill="auto"/>
            <w:noWrap/>
            <w:vAlign w:val="center"/>
          </w:tcPr>
          <w:p w14:paraId="34FF87EC">
            <w:pPr>
              <w:pStyle w:val="90"/>
            </w:pPr>
            <w:r>
              <w:t>4.03</w:t>
            </w:r>
          </w:p>
        </w:tc>
        <w:tc>
          <w:tcPr>
            <w:tcW w:w="646" w:type="dxa"/>
            <w:shd w:val="clear" w:color="auto" w:fill="auto"/>
            <w:noWrap/>
            <w:vAlign w:val="center"/>
          </w:tcPr>
          <w:p w14:paraId="28A25F53">
            <w:pPr>
              <w:pStyle w:val="90"/>
            </w:pPr>
            <w:r>
              <w:t>3.99</w:t>
            </w:r>
          </w:p>
        </w:tc>
        <w:tc>
          <w:tcPr>
            <w:tcW w:w="646" w:type="dxa"/>
            <w:shd w:val="clear" w:color="auto" w:fill="auto"/>
            <w:noWrap/>
            <w:vAlign w:val="center"/>
          </w:tcPr>
          <w:p w14:paraId="1C4BDD09">
            <w:pPr>
              <w:pStyle w:val="90"/>
            </w:pPr>
            <w:r>
              <w:t>5.25</w:t>
            </w:r>
          </w:p>
        </w:tc>
        <w:tc>
          <w:tcPr>
            <w:tcW w:w="734" w:type="dxa"/>
            <w:shd w:val="clear" w:color="auto" w:fill="auto"/>
            <w:noWrap/>
            <w:vAlign w:val="center"/>
          </w:tcPr>
          <w:p w14:paraId="7AE01774">
            <w:pPr>
              <w:pStyle w:val="90"/>
            </w:pPr>
            <w:r>
              <w:t>5.16</w:t>
            </w:r>
          </w:p>
        </w:tc>
        <w:tc>
          <w:tcPr>
            <w:tcW w:w="734" w:type="dxa"/>
            <w:shd w:val="clear" w:color="auto" w:fill="auto"/>
            <w:noWrap/>
            <w:vAlign w:val="center"/>
          </w:tcPr>
          <w:p w14:paraId="38F877CE">
            <w:pPr>
              <w:pStyle w:val="90"/>
            </w:pPr>
            <w:r>
              <w:t>3.03</w:t>
            </w:r>
          </w:p>
        </w:tc>
        <w:tc>
          <w:tcPr>
            <w:tcW w:w="768" w:type="dxa"/>
            <w:shd w:val="clear" w:color="auto" w:fill="auto"/>
            <w:noWrap/>
            <w:vAlign w:val="center"/>
          </w:tcPr>
          <w:p w14:paraId="18F37447">
            <w:pPr>
              <w:pStyle w:val="90"/>
            </w:pPr>
            <w:r>
              <w:t>2.45</w:t>
            </w:r>
          </w:p>
        </w:tc>
        <w:tc>
          <w:tcPr>
            <w:tcW w:w="751" w:type="dxa"/>
            <w:shd w:val="clear" w:color="auto" w:fill="auto"/>
            <w:noWrap/>
            <w:vAlign w:val="center"/>
          </w:tcPr>
          <w:p w14:paraId="41A90C7C">
            <w:pPr>
              <w:pStyle w:val="90"/>
            </w:pPr>
            <w:r>
              <w:t>2.36</w:t>
            </w:r>
          </w:p>
        </w:tc>
        <w:tc>
          <w:tcPr>
            <w:tcW w:w="805" w:type="dxa"/>
            <w:shd w:val="clear" w:color="auto" w:fill="auto"/>
            <w:noWrap/>
            <w:vAlign w:val="center"/>
          </w:tcPr>
          <w:p w14:paraId="7FC1EF08">
            <w:pPr>
              <w:pStyle w:val="90"/>
            </w:pPr>
            <w:r>
              <w:t>4.53</w:t>
            </w:r>
          </w:p>
        </w:tc>
        <w:tc>
          <w:tcPr>
            <w:tcW w:w="646" w:type="dxa"/>
            <w:shd w:val="clear" w:color="auto" w:fill="auto"/>
            <w:noWrap/>
            <w:vAlign w:val="center"/>
          </w:tcPr>
          <w:p w14:paraId="4408D0B0">
            <w:pPr>
              <w:pStyle w:val="90"/>
            </w:pPr>
            <w:r>
              <w:t>18.25</w:t>
            </w:r>
          </w:p>
        </w:tc>
        <w:tc>
          <w:tcPr>
            <w:tcW w:w="757" w:type="dxa"/>
            <w:shd w:val="clear" w:color="auto" w:fill="auto"/>
            <w:noWrap/>
            <w:vAlign w:val="center"/>
          </w:tcPr>
          <w:p w14:paraId="57CEADD7">
            <w:pPr>
              <w:pStyle w:val="90"/>
            </w:pPr>
            <w:r>
              <w:t>16.39</w:t>
            </w:r>
          </w:p>
        </w:tc>
        <w:tc>
          <w:tcPr>
            <w:tcW w:w="723" w:type="dxa"/>
            <w:shd w:val="clear" w:color="auto" w:fill="auto"/>
            <w:noWrap/>
            <w:vAlign w:val="center"/>
          </w:tcPr>
          <w:p w14:paraId="1305FEA2">
            <w:pPr>
              <w:pStyle w:val="90"/>
            </w:pPr>
            <w:r>
              <w:t>0.41</w:t>
            </w:r>
          </w:p>
        </w:tc>
      </w:tr>
      <w:tr w14:paraId="0CEAD9D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700" w:type="pct"/>
            <w:shd w:val="clear" w:color="auto" w:fill="auto"/>
            <w:noWrap/>
            <w:vAlign w:val="center"/>
          </w:tcPr>
          <w:p w14:paraId="24CFCF47">
            <w:pPr>
              <w:pStyle w:val="90"/>
            </w:pPr>
            <w:r>
              <w:t>夏季</w:t>
            </w:r>
          </w:p>
        </w:tc>
        <w:tc>
          <w:tcPr>
            <w:tcW w:w="644" w:type="dxa"/>
            <w:shd w:val="clear" w:color="auto" w:fill="auto"/>
            <w:noWrap/>
            <w:vAlign w:val="center"/>
          </w:tcPr>
          <w:p w14:paraId="73353435">
            <w:pPr>
              <w:pStyle w:val="90"/>
            </w:pPr>
            <w:r>
              <w:t>4.57</w:t>
            </w:r>
          </w:p>
        </w:tc>
        <w:tc>
          <w:tcPr>
            <w:tcW w:w="684" w:type="dxa"/>
            <w:shd w:val="clear" w:color="auto" w:fill="auto"/>
            <w:noWrap/>
            <w:vAlign w:val="center"/>
          </w:tcPr>
          <w:p w14:paraId="1BA39ED8">
            <w:pPr>
              <w:pStyle w:val="90"/>
            </w:pPr>
            <w:r>
              <w:t>2.81</w:t>
            </w:r>
          </w:p>
        </w:tc>
        <w:tc>
          <w:tcPr>
            <w:tcW w:w="740" w:type="dxa"/>
            <w:shd w:val="clear" w:color="auto" w:fill="auto"/>
            <w:noWrap/>
            <w:vAlign w:val="center"/>
          </w:tcPr>
          <w:p w14:paraId="1232F0C2">
            <w:pPr>
              <w:pStyle w:val="90"/>
            </w:pPr>
            <w:r>
              <w:t>3.13</w:t>
            </w:r>
          </w:p>
        </w:tc>
        <w:tc>
          <w:tcPr>
            <w:tcW w:w="754" w:type="dxa"/>
            <w:shd w:val="clear" w:color="auto" w:fill="auto"/>
            <w:noWrap/>
            <w:vAlign w:val="center"/>
          </w:tcPr>
          <w:p w14:paraId="20583C84">
            <w:pPr>
              <w:pStyle w:val="90"/>
            </w:pPr>
            <w:r>
              <w:t>2.76</w:t>
            </w:r>
          </w:p>
        </w:tc>
        <w:tc>
          <w:tcPr>
            <w:tcW w:w="754" w:type="dxa"/>
            <w:shd w:val="clear" w:color="auto" w:fill="auto"/>
            <w:noWrap/>
            <w:vAlign w:val="center"/>
          </w:tcPr>
          <w:p w14:paraId="5B13BF30">
            <w:pPr>
              <w:pStyle w:val="90"/>
            </w:pPr>
            <w:r>
              <w:t>4.98</w:t>
            </w:r>
          </w:p>
        </w:tc>
        <w:tc>
          <w:tcPr>
            <w:tcW w:w="646" w:type="dxa"/>
            <w:shd w:val="clear" w:color="auto" w:fill="auto"/>
            <w:noWrap/>
            <w:vAlign w:val="center"/>
          </w:tcPr>
          <w:p w14:paraId="280F5278">
            <w:pPr>
              <w:pStyle w:val="90"/>
            </w:pPr>
            <w:r>
              <w:t>5.89</w:t>
            </w:r>
          </w:p>
        </w:tc>
        <w:tc>
          <w:tcPr>
            <w:tcW w:w="757" w:type="dxa"/>
            <w:shd w:val="clear" w:color="auto" w:fill="auto"/>
            <w:noWrap/>
            <w:vAlign w:val="center"/>
          </w:tcPr>
          <w:p w14:paraId="226F958B">
            <w:pPr>
              <w:pStyle w:val="90"/>
            </w:pPr>
            <w:r>
              <w:t>6.39</w:t>
            </w:r>
          </w:p>
        </w:tc>
        <w:tc>
          <w:tcPr>
            <w:tcW w:w="646" w:type="dxa"/>
            <w:shd w:val="clear" w:color="auto" w:fill="auto"/>
            <w:noWrap/>
            <w:vAlign w:val="center"/>
          </w:tcPr>
          <w:p w14:paraId="250DA401">
            <w:pPr>
              <w:pStyle w:val="90"/>
            </w:pPr>
            <w:r>
              <w:t>5.30</w:t>
            </w:r>
          </w:p>
        </w:tc>
        <w:tc>
          <w:tcPr>
            <w:tcW w:w="646" w:type="dxa"/>
            <w:shd w:val="clear" w:color="auto" w:fill="auto"/>
            <w:noWrap/>
            <w:vAlign w:val="center"/>
          </w:tcPr>
          <w:p w14:paraId="5D8DC428">
            <w:pPr>
              <w:pStyle w:val="90"/>
            </w:pPr>
            <w:r>
              <w:t>7.25</w:t>
            </w:r>
          </w:p>
        </w:tc>
        <w:tc>
          <w:tcPr>
            <w:tcW w:w="734" w:type="dxa"/>
            <w:shd w:val="clear" w:color="auto" w:fill="auto"/>
            <w:noWrap/>
            <w:vAlign w:val="center"/>
          </w:tcPr>
          <w:p w14:paraId="40A7FE98">
            <w:pPr>
              <w:pStyle w:val="90"/>
            </w:pPr>
            <w:r>
              <w:t>3.99</w:t>
            </w:r>
          </w:p>
        </w:tc>
        <w:tc>
          <w:tcPr>
            <w:tcW w:w="734" w:type="dxa"/>
            <w:shd w:val="clear" w:color="auto" w:fill="auto"/>
            <w:noWrap/>
            <w:vAlign w:val="center"/>
          </w:tcPr>
          <w:p w14:paraId="13688173">
            <w:pPr>
              <w:pStyle w:val="90"/>
            </w:pPr>
            <w:r>
              <w:t>2.45</w:t>
            </w:r>
          </w:p>
        </w:tc>
        <w:tc>
          <w:tcPr>
            <w:tcW w:w="768" w:type="dxa"/>
            <w:shd w:val="clear" w:color="auto" w:fill="auto"/>
            <w:noWrap/>
            <w:vAlign w:val="center"/>
          </w:tcPr>
          <w:p w14:paraId="2271905E">
            <w:pPr>
              <w:pStyle w:val="90"/>
            </w:pPr>
            <w:r>
              <w:t>1.99</w:t>
            </w:r>
          </w:p>
        </w:tc>
        <w:tc>
          <w:tcPr>
            <w:tcW w:w="751" w:type="dxa"/>
            <w:shd w:val="clear" w:color="auto" w:fill="auto"/>
            <w:noWrap/>
            <w:vAlign w:val="center"/>
          </w:tcPr>
          <w:p w14:paraId="33F834E2">
            <w:pPr>
              <w:pStyle w:val="90"/>
            </w:pPr>
            <w:r>
              <w:t>3.31</w:t>
            </w:r>
          </w:p>
        </w:tc>
        <w:tc>
          <w:tcPr>
            <w:tcW w:w="805" w:type="dxa"/>
            <w:shd w:val="clear" w:color="auto" w:fill="auto"/>
            <w:noWrap/>
            <w:vAlign w:val="center"/>
          </w:tcPr>
          <w:p w14:paraId="552FCF18">
            <w:pPr>
              <w:pStyle w:val="90"/>
            </w:pPr>
            <w:r>
              <w:t>4.30</w:t>
            </w:r>
          </w:p>
        </w:tc>
        <w:tc>
          <w:tcPr>
            <w:tcW w:w="646" w:type="dxa"/>
            <w:shd w:val="clear" w:color="auto" w:fill="auto"/>
            <w:noWrap/>
            <w:vAlign w:val="center"/>
          </w:tcPr>
          <w:p w14:paraId="5F9B3756">
            <w:pPr>
              <w:pStyle w:val="90"/>
            </w:pPr>
            <w:r>
              <w:t>19.97</w:t>
            </w:r>
          </w:p>
        </w:tc>
        <w:tc>
          <w:tcPr>
            <w:tcW w:w="757" w:type="dxa"/>
            <w:shd w:val="clear" w:color="auto" w:fill="auto"/>
            <w:noWrap/>
            <w:vAlign w:val="center"/>
          </w:tcPr>
          <w:p w14:paraId="3FDBFB2D">
            <w:pPr>
              <w:pStyle w:val="90"/>
            </w:pPr>
            <w:r>
              <w:t>20.79</w:t>
            </w:r>
          </w:p>
        </w:tc>
        <w:tc>
          <w:tcPr>
            <w:tcW w:w="723" w:type="dxa"/>
            <w:shd w:val="clear" w:color="auto" w:fill="auto"/>
            <w:noWrap/>
            <w:vAlign w:val="center"/>
          </w:tcPr>
          <w:p w14:paraId="14CA3482">
            <w:pPr>
              <w:pStyle w:val="90"/>
            </w:pPr>
            <w:r>
              <w:t>0.14</w:t>
            </w:r>
          </w:p>
        </w:tc>
      </w:tr>
      <w:tr w14:paraId="0ACF3BF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700" w:type="pct"/>
            <w:shd w:val="clear" w:color="auto" w:fill="auto"/>
            <w:noWrap/>
            <w:vAlign w:val="center"/>
          </w:tcPr>
          <w:p w14:paraId="6B2C7233">
            <w:pPr>
              <w:pStyle w:val="90"/>
            </w:pPr>
            <w:r>
              <w:t>秋季</w:t>
            </w:r>
          </w:p>
        </w:tc>
        <w:tc>
          <w:tcPr>
            <w:tcW w:w="644" w:type="dxa"/>
            <w:shd w:val="clear" w:color="auto" w:fill="auto"/>
            <w:noWrap/>
            <w:vAlign w:val="center"/>
          </w:tcPr>
          <w:p w14:paraId="43C38ABF">
            <w:pPr>
              <w:pStyle w:val="90"/>
            </w:pPr>
            <w:r>
              <w:t>3.43</w:t>
            </w:r>
          </w:p>
        </w:tc>
        <w:tc>
          <w:tcPr>
            <w:tcW w:w="684" w:type="dxa"/>
            <w:shd w:val="clear" w:color="auto" w:fill="auto"/>
            <w:noWrap/>
            <w:vAlign w:val="center"/>
          </w:tcPr>
          <w:p w14:paraId="6C7BF7A0">
            <w:pPr>
              <w:pStyle w:val="90"/>
            </w:pPr>
            <w:r>
              <w:t>4.90</w:t>
            </w:r>
          </w:p>
        </w:tc>
        <w:tc>
          <w:tcPr>
            <w:tcW w:w="740" w:type="dxa"/>
            <w:shd w:val="clear" w:color="auto" w:fill="auto"/>
            <w:noWrap/>
            <w:vAlign w:val="center"/>
          </w:tcPr>
          <w:p w14:paraId="1FCFC651">
            <w:pPr>
              <w:pStyle w:val="90"/>
            </w:pPr>
            <w:r>
              <w:t>3.25</w:t>
            </w:r>
          </w:p>
        </w:tc>
        <w:tc>
          <w:tcPr>
            <w:tcW w:w="754" w:type="dxa"/>
            <w:shd w:val="clear" w:color="auto" w:fill="auto"/>
            <w:noWrap/>
            <w:vAlign w:val="center"/>
          </w:tcPr>
          <w:p w14:paraId="58E08422">
            <w:pPr>
              <w:pStyle w:val="90"/>
            </w:pPr>
            <w:r>
              <w:t>5.04</w:t>
            </w:r>
          </w:p>
        </w:tc>
        <w:tc>
          <w:tcPr>
            <w:tcW w:w="754" w:type="dxa"/>
            <w:shd w:val="clear" w:color="auto" w:fill="auto"/>
            <w:noWrap/>
            <w:vAlign w:val="center"/>
          </w:tcPr>
          <w:p w14:paraId="0475BD7F">
            <w:pPr>
              <w:pStyle w:val="90"/>
            </w:pPr>
            <w:r>
              <w:t>6.78</w:t>
            </w:r>
          </w:p>
        </w:tc>
        <w:tc>
          <w:tcPr>
            <w:tcW w:w="646" w:type="dxa"/>
            <w:shd w:val="clear" w:color="auto" w:fill="auto"/>
            <w:noWrap/>
            <w:vAlign w:val="center"/>
          </w:tcPr>
          <w:p w14:paraId="62EB5D3B">
            <w:pPr>
              <w:pStyle w:val="90"/>
            </w:pPr>
            <w:r>
              <w:t>4.40</w:t>
            </w:r>
          </w:p>
        </w:tc>
        <w:tc>
          <w:tcPr>
            <w:tcW w:w="757" w:type="dxa"/>
            <w:shd w:val="clear" w:color="auto" w:fill="auto"/>
            <w:noWrap/>
            <w:vAlign w:val="center"/>
          </w:tcPr>
          <w:p w14:paraId="168AFE19">
            <w:pPr>
              <w:pStyle w:val="90"/>
            </w:pPr>
            <w:r>
              <w:t>4.08</w:t>
            </w:r>
          </w:p>
        </w:tc>
        <w:tc>
          <w:tcPr>
            <w:tcW w:w="646" w:type="dxa"/>
            <w:shd w:val="clear" w:color="auto" w:fill="auto"/>
            <w:noWrap/>
            <w:vAlign w:val="center"/>
          </w:tcPr>
          <w:p w14:paraId="65496FCE">
            <w:pPr>
              <w:pStyle w:val="90"/>
            </w:pPr>
            <w:r>
              <w:t>3.66</w:t>
            </w:r>
          </w:p>
        </w:tc>
        <w:tc>
          <w:tcPr>
            <w:tcW w:w="646" w:type="dxa"/>
            <w:shd w:val="clear" w:color="auto" w:fill="auto"/>
            <w:noWrap/>
            <w:vAlign w:val="center"/>
          </w:tcPr>
          <w:p w14:paraId="0A7FB7CE">
            <w:pPr>
              <w:pStyle w:val="90"/>
            </w:pPr>
            <w:r>
              <w:t>5.22</w:t>
            </w:r>
          </w:p>
        </w:tc>
        <w:tc>
          <w:tcPr>
            <w:tcW w:w="734" w:type="dxa"/>
            <w:shd w:val="clear" w:color="auto" w:fill="auto"/>
            <w:noWrap/>
            <w:vAlign w:val="center"/>
          </w:tcPr>
          <w:p w14:paraId="6BD3C29A">
            <w:pPr>
              <w:pStyle w:val="90"/>
            </w:pPr>
            <w:r>
              <w:t>4.40</w:t>
            </w:r>
          </w:p>
        </w:tc>
        <w:tc>
          <w:tcPr>
            <w:tcW w:w="734" w:type="dxa"/>
            <w:shd w:val="clear" w:color="auto" w:fill="auto"/>
            <w:noWrap/>
            <w:vAlign w:val="center"/>
          </w:tcPr>
          <w:p w14:paraId="7E63A109">
            <w:pPr>
              <w:pStyle w:val="90"/>
            </w:pPr>
            <w:r>
              <w:t>2.84</w:t>
            </w:r>
          </w:p>
        </w:tc>
        <w:tc>
          <w:tcPr>
            <w:tcW w:w="768" w:type="dxa"/>
            <w:shd w:val="clear" w:color="auto" w:fill="auto"/>
            <w:noWrap/>
            <w:vAlign w:val="center"/>
          </w:tcPr>
          <w:p w14:paraId="3BE17E93">
            <w:pPr>
              <w:pStyle w:val="90"/>
            </w:pPr>
            <w:r>
              <w:t>2.06</w:t>
            </w:r>
          </w:p>
        </w:tc>
        <w:tc>
          <w:tcPr>
            <w:tcW w:w="751" w:type="dxa"/>
            <w:shd w:val="clear" w:color="auto" w:fill="auto"/>
            <w:noWrap/>
            <w:vAlign w:val="center"/>
          </w:tcPr>
          <w:p w14:paraId="6A9971DE">
            <w:pPr>
              <w:pStyle w:val="90"/>
            </w:pPr>
            <w:r>
              <w:t>2.15</w:t>
            </w:r>
          </w:p>
        </w:tc>
        <w:tc>
          <w:tcPr>
            <w:tcW w:w="805" w:type="dxa"/>
            <w:shd w:val="clear" w:color="auto" w:fill="auto"/>
            <w:noWrap/>
            <w:vAlign w:val="center"/>
          </w:tcPr>
          <w:p w14:paraId="16193B35">
            <w:pPr>
              <w:pStyle w:val="90"/>
            </w:pPr>
            <w:r>
              <w:t>4.67</w:t>
            </w:r>
          </w:p>
        </w:tc>
        <w:tc>
          <w:tcPr>
            <w:tcW w:w="646" w:type="dxa"/>
            <w:shd w:val="clear" w:color="auto" w:fill="auto"/>
            <w:noWrap/>
            <w:vAlign w:val="center"/>
          </w:tcPr>
          <w:p w14:paraId="7D13CDF1">
            <w:pPr>
              <w:pStyle w:val="90"/>
            </w:pPr>
            <w:r>
              <w:t>20.83</w:t>
            </w:r>
          </w:p>
        </w:tc>
        <w:tc>
          <w:tcPr>
            <w:tcW w:w="757" w:type="dxa"/>
            <w:shd w:val="clear" w:color="auto" w:fill="auto"/>
            <w:noWrap/>
            <w:vAlign w:val="center"/>
          </w:tcPr>
          <w:p w14:paraId="240D066B">
            <w:pPr>
              <w:pStyle w:val="90"/>
            </w:pPr>
            <w:r>
              <w:t>21.29</w:t>
            </w:r>
          </w:p>
        </w:tc>
        <w:tc>
          <w:tcPr>
            <w:tcW w:w="723" w:type="dxa"/>
            <w:shd w:val="clear" w:color="auto" w:fill="auto"/>
            <w:noWrap/>
            <w:vAlign w:val="center"/>
          </w:tcPr>
          <w:p w14:paraId="16223275">
            <w:pPr>
              <w:pStyle w:val="90"/>
            </w:pPr>
            <w:r>
              <w:t>1.01</w:t>
            </w:r>
          </w:p>
        </w:tc>
      </w:tr>
      <w:tr w14:paraId="05EA598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700" w:type="pct"/>
            <w:shd w:val="clear" w:color="auto" w:fill="auto"/>
            <w:noWrap/>
            <w:vAlign w:val="center"/>
          </w:tcPr>
          <w:p w14:paraId="02185447">
            <w:pPr>
              <w:pStyle w:val="90"/>
            </w:pPr>
            <w:r>
              <w:t>冬季</w:t>
            </w:r>
          </w:p>
        </w:tc>
        <w:tc>
          <w:tcPr>
            <w:tcW w:w="644" w:type="dxa"/>
            <w:shd w:val="clear" w:color="auto" w:fill="auto"/>
            <w:noWrap/>
            <w:vAlign w:val="center"/>
          </w:tcPr>
          <w:p w14:paraId="25FDB879">
            <w:pPr>
              <w:pStyle w:val="90"/>
            </w:pPr>
            <w:r>
              <w:t>4.12</w:t>
            </w:r>
          </w:p>
        </w:tc>
        <w:tc>
          <w:tcPr>
            <w:tcW w:w="684" w:type="dxa"/>
            <w:shd w:val="clear" w:color="auto" w:fill="auto"/>
            <w:noWrap/>
            <w:vAlign w:val="center"/>
          </w:tcPr>
          <w:p w14:paraId="47A76549">
            <w:pPr>
              <w:pStyle w:val="90"/>
            </w:pPr>
            <w:r>
              <w:t>11.39</w:t>
            </w:r>
          </w:p>
        </w:tc>
        <w:tc>
          <w:tcPr>
            <w:tcW w:w="740" w:type="dxa"/>
            <w:shd w:val="clear" w:color="auto" w:fill="auto"/>
            <w:noWrap/>
            <w:vAlign w:val="center"/>
          </w:tcPr>
          <w:p w14:paraId="2FF18F60">
            <w:pPr>
              <w:pStyle w:val="90"/>
            </w:pPr>
            <w:r>
              <w:t>5.28</w:t>
            </w:r>
          </w:p>
        </w:tc>
        <w:tc>
          <w:tcPr>
            <w:tcW w:w="754" w:type="dxa"/>
            <w:shd w:val="clear" w:color="auto" w:fill="auto"/>
            <w:noWrap/>
            <w:vAlign w:val="center"/>
          </w:tcPr>
          <w:p w14:paraId="7BEF4EFD">
            <w:pPr>
              <w:pStyle w:val="90"/>
            </w:pPr>
            <w:r>
              <w:t>13.80</w:t>
            </w:r>
          </w:p>
        </w:tc>
        <w:tc>
          <w:tcPr>
            <w:tcW w:w="754" w:type="dxa"/>
            <w:shd w:val="clear" w:color="auto" w:fill="auto"/>
            <w:noWrap/>
            <w:vAlign w:val="center"/>
          </w:tcPr>
          <w:p w14:paraId="4E4769EE">
            <w:pPr>
              <w:pStyle w:val="90"/>
            </w:pPr>
            <w:r>
              <w:t>11.34</w:t>
            </w:r>
          </w:p>
        </w:tc>
        <w:tc>
          <w:tcPr>
            <w:tcW w:w="646" w:type="dxa"/>
            <w:shd w:val="clear" w:color="auto" w:fill="auto"/>
            <w:noWrap/>
            <w:vAlign w:val="center"/>
          </w:tcPr>
          <w:p w14:paraId="34A87867">
            <w:pPr>
              <w:pStyle w:val="90"/>
            </w:pPr>
            <w:r>
              <w:t>3.01</w:t>
            </w:r>
          </w:p>
        </w:tc>
        <w:tc>
          <w:tcPr>
            <w:tcW w:w="757" w:type="dxa"/>
            <w:shd w:val="clear" w:color="auto" w:fill="auto"/>
            <w:noWrap/>
            <w:vAlign w:val="center"/>
          </w:tcPr>
          <w:p w14:paraId="1E2EB82C">
            <w:pPr>
              <w:pStyle w:val="90"/>
            </w:pPr>
            <w:r>
              <w:t>1.34</w:t>
            </w:r>
          </w:p>
        </w:tc>
        <w:tc>
          <w:tcPr>
            <w:tcW w:w="646" w:type="dxa"/>
            <w:shd w:val="clear" w:color="auto" w:fill="auto"/>
            <w:noWrap/>
            <w:vAlign w:val="center"/>
          </w:tcPr>
          <w:p w14:paraId="3B30D586">
            <w:pPr>
              <w:pStyle w:val="90"/>
            </w:pPr>
            <w:r>
              <w:t>1.62</w:t>
            </w:r>
          </w:p>
        </w:tc>
        <w:tc>
          <w:tcPr>
            <w:tcW w:w="646" w:type="dxa"/>
            <w:shd w:val="clear" w:color="auto" w:fill="auto"/>
            <w:noWrap/>
            <w:vAlign w:val="center"/>
          </w:tcPr>
          <w:p w14:paraId="4080F253">
            <w:pPr>
              <w:pStyle w:val="90"/>
            </w:pPr>
            <w:r>
              <w:t>2.27</w:t>
            </w:r>
          </w:p>
        </w:tc>
        <w:tc>
          <w:tcPr>
            <w:tcW w:w="734" w:type="dxa"/>
            <w:shd w:val="clear" w:color="auto" w:fill="auto"/>
            <w:noWrap/>
            <w:vAlign w:val="center"/>
          </w:tcPr>
          <w:p w14:paraId="259F74C4">
            <w:pPr>
              <w:pStyle w:val="90"/>
            </w:pPr>
            <w:r>
              <w:t>3.84</w:t>
            </w:r>
          </w:p>
        </w:tc>
        <w:tc>
          <w:tcPr>
            <w:tcW w:w="734" w:type="dxa"/>
            <w:shd w:val="clear" w:color="auto" w:fill="auto"/>
            <w:noWrap/>
            <w:vAlign w:val="center"/>
          </w:tcPr>
          <w:p w14:paraId="6C13A63A">
            <w:pPr>
              <w:pStyle w:val="90"/>
            </w:pPr>
            <w:r>
              <w:t>9.21</w:t>
            </w:r>
          </w:p>
        </w:tc>
        <w:tc>
          <w:tcPr>
            <w:tcW w:w="768" w:type="dxa"/>
            <w:shd w:val="clear" w:color="auto" w:fill="auto"/>
            <w:noWrap/>
            <w:vAlign w:val="center"/>
          </w:tcPr>
          <w:p w14:paraId="4D9CD3D9">
            <w:pPr>
              <w:pStyle w:val="90"/>
            </w:pPr>
            <w:r>
              <w:t>8.84</w:t>
            </w:r>
          </w:p>
        </w:tc>
        <w:tc>
          <w:tcPr>
            <w:tcW w:w="751" w:type="dxa"/>
            <w:shd w:val="clear" w:color="auto" w:fill="auto"/>
            <w:noWrap/>
            <w:vAlign w:val="center"/>
          </w:tcPr>
          <w:p w14:paraId="04E74BC2">
            <w:pPr>
              <w:pStyle w:val="90"/>
            </w:pPr>
            <w:r>
              <w:t>3.01</w:t>
            </w:r>
          </w:p>
        </w:tc>
        <w:tc>
          <w:tcPr>
            <w:tcW w:w="805" w:type="dxa"/>
            <w:shd w:val="clear" w:color="auto" w:fill="auto"/>
            <w:noWrap/>
            <w:vAlign w:val="center"/>
          </w:tcPr>
          <w:p w14:paraId="2730FA4A">
            <w:pPr>
              <w:pStyle w:val="90"/>
            </w:pPr>
            <w:r>
              <w:t>2.36</w:t>
            </w:r>
          </w:p>
        </w:tc>
        <w:tc>
          <w:tcPr>
            <w:tcW w:w="646" w:type="dxa"/>
            <w:shd w:val="clear" w:color="auto" w:fill="auto"/>
            <w:noWrap/>
            <w:vAlign w:val="center"/>
          </w:tcPr>
          <w:p w14:paraId="5B229B42">
            <w:pPr>
              <w:pStyle w:val="90"/>
            </w:pPr>
            <w:r>
              <w:t>6.16</w:t>
            </w:r>
          </w:p>
        </w:tc>
        <w:tc>
          <w:tcPr>
            <w:tcW w:w="757" w:type="dxa"/>
            <w:shd w:val="clear" w:color="auto" w:fill="auto"/>
            <w:noWrap/>
            <w:vAlign w:val="center"/>
          </w:tcPr>
          <w:p w14:paraId="7DFE6186">
            <w:pPr>
              <w:pStyle w:val="90"/>
            </w:pPr>
            <w:r>
              <w:t>8.38</w:t>
            </w:r>
          </w:p>
        </w:tc>
        <w:tc>
          <w:tcPr>
            <w:tcW w:w="723" w:type="dxa"/>
            <w:shd w:val="clear" w:color="auto" w:fill="auto"/>
            <w:noWrap/>
            <w:vAlign w:val="center"/>
          </w:tcPr>
          <w:p w14:paraId="3AC11433">
            <w:pPr>
              <w:pStyle w:val="90"/>
            </w:pPr>
            <w:r>
              <w:t>4.03</w:t>
            </w:r>
          </w:p>
        </w:tc>
      </w:tr>
      <w:tr w14:paraId="46CFCBD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700" w:type="pct"/>
            <w:shd w:val="clear" w:color="auto" w:fill="auto"/>
            <w:noWrap/>
            <w:vAlign w:val="center"/>
          </w:tcPr>
          <w:p w14:paraId="58FA419D">
            <w:pPr>
              <w:pStyle w:val="90"/>
            </w:pPr>
            <w:r>
              <w:t>全年</w:t>
            </w:r>
          </w:p>
        </w:tc>
        <w:tc>
          <w:tcPr>
            <w:tcW w:w="644" w:type="dxa"/>
            <w:shd w:val="clear" w:color="auto" w:fill="auto"/>
            <w:noWrap/>
            <w:vAlign w:val="center"/>
          </w:tcPr>
          <w:p w14:paraId="6FE03F35">
            <w:pPr>
              <w:pStyle w:val="90"/>
            </w:pPr>
            <w:r>
              <w:t>3.84</w:t>
            </w:r>
          </w:p>
        </w:tc>
        <w:tc>
          <w:tcPr>
            <w:tcW w:w="684" w:type="dxa"/>
            <w:shd w:val="clear" w:color="auto" w:fill="auto"/>
            <w:noWrap/>
            <w:vAlign w:val="center"/>
          </w:tcPr>
          <w:p w14:paraId="46EAF960">
            <w:pPr>
              <w:pStyle w:val="90"/>
            </w:pPr>
            <w:r>
              <w:t>5.58</w:t>
            </w:r>
          </w:p>
        </w:tc>
        <w:tc>
          <w:tcPr>
            <w:tcW w:w="740" w:type="dxa"/>
            <w:shd w:val="clear" w:color="auto" w:fill="auto"/>
            <w:noWrap/>
            <w:vAlign w:val="center"/>
          </w:tcPr>
          <w:p w14:paraId="04A99ED7">
            <w:pPr>
              <w:pStyle w:val="90"/>
            </w:pPr>
            <w:r>
              <w:t>4.02</w:t>
            </w:r>
          </w:p>
        </w:tc>
        <w:tc>
          <w:tcPr>
            <w:tcW w:w="754" w:type="dxa"/>
            <w:shd w:val="clear" w:color="auto" w:fill="auto"/>
            <w:noWrap/>
            <w:vAlign w:val="center"/>
          </w:tcPr>
          <w:p w14:paraId="5D652F91">
            <w:pPr>
              <w:pStyle w:val="90"/>
            </w:pPr>
            <w:r>
              <w:t>7.26</w:t>
            </w:r>
          </w:p>
        </w:tc>
        <w:tc>
          <w:tcPr>
            <w:tcW w:w="754" w:type="dxa"/>
            <w:shd w:val="clear" w:color="auto" w:fill="auto"/>
            <w:noWrap/>
            <w:vAlign w:val="center"/>
          </w:tcPr>
          <w:p w14:paraId="067F4B69">
            <w:pPr>
              <w:pStyle w:val="90"/>
            </w:pPr>
            <w:r>
              <w:t>8.45</w:t>
            </w:r>
          </w:p>
        </w:tc>
        <w:tc>
          <w:tcPr>
            <w:tcW w:w="646" w:type="dxa"/>
            <w:shd w:val="clear" w:color="auto" w:fill="auto"/>
            <w:noWrap/>
            <w:vAlign w:val="center"/>
          </w:tcPr>
          <w:p w14:paraId="27EF0E65">
            <w:pPr>
              <w:pStyle w:val="90"/>
            </w:pPr>
            <w:r>
              <w:t>4.54</w:t>
            </w:r>
          </w:p>
        </w:tc>
        <w:tc>
          <w:tcPr>
            <w:tcW w:w="757" w:type="dxa"/>
            <w:shd w:val="clear" w:color="auto" w:fill="auto"/>
            <w:noWrap/>
            <w:vAlign w:val="center"/>
          </w:tcPr>
          <w:p w14:paraId="14D7913A">
            <w:pPr>
              <w:pStyle w:val="90"/>
            </w:pPr>
            <w:r>
              <w:t>3.97</w:t>
            </w:r>
          </w:p>
        </w:tc>
        <w:tc>
          <w:tcPr>
            <w:tcW w:w="646" w:type="dxa"/>
            <w:shd w:val="clear" w:color="auto" w:fill="auto"/>
            <w:noWrap/>
            <w:vAlign w:val="center"/>
          </w:tcPr>
          <w:p w14:paraId="13501F51">
            <w:pPr>
              <w:pStyle w:val="90"/>
            </w:pPr>
            <w:r>
              <w:t>3.65</w:t>
            </w:r>
          </w:p>
        </w:tc>
        <w:tc>
          <w:tcPr>
            <w:tcW w:w="646" w:type="dxa"/>
            <w:shd w:val="clear" w:color="auto" w:fill="auto"/>
            <w:noWrap/>
            <w:vAlign w:val="center"/>
          </w:tcPr>
          <w:p w14:paraId="0E16DD1F">
            <w:pPr>
              <w:pStyle w:val="90"/>
            </w:pPr>
            <w:r>
              <w:t>5.01</w:t>
            </w:r>
          </w:p>
        </w:tc>
        <w:tc>
          <w:tcPr>
            <w:tcW w:w="734" w:type="dxa"/>
            <w:shd w:val="clear" w:color="auto" w:fill="auto"/>
            <w:noWrap/>
            <w:vAlign w:val="center"/>
          </w:tcPr>
          <w:p w14:paraId="29706144">
            <w:pPr>
              <w:pStyle w:val="90"/>
            </w:pPr>
            <w:r>
              <w:t>4.35</w:t>
            </w:r>
          </w:p>
        </w:tc>
        <w:tc>
          <w:tcPr>
            <w:tcW w:w="734" w:type="dxa"/>
            <w:shd w:val="clear" w:color="auto" w:fill="auto"/>
            <w:noWrap/>
            <w:vAlign w:val="center"/>
          </w:tcPr>
          <w:p w14:paraId="6CC3CA0A">
            <w:pPr>
              <w:pStyle w:val="90"/>
            </w:pPr>
            <w:r>
              <w:t>4.36</w:t>
            </w:r>
          </w:p>
        </w:tc>
        <w:tc>
          <w:tcPr>
            <w:tcW w:w="768" w:type="dxa"/>
            <w:shd w:val="clear" w:color="auto" w:fill="auto"/>
            <w:noWrap/>
            <w:vAlign w:val="center"/>
          </w:tcPr>
          <w:p w14:paraId="23123642">
            <w:pPr>
              <w:pStyle w:val="90"/>
            </w:pPr>
            <w:r>
              <w:t>3.81</w:t>
            </w:r>
          </w:p>
        </w:tc>
        <w:tc>
          <w:tcPr>
            <w:tcW w:w="751" w:type="dxa"/>
            <w:shd w:val="clear" w:color="auto" w:fill="auto"/>
            <w:noWrap/>
            <w:vAlign w:val="center"/>
          </w:tcPr>
          <w:p w14:paraId="49B18710">
            <w:pPr>
              <w:pStyle w:val="90"/>
            </w:pPr>
            <w:r>
              <w:t>2.71</w:t>
            </w:r>
          </w:p>
        </w:tc>
        <w:tc>
          <w:tcPr>
            <w:tcW w:w="805" w:type="dxa"/>
            <w:shd w:val="clear" w:color="auto" w:fill="auto"/>
            <w:noWrap/>
            <w:vAlign w:val="center"/>
          </w:tcPr>
          <w:p w14:paraId="17429FC6">
            <w:pPr>
              <w:pStyle w:val="90"/>
            </w:pPr>
            <w:r>
              <w:t>3.97</w:t>
            </w:r>
          </w:p>
        </w:tc>
        <w:tc>
          <w:tcPr>
            <w:tcW w:w="646" w:type="dxa"/>
            <w:shd w:val="clear" w:color="auto" w:fill="auto"/>
            <w:noWrap/>
            <w:vAlign w:val="center"/>
          </w:tcPr>
          <w:p w14:paraId="2120E670">
            <w:pPr>
              <w:pStyle w:val="90"/>
            </w:pPr>
            <w:r>
              <w:t>16.35</w:t>
            </w:r>
          </w:p>
        </w:tc>
        <w:tc>
          <w:tcPr>
            <w:tcW w:w="757" w:type="dxa"/>
            <w:shd w:val="clear" w:color="auto" w:fill="auto"/>
            <w:noWrap/>
            <w:vAlign w:val="center"/>
          </w:tcPr>
          <w:p w14:paraId="2176922B">
            <w:pPr>
              <w:pStyle w:val="90"/>
            </w:pPr>
            <w:r>
              <w:t>16.75</w:t>
            </w:r>
          </w:p>
        </w:tc>
        <w:tc>
          <w:tcPr>
            <w:tcW w:w="723" w:type="dxa"/>
            <w:shd w:val="clear" w:color="auto" w:fill="auto"/>
            <w:noWrap/>
            <w:vAlign w:val="center"/>
          </w:tcPr>
          <w:p w14:paraId="661BC1C8">
            <w:pPr>
              <w:pStyle w:val="90"/>
            </w:pPr>
            <w:r>
              <w:t>1.38</w:t>
            </w:r>
          </w:p>
        </w:tc>
      </w:tr>
    </w:tbl>
    <w:p w14:paraId="2EC6A87C">
      <w:pPr>
        <w:ind w:firstLine="480"/>
        <w:rPr>
          <w:lang w:val="zh-CN"/>
        </w:rPr>
      </w:pPr>
    </w:p>
    <w:p w14:paraId="6B934902">
      <w:pPr>
        <w:ind w:firstLine="480"/>
        <w:sectPr>
          <w:footerReference r:id="rId27" w:type="default"/>
          <w:pgSz w:w="16838" w:h="11906" w:orient="landscape"/>
          <w:pgMar w:top="1588" w:right="1440" w:bottom="1588" w:left="1440" w:header="907" w:footer="775" w:gutter="0"/>
          <w:pgBorders>
            <w:top w:val="none" w:sz="0" w:space="0"/>
            <w:left w:val="none" w:sz="0" w:space="0"/>
            <w:bottom w:val="none" w:sz="0" w:space="0"/>
            <w:right w:val="none" w:sz="0" w:space="0"/>
          </w:pgBorders>
          <w:pgNumType w:fmt="numberInDash"/>
          <w:cols w:space="425" w:num="1"/>
          <w:docGrid w:type="linesAndChars" w:linePitch="326" w:charSpace="0"/>
        </w:sectPr>
      </w:pPr>
    </w:p>
    <w:p w14:paraId="313EF94F">
      <w:pPr>
        <w:pStyle w:val="47"/>
        <w:spacing w:before="65"/>
      </w:pPr>
    </w:p>
    <w:p w14:paraId="4937AEA9">
      <w:pPr>
        <w:ind w:firstLine="480"/>
        <w:rPr>
          <w:lang w:val="zh-CN"/>
        </w:rPr>
      </w:pPr>
      <w:r>
        <w:t>全年各月主导风向角范围为</w:t>
      </w:r>
      <w:r>
        <w:rPr>
          <w:rFonts w:hint="eastAsia"/>
        </w:rPr>
        <w:t>27</w:t>
      </w:r>
      <w:r>
        <w:t>0º-</w:t>
      </w:r>
      <w:r>
        <w:rPr>
          <w:rFonts w:hint="eastAsia"/>
        </w:rPr>
        <w:t>36</w:t>
      </w:r>
      <w:r>
        <w:t>0º，出现频率为</w:t>
      </w:r>
      <w:r>
        <w:rPr>
          <w:rFonts w:hint="eastAsia"/>
        </w:rPr>
        <w:t>34.06</w:t>
      </w:r>
      <w:r>
        <w:t>%。该区域盛行风向较为集中，2021年全年</w:t>
      </w:r>
      <w:r>
        <w:rPr>
          <w:rFonts w:hint="eastAsia"/>
        </w:rPr>
        <w:t>第1大风向为NNW，频率18.53%，平均风速2.61m/s；第2大风向NW，频率15.53%，平均风速3.93m/s</w:t>
      </w:r>
      <w:r>
        <w:t>。</w:t>
      </w:r>
      <w:r>
        <w:rPr>
          <w:rFonts w:hint="eastAsia"/>
        </w:rPr>
        <w:t>综上，项目年出道风向为西南（SW）。</w:t>
      </w:r>
    </w:p>
    <w:p w14:paraId="32FC342C">
      <w:pPr>
        <w:ind w:firstLine="480"/>
        <w:rPr>
          <w:lang w:val="zh-CN"/>
        </w:rPr>
        <w:sectPr>
          <w:footerReference r:id="rId28"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02655B81">
      <w:pPr>
        <w:ind w:firstLine="480"/>
      </w:pPr>
      <w:r>
        <w:t>（2）风速</w:t>
      </w:r>
    </w:p>
    <w:p w14:paraId="03C1F3E6">
      <w:pPr>
        <w:ind w:firstLine="480"/>
      </w:pPr>
      <w:r>
        <w:t>月平均风速随月份的变化、季小时平均风速的日变化和全年各风向下平均风速情况分别见</w:t>
      </w:r>
      <w:r>
        <w:rPr>
          <w:rFonts w:hint="eastAsia"/>
        </w:rPr>
        <w:t>表5</w:t>
      </w:r>
      <w:r>
        <w:t>.1-10、</w:t>
      </w:r>
      <w:r>
        <w:rPr>
          <w:rFonts w:hint="eastAsia"/>
        </w:rPr>
        <w:t>表5</w:t>
      </w:r>
      <w:r>
        <w:t>.1-11和</w:t>
      </w:r>
      <w:r>
        <w:rPr>
          <w:rFonts w:hint="eastAsia"/>
        </w:rPr>
        <w:t>表5</w:t>
      </w:r>
      <w:r>
        <w:t>.1-12，年平均风速的月变化见</w:t>
      </w:r>
      <w:r>
        <w:rPr>
          <w:rFonts w:hint="eastAsia"/>
        </w:rPr>
        <w:t>图5</w:t>
      </w:r>
      <w:r>
        <w:t>.1-16。</w:t>
      </w:r>
    </w:p>
    <w:p w14:paraId="64589340">
      <w:pPr>
        <w:pStyle w:val="47"/>
        <w:spacing w:before="65"/>
        <w:rPr>
          <w:lang w:val="en-US"/>
        </w:rPr>
      </w:pPr>
    </w:p>
    <w:p w14:paraId="39F864AD">
      <w:pPr>
        <w:pStyle w:val="47"/>
        <w:spacing w:before="65"/>
      </w:pPr>
      <w:r>
        <w:rPr>
          <w:rFonts w:hint="eastAsia"/>
        </w:rPr>
        <w:t>图5</w:t>
      </w:r>
      <w:r>
        <w:t xml:space="preserve">.1-16   </w:t>
      </w:r>
      <w:r>
        <w:rPr>
          <w:rFonts w:hint="eastAsia"/>
        </w:rPr>
        <w:t>年平均风速的月变化曲线</w:t>
      </w:r>
    </w:p>
    <w:p w14:paraId="6DACCA00">
      <w:pPr>
        <w:ind w:firstLine="480"/>
      </w:pPr>
      <w:r>
        <w:t>评价区2022年平均风速1.81m/s。4</w:t>
      </w:r>
      <w:r>
        <w:rPr>
          <w:rFonts w:hint="eastAsia"/>
        </w:rPr>
        <w:t>～</w:t>
      </w:r>
      <w:r>
        <w:t>8月风速相对最大，为2.00m/s</w:t>
      </w:r>
      <w:r>
        <w:rPr>
          <w:rFonts w:hint="eastAsia"/>
        </w:rPr>
        <w:t>～</w:t>
      </w:r>
      <w:r>
        <w:t>2.52m/s。1月和12月的最小为1.24m/s</w:t>
      </w:r>
      <w:r>
        <w:rPr>
          <w:rFonts w:hint="eastAsia"/>
        </w:rPr>
        <w:t>和1</w:t>
      </w:r>
      <w:r>
        <w:t>.36</w:t>
      </w:r>
      <w:r>
        <w:rPr>
          <w:rFonts w:hint="eastAsia"/>
        </w:rPr>
        <w:t>m</w:t>
      </w:r>
      <w:r>
        <w:t>/s。从各季小时月平均风速统计资料中可以看出</w:t>
      </w:r>
      <w:r>
        <w:rPr>
          <w:rFonts w:hint="eastAsia"/>
        </w:rPr>
        <w:t>本项目区域</w:t>
      </w:r>
      <w:r>
        <w:t>春、夏两季最高，冬季风速最低，一天内13：00</w:t>
      </w:r>
      <w:r>
        <w:rPr>
          <w:rFonts w:hint="eastAsia"/>
        </w:rPr>
        <w:t>～1</w:t>
      </w:r>
      <w:r>
        <w:t>4</w:t>
      </w:r>
      <w:r>
        <w:rPr>
          <w:rFonts w:hint="eastAsia"/>
        </w:rPr>
        <w:t>：00之间</w:t>
      </w:r>
      <w:r>
        <w:t>的平均风速最高。全年以西</w:t>
      </w:r>
      <w:r>
        <w:rPr>
          <w:rFonts w:hint="eastAsia"/>
        </w:rPr>
        <w:t>南偏西</w:t>
      </w:r>
      <w:r>
        <w:t>风</w:t>
      </w:r>
      <w:r>
        <w:rPr>
          <w:rFonts w:hint="eastAsia"/>
        </w:rPr>
        <w:t>（WSW）</w:t>
      </w:r>
      <w:r>
        <w:t>的风速最大，平均为9.79m/s，其次是</w:t>
      </w:r>
      <w:r>
        <w:rPr>
          <w:rFonts w:hint="eastAsia"/>
        </w:rPr>
        <w:t>ENE</w:t>
      </w:r>
      <w:r>
        <w:t>风，平均风速为7.72m/s，</w:t>
      </w:r>
      <w:r>
        <w:rPr>
          <w:rFonts w:hint="eastAsia"/>
        </w:rPr>
        <w:t>SS</w:t>
      </w:r>
      <w:r>
        <w:t>E风的年平均风速最小，为2.45m/s。全年季小时平均风速月变化曲线见图5.1-17，风速玫瑰见</w:t>
      </w:r>
      <w:r>
        <w:rPr>
          <w:rFonts w:hint="eastAsia"/>
        </w:rPr>
        <w:t>图5</w:t>
      </w:r>
      <w:r>
        <w:t>.1-18</w:t>
      </w:r>
      <w:r>
        <w:rPr>
          <w:rFonts w:hint="eastAsia"/>
        </w:rPr>
        <w:t>。</w:t>
      </w:r>
    </w:p>
    <w:p w14:paraId="7E02D196">
      <w:pPr>
        <w:spacing w:line="240" w:lineRule="auto"/>
        <w:ind w:firstLine="0" w:firstLineChars="0"/>
        <w:jc w:val="center"/>
      </w:pPr>
    </w:p>
    <w:p w14:paraId="3E7A46CC">
      <w:pPr>
        <w:pStyle w:val="49"/>
        <w:spacing w:before="163" w:after="163"/>
        <w:rPr>
          <w:lang w:val="en-US"/>
        </w:rPr>
      </w:pPr>
      <w:r>
        <w:rPr>
          <w:rFonts w:hint="eastAsia"/>
        </w:rPr>
        <w:t>图5</w:t>
      </w:r>
      <w:r>
        <w:t xml:space="preserve">.1-17   </w:t>
      </w:r>
      <w:r>
        <w:rPr>
          <w:rFonts w:hint="eastAsia"/>
        </w:rPr>
        <w:t>克拉玛依气象站全年季小时平均风速月变化曲线图</w:t>
      </w:r>
    </w:p>
    <w:p w14:paraId="48856D43">
      <w:pPr>
        <w:ind w:firstLine="480"/>
      </w:pPr>
    </w:p>
    <w:p w14:paraId="6D02048B">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6DACC2D1">
      <w:pPr>
        <w:pStyle w:val="47"/>
        <w:spacing w:before="65"/>
      </w:pPr>
      <w:r>
        <w:rPr>
          <w:rFonts w:hint="eastAsia"/>
        </w:rPr>
        <w:t>表5</w:t>
      </w:r>
      <w:r>
        <w:t xml:space="preserve">.1-10   </w:t>
      </w:r>
      <w:r>
        <w:rPr>
          <w:rFonts w:hint="eastAsia"/>
        </w:rPr>
        <w:t>年平均风速的月变化</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12"/>
        <w:gridCol w:w="999"/>
        <w:gridCol w:w="994"/>
        <w:gridCol w:w="997"/>
        <w:gridCol w:w="997"/>
        <w:gridCol w:w="997"/>
        <w:gridCol w:w="997"/>
        <w:gridCol w:w="994"/>
        <w:gridCol w:w="997"/>
        <w:gridCol w:w="1000"/>
        <w:gridCol w:w="997"/>
        <w:gridCol w:w="994"/>
        <w:gridCol w:w="983"/>
      </w:tblGrid>
      <w:tr w14:paraId="262A0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21" w:type="pct"/>
            <w:shd w:val="clear" w:color="auto" w:fill="auto"/>
            <w:vAlign w:val="center"/>
          </w:tcPr>
          <w:p w14:paraId="0DD771B6">
            <w:pPr>
              <w:pStyle w:val="90"/>
            </w:pPr>
            <w:r>
              <w:t>月份</w:t>
            </w:r>
          </w:p>
        </w:tc>
        <w:tc>
          <w:tcPr>
            <w:tcW w:w="358" w:type="pct"/>
            <w:shd w:val="clear" w:color="auto" w:fill="auto"/>
            <w:vAlign w:val="center"/>
          </w:tcPr>
          <w:p w14:paraId="61170DC4">
            <w:pPr>
              <w:pStyle w:val="90"/>
            </w:pPr>
            <w:r>
              <w:t>1 月</w:t>
            </w:r>
          </w:p>
        </w:tc>
        <w:tc>
          <w:tcPr>
            <w:tcW w:w="356" w:type="pct"/>
            <w:shd w:val="clear" w:color="auto" w:fill="auto"/>
            <w:vAlign w:val="center"/>
          </w:tcPr>
          <w:p w14:paraId="627E2652">
            <w:pPr>
              <w:pStyle w:val="90"/>
            </w:pPr>
            <w:r>
              <w:t>2 月</w:t>
            </w:r>
          </w:p>
        </w:tc>
        <w:tc>
          <w:tcPr>
            <w:tcW w:w="357" w:type="pct"/>
            <w:shd w:val="clear" w:color="auto" w:fill="auto"/>
            <w:vAlign w:val="center"/>
          </w:tcPr>
          <w:p w14:paraId="11244B47">
            <w:pPr>
              <w:pStyle w:val="90"/>
            </w:pPr>
            <w:r>
              <w:t>3 月</w:t>
            </w:r>
          </w:p>
        </w:tc>
        <w:tc>
          <w:tcPr>
            <w:tcW w:w="357" w:type="pct"/>
            <w:shd w:val="clear" w:color="auto" w:fill="auto"/>
            <w:vAlign w:val="center"/>
          </w:tcPr>
          <w:p w14:paraId="7EDA4F9C">
            <w:pPr>
              <w:pStyle w:val="90"/>
            </w:pPr>
            <w:r>
              <w:t>4 月</w:t>
            </w:r>
          </w:p>
        </w:tc>
        <w:tc>
          <w:tcPr>
            <w:tcW w:w="357" w:type="pct"/>
            <w:shd w:val="clear" w:color="auto" w:fill="auto"/>
            <w:vAlign w:val="center"/>
          </w:tcPr>
          <w:p w14:paraId="41E0A761">
            <w:pPr>
              <w:pStyle w:val="90"/>
            </w:pPr>
            <w:r>
              <w:t>5 月</w:t>
            </w:r>
          </w:p>
        </w:tc>
        <w:tc>
          <w:tcPr>
            <w:tcW w:w="357" w:type="pct"/>
            <w:shd w:val="clear" w:color="auto" w:fill="auto"/>
            <w:vAlign w:val="center"/>
          </w:tcPr>
          <w:p w14:paraId="6D53A84E">
            <w:pPr>
              <w:pStyle w:val="90"/>
            </w:pPr>
            <w:r>
              <w:t>6 月</w:t>
            </w:r>
          </w:p>
        </w:tc>
        <w:tc>
          <w:tcPr>
            <w:tcW w:w="356" w:type="pct"/>
            <w:shd w:val="clear" w:color="auto" w:fill="auto"/>
            <w:vAlign w:val="center"/>
          </w:tcPr>
          <w:p w14:paraId="324627E2">
            <w:pPr>
              <w:pStyle w:val="90"/>
            </w:pPr>
            <w:r>
              <w:t>7 月</w:t>
            </w:r>
          </w:p>
        </w:tc>
        <w:tc>
          <w:tcPr>
            <w:tcW w:w="357" w:type="pct"/>
            <w:shd w:val="clear" w:color="auto" w:fill="auto"/>
            <w:vAlign w:val="center"/>
          </w:tcPr>
          <w:p w14:paraId="0FB9E9E0">
            <w:pPr>
              <w:pStyle w:val="90"/>
            </w:pPr>
            <w:r>
              <w:t>8 月</w:t>
            </w:r>
          </w:p>
        </w:tc>
        <w:tc>
          <w:tcPr>
            <w:tcW w:w="358" w:type="pct"/>
            <w:shd w:val="clear" w:color="auto" w:fill="auto"/>
            <w:vAlign w:val="center"/>
          </w:tcPr>
          <w:p w14:paraId="3506A7CE">
            <w:pPr>
              <w:pStyle w:val="90"/>
            </w:pPr>
            <w:r>
              <w:t>9 月</w:t>
            </w:r>
          </w:p>
        </w:tc>
        <w:tc>
          <w:tcPr>
            <w:tcW w:w="357" w:type="pct"/>
            <w:shd w:val="clear" w:color="auto" w:fill="auto"/>
            <w:vAlign w:val="center"/>
          </w:tcPr>
          <w:p w14:paraId="2A873A46">
            <w:pPr>
              <w:pStyle w:val="90"/>
            </w:pPr>
            <w:r>
              <w:t>10 月</w:t>
            </w:r>
          </w:p>
        </w:tc>
        <w:tc>
          <w:tcPr>
            <w:tcW w:w="356" w:type="pct"/>
            <w:shd w:val="clear" w:color="auto" w:fill="auto"/>
            <w:vAlign w:val="center"/>
          </w:tcPr>
          <w:p w14:paraId="53183A8B">
            <w:pPr>
              <w:pStyle w:val="90"/>
            </w:pPr>
            <w:r>
              <w:t>11 月</w:t>
            </w:r>
          </w:p>
        </w:tc>
        <w:tc>
          <w:tcPr>
            <w:tcW w:w="352" w:type="pct"/>
            <w:shd w:val="clear" w:color="auto" w:fill="auto"/>
            <w:vAlign w:val="center"/>
          </w:tcPr>
          <w:p w14:paraId="50574A18">
            <w:pPr>
              <w:pStyle w:val="90"/>
            </w:pPr>
            <w:r>
              <w:t>12 月</w:t>
            </w:r>
          </w:p>
        </w:tc>
      </w:tr>
      <w:tr w14:paraId="5D309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21" w:type="pct"/>
            <w:shd w:val="clear" w:color="auto" w:fill="auto"/>
            <w:vAlign w:val="center"/>
          </w:tcPr>
          <w:p w14:paraId="050182B7">
            <w:pPr>
              <w:pStyle w:val="90"/>
            </w:pPr>
            <w:r>
              <w:t>风速（m/s）</w:t>
            </w:r>
          </w:p>
        </w:tc>
        <w:tc>
          <w:tcPr>
            <w:tcW w:w="358" w:type="pct"/>
            <w:shd w:val="clear" w:color="auto" w:fill="auto"/>
            <w:vAlign w:val="center"/>
          </w:tcPr>
          <w:p w14:paraId="234D4455">
            <w:pPr>
              <w:pStyle w:val="90"/>
            </w:pPr>
            <w:r>
              <w:rPr>
                <w:rFonts w:hint="eastAsia"/>
              </w:rPr>
              <w:t>1.36</w:t>
            </w:r>
          </w:p>
        </w:tc>
        <w:tc>
          <w:tcPr>
            <w:tcW w:w="356" w:type="pct"/>
            <w:shd w:val="clear" w:color="auto" w:fill="auto"/>
            <w:vAlign w:val="center"/>
          </w:tcPr>
          <w:p w14:paraId="55872000">
            <w:pPr>
              <w:pStyle w:val="90"/>
            </w:pPr>
            <w:r>
              <w:rPr>
                <w:rFonts w:hint="eastAsia"/>
              </w:rPr>
              <w:t>1.43</w:t>
            </w:r>
          </w:p>
        </w:tc>
        <w:tc>
          <w:tcPr>
            <w:tcW w:w="357" w:type="pct"/>
            <w:shd w:val="clear" w:color="auto" w:fill="auto"/>
            <w:vAlign w:val="center"/>
          </w:tcPr>
          <w:p w14:paraId="114A770F">
            <w:pPr>
              <w:pStyle w:val="90"/>
            </w:pPr>
            <w:r>
              <w:rPr>
                <w:rFonts w:hint="eastAsia"/>
              </w:rPr>
              <w:t>1.89</w:t>
            </w:r>
          </w:p>
        </w:tc>
        <w:tc>
          <w:tcPr>
            <w:tcW w:w="357" w:type="pct"/>
            <w:shd w:val="clear" w:color="auto" w:fill="auto"/>
            <w:vAlign w:val="center"/>
          </w:tcPr>
          <w:p w14:paraId="74B2436F">
            <w:pPr>
              <w:pStyle w:val="90"/>
            </w:pPr>
            <w:r>
              <w:rPr>
                <w:rFonts w:hint="eastAsia"/>
              </w:rPr>
              <w:t>2.65</w:t>
            </w:r>
          </w:p>
        </w:tc>
        <w:tc>
          <w:tcPr>
            <w:tcW w:w="357" w:type="pct"/>
            <w:shd w:val="clear" w:color="auto" w:fill="auto"/>
            <w:vAlign w:val="center"/>
          </w:tcPr>
          <w:p w14:paraId="3EFDDE36">
            <w:pPr>
              <w:pStyle w:val="90"/>
            </w:pPr>
            <w:r>
              <w:rPr>
                <w:rFonts w:hint="eastAsia"/>
              </w:rPr>
              <w:t>3.23</w:t>
            </w:r>
          </w:p>
        </w:tc>
        <w:tc>
          <w:tcPr>
            <w:tcW w:w="357" w:type="pct"/>
            <w:shd w:val="clear" w:color="auto" w:fill="auto"/>
            <w:vAlign w:val="center"/>
          </w:tcPr>
          <w:p w14:paraId="7189A111">
            <w:pPr>
              <w:pStyle w:val="90"/>
            </w:pPr>
            <w:r>
              <w:rPr>
                <w:rFonts w:hint="eastAsia"/>
              </w:rPr>
              <w:t>2.87</w:t>
            </w:r>
          </w:p>
        </w:tc>
        <w:tc>
          <w:tcPr>
            <w:tcW w:w="356" w:type="pct"/>
            <w:shd w:val="clear" w:color="auto" w:fill="auto"/>
            <w:vAlign w:val="center"/>
          </w:tcPr>
          <w:p w14:paraId="7D13A87A">
            <w:pPr>
              <w:pStyle w:val="90"/>
            </w:pPr>
            <w:r>
              <w:rPr>
                <w:rFonts w:hint="eastAsia"/>
              </w:rPr>
              <w:t>2.56</w:t>
            </w:r>
          </w:p>
        </w:tc>
        <w:tc>
          <w:tcPr>
            <w:tcW w:w="357" w:type="pct"/>
            <w:shd w:val="clear" w:color="auto" w:fill="auto"/>
            <w:vAlign w:val="center"/>
          </w:tcPr>
          <w:p w14:paraId="727C79EE">
            <w:pPr>
              <w:pStyle w:val="90"/>
            </w:pPr>
            <w:r>
              <w:rPr>
                <w:rFonts w:hint="eastAsia"/>
              </w:rPr>
              <w:t>2.18</w:t>
            </w:r>
          </w:p>
        </w:tc>
        <w:tc>
          <w:tcPr>
            <w:tcW w:w="358" w:type="pct"/>
            <w:shd w:val="clear" w:color="auto" w:fill="auto"/>
            <w:vAlign w:val="center"/>
          </w:tcPr>
          <w:p w14:paraId="299520E4">
            <w:pPr>
              <w:pStyle w:val="90"/>
            </w:pPr>
            <w:r>
              <w:rPr>
                <w:rFonts w:hint="eastAsia"/>
              </w:rPr>
              <w:t>2.29</w:t>
            </w:r>
          </w:p>
        </w:tc>
        <w:tc>
          <w:tcPr>
            <w:tcW w:w="357" w:type="pct"/>
            <w:shd w:val="clear" w:color="auto" w:fill="auto"/>
            <w:vAlign w:val="center"/>
          </w:tcPr>
          <w:p w14:paraId="4C06DFA9">
            <w:pPr>
              <w:pStyle w:val="90"/>
            </w:pPr>
            <w:r>
              <w:rPr>
                <w:rFonts w:hint="eastAsia"/>
              </w:rPr>
              <w:t>2.32</w:t>
            </w:r>
          </w:p>
        </w:tc>
        <w:tc>
          <w:tcPr>
            <w:tcW w:w="356" w:type="pct"/>
            <w:shd w:val="clear" w:color="auto" w:fill="auto"/>
            <w:vAlign w:val="center"/>
          </w:tcPr>
          <w:p w14:paraId="5606116B">
            <w:pPr>
              <w:pStyle w:val="90"/>
            </w:pPr>
            <w:r>
              <w:rPr>
                <w:rFonts w:hint="eastAsia"/>
              </w:rPr>
              <w:t>1.81</w:t>
            </w:r>
          </w:p>
        </w:tc>
        <w:tc>
          <w:tcPr>
            <w:tcW w:w="352" w:type="pct"/>
            <w:shd w:val="clear" w:color="auto" w:fill="auto"/>
            <w:vAlign w:val="center"/>
          </w:tcPr>
          <w:p w14:paraId="73B87B36">
            <w:pPr>
              <w:pStyle w:val="90"/>
            </w:pPr>
            <w:r>
              <w:rPr>
                <w:rFonts w:hint="eastAsia"/>
              </w:rPr>
              <w:t>0.84</w:t>
            </w:r>
          </w:p>
        </w:tc>
      </w:tr>
    </w:tbl>
    <w:p w14:paraId="0623BBAD">
      <w:pPr>
        <w:pStyle w:val="47"/>
        <w:spacing w:before="65"/>
      </w:pPr>
      <w:r>
        <w:rPr>
          <w:rFonts w:hint="eastAsia"/>
        </w:rPr>
        <w:t>表5</w:t>
      </w:r>
      <w:r>
        <w:t xml:space="preserve">.1-11   </w:t>
      </w:r>
      <w:r>
        <w:rPr>
          <w:rFonts w:hint="eastAsia"/>
        </w:rPr>
        <w:t>季小时平均风速的日变化</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9"/>
        <w:gridCol w:w="564"/>
        <w:gridCol w:w="561"/>
        <w:gridCol w:w="561"/>
        <w:gridCol w:w="561"/>
        <w:gridCol w:w="561"/>
        <w:gridCol w:w="561"/>
        <w:gridCol w:w="561"/>
        <w:gridCol w:w="561"/>
        <w:gridCol w:w="561"/>
        <w:gridCol w:w="564"/>
        <w:gridCol w:w="564"/>
        <w:gridCol w:w="564"/>
        <w:gridCol w:w="564"/>
        <w:gridCol w:w="564"/>
        <w:gridCol w:w="564"/>
        <w:gridCol w:w="561"/>
        <w:gridCol w:w="564"/>
        <w:gridCol w:w="564"/>
        <w:gridCol w:w="564"/>
        <w:gridCol w:w="564"/>
        <w:gridCol w:w="564"/>
        <w:gridCol w:w="565"/>
        <w:gridCol w:w="557"/>
      </w:tblGrid>
      <w:tr w14:paraId="72071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65" w:type="pct"/>
            <w:tcBorders>
              <w:top w:val="single" w:color="000000" w:sz="12" w:space="0"/>
              <w:bottom w:val="single" w:color="000000" w:sz="4" w:space="0"/>
              <w:tl2br w:val="single" w:color="000000" w:sz="8" w:space="0"/>
            </w:tcBorders>
            <w:shd w:val="clear" w:color="auto" w:fill="auto"/>
            <w:vAlign w:val="center"/>
          </w:tcPr>
          <w:p w14:paraId="75E3ECBB">
            <w:pPr>
              <w:pStyle w:val="90"/>
            </w:pPr>
            <w:r>
              <w:t>小时（h）</w:t>
            </w:r>
          </w:p>
          <w:p w14:paraId="4D66E561">
            <w:pPr>
              <w:pStyle w:val="90"/>
            </w:pPr>
            <w:r>
              <w:t>风速（m/s）</w:t>
            </w:r>
          </w:p>
        </w:tc>
        <w:tc>
          <w:tcPr>
            <w:tcW w:w="202" w:type="pct"/>
            <w:shd w:val="clear" w:color="auto" w:fill="auto"/>
            <w:vAlign w:val="center"/>
          </w:tcPr>
          <w:p w14:paraId="27EBE3F2">
            <w:pPr>
              <w:pStyle w:val="90"/>
            </w:pPr>
            <w:r>
              <w:t>1</w:t>
            </w:r>
          </w:p>
        </w:tc>
        <w:tc>
          <w:tcPr>
            <w:tcW w:w="201" w:type="pct"/>
            <w:shd w:val="clear" w:color="auto" w:fill="auto"/>
            <w:vAlign w:val="center"/>
          </w:tcPr>
          <w:p w14:paraId="238276C6">
            <w:pPr>
              <w:pStyle w:val="90"/>
            </w:pPr>
            <w:r>
              <w:t>2</w:t>
            </w:r>
          </w:p>
        </w:tc>
        <w:tc>
          <w:tcPr>
            <w:tcW w:w="201" w:type="pct"/>
            <w:shd w:val="clear" w:color="auto" w:fill="auto"/>
            <w:vAlign w:val="center"/>
          </w:tcPr>
          <w:p w14:paraId="25C02027">
            <w:pPr>
              <w:pStyle w:val="90"/>
            </w:pPr>
            <w:r>
              <w:t>3</w:t>
            </w:r>
          </w:p>
        </w:tc>
        <w:tc>
          <w:tcPr>
            <w:tcW w:w="201" w:type="pct"/>
            <w:shd w:val="clear" w:color="auto" w:fill="auto"/>
            <w:vAlign w:val="center"/>
          </w:tcPr>
          <w:p w14:paraId="25529287">
            <w:pPr>
              <w:pStyle w:val="90"/>
            </w:pPr>
            <w:r>
              <w:t>4</w:t>
            </w:r>
          </w:p>
        </w:tc>
        <w:tc>
          <w:tcPr>
            <w:tcW w:w="201" w:type="pct"/>
            <w:shd w:val="clear" w:color="auto" w:fill="auto"/>
            <w:vAlign w:val="center"/>
          </w:tcPr>
          <w:p w14:paraId="5734D268">
            <w:pPr>
              <w:pStyle w:val="90"/>
            </w:pPr>
            <w:r>
              <w:t>5</w:t>
            </w:r>
          </w:p>
        </w:tc>
        <w:tc>
          <w:tcPr>
            <w:tcW w:w="201" w:type="pct"/>
            <w:shd w:val="clear" w:color="auto" w:fill="auto"/>
            <w:vAlign w:val="center"/>
          </w:tcPr>
          <w:p w14:paraId="3DAEC9C7">
            <w:pPr>
              <w:pStyle w:val="90"/>
            </w:pPr>
            <w:r>
              <w:t>6</w:t>
            </w:r>
          </w:p>
        </w:tc>
        <w:tc>
          <w:tcPr>
            <w:tcW w:w="201" w:type="pct"/>
            <w:shd w:val="clear" w:color="auto" w:fill="auto"/>
            <w:vAlign w:val="center"/>
          </w:tcPr>
          <w:p w14:paraId="79D293EC">
            <w:pPr>
              <w:pStyle w:val="90"/>
            </w:pPr>
            <w:r>
              <w:t>7</w:t>
            </w:r>
          </w:p>
        </w:tc>
        <w:tc>
          <w:tcPr>
            <w:tcW w:w="201" w:type="pct"/>
            <w:shd w:val="clear" w:color="auto" w:fill="auto"/>
            <w:vAlign w:val="center"/>
          </w:tcPr>
          <w:p w14:paraId="192D9637">
            <w:pPr>
              <w:pStyle w:val="90"/>
            </w:pPr>
            <w:r>
              <w:t>8</w:t>
            </w:r>
          </w:p>
        </w:tc>
        <w:tc>
          <w:tcPr>
            <w:tcW w:w="201" w:type="pct"/>
            <w:shd w:val="clear" w:color="auto" w:fill="auto"/>
            <w:vAlign w:val="center"/>
          </w:tcPr>
          <w:p w14:paraId="6F792EE8">
            <w:pPr>
              <w:pStyle w:val="90"/>
            </w:pPr>
            <w:r>
              <w:t>9</w:t>
            </w:r>
          </w:p>
        </w:tc>
        <w:tc>
          <w:tcPr>
            <w:tcW w:w="202" w:type="pct"/>
            <w:shd w:val="clear" w:color="auto" w:fill="auto"/>
            <w:vAlign w:val="center"/>
          </w:tcPr>
          <w:p w14:paraId="2547A75D">
            <w:pPr>
              <w:pStyle w:val="90"/>
            </w:pPr>
            <w:r>
              <w:t>10</w:t>
            </w:r>
          </w:p>
        </w:tc>
        <w:tc>
          <w:tcPr>
            <w:tcW w:w="202" w:type="pct"/>
            <w:shd w:val="clear" w:color="auto" w:fill="auto"/>
            <w:vAlign w:val="center"/>
          </w:tcPr>
          <w:p w14:paraId="6C974D47">
            <w:pPr>
              <w:pStyle w:val="90"/>
            </w:pPr>
            <w:r>
              <w:t>11</w:t>
            </w:r>
          </w:p>
        </w:tc>
        <w:tc>
          <w:tcPr>
            <w:tcW w:w="202" w:type="pct"/>
            <w:shd w:val="clear" w:color="auto" w:fill="auto"/>
            <w:vAlign w:val="center"/>
          </w:tcPr>
          <w:p w14:paraId="30D0B445">
            <w:pPr>
              <w:pStyle w:val="90"/>
            </w:pPr>
            <w:r>
              <w:t>12</w:t>
            </w:r>
          </w:p>
        </w:tc>
        <w:tc>
          <w:tcPr>
            <w:tcW w:w="202" w:type="pct"/>
            <w:shd w:val="clear" w:color="auto" w:fill="auto"/>
            <w:vAlign w:val="center"/>
          </w:tcPr>
          <w:p w14:paraId="710036AB">
            <w:pPr>
              <w:pStyle w:val="90"/>
            </w:pPr>
            <w:r>
              <w:t>13</w:t>
            </w:r>
          </w:p>
        </w:tc>
        <w:tc>
          <w:tcPr>
            <w:tcW w:w="202" w:type="pct"/>
            <w:shd w:val="clear" w:color="auto" w:fill="auto"/>
            <w:vAlign w:val="center"/>
          </w:tcPr>
          <w:p w14:paraId="56F6E6AF">
            <w:pPr>
              <w:pStyle w:val="90"/>
            </w:pPr>
            <w:r>
              <w:t>14</w:t>
            </w:r>
          </w:p>
        </w:tc>
        <w:tc>
          <w:tcPr>
            <w:tcW w:w="202" w:type="pct"/>
            <w:shd w:val="clear" w:color="auto" w:fill="auto"/>
            <w:vAlign w:val="center"/>
          </w:tcPr>
          <w:p w14:paraId="2DE5B440">
            <w:pPr>
              <w:pStyle w:val="90"/>
            </w:pPr>
            <w:r>
              <w:t>15</w:t>
            </w:r>
          </w:p>
        </w:tc>
        <w:tc>
          <w:tcPr>
            <w:tcW w:w="201" w:type="pct"/>
            <w:shd w:val="clear" w:color="auto" w:fill="auto"/>
            <w:vAlign w:val="center"/>
          </w:tcPr>
          <w:p w14:paraId="6BC4C085">
            <w:pPr>
              <w:pStyle w:val="90"/>
            </w:pPr>
            <w:r>
              <w:t>16</w:t>
            </w:r>
          </w:p>
        </w:tc>
        <w:tc>
          <w:tcPr>
            <w:tcW w:w="202" w:type="pct"/>
            <w:shd w:val="clear" w:color="auto" w:fill="auto"/>
            <w:vAlign w:val="center"/>
          </w:tcPr>
          <w:p w14:paraId="1710C955">
            <w:pPr>
              <w:pStyle w:val="90"/>
            </w:pPr>
            <w:r>
              <w:t>17</w:t>
            </w:r>
          </w:p>
        </w:tc>
        <w:tc>
          <w:tcPr>
            <w:tcW w:w="202" w:type="pct"/>
            <w:shd w:val="clear" w:color="auto" w:fill="auto"/>
            <w:vAlign w:val="center"/>
          </w:tcPr>
          <w:p w14:paraId="40347361">
            <w:pPr>
              <w:pStyle w:val="90"/>
            </w:pPr>
            <w:r>
              <w:t>18</w:t>
            </w:r>
          </w:p>
        </w:tc>
        <w:tc>
          <w:tcPr>
            <w:tcW w:w="202" w:type="pct"/>
            <w:shd w:val="clear" w:color="auto" w:fill="auto"/>
            <w:vAlign w:val="center"/>
          </w:tcPr>
          <w:p w14:paraId="42779508">
            <w:pPr>
              <w:pStyle w:val="90"/>
            </w:pPr>
            <w:r>
              <w:t>19</w:t>
            </w:r>
          </w:p>
        </w:tc>
        <w:tc>
          <w:tcPr>
            <w:tcW w:w="202" w:type="pct"/>
            <w:shd w:val="clear" w:color="auto" w:fill="auto"/>
            <w:vAlign w:val="center"/>
          </w:tcPr>
          <w:p w14:paraId="6AC87D19">
            <w:pPr>
              <w:pStyle w:val="90"/>
            </w:pPr>
            <w:r>
              <w:t>20</w:t>
            </w:r>
          </w:p>
        </w:tc>
        <w:tc>
          <w:tcPr>
            <w:tcW w:w="202" w:type="pct"/>
            <w:shd w:val="clear" w:color="auto" w:fill="auto"/>
            <w:vAlign w:val="center"/>
          </w:tcPr>
          <w:p w14:paraId="08E48357">
            <w:pPr>
              <w:pStyle w:val="90"/>
            </w:pPr>
            <w:r>
              <w:t>21</w:t>
            </w:r>
          </w:p>
        </w:tc>
        <w:tc>
          <w:tcPr>
            <w:tcW w:w="202" w:type="pct"/>
            <w:shd w:val="clear" w:color="auto" w:fill="auto"/>
            <w:vAlign w:val="center"/>
          </w:tcPr>
          <w:p w14:paraId="00D51DEB">
            <w:pPr>
              <w:pStyle w:val="90"/>
            </w:pPr>
            <w:r>
              <w:t>22</w:t>
            </w:r>
          </w:p>
        </w:tc>
        <w:tc>
          <w:tcPr>
            <w:tcW w:w="199" w:type="pct"/>
            <w:shd w:val="clear" w:color="auto" w:fill="auto"/>
            <w:vAlign w:val="center"/>
          </w:tcPr>
          <w:p w14:paraId="26B38935">
            <w:pPr>
              <w:pStyle w:val="90"/>
            </w:pPr>
            <w:r>
              <w:t>23</w:t>
            </w:r>
          </w:p>
        </w:tc>
      </w:tr>
      <w:tr w14:paraId="47DEFF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65" w:type="pct"/>
            <w:tcBorders>
              <w:top w:val="single" w:color="000000" w:sz="4" w:space="0"/>
            </w:tcBorders>
            <w:shd w:val="clear" w:color="auto" w:fill="auto"/>
            <w:vAlign w:val="center"/>
          </w:tcPr>
          <w:p w14:paraId="1F89A71D">
            <w:pPr>
              <w:pStyle w:val="90"/>
            </w:pPr>
            <w:r>
              <w:t>春季</w:t>
            </w:r>
          </w:p>
        </w:tc>
        <w:tc>
          <w:tcPr>
            <w:tcW w:w="202" w:type="pct"/>
            <w:shd w:val="clear" w:color="auto" w:fill="auto"/>
            <w:vAlign w:val="center"/>
          </w:tcPr>
          <w:p w14:paraId="6DD5333D">
            <w:pPr>
              <w:pStyle w:val="90"/>
            </w:pPr>
            <w:r>
              <w:rPr>
                <w:rFonts w:hint="eastAsia"/>
              </w:rPr>
              <w:t>2.42</w:t>
            </w:r>
          </w:p>
        </w:tc>
        <w:tc>
          <w:tcPr>
            <w:tcW w:w="201" w:type="pct"/>
            <w:shd w:val="clear" w:color="auto" w:fill="auto"/>
            <w:vAlign w:val="center"/>
          </w:tcPr>
          <w:p w14:paraId="40468C3B">
            <w:pPr>
              <w:pStyle w:val="90"/>
            </w:pPr>
            <w:r>
              <w:rPr>
                <w:rFonts w:hint="eastAsia"/>
              </w:rPr>
              <w:t>2.36</w:t>
            </w:r>
          </w:p>
        </w:tc>
        <w:tc>
          <w:tcPr>
            <w:tcW w:w="201" w:type="pct"/>
            <w:shd w:val="clear" w:color="auto" w:fill="auto"/>
            <w:vAlign w:val="center"/>
          </w:tcPr>
          <w:p w14:paraId="6E26D517">
            <w:pPr>
              <w:pStyle w:val="90"/>
            </w:pPr>
            <w:r>
              <w:rPr>
                <w:rFonts w:hint="eastAsia"/>
              </w:rPr>
              <w:t>2.23</w:t>
            </w:r>
          </w:p>
        </w:tc>
        <w:tc>
          <w:tcPr>
            <w:tcW w:w="201" w:type="pct"/>
            <w:shd w:val="clear" w:color="auto" w:fill="auto"/>
            <w:vAlign w:val="center"/>
          </w:tcPr>
          <w:p w14:paraId="7EDE47EE">
            <w:pPr>
              <w:pStyle w:val="90"/>
            </w:pPr>
            <w:r>
              <w:rPr>
                <w:rFonts w:hint="eastAsia"/>
              </w:rPr>
              <w:t>2.27</w:t>
            </w:r>
          </w:p>
        </w:tc>
        <w:tc>
          <w:tcPr>
            <w:tcW w:w="201" w:type="pct"/>
            <w:shd w:val="clear" w:color="auto" w:fill="auto"/>
            <w:vAlign w:val="center"/>
          </w:tcPr>
          <w:p w14:paraId="375BC36E">
            <w:pPr>
              <w:pStyle w:val="90"/>
            </w:pPr>
            <w:r>
              <w:rPr>
                <w:rFonts w:hint="eastAsia"/>
              </w:rPr>
              <w:t>2.29</w:t>
            </w:r>
          </w:p>
        </w:tc>
        <w:tc>
          <w:tcPr>
            <w:tcW w:w="201" w:type="pct"/>
            <w:shd w:val="clear" w:color="auto" w:fill="auto"/>
            <w:vAlign w:val="center"/>
          </w:tcPr>
          <w:p w14:paraId="5FC29BF5">
            <w:pPr>
              <w:pStyle w:val="90"/>
            </w:pPr>
            <w:r>
              <w:rPr>
                <w:rFonts w:hint="eastAsia"/>
              </w:rPr>
              <w:t>2.33</w:t>
            </w:r>
          </w:p>
        </w:tc>
        <w:tc>
          <w:tcPr>
            <w:tcW w:w="201" w:type="pct"/>
            <w:shd w:val="clear" w:color="auto" w:fill="auto"/>
            <w:vAlign w:val="center"/>
          </w:tcPr>
          <w:p w14:paraId="423504CC">
            <w:pPr>
              <w:pStyle w:val="90"/>
            </w:pPr>
            <w:r>
              <w:rPr>
                <w:rFonts w:hint="eastAsia"/>
              </w:rPr>
              <w:t>2.49</w:t>
            </w:r>
          </w:p>
        </w:tc>
        <w:tc>
          <w:tcPr>
            <w:tcW w:w="201" w:type="pct"/>
            <w:shd w:val="clear" w:color="auto" w:fill="auto"/>
            <w:vAlign w:val="center"/>
          </w:tcPr>
          <w:p w14:paraId="23981367">
            <w:pPr>
              <w:pStyle w:val="90"/>
            </w:pPr>
            <w:r>
              <w:rPr>
                <w:rFonts w:hint="eastAsia"/>
              </w:rPr>
              <w:t>2.29</w:t>
            </w:r>
          </w:p>
        </w:tc>
        <w:tc>
          <w:tcPr>
            <w:tcW w:w="201" w:type="pct"/>
            <w:shd w:val="clear" w:color="auto" w:fill="auto"/>
            <w:vAlign w:val="center"/>
          </w:tcPr>
          <w:p w14:paraId="71EAD5A6">
            <w:pPr>
              <w:pStyle w:val="90"/>
            </w:pPr>
            <w:r>
              <w:rPr>
                <w:rFonts w:hint="eastAsia"/>
              </w:rPr>
              <w:t>2.12</w:t>
            </w:r>
          </w:p>
        </w:tc>
        <w:tc>
          <w:tcPr>
            <w:tcW w:w="202" w:type="pct"/>
            <w:shd w:val="clear" w:color="auto" w:fill="auto"/>
            <w:vAlign w:val="center"/>
          </w:tcPr>
          <w:p w14:paraId="720E45AA">
            <w:pPr>
              <w:pStyle w:val="90"/>
            </w:pPr>
            <w:r>
              <w:rPr>
                <w:rFonts w:hint="eastAsia"/>
              </w:rPr>
              <w:t>2.47</w:t>
            </w:r>
          </w:p>
        </w:tc>
        <w:tc>
          <w:tcPr>
            <w:tcW w:w="202" w:type="pct"/>
            <w:shd w:val="clear" w:color="auto" w:fill="auto"/>
            <w:vAlign w:val="center"/>
          </w:tcPr>
          <w:p w14:paraId="664C991E">
            <w:pPr>
              <w:pStyle w:val="90"/>
            </w:pPr>
            <w:r>
              <w:rPr>
                <w:rFonts w:hint="eastAsia"/>
              </w:rPr>
              <w:t>2.70</w:t>
            </w:r>
          </w:p>
        </w:tc>
        <w:tc>
          <w:tcPr>
            <w:tcW w:w="202" w:type="pct"/>
            <w:shd w:val="clear" w:color="auto" w:fill="auto"/>
            <w:vAlign w:val="center"/>
          </w:tcPr>
          <w:p w14:paraId="11BF258E">
            <w:pPr>
              <w:pStyle w:val="90"/>
            </w:pPr>
            <w:r>
              <w:rPr>
                <w:rFonts w:hint="eastAsia"/>
              </w:rPr>
              <w:t>2.89</w:t>
            </w:r>
          </w:p>
        </w:tc>
        <w:tc>
          <w:tcPr>
            <w:tcW w:w="202" w:type="pct"/>
            <w:shd w:val="clear" w:color="auto" w:fill="auto"/>
            <w:vAlign w:val="center"/>
          </w:tcPr>
          <w:p w14:paraId="6240E5CD">
            <w:pPr>
              <w:pStyle w:val="90"/>
            </w:pPr>
            <w:r>
              <w:rPr>
                <w:rFonts w:hint="eastAsia"/>
              </w:rPr>
              <w:t>2.99</w:t>
            </w:r>
          </w:p>
        </w:tc>
        <w:tc>
          <w:tcPr>
            <w:tcW w:w="202" w:type="pct"/>
            <w:shd w:val="clear" w:color="auto" w:fill="auto"/>
            <w:vAlign w:val="center"/>
          </w:tcPr>
          <w:p w14:paraId="3D4E553F">
            <w:pPr>
              <w:pStyle w:val="90"/>
            </w:pPr>
            <w:r>
              <w:rPr>
                <w:rFonts w:hint="eastAsia"/>
              </w:rPr>
              <w:t>2.90</w:t>
            </w:r>
          </w:p>
        </w:tc>
        <w:tc>
          <w:tcPr>
            <w:tcW w:w="202" w:type="pct"/>
            <w:shd w:val="clear" w:color="auto" w:fill="auto"/>
            <w:vAlign w:val="center"/>
          </w:tcPr>
          <w:p w14:paraId="25E42A09">
            <w:pPr>
              <w:pStyle w:val="90"/>
            </w:pPr>
            <w:r>
              <w:rPr>
                <w:rFonts w:hint="eastAsia"/>
              </w:rPr>
              <w:t>3.04</w:t>
            </w:r>
          </w:p>
        </w:tc>
        <w:tc>
          <w:tcPr>
            <w:tcW w:w="201" w:type="pct"/>
            <w:shd w:val="clear" w:color="auto" w:fill="auto"/>
            <w:vAlign w:val="center"/>
          </w:tcPr>
          <w:p w14:paraId="39918DD9">
            <w:pPr>
              <w:pStyle w:val="90"/>
            </w:pPr>
            <w:r>
              <w:rPr>
                <w:rFonts w:hint="eastAsia"/>
              </w:rPr>
              <w:t>2.93</w:t>
            </w:r>
          </w:p>
        </w:tc>
        <w:tc>
          <w:tcPr>
            <w:tcW w:w="202" w:type="pct"/>
            <w:shd w:val="clear" w:color="auto" w:fill="auto"/>
            <w:vAlign w:val="center"/>
          </w:tcPr>
          <w:p w14:paraId="7CA9CCBB">
            <w:pPr>
              <w:pStyle w:val="90"/>
            </w:pPr>
            <w:r>
              <w:rPr>
                <w:rFonts w:hint="eastAsia"/>
              </w:rPr>
              <w:t>3.29</w:t>
            </w:r>
          </w:p>
        </w:tc>
        <w:tc>
          <w:tcPr>
            <w:tcW w:w="202" w:type="pct"/>
            <w:shd w:val="clear" w:color="auto" w:fill="auto"/>
            <w:vAlign w:val="center"/>
          </w:tcPr>
          <w:p w14:paraId="0BBA6388">
            <w:pPr>
              <w:pStyle w:val="90"/>
            </w:pPr>
            <w:r>
              <w:rPr>
                <w:rFonts w:hint="eastAsia"/>
              </w:rPr>
              <w:t>3.04</w:t>
            </w:r>
          </w:p>
        </w:tc>
        <w:tc>
          <w:tcPr>
            <w:tcW w:w="202" w:type="pct"/>
            <w:shd w:val="clear" w:color="auto" w:fill="auto"/>
            <w:vAlign w:val="center"/>
          </w:tcPr>
          <w:p w14:paraId="18CF141F">
            <w:pPr>
              <w:pStyle w:val="90"/>
            </w:pPr>
            <w:r>
              <w:rPr>
                <w:rFonts w:hint="eastAsia"/>
              </w:rPr>
              <w:t>2.78</w:t>
            </w:r>
          </w:p>
        </w:tc>
        <w:tc>
          <w:tcPr>
            <w:tcW w:w="202" w:type="pct"/>
            <w:shd w:val="clear" w:color="auto" w:fill="auto"/>
            <w:vAlign w:val="center"/>
          </w:tcPr>
          <w:p w14:paraId="228B8206">
            <w:pPr>
              <w:pStyle w:val="90"/>
            </w:pPr>
            <w:r>
              <w:rPr>
                <w:rFonts w:hint="eastAsia"/>
              </w:rPr>
              <w:t>2.79</w:t>
            </w:r>
          </w:p>
        </w:tc>
        <w:tc>
          <w:tcPr>
            <w:tcW w:w="202" w:type="pct"/>
            <w:shd w:val="clear" w:color="auto" w:fill="auto"/>
            <w:vAlign w:val="center"/>
          </w:tcPr>
          <w:p w14:paraId="7AD9AE10">
            <w:pPr>
              <w:pStyle w:val="90"/>
            </w:pPr>
            <w:r>
              <w:rPr>
                <w:rFonts w:hint="eastAsia"/>
              </w:rPr>
              <w:t>2.57</w:t>
            </w:r>
          </w:p>
        </w:tc>
        <w:tc>
          <w:tcPr>
            <w:tcW w:w="202" w:type="pct"/>
            <w:shd w:val="clear" w:color="auto" w:fill="auto"/>
            <w:vAlign w:val="center"/>
          </w:tcPr>
          <w:p w14:paraId="51630C5D">
            <w:pPr>
              <w:pStyle w:val="90"/>
            </w:pPr>
            <w:r>
              <w:rPr>
                <w:rFonts w:hint="eastAsia"/>
              </w:rPr>
              <w:t>2.30</w:t>
            </w:r>
          </w:p>
        </w:tc>
        <w:tc>
          <w:tcPr>
            <w:tcW w:w="199" w:type="pct"/>
            <w:shd w:val="clear" w:color="auto" w:fill="auto"/>
            <w:vAlign w:val="center"/>
          </w:tcPr>
          <w:p w14:paraId="1DAC5E12">
            <w:pPr>
              <w:pStyle w:val="90"/>
            </w:pPr>
            <w:r>
              <w:rPr>
                <w:rFonts w:hint="eastAsia"/>
              </w:rPr>
              <w:t>2.27</w:t>
            </w:r>
          </w:p>
        </w:tc>
      </w:tr>
      <w:tr w14:paraId="18349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65" w:type="pct"/>
            <w:shd w:val="clear" w:color="auto" w:fill="auto"/>
            <w:vAlign w:val="center"/>
          </w:tcPr>
          <w:p w14:paraId="79EB1D54">
            <w:pPr>
              <w:pStyle w:val="90"/>
            </w:pPr>
            <w:r>
              <w:t>夏季</w:t>
            </w:r>
          </w:p>
        </w:tc>
        <w:tc>
          <w:tcPr>
            <w:tcW w:w="202" w:type="pct"/>
            <w:shd w:val="clear" w:color="auto" w:fill="auto"/>
            <w:vAlign w:val="center"/>
          </w:tcPr>
          <w:p w14:paraId="00189A4C">
            <w:pPr>
              <w:pStyle w:val="90"/>
            </w:pPr>
            <w:r>
              <w:rPr>
                <w:rFonts w:hint="eastAsia"/>
              </w:rPr>
              <w:t>2.42</w:t>
            </w:r>
          </w:p>
        </w:tc>
        <w:tc>
          <w:tcPr>
            <w:tcW w:w="201" w:type="pct"/>
            <w:shd w:val="clear" w:color="auto" w:fill="auto"/>
            <w:vAlign w:val="center"/>
          </w:tcPr>
          <w:p w14:paraId="3D68B585">
            <w:pPr>
              <w:pStyle w:val="90"/>
            </w:pPr>
            <w:r>
              <w:rPr>
                <w:rFonts w:hint="eastAsia"/>
              </w:rPr>
              <w:t>2.64</w:t>
            </w:r>
          </w:p>
        </w:tc>
        <w:tc>
          <w:tcPr>
            <w:tcW w:w="201" w:type="pct"/>
            <w:shd w:val="clear" w:color="auto" w:fill="auto"/>
            <w:vAlign w:val="center"/>
          </w:tcPr>
          <w:p w14:paraId="504B1FC0">
            <w:pPr>
              <w:pStyle w:val="90"/>
            </w:pPr>
            <w:r>
              <w:rPr>
                <w:rFonts w:hint="eastAsia"/>
              </w:rPr>
              <w:t>2.68</w:t>
            </w:r>
          </w:p>
        </w:tc>
        <w:tc>
          <w:tcPr>
            <w:tcW w:w="201" w:type="pct"/>
            <w:shd w:val="clear" w:color="auto" w:fill="auto"/>
            <w:vAlign w:val="center"/>
          </w:tcPr>
          <w:p w14:paraId="36C79B0D">
            <w:pPr>
              <w:pStyle w:val="90"/>
            </w:pPr>
            <w:r>
              <w:rPr>
                <w:rFonts w:hint="eastAsia"/>
              </w:rPr>
              <w:t>2.38</w:t>
            </w:r>
          </w:p>
        </w:tc>
        <w:tc>
          <w:tcPr>
            <w:tcW w:w="201" w:type="pct"/>
            <w:shd w:val="clear" w:color="auto" w:fill="auto"/>
            <w:vAlign w:val="center"/>
          </w:tcPr>
          <w:p w14:paraId="3C2E2239">
            <w:pPr>
              <w:pStyle w:val="90"/>
            </w:pPr>
            <w:r>
              <w:rPr>
                <w:rFonts w:hint="eastAsia"/>
              </w:rPr>
              <w:t>2.44</w:t>
            </w:r>
          </w:p>
        </w:tc>
        <w:tc>
          <w:tcPr>
            <w:tcW w:w="201" w:type="pct"/>
            <w:shd w:val="clear" w:color="auto" w:fill="auto"/>
            <w:vAlign w:val="center"/>
          </w:tcPr>
          <w:p w14:paraId="08603B3F">
            <w:pPr>
              <w:pStyle w:val="90"/>
            </w:pPr>
            <w:r>
              <w:rPr>
                <w:rFonts w:hint="eastAsia"/>
              </w:rPr>
              <w:t>2.38</w:t>
            </w:r>
          </w:p>
        </w:tc>
        <w:tc>
          <w:tcPr>
            <w:tcW w:w="201" w:type="pct"/>
            <w:shd w:val="clear" w:color="auto" w:fill="auto"/>
            <w:vAlign w:val="center"/>
          </w:tcPr>
          <w:p w14:paraId="78A414F5">
            <w:pPr>
              <w:pStyle w:val="90"/>
            </w:pPr>
            <w:r>
              <w:rPr>
                <w:rFonts w:hint="eastAsia"/>
              </w:rPr>
              <w:t>2.39</w:t>
            </w:r>
          </w:p>
        </w:tc>
        <w:tc>
          <w:tcPr>
            <w:tcW w:w="201" w:type="pct"/>
            <w:shd w:val="clear" w:color="auto" w:fill="auto"/>
            <w:vAlign w:val="center"/>
          </w:tcPr>
          <w:p w14:paraId="6FE120A7">
            <w:pPr>
              <w:pStyle w:val="90"/>
            </w:pPr>
            <w:r>
              <w:rPr>
                <w:rFonts w:hint="eastAsia"/>
              </w:rPr>
              <w:t>2.11</w:t>
            </w:r>
          </w:p>
        </w:tc>
        <w:tc>
          <w:tcPr>
            <w:tcW w:w="201" w:type="pct"/>
            <w:shd w:val="clear" w:color="auto" w:fill="auto"/>
            <w:vAlign w:val="center"/>
          </w:tcPr>
          <w:p w14:paraId="04CB6B14">
            <w:pPr>
              <w:pStyle w:val="90"/>
            </w:pPr>
            <w:r>
              <w:rPr>
                <w:rFonts w:hint="eastAsia"/>
              </w:rPr>
              <w:t>1.87</w:t>
            </w:r>
          </w:p>
        </w:tc>
        <w:tc>
          <w:tcPr>
            <w:tcW w:w="202" w:type="pct"/>
            <w:shd w:val="clear" w:color="auto" w:fill="auto"/>
            <w:vAlign w:val="center"/>
          </w:tcPr>
          <w:p w14:paraId="10DAAC8D">
            <w:pPr>
              <w:pStyle w:val="90"/>
            </w:pPr>
            <w:r>
              <w:rPr>
                <w:rFonts w:hint="eastAsia"/>
              </w:rPr>
              <w:t>1.91</w:t>
            </w:r>
          </w:p>
        </w:tc>
        <w:tc>
          <w:tcPr>
            <w:tcW w:w="202" w:type="pct"/>
            <w:shd w:val="clear" w:color="auto" w:fill="auto"/>
            <w:vAlign w:val="center"/>
          </w:tcPr>
          <w:p w14:paraId="43344438">
            <w:pPr>
              <w:pStyle w:val="90"/>
            </w:pPr>
            <w:r>
              <w:rPr>
                <w:rFonts w:hint="eastAsia"/>
              </w:rPr>
              <w:t>2.20</w:t>
            </w:r>
          </w:p>
        </w:tc>
        <w:tc>
          <w:tcPr>
            <w:tcW w:w="202" w:type="pct"/>
            <w:shd w:val="clear" w:color="auto" w:fill="auto"/>
            <w:vAlign w:val="center"/>
          </w:tcPr>
          <w:p w14:paraId="142CC031">
            <w:pPr>
              <w:pStyle w:val="90"/>
            </w:pPr>
            <w:r>
              <w:rPr>
                <w:rFonts w:hint="eastAsia"/>
              </w:rPr>
              <w:t>2.54</w:t>
            </w:r>
          </w:p>
        </w:tc>
        <w:tc>
          <w:tcPr>
            <w:tcW w:w="202" w:type="pct"/>
            <w:shd w:val="clear" w:color="auto" w:fill="auto"/>
            <w:vAlign w:val="center"/>
          </w:tcPr>
          <w:p w14:paraId="1002B0C6">
            <w:pPr>
              <w:pStyle w:val="90"/>
            </w:pPr>
            <w:r>
              <w:rPr>
                <w:rFonts w:hint="eastAsia"/>
              </w:rPr>
              <w:t>2.63</w:t>
            </w:r>
          </w:p>
        </w:tc>
        <w:tc>
          <w:tcPr>
            <w:tcW w:w="202" w:type="pct"/>
            <w:shd w:val="clear" w:color="auto" w:fill="auto"/>
            <w:vAlign w:val="center"/>
          </w:tcPr>
          <w:p w14:paraId="794F2ABA">
            <w:pPr>
              <w:pStyle w:val="90"/>
            </w:pPr>
            <w:r>
              <w:rPr>
                <w:rFonts w:hint="eastAsia"/>
              </w:rPr>
              <w:t>2.68</w:t>
            </w:r>
          </w:p>
        </w:tc>
        <w:tc>
          <w:tcPr>
            <w:tcW w:w="202" w:type="pct"/>
            <w:shd w:val="clear" w:color="auto" w:fill="auto"/>
            <w:vAlign w:val="center"/>
          </w:tcPr>
          <w:p w14:paraId="4C9EF4B3">
            <w:pPr>
              <w:pStyle w:val="90"/>
            </w:pPr>
            <w:r>
              <w:rPr>
                <w:rFonts w:hint="eastAsia"/>
              </w:rPr>
              <w:t>2.90</w:t>
            </w:r>
          </w:p>
        </w:tc>
        <w:tc>
          <w:tcPr>
            <w:tcW w:w="201" w:type="pct"/>
            <w:shd w:val="clear" w:color="auto" w:fill="auto"/>
            <w:vAlign w:val="center"/>
          </w:tcPr>
          <w:p w14:paraId="4D41E473">
            <w:pPr>
              <w:pStyle w:val="90"/>
            </w:pPr>
            <w:r>
              <w:rPr>
                <w:rFonts w:hint="eastAsia"/>
              </w:rPr>
              <w:t>2.80</w:t>
            </w:r>
          </w:p>
        </w:tc>
        <w:tc>
          <w:tcPr>
            <w:tcW w:w="202" w:type="pct"/>
            <w:shd w:val="clear" w:color="auto" w:fill="auto"/>
            <w:vAlign w:val="center"/>
          </w:tcPr>
          <w:p w14:paraId="05FC5610">
            <w:pPr>
              <w:pStyle w:val="90"/>
            </w:pPr>
            <w:r>
              <w:rPr>
                <w:rFonts w:hint="eastAsia"/>
              </w:rPr>
              <w:t>3.11</w:t>
            </w:r>
          </w:p>
        </w:tc>
        <w:tc>
          <w:tcPr>
            <w:tcW w:w="202" w:type="pct"/>
            <w:shd w:val="clear" w:color="auto" w:fill="auto"/>
            <w:vAlign w:val="center"/>
          </w:tcPr>
          <w:p w14:paraId="37293E76">
            <w:pPr>
              <w:pStyle w:val="90"/>
            </w:pPr>
            <w:r>
              <w:rPr>
                <w:rFonts w:hint="eastAsia"/>
              </w:rPr>
              <w:t>3.00</w:t>
            </w:r>
          </w:p>
        </w:tc>
        <w:tc>
          <w:tcPr>
            <w:tcW w:w="202" w:type="pct"/>
            <w:shd w:val="clear" w:color="auto" w:fill="auto"/>
            <w:vAlign w:val="center"/>
          </w:tcPr>
          <w:p w14:paraId="0FEB27F4">
            <w:pPr>
              <w:pStyle w:val="90"/>
            </w:pPr>
            <w:r>
              <w:rPr>
                <w:rFonts w:hint="eastAsia"/>
              </w:rPr>
              <w:t>3.18</w:t>
            </w:r>
          </w:p>
        </w:tc>
        <w:tc>
          <w:tcPr>
            <w:tcW w:w="202" w:type="pct"/>
            <w:shd w:val="clear" w:color="auto" w:fill="auto"/>
            <w:vAlign w:val="center"/>
          </w:tcPr>
          <w:p w14:paraId="1205C7F2">
            <w:pPr>
              <w:pStyle w:val="90"/>
            </w:pPr>
            <w:r>
              <w:rPr>
                <w:rFonts w:hint="eastAsia"/>
              </w:rPr>
              <w:t>2.80</w:t>
            </w:r>
          </w:p>
        </w:tc>
        <w:tc>
          <w:tcPr>
            <w:tcW w:w="202" w:type="pct"/>
            <w:shd w:val="clear" w:color="auto" w:fill="auto"/>
            <w:vAlign w:val="center"/>
          </w:tcPr>
          <w:p w14:paraId="339CB264">
            <w:pPr>
              <w:pStyle w:val="90"/>
            </w:pPr>
            <w:r>
              <w:rPr>
                <w:rFonts w:hint="eastAsia"/>
              </w:rPr>
              <w:t>2.61</w:t>
            </w:r>
          </w:p>
        </w:tc>
        <w:tc>
          <w:tcPr>
            <w:tcW w:w="202" w:type="pct"/>
            <w:shd w:val="clear" w:color="auto" w:fill="auto"/>
            <w:vAlign w:val="center"/>
          </w:tcPr>
          <w:p w14:paraId="7C2D51D1">
            <w:pPr>
              <w:pStyle w:val="90"/>
            </w:pPr>
            <w:r>
              <w:rPr>
                <w:rFonts w:hint="eastAsia"/>
              </w:rPr>
              <w:t>2.52</w:t>
            </w:r>
          </w:p>
        </w:tc>
        <w:tc>
          <w:tcPr>
            <w:tcW w:w="199" w:type="pct"/>
            <w:shd w:val="clear" w:color="auto" w:fill="auto"/>
            <w:vAlign w:val="center"/>
          </w:tcPr>
          <w:p w14:paraId="58352CB3">
            <w:pPr>
              <w:pStyle w:val="90"/>
            </w:pPr>
            <w:r>
              <w:rPr>
                <w:rFonts w:hint="eastAsia"/>
              </w:rPr>
              <w:t>2.36</w:t>
            </w:r>
          </w:p>
        </w:tc>
      </w:tr>
      <w:tr w14:paraId="0997E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65" w:type="pct"/>
            <w:shd w:val="clear" w:color="auto" w:fill="auto"/>
            <w:vAlign w:val="center"/>
          </w:tcPr>
          <w:p w14:paraId="1B63E4ED">
            <w:pPr>
              <w:pStyle w:val="90"/>
            </w:pPr>
            <w:r>
              <w:t>秋季</w:t>
            </w:r>
          </w:p>
        </w:tc>
        <w:tc>
          <w:tcPr>
            <w:tcW w:w="202" w:type="pct"/>
            <w:shd w:val="clear" w:color="auto" w:fill="auto"/>
            <w:vAlign w:val="center"/>
          </w:tcPr>
          <w:p w14:paraId="6BF78B6D">
            <w:pPr>
              <w:pStyle w:val="90"/>
            </w:pPr>
            <w:r>
              <w:rPr>
                <w:rFonts w:hint="eastAsia"/>
              </w:rPr>
              <w:t>2.27</w:t>
            </w:r>
          </w:p>
        </w:tc>
        <w:tc>
          <w:tcPr>
            <w:tcW w:w="201" w:type="pct"/>
            <w:shd w:val="clear" w:color="auto" w:fill="auto"/>
            <w:vAlign w:val="center"/>
          </w:tcPr>
          <w:p w14:paraId="540A9096">
            <w:pPr>
              <w:pStyle w:val="90"/>
            </w:pPr>
            <w:r>
              <w:rPr>
                <w:rFonts w:hint="eastAsia"/>
              </w:rPr>
              <w:t>2.20</w:t>
            </w:r>
          </w:p>
        </w:tc>
        <w:tc>
          <w:tcPr>
            <w:tcW w:w="201" w:type="pct"/>
            <w:shd w:val="clear" w:color="auto" w:fill="auto"/>
            <w:vAlign w:val="center"/>
          </w:tcPr>
          <w:p w14:paraId="59B19D16">
            <w:pPr>
              <w:pStyle w:val="90"/>
            </w:pPr>
            <w:r>
              <w:rPr>
                <w:rFonts w:hint="eastAsia"/>
              </w:rPr>
              <w:t>2.21</w:t>
            </w:r>
          </w:p>
        </w:tc>
        <w:tc>
          <w:tcPr>
            <w:tcW w:w="201" w:type="pct"/>
            <w:shd w:val="clear" w:color="auto" w:fill="auto"/>
            <w:vAlign w:val="center"/>
          </w:tcPr>
          <w:p w14:paraId="2004FA90">
            <w:pPr>
              <w:pStyle w:val="90"/>
            </w:pPr>
            <w:r>
              <w:rPr>
                <w:rFonts w:hint="eastAsia"/>
              </w:rPr>
              <w:t>2.08</w:t>
            </w:r>
          </w:p>
        </w:tc>
        <w:tc>
          <w:tcPr>
            <w:tcW w:w="201" w:type="pct"/>
            <w:shd w:val="clear" w:color="auto" w:fill="auto"/>
            <w:vAlign w:val="center"/>
          </w:tcPr>
          <w:p w14:paraId="25D26C32">
            <w:pPr>
              <w:pStyle w:val="90"/>
            </w:pPr>
            <w:r>
              <w:rPr>
                <w:rFonts w:hint="eastAsia"/>
              </w:rPr>
              <w:t>2.05</w:t>
            </w:r>
          </w:p>
        </w:tc>
        <w:tc>
          <w:tcPr>
            <w:tcW w:w="201" w:type="pct"/>
            <w:shd w:val="clear" w:color="auto" w:fill="auto"/>
            <w:vAlign w:val="center"/>
          </w:tcPr>
          <w:p w14:paraId="440C62E4">
            <w:pPr>
              <w:pStyle w:val="90"/>
            </w:pPr>
            <w:r>
              <w:rPr>
                <w:rFonts w:hint="eastAsia"/>
              </w:rPr>
              <w:t>2.07</w:t>
            </w:r>
          </w:p>
        </w:tc>
        <w:tc>
          <w:tcPr>
            <w:tcW w:w="201" w:type="pct"/>
            <w:shd w:val="clear" w:color="auto" w:fill="auto"/>
            <w:vAlign w:val="center"/>
          </w:tcPr>
          <w:p w14:paraId="5D6E9A65">
            <w:pPr>
              <w:pStyle w:val="90"/>
            </w:pPr>
            <w:r>
              <w:rPr>
                <w:rFonts w:hint="eastAsia"/>
              </w:rPr>
              <w:t>2.02</w:t>
            </w:r>
          </w:p>
        </w:tc>
        <w:tc>
          <w:tcPr>
            <w:tcW w:w="201" w:type="pct"/>
            <w:shd w:val="clear" w:color="auto" w:fill="auto"/>
            <w:vAlign w:val="center"/>
          </w:tcPr>
          <w:p w14:paraId="3EBBA514">
            <w:pPr>
              <w:pStyle w:val="90"/>
            </w:pPr>
            <w:r>
              <w:rPr>
                <w:rFonts w:hint="eastAsia"/>
              </w:rPr>
              <w:t>2.04</w:t>
            </w:r>
          </w:p>
        </w:tc>
        <w:tc>
          <w:tcPr>
            <w:tcW w:w="201" w:type="pct"/>
            <w:shd w:val="clear" w:color="auto" w:fill="auto"/>
            <w:vAlign w:val="center"/>
          </w:tcPr>
          <w:p w14:paraId="22CB0388">
            <w:pPr>
              <w:pStyle w:val="90"/>
            </w:pPr>
            <w:r>
              <w:rPr>
                <w:rFonts w:hint="eastAsia"/>
              </w:rPr>
              <w:t>2.01</w:t>
            </w:r>
          </w:p>
        </w:tc>
        <w:tc>
          <w:tcPr>
            <w:tcW w:w="202" w:type="pct"/>
            <w:shd w:val="clear" w:color="auto" w:fill="auto"/>
            <w:vAlign w:val="center"/>
          </w:tcPr>
          <w:p w14:paraId="50BC955E">
            <w:pPr>
              <w:pStyle w:val="90"/>
            </w:pPr>
            <w:r>
              <w:rPr>
                <w:rFonts w:hint="eastAsia"/>
              </w:rPr>
              <w:t>1.70</w:t>
            </w:r>
          </w:p>
        </w:tc>
        <w:tc>
          <w:tcPr>
            <w:tcW w:w="202" w:type="pct"/>
            <w:shd w:val="clear" w:color="auto" w:fill="auto"/>
            <w:vAlign w:val="center"/>
          </w:tcPr>
          <w:p w14:paraId="1312E1B8">
            <w:pPr>
              <w:pStyle w:val="90"/>
            </w:pPr>
            <w:r>
              <w:rPr>
                <w:rFonts w:hint="eastAsia"/>
              </w:rPr>
              <w:t>1.73</w:t>
            </w:r>
          </w:p>
        </w:tc>
        <w:tc>
          <w:tcPr>
            <w:tcW w:w="202" w:type="pct"/>
            <w:shd w:val="clear" w:color="auto" w:fill="auto"/>
            <w:vAlign w:val="center"/>
          </w:tcPr>
          <w:p w14:paraId="01A510BD">
            <w:pPr>
              <w:pStyle w:val="90"/>
            </w:pPr>
            <w:r>
              <w:rPr>
                <w:rFonts w:hint="eastAsia"/>
              </w:rPr>
              <w:t>2.10</w:t>
            </w:r>
          </w:p>
        </w:tc>
        <w:tc>
          <w:tcPr>
            <w:tcW w:w="202" w:type="pct"/>
            <w:shd w:val="clear" w:color="auto" w:fill="auto"/>
            <w:vAlign w:val="center"/>
          </w:tcPr>
          <w:p w14:paraId="07EAA605">
            <w:pPr>
              <w:pStyle w:val="90"/>
            </w:pPr>
            <w:r>
              <w:rPr>
                <w:rFonts w:hint="eastAsia"/>
              </w:rPr>
              <w:t>2.32</w:t>
            </w:r>
          </w:p>
        </w:tc>
        <w:tc>
          <w:tcPr>
            <w:tcW w:w="202" w:type="pct"/>
            <w:shd w:val="clear" w:color="auto" w:fill="auto"/>
            <w:vAlign w:val="center"/>
          </w:tcPr>
          <w:p w14:paraId="35DDD770">
            <w:pPr>
              <w:pStyle w:val="90"/>
            </w:pPr>
            <w:r>
              <w:rPr>
                <w:rFonts w:hint="eastAsia"/>
              </w:rPr>
              <w:t>2.41</w:t>
            </w:r>
          </w:p>
        </w:tc>
        <w:tc>
          <w:tcPr>
            <w:tcW w:w="202" w:type="pct"/>
            <w:shd w:val="clear" w:color="auto" w:fill="auto"/>
            <w:vAlign w:val="center"/>
          </w:tcPr>
          <w:p w14:paraId="31D5F9CD">
            <w:pPr>
              <w:pStyle w:val="90"/>
            </w:pPr>
            <w:r>
              <w:rPr>
                <w:rFonts w:hint="eastAsia"/>
              </w:rPr>
              <w:t>2.52</w:t>
            </w:r>
          </w:p>
        </w:tc>
        <w:tc>
          <w:tcPr>
            <w:tcW w:w="201" w:type="pct"/>
            <w:shd w:val="clear" w:color="auto" w:fill="auto"/>
            <w:vAlign w:val="center"/>
          </w:tcPr>
          <w:p w14:paraId="7566D04D">
            <w:pPr>
              <w:pStyle w:val="90"/>
            </w:pPr>
            <w:r>
              <w:rPr>
                <w:rFonts w:hint="eastAsia"/>
              </w:rPr>
              <w:t>2.52</w:t>
            </w:r>
          </w:p>
        </w:tc>
        <w:tc>
          <w:tcPr>
            <w:tcW w:w="202" w:type="pct"/>
            <w:shd w:val="clear" w:color="auto" w:fill="auto"/>
            <w:vAlign w:val="center"/>
          </w:tcPr>
          <w:p w14:paraId="27C1FDD4">
            <w:pPr>
              <w:pStyle w:val="90"/>
            </w:pPr>
            <w:r>
              <w:rPr>
                <w:rFonts w:hint="eastAsia"/>
              </w:rPr>
              <w:t>2.53</w:t>
            </w:r>
          </w:p>
        </w:tc>
        <w:tc>
          <w:tcPr>
            <w:tcW w:w="202" w:type="pct"/>
            <w:shd w:val="clear" w:color="auto" w:fill="auto"/>
            <w:vAlign w:val="center"/>
          </w:tcPr>
          <w:p w14:paraId="4CB853CE">
            <w:pPr>
              <w:pStyle w:val="90"/>
            </w:pPr>
            <w:r>
              <w:rPr>
                <w:rFonts w:hint="eastAsia"/>
              </w:rPr>
              <w:t>2.59</w:t>
            </w:r>
          </w:p>
        </w:tc>
        <w:tc>
          <w:tcPr>
            <w:tcW w:w="202" w:type="pct"/>
            <w:shd w:val="clear" w:color="auto" w:fill="auto"/>
            <w:vAlign w:val="center"/>
          </w:tcPr>
          <w:p w14:paraId="6A8003F5">
            <w:pPr>
              <w:pStyle w:val="90"/>
            </w:pPr>
            <w:r>
              <w:rPr>
                <w:rFonts w:hint="eastAsia"/>
              </w:rPr>
              <w:t>2.17</w:t>
            </w:r>
          </w:p>
        </w:tc>
        <w:tc>
          <w:tcPr>
            <w:tcW w:w="202" w:type="pct"/>
            <w:shd w:val="clear" w:color="auto" w:fill="auto"/>
            <w:vAlign w:val="center"/>
          </w:tcPr>
          <w:p w14:paraId="6E6D8376">
            <w:pPr>
              <w:pStyle w:val="90"/>
            </w:pPr>
            <w:r>
              <w:rPr>
                <w:rFonts w:hint="eastAsia"/>
              </w:rPr>
              <w:t>1.85</w:t>
            </w:r>
          </w:p>
        </w:tc>
        <w:tc>
          <w:tcPr>
            <w:tcW w:w="202" w:type="pct"/>
            <w:shd w:val="clear" w:color="auto" w:fill="auto"/>
            <w:vAlign w:val="center"/>
          </w:tcPr>
          <w:p w14:paraId="5F181F23">
            <w:pPr>
              <w:pStyle w:val="90"/>
            </w:pPr>
            <w:r>
              <w:rPr>
                <w:rFonts w:hint="eastAsia"/>
              </w:rPr>
              <w:t>1.79</w:t>
            </w:r>
          </w:p>
        </w:tc>
        <w:tc>
          <w:tcPr>
            <w:tcW w:w="202" w:type="pct"/>
            <w:shd w:val="clear" w:color="auto" w:fill="auto"/>
            <w:vAlign w:val="center"/>
          </w:tcPr>
          <w:p w14:paraId="7C385B5F">
            <w:pPr>
              <w:pStyle w:val="90"/>
            </w:pPr>
            <w:r>
              <w:rPr>
                <w:rFonts w:hint="eastAsia"/>
              </w:rPr>
              <w:t>1.85</w:t>
            </w:r>
          </w:p>
        </w:tc>
        <w:tc>
          <w:tcPr>
            <w:tcW w:w="199" w:type="pct"/>
            <w:shd w:val="clear" w:color="auto" w:fill="auto"/>
            <w:vAlign w:val="center"/>
          </w:tcPr>
          <w:p w14:paraId="79DEC0B4">
            <w:pPr>
              <w:pStyle w:val="90"/>
            </w:pPr>
            <w:r>
              <w:rPr>
                <w:rFonts w:hint="eastAsia"/>
              </w:rPr>
              <w:t>2.18</w:t>
            </w:r>
          </w:p>
        </w:tc>
      </w:tr>
      <w:tr w14:paraId="085F2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65" w:type="pct"/>
            <w:shd w:val="clear" w:color="auto" w:fill="auto"/>
            <w:vAlign w:val="center"/>
          </w:tcPr>
          <w:p w14:paraId="7B2A7CB0">
            <w:pPr>
              <w:pStyle w:val="90"/>
            </w:pPr>
            <w:r>
              <w:t>冬季</w:t>
            </w:r>
          </w:p>
        </w:tc>
        <w:tc>
          <w:tcPr>
            <w:tcW w:w="202" w:type="pct"/>
            <w:shd w:val="clear" w:color="auto" w:fill="auto"/>
            <w:vAlign w:val="center"/>
          </w:tcPr>
          <w:p w14:paraId="7FE6C6FD">
            <w:pPr>
              <w:pStyle w:val="90"/>
            </w:pPr>
            <w:r>
              <w:rPr>
                <w:rFonts w:hint="eastAsia"/>
              </w:rPr>
              <w:t>0.97</w:t>
            </w:r>
          </w:p>
        </w:tc>
        <w:tc>
          <w:tcPr>
            <w:tcW w:w="201" w:type="pct"/>
            <w:shd w:val="clear" w:color="auto" w:fill="auto"/>
            <w:vAlign w:val="center"/>
          </w:tcPr>
          <w:p w14:paraId="54944831">
            <w:pPr>
              <w:pStyle w:val="90"/>
            </w:pPr>
            <w:r>
              <w:rPr>
                <w:rFonts w:hint="eastAsia"/>
              </w:rPr>
              <w:t>1.02</w:t>
            </w:r>
          </w:p>
        </w:tc>
        <w:tc>
          <w:tcPr>
            <w:tcW w:w="201" w:type="pct"/>
            <w:shd w:val="clear" w:color="auto" w:fill="auto"/>
            <w:vAlign w:val="center"/>
          </w:tcPr>
          <w:p w14:paraId="37C17B32">
            <w:pPr>
              <w:pStyle w:val="90"/>
            </w:pPr>
            <w:r>
              <w:rPr>
                <w:rFonts w:hint="eastAsia"/>
              </w:rPr>
              <w:t>1.03</w:t>
            </w:r>
          </w:p>
        </w:tc>
        <w:tc>
          <w:tcPr>
            <w:tcW w:w="201" w:type="pct"/>
            <w:shd w:val="clear" w:color="auto" w:fill="auto"/>
            <w:vAlign w:val="center"/>
          </w:tcPr>
          <w:p w14:paraId="1A05AB7E">
            <w:pPr>
              <w:pStyle w:val="90"/>
            </w:pPr>
            <w:r>
              <w:rPr>
                <w:rFonts w:hint="eastAsia"/>
              </w:rPr>
              <w:t>1.01</w:t>
            </w:r>
          </w:p>
        </w:tc>
        <w:tc>
          <w:tcPr>
            <w:tcW w:w="201" w:type="pct"/>
            <w:shd w:val="clear" w:color="auto" w:fill="auto"/>
            <w:vAlign w:val="center"/>
          </w:tcPr>
          <w:p w14:paraId="4C78BC39">
            <w:pPr>
              <w:pStyle w:val="90"/>
            </w:pPr>
            <w:r>
              <w:rPr>
                <w:rFonts w:hint="eastAsia"/>
              </w:rPr>
              <w:t>1.02</w:t>
            </w:r>
          </w:p>
        </w:tc>
        <w:tc>
          <w:tcPr>
            <w:tcW w:w="201" w:type="pct"/>
            <w:shd w:val="clear" w:color="auto" w:fill="auto"/>
            <w:vAlign w:val="center"/>
          </w:tcPr>
          <w:p w14:paraId="6C1CABBC">
            <w:pPr>
              <w:pStyle w:val="90"/>
            </w:pPr>
            <w:r>
              <w:rPr>
                <w:rFonts w:hint="eastAsia"/>
              </w:rPr>
              <w:t>1.08</w:t>
            </w:r>
          </w:p>
        </w:tc>
        <w:tc>
          <w:tcPr>
            <w:tcW w:w="201" w:type="pct"/>
            <w:shd w:val="clear" w:color="auto" w:fill="auto"/>
            <w:vAlign w:val="center"/>
          </w:tcPr>
          <w:p w14:paraId="410AB182">
            <w:pPr>
              <w:pStyle w:val="90"/>
            </w:pPr>
            <w:r>
              <w:rPr>
                <w:rFonts w:hint="eastAsia"/>
              </w:rPr>
              <w:t>1.04</w:t>
            </w:r>
          </w:p>
        </w:tc>
        <w:tc>
          <w:tcPr>
            <w:tcW w:w="201" w:type="pct"/>
            <w:shd w:val="clear" w:color="auto" w:fill="auto"/>
            <w:vAlign w:val="center"/>
          </w:tcPr>
          <w:p w14:paraId="6086A127">
            <w:pPr>
              <w:pStyle w:val="90"/>
            </w:pPr>
            <w:r>
              <w:rPr>
                <w:rFonts w:hint="eastAsia"/>
              </w:rPr>
              <w:t>1.14</w:t>
            </w:r>
          </w:p>
        </w:tc>
        <w:tc>
          <w:tcPr>
            <w:tcW w:w="201" w:type="pct"/>
            <w:shd w:val="clear" w:color="auto" w:fill="auto"/>
            <w:vAlign w:val="center"/>
          </w:tcPr>
          <w:p w14:paraId="0F3A4CB2">
            <w:pPr>
              <w:pStyle w:val="90"/>
            </w:pPr>
            <w:r>
              <w:rPr>
                <w:rFonts w:hint="eastAsia"/>
              </w:rPr>
              <w:t>1.02</w:t>
            </w:r>
          </w:p>
        </w:tc>
        <w:tc>
          <w:tcPr>
            <w:tcW w:w="202" w:type="pct"/>
            <w:shd w:val="clear" w:color="auto" w:fill="auto"/>
            <w:vAlign w:val="center"/>
          </w:tcPr>
          <w:p w14:paraId="53FCCEB6">
            <w:pPr>
              <w:pStyle w:val="90"/>
            </w:pPr>
            <w:r>
              <w:rPr>
                <w:rFonts w:hint="eastAsia"/>
              </w:rPr>
              <w:t>1.05</w:t>
            </w:r>
          </w:p>
        </w:tc>
        <w:tc>
          <w:tcPr>
            <w:tcW w:w="202" w:type="pct"/>
            <w:shd w:val="clear" w:color="auto" w:fill="auto"/>
            <w:vAlign w:val="center"/>
          </w:tcPr>
          <w:p w14:paraId="2765C122">
            <w:pPr>
              <w:pStyle w:val="90"/>
            </w:pPr>
            <w:r>
              <w:rPr>
                <w:rFonts w:hint="eastAsia"/>
              </w:rPr>
              <w:t>1.12</w:t>
            </w:r>
          </w:p>
        </w:tc>
        <w:tc>
          <w:tcPr>
            <w:tcW w:w="202" w:type="pct"/>
            <w:shd w:val="clear" w:color="auto" w:fill="auto"/>
            <w:vAlign w:val="center"/>
          </w:tcPr>
          <w:p w14:paraId="64E2BB33">
            <w:pPr>
              <w:pStyle w:val="90"/>
            </w:pPr>
            <w:r>
              <w:rPr>
                <w:rFonts w:hint="eastAsia"/>
              </w:rPr>
              <w:t>1.07</w:t>
            </w:r>
          </w:p>
        </w:tc>
        <w:tc>
          <w:tcPr>
            <w:tcW w:w="202" w:type="pct"/>
            <w:shd w:val="clear" w:color="auto" w:fill="auto"/>
            <w:vAlign w:val="center"/>
          </w:tcPr>
          <w:p w14:paraId="62042E02">
            <w:pPr>
              <w:pStyle w:val="90"/>
            </w:pPr>
            <w:r>
              <w:rPr>
                <w:rFonts w:hint="eastAsia"/>
              </w:rPr>
              <w:t>1.45</w:t>
            </w:r>
          </w:p>
        </w:tc>
        <w:tc>
          <w:tcPr>
            <w:tcW w:w="202" w:type="pct"/>
            <w:shd w:val="clear" w:color="auto" w:fill="auto"/>
            <w:vAlign w:val="center"/>
          </w:tcPr>
          <w:p w14:paraId="712D68A7">
            <w:pPr>
              <w:pStyle w:val="90"/>
            </w:pPr>
            <w:r>
              <w:rPr>
                <w:rFonts w:hint="eastAsia"/>
              </w:rPr>
              <w:t>1.71</w:t>
            </w:r>
          </w:p>
        </w:tc>
        <w:tc>
          <w:tcPr>
            <w:tcW w:w="202" w:type="pct"/>
            <w:shd w:val="clear" w:color="auto" w:fill="auto"/>
            <w:vAlign w:val="center"/>
          </w:tcPr>
          <w:p w14:paraId="4CA5E482">
            <w:pPr>
              <w:pStyle w:val="90"/>
            </w:pPr>
            <w:r>
              <w:rPr>
                <w:rFonts w:hint="eastAsia"/>
              </w:rPr>
              <w:t>1.74</w:t>
            </w:r>
          </w:p>
        </w:tc>
        <w:tc>
          <w:tcPr>
            <w:tcW w:w="201" w:type="pct"/>
            <w:shd w:val="clear" w:color="auto" w:fill="auto"/>
            <w:vAlign w:val="center"/>
          </w:tcPr>
          <w:p w14:paraId="2DF07689">
            <w:pPr>
              <w:pStyle w:val="90"/>
            </w:pPr>
            <w:r>
              <w:rPr>
                <w:rFonts w:hint="eastAsia"/>
              </w:rPr>
              <w:t>1.75</w:t>
            </w:r>
          </w:p>
        </w:tc>
        <w:tc>
          <w:tcPr>
            <w:tcW w:w="202" w:type="pct"/>
            <w:shd w:val="clear" w:color="auto" w:fill="auto"/>
            <w:vAlign w:val="center"/>
          </w:tcPr>
          <w:p w14:paraId="25CA8947">
            <w:pPr>
              <w:pStyle w:val="90"/>
            </w:pPr>
            <w:r>
              <w:rPr>
                <w:rFonts w:hint="eastAsia"/>
              </w:rPr>
              <w:t>1.66</w:t>
            </w:r>
          </w:p>
        </w:tc>
        <w:tc>
          <w:tcPr>
            <w:tcW w:w="202" w:type="pct"/>
            <w:shd w:val="clear" w:color="auto" w:fill="auto"/>
            <w:vAlign w:val="center"/>
          </w:tcPr>
          <w:p w14:paraId="722F2C73">
            <w:pPr>
              <w:pStyle w:val="90"/>
            </w:pPr>
            <w:r>
              <w:rPr>
                <w:rFonts w:hint="eastAsia"/>
              </w:rPr>
              <w:t>1.53</w:t>
            </w:r>
          </w:p>
        </w:tc>
        <w:tc>
          <w:tcPr>
            <w:tcW w:w="202" w:type="pct"/>
            <w:shd w:val="clear" w:color="auto" w:fill="auto"/>
            <w:vAlign w:val="center"/>
          </w:tcPr>
          <w:p w14:paraId="2A04C608">
            <w:pPr>
              <w:pStyle w:val="90"/>
            </w:pPr>
            <w:r>
              <w:rPr>
                <w:rFonts w:hint="eastAsia"/>
              </w:rPr>
              <w:t>1.30</w:t>
            </w:r>
          </w:p>
        </w:tc>
        <w:tc>
          <w:tcPr>
            <w:tcW w:w="202" w:type="pct"/>
            <w:shd w:val="clear" w:color="auto" w:fill="auto"/>
            <w:vAlign w:val="center"/>
          </w:tcPr>
          <w:p w14:paraId="771BD6DA">
            <w:pPr>
              <w:pStyle w:val="90"/>
            </w:pPr>
            <w:r>
              <w:rPr>
                <w:rFonts w:hint="eastAsia"/>
              </w:rPr>
              <w:t>1.06</w:t>
            </w:r>
          </w:p>
        </w:tc>
        <w:tc>
          <w:tcPr>
            <w:tcW w:w="202" w:type="pct"/>
            <w:shd w:val="clear" w:color="auto" w:fill="auto"/>
            <w:vAlign w:val="center"/>
          </w:tcPr>
          <w:p w14:paraId="6431CA51">
            <w:pPr>
              <w:pStyle w:val="90"/>
            </w:pPr>
            <w:r>
              <w:rPr>
                <w:rFonts w:hint="eastAsia"/>
              </w:rPr>
              <w:t>1.14</w:t>
            </w:r>
          </w:p>
        </w:tc>
        <w:tc>
          <w:tcPr>
            <w:tcW w:w="202" w:type="pct"/>
            <w:shd w:val="clear" w:color="auto" w:fill="auto"/>
            <w:vAlign w:val="center"/>
          </w:tcPr>
          <w:p w14:paraId="7AA9A37C">
            <w:pPr>
              <w:pStyle w:val="90"/>
            </w:pPr>
            <w:r>
              <w:rPr>
                <w:rFonts w:hint="eastAsia"/>
              </w:rPr>
              <w:t>0.95</w:t>
            </w:r>
          </w:p>
        </w:tc>
        <w:tc>
          <w:tcPr>
            <w:tcW w:w="199" w:type="pct"/>
            <w:shd w:val="clear" w:color="auto" w:fill="auto"/>
            <w:vAlign w:val="center"/>
          </w:tcPr>
          <w:p w14:paraId="5AC7706C">
            <w:pPr>
              <w:pStyle w:val="90"/>
            </w:pPr>
            <w:r>
              <w:rPr>
                <w:rFonts w:hint="eastAsia"/>
              </w:rPr>
              <w:t>0.99</w:t>
            </w:r>
          </w:p>
        </w:tc>
      </w:tr>
    </w:tbl>
    <w:p w14:paraId="7BB498E7">
      <w:pPr>
        <w:pStyle w:val="47"/>
        <w:spacing w:before="65"/>
      </w:pPr>
      <w:r>
        <w:rPr>
          <w:rFonts w:hint="eastAsia"/>
        </w:rPr>
        <w:t>表5</w:t>
      </w:r>
      <w:r>
        <w:t>.1-12   2020年逐月、四季及全年各风向下平均风速统计表（m/s）</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46"/>
        <w:gridCol w:w="609"/>
        <w:gridCol w:w="776"/>
        <w:gridCol w:w="779"/>
        <w:gridCol w:w="776"/>
        <w:gridCol w:w="776"/>
        <w:gridCol w:w="776"/>
        <w:gridCol w:w="776"/>
        <w:gridCol w:w="776"/>
        <w:gridCol w:w="776"/>
        <w:gridCol w:w="779"/>
        <w:gridCol w:w="776"/>
        <w:gridCol w:w="776"/>
        <w:gridCol w:w="776"/>
        <w:gridCol w:w="776"/>
        <w:gridCol w:w="779"/>
        <w:gridCol w:w="776"/>
        <w:gridCol w:w="754"/>
      </w:tblGrid>
      <w:tr w14:paraId="572299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242169CC">
            <w:pPr>
              <w:pStyle w:val="90"/>
            </w:pPr>
            <w:r>
              <w:t>月份</w:t>
            </w:r>
          </w:p>
        </w:tc>
        <w:tc>
          <w:tcPr>
            <w:tcW w:w="218" w:type="pct"/>
            <w:shd w:val="clear" w:color="auto" w:fill="auto"/>
          </w:tcPr>
          <w:p w14:paraId="5FC2C7C7">
            <w:pPr>
              <w:pStyle w:val="90"/>
              <w:rPr>
                <w:rFonts w:eastAsia="Times New Roman"/>
              </w:rPr>
            </w:pPr>
            <w:r>
              <w:t>N</w:t>
            </w:r>
          </w:p>
        </w:tc>
        <w:tc>
          <w:tcPr>
            <w:tcW w:w="278" w:type="pct"/>
            <w:shd w:val="clear" w:color="auto" w:fill="auto"/>
          </w:tcPr>
          <w:p w14:paraId="534A4315">
            <w:pPr>
              <w:pStyle w:val="90"/>
              <w:rPr>
                <w:rFonts w:eastAsia="Times New Roman"/>
              </w:rPr>
            </w:pPr>
            <w:r>
              <w:t>NNE</w:t>
            </w:r>
          </w:p>
        </w:tc>
        <w:tc>
          <w:tcPr>
            <w:tcW w:w="279" w:type="pct"/>
            <w:shd w:val="clear" w:color="auto" w:fill="auto"/>
          </w:tcPr>
          <w:p w14:paraId="77EC8BDD">
            <w:pPr>
              <w:pStyle w:val="90"/>
              <w:rPr>
                <w:rFonts w:eastAsia="Times New Roman"/>
              </w:rPr>
            </w:pPr>
            <w:r>
              <w:t>NE</w:t>
            </w:r>
          </w:p>
        </w:tc>
        <w:tc>
          <w:tcPr>
            <w:tcW w:w="278" w:type="pct"/>
            <w:shd w:val="clear" w:color="auto" w:fill="auto"/>
          </w:tcPr>
          <w:p w14:paraId="3B9AD7CF">
            <w:pPr>
              <w:pStyle w:val="90"/>
              <w:rPr>
                <w:rFonts w:eastAsia="Times New Roman"/>
              </w:rPr>
            </w:pPr>
            <w:r>
              <w:t>ENE</w:t>
            </w:r>
          </w:p>
        </w:tc>
        <w:tc>
          <w:tcPr>
            <w:tcW w:w="278" w:type="pct"/>
            <w:shd w:val="clear" w:color="auto" w:fill="auto"/>
          </w:tcPr>
          <w:p w14:paraId="12BF3CBB">
            <w:pPr>
              <w:pStyle w:val="90"/>
              <w:rPr>
                <w:rFonts w:eastAsia="Times New Roman"/>
              </w:rPr>
            </w:pPr>
            <w:r>
              <w:t>E</w:t>
            </w:r>
          </w:p>
        </w:tc>
        <w:tc>
          <w:tcPr>
            <w:tcW w:w="278" w:type="pct"/>
            <w:shd w:val="clear" w:color="auto" w:fill="auto"/>
          </w:tcPr>
          <w:p w14:paraId="0811E52E">
            <w:pPr>
              <w:pStyle w:val="90"/>
              <w:rPr>
                <w:rFonts w:eastAsia="Times New Roman"/>
              </w:rPr>
            </w:pPr>
            <w:r>
              <w:t>ESE</w:t>
            </w:r>
          </w:p>
        </w:tc>
        <w:tc>
          <w:tcPr>
            <w:tcW w:w="278" w:type="pct"/>
            <w:shd w:val="clear" w:color="auto" w:fill="auto"/>
          </w:tcPr>
          <w:p w14:paraId="007FC2A4">
            <w:pPr>
              <w:pStyle w:val="90"/>
              <w:rPr>
                <w:rFonts w:eastAsia="Times New Roman"/>
              </w:rPr>
            </w:pPr>
            <w:r>
              <w:t>SE</w:t>
            </w:r>
          </w:p>
        </w:tc>
        <w:tc>
          <w:tcPr>
            <w:tcW w:w="278" w:type="pct"/>
            <w:shd w:val="clear" w:color="auto" w:fill="auto"/>
          </w:tcPr>
          <w:p w14:paraId="07E9D7B0">
            <w:pPr>
              <w:pStyle w:val="90"/>
              <w:rPr>
                <w:rFonts w:eastAsia="Times New Roman"/>
              </w:rPr>
            </w:pPr>
            <w:r>
              <w:t>SSE</w:t>
            </w:r>
          </w:p>
        </w:tc>
        <w:tc>
          <w:tcPr>
            <w:tcW w:w="278" w:type="pct"/>
            <w:shd w:val="clear" w:color="auto" w:fill="auto"/>
          </w:tcPr>
          <w:p w14:paraId="377B4488">
            <w:pPr>
              <w:pStyle w:val="90"/>
              <w:rPr>
                <w:rFonts w:eastAsia="Times New Roman"/>
              </w:rPr>
            </w:pPr>
            <w:r>
              <w:t>S</w:t>
            </w:r>
          </w:p>
        </w:tc>
        <w:tc>
          <w:tcPr>
            <w:tcW w:w="279" w:type="pct"/>
            <w:shd w:val="clear" w:color="auto" w:fill="auto"/>
          </w:tcPr>
          <w:p w14:paraId="04375853">
            <w:pPr>
              <w:pStyle w:val="90"/>
              <w:rPr>
                <w:rFonts w:eastAsia="Times New Roman"/>
              </w:rPr>
            </w:pPr>
            <w:r>
              <w:t>SSW</w:t>
            </w:r>
          </w:p>
        </w:tc>
        <w:tc>
          <w:tcPr>
            <w:tcW w:w="278" w:type="pct"/>
            <w:shd w:val="clear" w:color="auto" w:fill="auto"/>
          </w:tcPr>
          <w:p w14:paraId="41185749">
            <w:pPr>
              <w:pStyle w:val="90"/>
              <w:rPr>
                <w:rFonts w:eastAsia="Times New Roman"/>
              </w:rPr>
            </w:pPr>
            <w:r>
              <w:t>SW</w:t>
            </w:r>
          </w:p>
        </w:tc>
        <w:tc>
          <w:tcPr>
            <w:tcW w:w="278" w:type="pct"/>
            <w:shd w:val="clear" w:color="auto" w:fill="auto"/>
          </w:tcPr>
          <w:p w14:paraId="587E4C33">
            <w:pPr>
              <w:pStyle w:val="90"/>
              <w:rPr>
                <w:rFonts w:eastAsia="Times New Roman"/>
              </w:rPr>
            </w:pPr>
            <w:r>
              <w:t>WSW</w:t>
            </w:r>
          </w:p>
        </w:tc>
        <w:tc>
          <w:tcPr>
            <w:tcW w:w="278" w:type="pct"/>
            <w:shd w:val="clear" w:color="auto" w:fill="auto"/>
          </w:tcPr>
          <w:p w14:paraId="398F6ACB">
            <w:pPr>
              <w:pStyle w:val="90"/>
              <w:rPr>
                <w:rFonts w:eastAsia="Times New Roman"/>
              </w:rPr>
            </w:pPr>
            <w:r>
              <w:t>W</w:t>
            </w:r>
          </w:p>
        </w:tc>
        <w:tc>
          <w:tcPr>
            <w:tcW w:w="278" w:type="pct"/>
            <w:shd w:val="clear" w:color="auto" w:fill="auto"/>
          </w:tcPr>
          <w:p w14:paraId="0A0C520E">
            <w:pPr>
              <w:pStyle w:val="90"/>
              <w:rPr>
                <w:rFonts w:eastAsia="Times New Roman"/>
              </w:rPr>
            </w:pPr>
            <w:r>
              <w:t>WNW</w:t>
            </w:r>
          </w:p>
        </w:tc>
        <w:tc>
          <w:tcPr>
            <w:tcW w:w="279" w:type="pct"/>
            <w:shd w:val="clear" w:color="auto" w:fill="auto"/>
          </w:tcPr>
          <w:p w14:paraId="250DF629">
            <w:pPr>
              <w:pStyle w:val="90"/>
              <w:rPr>
                <w:rFonts w:eastAsia="Times New Roman"/>
              </w:rPr>
            </w:pPr>
            <w:r>
              <w:t>NW</w:t>
            </w:r>
          </w:p>
        </w:tc>
        <w:tc>
          <w:tcPr>
            <w:tcW w:w="278" w:type="pct"/>
            <w:shd w:val="clear" w:color="auto" w:fill="auto"/>
          </w:tcPr>
          <w:p w14:paraId="19E8FD1F">
            <w:pPr>
              <w:pStyle w:val="90"/>
              <w:rPr>
                <w:rFonts w:eastAsia="Times New Roman"/>
              </w:rPr>
            </w:pPr>
            <w:r>
              <w:t>NNW</w:t>
            </w:r>
          </w:p>
        </w:tc>
        <w:tc>
          <w:tcPr>
            <w:tcW w:w="270" w:type="pct"/>
            <w:shd w:val="clear" w:color="auto" w:fill="auto"/>
          </w:tcPr>
          <w:p w14:paraId="79EA6EE4">
            <w:pPr>
              <w:pStyle w:val="90"/>
            </w:pPr>
            <w:r>
              <w:rPr>
                <w:rFonts w:hint="eastAsia"/>
              </w:rPr>
              <w:t>C</w:t>
            </w:r>
          </w:p>
        </w:tc>
      </w:tr>
      <w:tr w14:paraId="37A0C2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3BBD77DC">
            <w:pPr>
              <w:pStyle w:val="90"/>
            </w:pPr>
            <w:r>
              <w:t>一月</w:t>
            </w:r>
          </w:p>
        </w:tc>
        <w:tc>
          <w:tcPr>
            <w:tcW w:w="218" w:type="pct"/>
            <w:shd w:val="clear" w:color="auto" w:fill="auto"/>
            <w:vAlign w:val="center"/>
          </w:tcPr>
          <w:p w14:paraId="48FE7074">
            <w:pPr>
              <w:pStyle w:val="90"/>
            </w:pPr>
            <w:r>
              <w:t>6.72</w:t>
            </w:r>
          </w:p>
        </w:tc>
        <w:tc>
          <w:tcPr>
            <w:tcW w:w="278" w:type="pct"/>
            <w:shd w:val="clear" w:color="auto" w:fill="auto"/>
            <w:vAlign w:val="center"/>
          </w:tcPr>
          <w:p w14:paraId="1F7193A6">
            <w:pPr>
              <w:pStyle w:val="90"/>
            </w:pPr>
            <w:r>
              <w:t>7.26</w:t>
            </w:r>
          </w:p>
        </w:tc>
        <w:tc>
          <w:tcPr>
            <w:tcW w:w="279" w:type="pct"/>
            <w:shd w:val="clear" w:color="auto" w:fill="auto"/>
            <w:vAlign w:val="center"/>
          </w:tcPr>
          <w:p w14:paraId="0D3A2FFD">
            <w:pPr>
              <w:pStyle w:val="90"/>
            </w:pPr>
            <w:r>
              <w:t>4.84</w:t>
            </w:r>
          </w:p>
        </w:tc>
        <w:tc>
          <w:tcPr>
            <w:tcW w:w="278" w:type="pct"/>
            <w:shd w:val="clear" w:color="auto" w:fill="auto"/>
            <w:vAlign w:val="center"/>
          </w:tcPr>
          <w:p w14:paraId="61E353C0">
            <w:pPr>
              <w:pStyle w:val="90"/>
            </w:pPr>
            <w:r>
              <w:t>10.89</w:t>
            </w:r>
          </w:p>
        </w:tc>
        <w:tc>
          <w:tcPr>
            <w:tcW w:w="278" w:type="pct"/>
            <w:shd w:val="clear" w:color="auto" w:fill="auto"/>
            <w:vAlign w:val="center"/>
          </w:tcPr>
          <w:p w14:paraId="0B79E091">
            <w:pPr>
              <w:pStyle w:val="90"/>
            </w:pPr>
            <w:r>
              <w:t>12.63</w:t>
            </w:r>
          </w:p>
        </w:tc>
        <w:tc>
          <w:tcPr>
            <w:tcW w:w="278" w:type="pct"/>
            <w:shd w:val="clear" w:color="auto" w:fill="auto"/>
            <w:vAlign w:val="center"/>
          </w:tcPr>
          <w:p w14:paraId="44C1839D">
            <w:pPr>
              <w:pStyle w:val="90"/>
            </w:pPr>
            <w:r>
              <w:t>1.75</w:t>
            </w:r>
          </w:p>
        </w:tc>
        <w:tc>
          <w:tcPr>
            <w:tcW w:w="278" w:type="pct"/>
            <w:shd w:val="clear" w:color="auto" w:fill="auto"/>
            <w:vAlign w:val="center"/>
          </w:tcPr>
          <w:p w14:paraId="2BD88D85">
            <w:pPr>
              <w:pStyle w:val="90"/>
            </w:pPr>
            <w:r>
              <w:t>1.61</w:t>
            </w:r>
          </w:p>
        </w:tc>
        <w:tc>
          <w:tcPr>
            <w:tcW w:w="278" w:type="pct"/>
            <w:shd w:val="clear" w:color="auto" w:fill="auto"/>
            <w:vAlign w:val="center"/>
          </w:tcPr>
          <w:p w14:paraId="089E5A95">
            <w:pPr>
              <w:pStyle w:val="90"/>
            </w:pPr>
            <w:r>
              <w:t>1.75</w:t>
            </w:r>
          </w:p>
        </w:tc>
        <w:tc>
          <w:tcPr>
            <w:tcW w:w="278" w:type="pct"/>
            <w:shd w:val="clear" w:color="auto" w:fill="auto"/>
            <w:vAlign w:val="center"/>
          </w:tcPr>
          <w:p w14:paraId="122A4404">
            <w:pPr>
              <w:pStyle w:val="90"/>
            </w:pPr>
            <w:r>
              <w:t>0.67</w:t>
            </w:r>
          </w:p>
        </w:tc>
        <w:tc>
          <w:tcPr>
            <w:tcW w:w="279" w:type="pct"/>
            <w:shd w:val="clear" w:color="auto" w:fill="auto"/>
            <w:vAlign w:val="center"/>
          </w:tcPr>
          <w:p w14:paraId="64BA632C">
            <w:pPr>
              <w:pStyle w:val="90"/>
            </w:pPr>
            <w:r>
              <w:t>2.42</w:t>
            </w:r>
          </w:p>
        </w:tc>
        <w:tc>
          <w:tcPr>
            <w:tcW w:w="278" w:type="pct"/>
            <w:shd w:val="clear" w:color="auto" w:fill="auto"/>
            <w:vAlign w:val="center"/>
          </w:tcPr>
          <w:p w14:paraId="5A238347">
            <w:pPr>
              <w:pStyle w:val="90"/>
            </w:pPr>
            <w:r>
              <w:t>8.33</w:t>
            </w:r>
          </w:p>
        </w:tc>
        <w:tc>
          <w:tcPr>
            <w:tcW w:w="278" w:type="pct"/>
            <w:shd w:val="clear" w:color="auto" w:fill="auto"/>
            <w:vAlign w:val="center"/>
          </w:tcPr>
          <w:p w14:paraId="65FA171A">
            <w:pPr>
              <w:pStyle w:val="90"/>
            </w:pPr>
            <w:r>
              <w:t>15.99</w:t>
            </w:r>
          </w:p>
        </w:tc>
        <w:tc>
          <w:tcPr>
            <w:tcW w:w="278" w:type="pct"/>
            <w:shd w:val="clear" w:color="auto" w:fill="auto"/>
            <w:vAlign w:val="center"/>
          </w:tcPr>
          <w:p w14:paraId="661044D8">
            <w:pPr>
              <w:pStyle w:val="90"/>
            </w:pPr>
            <w:r>
              <w:t>4.97</w:t>
            </w:r>
          </w:p>
        </w:tc>
        <w:tc>
          <w:tcPr>
            <w:tcW w:w="278" w:type="pct"/>
            <w:shd w:val="clear" w:color="auto" w:fill="auto"/>
            <w:vAlign w:val="center"/>
          </w:tcPr>
          <w:p w14:paraId="7EF8E3C3">
            <w:pPr>
              <w:pStyle w:val="90"/>
            </w:pPr>
            <w:r>
              <w:t>2.55</w:t>
            </w:r>
          </w:p>
        </w:tc>
        <w:tc>
          <w:tcPr>
            <w:tcW w:w="279" w:type="pct"/>
            <w:shd w:val="clear" w:color="auto" w:fill="auto"/>
            <w:vAlign w:val="center"/>
          </w:tcPr>
          <w:p w14:paraId="267C5D4E">
            <w:pPr>
              <w:pStyle w:val="90"/>
            </w:pPr>
            <w:r>
              <w:t>6.05</w:t>
            </w:r>
          </w:p>
        </w:tc>
        <w:tc>
          <w:tcPr>
            <w:tcW w:w="278" w:type="pct"/>
            <w:shd w:val="clear" w:color="auto" w:fill="auto"/>
            <w:vAlign w:val="center"/>
          </w:tcPr>
          <w:p w14:paraId="126F2942">
            <w:pPr>
              <w:pStyle w:val="90"/>
            </w:pPr>
            <w:r>
              <w:t>11.16</w:t>
            </w:r>
          </w:p>
        </w:tc>
        <w:tc>
          <w:tcPr>
            <w:tcW w:w="270" w:type="pct"/>
            <w:shd w:val="clear" w:color="auto" w:fill="auto"/>
            <w:vAlign w:val="center"/>
          </w:tcPr>
          <w:p w14:paraId="210C1034">
            <w:pPr>
              <w:pStyle w:val="90"/>
            </w:pPr>
            <w:r>
              <w:t>0.40</w:t>
            </w:r>
          </w:p>
        </w:tc>
      </w:tr>
      <w:tr w14:paraId="35547C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2471F74A">
            <w:pPr>
              <w:pStyle w:val="90"/>
            </w:pPr>
            <w:r>
              <w:t>二月</w:t>
            </w:r>
          </w:p>
        </w:tc>
        <w:tc>
          <w:tcPr>
            <w:tcW w:w="218" w:type="pct"/>
            <w:shd w:val="clear" w:color="auto" w:fill="auto"/>
            <w:vAlign w:val="center"/>
          </w:tcPr>
          <w:p w14:paraId="616C8220">
            <w:pPr>
              <w:pStyle w:val="90"/>
            </w:pPr>
            <w:r>
              <w:t>3.72</w:t>
            </w:r>
          </w:p>
        </w:tc>
        <w:tc>
          <w:tcPr>
            <w:tcW w:w="278" w:type="pct"/>
            <w:shd w:val="clear" w:color="auto" w:fill="auto"/>
            <w:vAlign w:val="center"/>
          </w:tcPr>
          <w:p w14:paraId="07415498">
            <w:pPr>
              <w:pStyle w:val="90"/>
            </w:pPr>
            <w:r>
              <w:t>6.10</w:t>
            </w:r>
          </w:p>
        </w:tc>
        <w:tc>
          <w:tcPr>
            <w:tcW w:w="279" w:type="pct"/>
            <w:shd w:val="clear" w:color="auto" w:fill="auto"/>
            <w:vAlign w:val="center"/>
          </w:tcPr>
          <w:p w14:paraId="31CEAF0C">
            <w:pPr>
              <w:pStyle w:val="90"/>
            </w:pPr>
            <w:r>
              <w:t>5.06</w:t>
            </w:r>
          </w:p>
        </w:tc>
        <w:tc>
          <w:tcPr>
            <w:tcW w:w="278" w:type="pct"/>
            <w:shd w:val="clear" w:color="auto" w:fill="auto"/>
            <w:vAlign w:val="center"/>
          </w:tcPr>
          <w:p w14:paraId="6B328A33">
            <w:pPr>
              <w:pStyle w:val="90"/>
            </w:pPr>
            <w:r>
              <w:t>12.05</w:t>
            </w:r>
          </w:p>
        </w:tc>
        <w:tc>
          <w:tcPr>
            <w:tcW w:w="278" w:type="pct"/>
            <w:shd w:val="clear" w:color="auto" w:fill="auto"/>
            <w:vAlign w:val="center"/>
          </w:tcPr>
          <w:p w14:paraId="2670091A">
            <w:pPr>
              <w:pStyle w:val="90"/>
            </w:pPr>
            <w:r>
              <w:t>17.41</w:t>
            </w:r>
          </w:p>
        </w:tc>
        <w:tc>
          <w:tcPr>
            <w:tcW w:w="278" w:type="pct"/>
            <w:shd w:val="clear" w:color="auto" w:fill="auto"/>
            <w:vAlign w:val="center"/>
          </w:tcPr>
          <w:p w14:paraId="43DA8079">
            <w:pPr>
              <w:pStyle w:val="90"/>
            </w:pPr>
            <w:r>
              <w:t>5.95</w:t>
            </w:r>
          </w:p>
        </w:tc>
        <w:tc>
          <w:tcPr>
            <w:tcW w:w="278" w:type="pct"/>
            <w:shd w:val="clear" w:color="auto" w:fill="auto"/>
            <w:vAlign w:val="center"/>
          </w:tcPr>
          <w:p w14:paraId="2AA24C56">
            <w:pPr>
              <w:pStyle w:val="90"/>
            </w:pPr>
            <w:r>
              <w:t>2.53</w:t>
            </w:r>
          </w:p>
        </w:tc>
        <w:tc>
          <w:tcPr>
            <w:tcW w:w="278" w:type="pct"/>
            <w:shd w:val="clear" w:color="auto" w:fill="auto"/>
            <w:vAlign w:val="center"/>
          </w:tcPr>
          <w:p w14:paraId="6829CBB2">
            <w:pPr>
              <w:pStyle w:val="90"/>
            </w:pPr>
            <w:r>
              <w:t>1.93</w:t>
            </w:r>
          </w:p>
        </w:tc>
        <w:tc>
          <w:tcPr>
            <w:tcW w:w="278" w:type="pct"/>
            <w:shd w:val="clear" w:color="auto" w:fill="auto"/>
            <w:vAlign w:val="center"/>
          </w:tcPr>
          <w:p w14:paraId="2FC78532">
            <w:pPr>
              <w:pStyle w:val="90"/>
            </w:pPr>
            <w:r>
              <w:t>4.17</w:t>
            </w:r>
          </w:p>
        </w:tc>
        <w:tc>
          <w:tcPr>
            <w:tcW w:w="279" w:type="pct"/>
            <w:shd w:val="clear" w:color="auto" w:fill="auto"/>
            <w:vAlign w:val="center"/>
          </w:tcPr>
          <w:p w14:paraId="0A6A9E58">
            <w:pPr>
              <w:pStyle w:val="90"/>
            </w:pPr>
            <w:r>
              <w:t>4.61</w:t>
            </w:r>
          </w:p>
        </w:tc>
        <w:tc>
          <w:tcPr>
            <w:tcW w:w="278" w:type="pct"/>
            <w:shd w:val="clear" w:color="auto" w:fill="auto"/>
            <w:vAlign w:val="center"/>
          </w:tcPr>
          <w:p w14:paraId="12AB8310">
            <w:pPr>
              <w:pStyle w:val="90"/>
            </w:pPr>
            <w:r>
              <w:t>10.27</w:t>
            </w:r>
          </w:p>
        </w:tc>
        <w:tc>
          <w:tcPr>
            <w:tcW w:w="278" w:type="pct"/>
            <w:shd w:val="clear" w:color="auto" w:fill="auto"/>
            <w:vAlign w:val="center"/>
          </w:tcPr>
          <w:p w14:paraId="383C9B11">
            <w:pPr>
              <w:pStyle w:val="90"/>
            </w:pPr>
            <w:r>
              <w:t>7.59</w:t>
            </w:r>
          </w:p>
        </w:tc>
        <w:tc>
          <w:tcPr>
            <w:tcW w:w="278" w:type="pct"/>
            <w:shd w:val="clear" w:color="auto" w:fill="auto"/>
            <w:vAlign w:val="center"/>
          </w:tcPr>
          <w:p w14:paraId="0F807ACB">
            <w:pPr>
              <w:pStyle w:val="90"/>
            </w:pPr>
            <w:r>
              <w:t>2.83</w:t>
            </w:r>
          </w:p>
        </w:tc>
        <w:tc>
          <w:tcPr>
            <w:tcW w:w="278" w:type="pct"/>
            <w:shd w:val="clear" w:color="auto" w:fill="auto"/>
            <w:vAlign w:val="center"/>
          </w:tcPr>
          <w:p w14:paraId="53A835FC">
            <w:pPr>
              <w:pStyle w:val="90"/>
            </w:pPr>
            <w:r>
              <w:t>2.83</w:t>
            </w:r>
          </w:p>
        </w:tc>
        <w:tc>
          <w:tcPr>
            <w:tcW w:w="279" w:type="pct"/>
            <w:shd w:val="clear" w:color="auto" w:fill="auto"/>
            <w:vAlign w:val="center"/>
          </w:tcPr>
          <w:p w14:paraId="6B933873">
            <w:pPr>
              <w:pStyle w:val="90"/>
            </w:pPr>
            <w:r>
              <w:t>4.76</w:t>
            </w:r>
          </w:p>
        </w:tc>
        <w:tc>
          <w:tcPr>
            <w:tcW w:w="278" w:type="pct"/>
            <w:shd w:val="clear" w:color="auto" w:fill="auto"/>
            <w:vAlign w:val="center"/>
          </w:tcPr>
          <w:p w14:paraId="2B8DEE6A">
            <w:pPr>
              <w:pStyle w:val="90"/>
            </w:pPr>
            <w:r>
              <w:t>6.99</w:t>
            </w:r>
          </w:p>
        </w:tc>
        <w:tc>
          <w:tcPr>
            <w:tcW w:w="270" w:type="pct"/>
            <w:shd w:val="clear" w:color="auto" w:fill="auto"/>
            <w:vAlign w:val="center"/>
          </w:tcPr>
          <w:p w14:paraId="5B5C0D7B">
            <w:pPr>
              <w:pStyle w:val="90"/>
            </w:pPr>
            <w:r>
              <w:t>1.19</w:t>
            </w:r>
          </w:p>
        </w:tc>
      </w:tr>
      <w:tr w14:paraId="1A293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156A160D">
            <w:pPr>
              <w:pStyle w:val="90"/>
            </w:pPr>
            <w:r>
              <w:t>三月</w:t>
            </w:r>
          </w:p>
        </w:tc>
        <w:tc>
          <w:tcPr>
            <w:tcW w:w="218" w:type="pct"/>
            <w:shd w:val="clear" w:color="auto" w:fill="auto"/>
            <w:vAlign w:val="center"/>
          </w:tcPr>
          <w:p w14:paraId="485ED4BC">
            <w:pPr>
              <w:pStyle w:val="90"/>
            </w:pPr>
            <w:r>
              <w:t>2.82</w:t>
            </w:r>
          </w:p>
        </w:tc>
        <w:tc>
          <w:tcPr>
            <w:tcW w:w="278" w:type="pct"/>
            <w:shd w:val="clear" w:color="auto" w:fill="auto"/>
            <w:vAlign w:val="center"/>
          </w:tcPr>
          <w:p w14:paraId="2909FC43">
            <w:pPr>
              <w:pStyle w:val="90"/>
            </w:pPr>
            <w:r>
              <w:t>4.30</w:t>
            </w:r>
          </w:p>
        </w:tc>
        <w:tc>
          <w:tcPr>
            <w:tcW w:w="279" w:type="pct"/>
            <w:shd w:val="clear" w:color="auto" w:fill="auto"/>
            <w:vAlign w:val="center"/>
          </w:tcPr>
          <w:p w14:paraId="626E6BE5">
            <w:pPr>
              <w:pStyle w:val="90"/>
            </w:pPr>
            <w:r>
              <w:t>5.78</w:t>
            </w:r>
          </w:p>
        </w:tc>
        <w:tc>
          <w:tcPr>
            <w:tcW w:w="278" w:type="pct"/>
            <w:shd w:val="clear" w:color="auto" w:fill="auto"/>
            <w:vAlign w:val="center"/>
          </w:tcPr>
          <w:p w14:paraId="24E178F7">
            <w:pPr>
              <w:pStyle w:val="90"/>
            </w:pPr>
            <w:r>
              <w:t>13.84</w:t>
            </w:r>
          </w:p>
        </w:tc>
        <w:tc>
          <w:tcPr>
            <w:tcW w:w="278" w:type="pct"/>
            <w:shd w:val="clear" w:color="auto" w:fill="auto"/>
            <w:vAlign w:val="center"/>
          </w:tcPr>
          <w:p w14:paraId="6B1815E2">
            <w:pPr>
              <w:pStyle w:val="90"/>
            </w:pPr>
            <w:r>
              <w:t>19.89</w:t>
            </w:r>
          </w:p>
        </w:tc>
        <w:tc>
          <w:tcPr>
            <w:tcW w:w="278" w:type="pct"/>
            <w:shd w:val="clear" w:color="auto" w:fill="auto"/>
            <w:vAlign w:val="center"/>
          </w:tcPr>
          <w:p w14:paraId="2BDA680A">
            <w:pPr>
              <w:pStyle w:val="90"/>
            </w:pPr>
            <w:r>
              <w:t>5.51</w:t>
            </w:r>
          </w:p>
        </w:tc>
        <w:tc>
          <w:tcPr>
            <w:tcW w:w="278" w:type="pct"/>
            <w:shd w:val="clear" w:color="auto" w:fill="auto"/>
            <w:vAlign w:val="center"/>
          </w:tcPr>
          <w:p w14:paraId="0002E4AB">
            <w:pPr>
              <w:pStyle w:val="90"/>
            </w:pPr>
            <w:r>
              <w:t>2.42</w:t>
            </w:r>
          </w:p>
        </w:tc>
        <w:tc>
          <w:tcPr>
            <w:tcW w:w="278" w:type="pct"/>
            <w:shd w:val="clear" w:color="auto" w:fill="auto"/>
            <w:vAlign w:val="center"/>
          </w:tcPr>
          <w:p w14:paraId="272656E2">
            <w:pPr>
              <w:pStyle w:val="90"/>
            </w:pPr>
            <w:r>
              <w:t>2.69</w:t>
            </w:r>
          </w:p>
        </w:tc>
        <w:tc>
          <w:tcPr>
            <w:tcW w:w="278" w:type="pct"/>
            <w:shd w:val="clear" w:color="auto" w:fill="auto"/>
            <w:vAlign w:val="center"/>
          </w:tcPr>
          <w:p w14:paraId="51D96588">
            <w:pPr>
              <w:pStyle w:val="90"/>
            </w:pPr>
            <w:r>
              <w:t>4.97</w:t>
            </w:r>
          </w:p>
        </w:tc>
        <w:tc>
          <w:tcPr>
            <w:tcW w:w="279" w:type="pct"/>
            <w:shd w:val="clear" w:color="auto" w:fill="auto"/>
            <w:vAlign w:val="center"/>
          </w:tcPr>
          <w:p w14:paraId="680D554D">
            <w:pPr>
              <w:pStyle w:val="90"/>
            </w:pPr>
            <w:r>
              <w:t>7.26</w:t>
            </w:r>
          </w:p>
        </w:tc>
        <w:tc>
          <w:tcPr>
            <w:tcW w:w="278" w:type="pct"/>
            <w:shd w:val="clear" w:color="auto" w:fill="auto"/>
            <w:vAlign w:val="center"/>
          </w:tcPr>
          <w:p w14:paraId="208EFC49">
            <w:pPr>
              <w:pStyle w:val="90"/>
            </w:pPr>
            <w:r>
              <w:t>4.70</w:t>
            </w:r>
          </w:p>
        </w:tc>
        <w:tc>
          <w:tcPr>
            <w:tcW w:w="278" w:type="pct"/>
            <w:shd w:val="clear" w:color="auto" w:fill="auto"/>
            <w:vAlign w:val="center"/>
          </w:tcPr>
          <w:p w14:paraId="2DE88A47">
            <w:pPr>
              <w:pStyle w:val="90"/>
            </w:pPr>
            <w:r>
              <w:t>3.23</w:t>
            </w:r>
          </w:p>
        </w:tc>
        <w:tc>
          <w:tcPr>
            <w:tcW w:w="278" w:type="pct"/>
            <w:shd w:val="clear" w:color="auto" w:fill="auto"/>
            <w:vAlign w:val="center"/>
          </w:tcPr>
          <w:p w14:paraId="128D7CCB">
            <w:pPr>
              <w:pStyle w:val="90"/>
            </w:pPr>
            <w:r>
              <w:t>3.36</w:t>
            </w:r>
          </w:p>
        </w:tc>
        <w:tc>
          <w:tcPr>
            <w:tcW w:w="278" w:type="pct"/>
            <w:shd w:val="clear" w:color="auto" w:fill="auto"/>
            <w:vAlign w:val="center"/>
          </w:tcPr>
          <w:p w14:paraId="4DBA1834">
            <w:pPr>
              <w:pStyle w:val="90"/>
            </w:pPr>
            <w:r>
              <w:t>2.55</w:t>
            </w:r>
          </w:p>
        </w:tc>
        <w:tc>
          <w:tcPr>
            <w:tcW w:w="279" w:type="pct"/>
            <w:shd w:val="clear" w:color="auto" w:fill="auto"/>
            <w:vAlign w:val="center"/>
          </w:tcPr>
          <w:p w14:paraId="6FDE3DED">
            <w:pPr>
              <w:pStyle w:val="90"/>
            </w:pPr>
            <w:r>
              <w:t>9.01</w:t>
            </w:r>
          </w:p>
        </w:tc>
        <w:tc>
          <w:tcPr>
            <w:tcW w:w="278" w:type="pct"/>
            <w:shd w:val="clear" w:color="auto" w:fill="auto"/>
            <w:vAlign w:val="center"/>
          </w:tcPr>
          <w:p w14:paraId="5713CA51">
            <w:pPr>
              <w:pStyle w:val="90"/>
            </w:pPr>
            <w:r>
              <w:t>7.12</w:t>
            </w:r>
          </w:p>
        </w:tc>
        <w:tc>
          <w:tcPr>
            <w:tcW w:w="270" w:type="pct"/>
            <w:shd w:val="clear" w:color="auto" w:fill="auto"/>
            <w:vAlign w:val="center"/>
          </w:tcPr>
          <w:p w14:paraId="095CCCBB">
            <w:pPr>
              <w:pStyle w:val="90"/>
            </w:pPr>
            <w:r>
              <w:t>0.54</w:t>
            </w:r>
          </w:p>
        </w:tc>
      </w:tr>
      <w:tr w14:paraId="72216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5E1ECC5B">
            <w:pPr>
              <w:pStyle w:val="90"/>
            </w:pPr>
            <w:r>
              <w:t>四月</w:t>
            </w:r>
          </w:p>
        </w:tc>
        <w:tc>
          <w:tcPr>
            <w:tcW w:w="218" w:type="pct"/>
            <w:shd w:val="clear" w:color="auto" w:fill="auto"/>
            <w:vAlign w:val="center"/>
          </w:tcPr>
          <w:p w14:paraId="0167B7B9">
            <w:pPr>
              <w:pStyle w:val="90"/>
            </w:pPr>
            <w:r>
              <w:t>3.61</w:t>
            </w:r>
          </w:p>
        </w:tc>
        <w:tc>
          <w:tcPr>
            <w:tcW w:w="278" w:type="pct"/>
            <w:shd w:val="clear" w:color="auto" w:fill="auto"/>
            <w:vAlign w:val="center"/>
          </w:tcPr>
          <w:p w14:paraId="7620CA7D">
            <w:pPr>
              <w:pStyle w:val="90"/>
            </w:pPr>
            <w:r>
              <w:t>3.06</w:t>
            </w:r>
          </w:p>
        </w:tc>
        <w:tc>
          <w:tcPr>
            <w:tcW w:w="279" w:type="pct"/>
            <w:shd w:val="clear" w:color="auto" w:fill="auto"/>
            <w:vAlign w:val="center"/>
          </w:tcPr>
          <w:p w14:paraId="22578140">
            <w:pPr>
              <w:pStyle w:val="90"/>
            </w:pPr>
            <w:r>
              <w:t>4.72</w:t>
            </w:r>
          </w:p>
        </w:tc>
        <w:tc>
          <w:tcPr>
            <w:tcW w:w="278" w:type="pct"/>
            <w:shd w:val="clear" w:color="auto" w:fill="auto"/>
            <w:vAlign w:val="center"/>
          </w:tcPr>
          <w:p w14:paraId="419116A1">
            <w:pPr>
              <w:pStyle w:val="90"/>
            </w:pPr>
            <w:r>
              <w:t>6.39</w:t>
            </w:r>
          </w:p>
        </w:tc>
        <w:tc>
          <w:tcPr>
            <w:tcW w:w="278" w:type="pct"/>
            <w:shd w:val="clear" w:color="auto" w:fill="auto"/>
            <w:vAlign w:val="center"/>
          </w:tcPr>
          <w:p w14:paraId="33FE6FA8">
            <w:pPr>
              <w:pStyle w:val="90"/>
            </w:pPr>
            <w:r>
              <w:t>9.31</w:t>
            </w:r>
          </w:p>
        </w:tc>
        <w:tc>
          <w:tcPr>
            <w:tcW w:w="278" w:type="pct"/>
            <w:shd w:val="clear" w:color="auto" w:fill="auto"/>
            <w:vAlign w:val="center"/>
          </w:tcPr>
          <w:p w14:paraId="062A0374">
            <w:pPr>
              <w:pStyle w:val="90"/>
            </w:pPr>
            <w:r>
              <w:t>5.28</w:t>
            </w:r>
          </w:p>
        </w:tc>
        <w:tc>
          <w:tcPr>
            <w:tcW w:w="278" w:type="pct"/>
            <w:shd w:val="clear" w:color="auto" w:fill="auto"/>
            <w:vAlign w:val="center"/>
          </w:tcPr>
          <w:p w14:paraId="072D2D66">
            <w:pPr>
              <w:pStyle w:val="90"/>
            </w:pPr>
            <w:r>
              <w:t>4.58</w:t>
            </w:r>
          </w:p>
        </w:tc>
        <w:tc>
          <w:tcPr>
            <w:tcW w:w="278" w:type="pct"/>
            <w:shd w:val="clear" w:color="auto" w:fill="auto"/>
            <w:vAlign w:val="center"/>
          </w:tcPr>
          <w:p w14:paraId="2ECCE27C">
            <w:pPr>
              <w:pStyle w:val="90"/>
            </w:pPr>
            <w:r>
              <w:t>3.89</w:t>
            </w:r>
          </w:p>
        </w:tc>
        <w:tc>
          <w:tcPr>
            <w:tcW w:w="278" w:type="pct"/>
            <w:shd w:val="clear" w:color="auto" w:fill="auto"/>
            <w:vAlign w:val="center"/>
          </w:tcPr>
          <w:p w14:paraId="7F0BA361">
            <w:pPr>
              <w:pStyle w:val="90"/>
            </w:pPr>
            <w:r>
              <w:t>5.56</w:t>
            </w:r>
          </w:p>
        </w:tc>
        <w:tc>
          <w:tcPr>
            <w:tcW w:w="279" w:type="pct"/>
            <w:shd w:val="clear" w:color="auto" w:fill="auto"/>
            <w:vAlign w:val="center"/>
          </w:tcPr>
          <w:p w14:paraId="7D99F762">
            <w:pPr>
              <w:pStyle w:val="90"/>
            </w:pPr>
            <w:r>
              <w:t>5.00</w:t>
            </w:r>
          </w:p>
        </w:tc>
        <w:tc>
          <w:tcPr>
            <w:tcW w:w="278" w:type="pct"/>
            <w:shd w:val="clear" w:color="auto" w:fill="auto"/>
            <w:vAlign w:val="center"/>
          </w:tcPr>
          <w:p w14:paraId="5F79613A">
            <w:pPr>
              <w:pStyle w:val="90"/>
            </w:pPr>
            <w:r>
              <w:t>1.94</w:t>
            </w:r>
          </w:p>
        </w:tc>
        <w:tc>
          <w:tcPr>
            <w:tcW w:w="278" w:type="pct"/>
            <w:shd w:val="clear" w:color="auto" w:fill="auto"/>
            <w:vAlign w:val="center"/>
          </w:tcPr>
          <w:p w14:paraId="6CCDE766">
            <w:pPr>
              <w:pStyle w:val="90"/>
            </w:pPr>
            <w:r>
              <w:t>2.22</w:t>
            </w:r>
          </w:p>
        </w:tc>
        <w:tc>
          <w:tcPr>
            <w:tcW w:w="278" w:type="pct"/>
            <w:shd w:val="clear" w:color="auto" w:fill="auto"/>
            <w:vAlign w:val="center"/>
          </w:tcPr>
          <w:p w14:paraId="21644226">
            <w:pPr>
              <w:pStyle w:val="90"/>
            </w:pPr>
            <w:r>
              <w:t>1.25</w:t>
            </w:r>
          </w:p>
        </w:tc>
        <w:tc>
          <w:tcPr>
            <w:tcW w:w="278" w:type="pct"/>
            <w:shd w:val="clear" w:color="auto" w:fill="auto"/>
            <w:vAlign w:val="center"/>
          </w:tcPr>
          <w:p w14:paraId="1EBC36BE">
            <w:pPr>
              <w:pStyle w:val="90"/>
            </w:pPr>
            <w:r>
              <w:t>4.31</w:t>
            </w:r>
          </w:p>
        </w:tc>
        <w:tc>
          <w:tcPr>
            <w:tcW w:w="279" w:type="pct"/>
            <w:shd w:val="clear" w:color="auto" w:fill="auto"/>
            <w:vAlign w:val="center"/>
          </w:tcPr>
          <w:p w14:paraId="40427CD3">
            <w:pPr>
              <w:pStyle w:val="90"/>
            </w:pPr>
            <w:r>
              <w:t>15.42</w:t>
            </w:r>
          </w:p>
        </w:tc>
        <w:tc>
          <w:tcPr>
            <w:tcW w:w="278" w:type="pct"/>
            <w:shd w:val="clear" w:color="auto" w:fill="auto"/>
            <w:vAlign w:val="center"/>
          </w:tcPr>
          <w:p w14:paraId="17742EE4">
            <w:pPr>
              <w:pStyle w:val="90"/>
            </w:pPr>
            <w:r>
              <w:t>23.19</w:t>
            </w:r>
          </w:p>
        </w:tc>
        <w:tc>
          <w:tcPr>
            <w:tcW w:w="270" w:type="pct"/>
            <w:shd w:val="clear" w:color="auto" w:fill="auto"/>
            <w:vAlign w:val="center"/>
          </w:tcPr>
          <w:p w14:paraId="59A37AA9">
            <w:pPr>
              <w:pStyle w:val="90"/>
            </w:pPr>
            <w:r>
              <w:t>0.28</w:t>
            </w:r>
          </w:p>
        </w:tc>
      </w:tr>
      <w:tr w14:paraId="24BD6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6187B380">
            <w:pPr>
              <w:pStyle w:val="90"/>
            </w:pPr>
            <w:r>
              <w:t>五月</w:t>
            </w:r>
          </w:p>
        </w:tc>
        <w:tc>
          <w:tcPr>
            <w:tcW w:w="218" w:type="pct"/>
            <w:shd w:val="clear" w:color="auto" w:fill="auto"/>
            <w:vAlign w:val="center"/>
          </w:tcPr>
          <w:p w14:paraId="56B47738">
            <w:pPr>
              <w:pStyle w:val="90"/>
            </w:pPr>
            <w:r>
              <w:t>3.23</w:t>
            </w:r>
          </w:p>
        </w:tc>
        <w:tc>
          <w:tcPr>
            <w:tcW w:w="278" w:type="pct"/>
            <w:shd w:val="clear" w:color="auto" w:fill="auto"/>
            <w:vAlign w:val="center"/>
          </w:tcPr>
          <w:p w14:paraId="4A99B03A">
            <w:pPr>
              <w:pStyle w:val="90"/>
            </w:pPr>
            <w:r>
              <w:t>2.69</w:t>
            </w:r>
          </w:p>
        </w:tc>
        <w:tc>
          <w:tcPr>
            <w:tcW w:w="279" w:type="pct"/>
            <w:shd w:val="clear" w:color="auto" w:fill="auto"/>
            <w:vAlign w:val="center"/>
          </w:tcPr>
          <w:p w14:paraId="6AC73381">
            <w:pPr>
              <w:pStyle w:val="90"/>
            </w:pPr>
            <w:r>
              <w:t>2.82</w:t>
            </w:r>
          </w:p>
        </w:tc>
        <w:tc>
          <w:tcPr>
            <w:tcW w:w="278" w:type="pct"/>
            <w:shd w:val="clear" w:color="auto" w:fill="auto"/>
            <w:vAlign w:val="center"/>
          </w:tcPr>
          <w:p w14:paraId="2C0F9301">
            <w:pPr>
              <w:pStyle w:val="90"/>
            </w:pPr>
            <w:r>
              <w:t>2.42</w:t>
            </w:r>
          </w:p>
        </w:tc>
        <w:tc>
          <w:tcPr>
            <w:tcW w:w="278" w:type="pct"/>
            <w:shd w:val="clear" w:color="auto" w:fill="auto"/>
            <w:vAlign w:val="center"/>
          </w:tcPr>
          <w:p w14:paraId="514FB7B0">
            <w:pPr>
              <w:pStyle w:val="90"/>
            </w:pPr>
            <w:r>
              <w:t>2.96</w:t>
            </w:r>
          </w:p>
        </w:tc>
        <w:tc>
          <w:tcPr>
            <w:tcW w:w="278" w:type="pct"/>
            <w:shd w:val="clear" w:color="auto" w:fill="auto"/>
            <w:vAlign w:val="center"/>
          </w:tcPr>
          <w:p w14:paraId="5D36A285">
            <w:pPr>
              <w:pStyle w:val="90"/>
            </w:pPr>
            <w:r>
              <w:t>3.76</w:t>
            </w:r>
          </w:p>
        </w:tc>
        <w:tc>
          <w:tcPr>
            <w:tcW w:w="278" w:type="pct"/>
            <w:shd w:val="clear" w:color="auto" w:fill="auto"/>
            <w:vAlign w:val="center"/>
          </w:tcPr>
          <w:p w14:paraId="3F6C1C0A">
            <w:pPr>
              <w:pStyle w:val="90"/>
            </w:pPr>
            <w:r>
              <w:t>5.11</w:t>
            </w:r>
          </w:p>
        </w:tc>
        <w:tc>
          <w:tcPr>
            <w:tcW w:w="278" w:type="pct"/>
            <w:shd w:val="clear" w:color="auto" w:fill="auto"/>
            <w:vAlign w:val="center"/>
          </w:tcPr>
          <w:p w14:paraId="7BB76F7F">
            <w:pPr>
              <w:pStyle w:val="90"/>
            </w:pPr>
            <w:r>
              <w:t>5.38</w:t>
            </w:r>
          </w:p>
        </w:tc>
        <w:tc>
          <w:tcPr>
            <w:tcW w:w="278" w:type="pct"/>
            <w:shd w:val="clear" w:color="auto" w:fill="auto"/>
            <w:vAlign w:val="center"/>
          </w:tcPr>
          <w:p w14:paraId="7580660A">
            <w:pPr>
              <w:pStyle w:val="90"/>
            </w:pPr>
            <w:r>
              <w:t>5.24</w:t>
            </w:r>
          </w:p>
        </w:tc>
        <w:tc>
          <w:tcPr>
            <w:tcW w:w="279" w:type="pct"/>
            <w:shd w:val="clear" w:color="auto" w:fill="auto"/>
            <w:vAlign w:val="center"/>
          </w:tcPr>
          <w:p w14:paraId="4D8F484A">
            <w:pPr>
              <w:pStyle w:val="90"/>
            </w:pPr>
            <w:r>
              <w:t>3.23</w:t>
            </w:r>
          </w:p>
        </w:tc>
        <w:tc>
          <w:tcPr>
            <w:tcW w:w="278" w:type="pct"/>
            <w:shd w:val="clear" w:color="auto" w:fill="auto"/>
            <w:vAlign w:val="center"/>
          </w:tcPr>
          <w:p w14:paraId="0754EBA4">
            <w:pPr>
              <w:pStyle w:val="90"/>
            </w:pPr>
            <w:r>
              <w:t>2.42</w:t>
            </w:r>
          </w:p>
        </w:tc>
        <w:tc>
          <w:tcPr>
            <w:tcW w:w="278" w:type="pct"/>
            <w:shd w:val="clear" w:color="auto" w:fill="auto"/>
            <w:vAlign w:val="center"/>
          </w:tcPr>
          <w:p w14:paraId="6A46513D">
            <w:pPr>
              <w:pStyle w:val="90"/>
            </w:pPr>
            <w:r>
              <w:t>1.88</w:t>
            </w:r>
          </w:p>
        </w:tc>
        <w:tc>
          <w:tcPr>
            <w:tcW w:w="278" w:type="pct"/>
            <w:shd w:val="clear" w:color="auto" w:fill="auto"/>
            <w:vAlign w:val="center"/>
          </w:tcPr>
          <w:p w14:paraId="02DA6A7B">
            <w:pPr>
              <w:pStyle w:val="90"/>
            </w:pPr>
            <w:r>
              <w:t>2.42</w:t>
            </w:r>
          </w:p>
        </w:tc>
        <w:tc>
          <w:tcPr>
            <w:tcW w:w="278" w:type="pct"/>
            <w:shd w:val="clear" w:color="auto" w:fill="auto"/>
            <w:vAlign w:val="center"/>
          </w:tcPr>
          <w:p w14:paraId="66A96F7A">
            <w:pPr>
              <w:pStyle w:val="90"/>
            </w:pPr>
            <w:r>
              <w:t>6.72</w:t>
            </w:r>
          </w:p>
        </w:tc>
        <w:tc>
          <w:tcPr>
            <w:tcW w:w="279" w:type="pct"/>
            <w:shd w:val="clear" w:color="auto" w:fill="auto"/>
            <w:vAlign w:val="center"/>
          </w:tcPr>
          <w:p w14:paraId="4D5C92B6">
            <w:pPr>
              <w:pStyle w:val="90"/>
            </w:pPr>
            <w:r>
              <w:t>30.24</w:t>
            </w:r>
          </w:p>
        </w:tc>
        <w:tc>
          <w:tcPr>
            <w:tcW w:w="278" w:type="pct"/>
            <w:shd w:val="clear" w:color="auto" w:fill="auto"/>
            <w:vAlign w:val="center"/>
          </w:tcPr>
          <w:p w14:paraId="6DFFFAD0">
            <w:pPr>
              <w:pStyle w:val="90"/>
            </w:pPr>
            <w:r>
              <w:t>19.09</w:t>
            </w:r>
          </w:p>
        </w:tc>
        <w:tc>
          <w:tcPr>
            <w:tcW w:w="270" w:type="pct"/>
            <w:shd w:val="clear" w:color="auto" w:fill="auto"/>
            <w:vAlign w:val="center"/>
          </w:tcPr>
          <w:p w14:paraId="653C8EBC">
            <w:pPr>
              <w:pStyle w:val="90"/>
            </w:pPr>
            <w:r>
              <w:t>0.40</w:t>
            </w:r>
          </w:p>
        </w:tc>
      </w:tr>
      <w:tr w14:paraId="22DC6D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18FF3A1C">
            <w:pPr>
              <w:pStyle w:val="90"/>
            </w:pPr>
            <w:r>
              <w:t>六月</w:t>
            </w:r>
          </w:p>
        </w:tc>
        <w:tc>
          <w:tcPr>
            <w:tcW w:w="218" w:type="pct"/>
            <w:shd w:val="clear" w:color="auto" w:fill="auto"/>
            <w:vAlign w:val="center"/>
          </w:tcPr>
          <w:p w14:paraId="163921F2">
            <w:pPr>
              <w:pStyle w:val="90"/>
            </w:pPr>
            <w:r>
              <w:t>4.72</w:t>
            </w:r>
          </w:p>
        </w:tc>
        <w:tc>
          <w:tcPr>
            <w:tcW w:w="278" w:type="pct"/>
            <w:shd w:val="clear" w:color="auto" w:fill="auto"/>
            <w:vAlign w:val="center"/>
          </w:tcPr>
          <w:p w14:paraId="4B59FFB1">
            <w:pPr>
              <w:pStyle w:val="90"/>
            </w:pPr>
            <w:r>
              <w:t>2.64</w:t>
            </w:r>
          </w:p>
        </w:tc>
        <w:tc>
          <w:tcPr>
            <w:tcW w:w="279" w:type="pct"/>
            <w:shd w:val="clear" w:color="auto" w:fill="auto"/>
            <w:vAlign w:val="center"/>
          </w:tcPr>
          <w:p w14:paraId="4FB0C842">
            <w:pPr>
              <w:pStyle w:val="90"/>
            </w:pPr>
            <w:r>
              <w:t>3.33</w:t>
            </w:r>
          </w:p>
        </w:tc>
        <w:tc>
          <w:tcPr>
            <w:tcW w:w="278" w:type="pct"/>
            <w:shd w:val="clear" w:color="auto" w:fill="auto"/>
            <w:vAlign w:val="center"/>
          </w:tcPr>
          <w:p w14:paraId="696D144F">
            <w:pPr>
              <w:pStyle w:val="90"/>
            </w:pPr>
            <w:r>
              <w:t>2.50</w:t>
            </w:r>
          </w:p>
        </w:tc>
        <w:tc>
          <w:tcPr>
            <w:tcW w:w="278" w:type="pct"/>
            <w:shd w:val="clear" w:color="auto" w:fill="auto"/>
            <w:vAlign w:val="center"/>
          </w:tcPr>
          <w:p w14:paraId="285F33D1">
            <w:pPr>
              <w:pStyle w:val="90"/>
            </w:pPr>
            <w:r>
              <w:t>4.31</w:t>
            </w:r>
          </w:p>
        </w:tc>
        <w:tc>
          <w:tcPr>
            <w:tcW w:w="278" w:type="pct"/>
            <w:shd w:val="clear" w:color="auto" w:fill="auto"/>
            <w:vAlign w:val="center"/>
          </w:tcPr>
          <w:p w14:paraId="72AEE5EF">
            <w:pPr>
              <w:pStyle w:val="90"/>
            </w:pPr>
            <w:r>
              <w:t>5.28</w:t>
            </w:r>
          </w:p>
        </w:tc>
        <w:tc>
          <w:tcPr>
            <w:tcW w:w="278" w:type="pct"/>
            <w:shd w:val="clear" w:color="auto" w:fill="auto"/>
            <w:vAlign w:val="center"/>
          </w:tcPr>
          <w:p w14:paraId="308B6214">
            <w:pPr>
              <w:pStyle w:val="90"/>
            </w:pPr>
            <w:r>
              <w:t>4.03</w:t>
            </w:r>
          </w:p>
        </w:tc>
        <w:tc>
          <w:tcPr>
            <w:tcW w:w="278" w:type="pct"/>
            <w:shd w:val="clear" w:color="auto" w:fill="auto"/>
            <w:vAlign w:val="center"/>
          </w:tcPr>
          <w:p w14:paraId="72B9A34A">
            <w:pPr>
              <w:pStyle w:val="90"/>
            </w:pPr>
            <w:r>
              <w:t>5.14</w:t>
            </w:r>
          </w:p>
        </w:tc>
        <w:tc>
          <w:tcPr>
            <w:tcW w:w="278" w:type="pct"/>
            <w:shd w:val="clear" w:color="auto" w:fill="auto"/>
            <w:vAlign w:val="center"/>
          </w:tcPr>
          <w:p w14:paraId="398798EF">
            <w:pPr>
              <w:pStyle w:val="90"/>
            </w:pPr>
            <w:r>
              <w:t>5.69</w:t>
            </w:r>
          </w:p>
        </w:tc>
        <w:tc>
          <w:tcPr>
            <w:tcW w:w="279" w:type="pct"/>
            <w:shd w:val="clear" w:color="auto" w:fill="auto"/>
            <w:vAlign w:val="center"/>
          </w:tcPr>
          <w:p w14:paraId="0E30AA99">
            <w:pPr>
              <w:pStyle w:val="90"/>
            </w:pPr>
            <w:r>
              <w:t>3.75</w:t>
            </w:r>
          </w:p>
        </w:tc>
        <w:tc>
          <w:tcPr>
            <w:tcW w:w="278" w:type="pct"/>
            <w:shd w:val="clear" w:color="auto" w:fill="auto"/>
            <w:vAlign w:val="center"/>
          </w:tcPr>
          <w:p w14:paraId="741CFF2D">
            <w:pPr>
              <w:pStyle w:val="90"/>
            </w:pPr>
            <w:r>
              <w:t>2.64</w:t>
            </w:r>
          </w:p>
        </w:tc>
        <w:tc>
          <w:tcPr>
            <w:tcW w:w="278" w:type="pct"/>
            <w:shd w:val="clear" w:color="auto" w:fill="auto"/>
            <w:vAlign w:val="center"/>
          </w:tcPr>
          <w:p w14:paraId="7277CA6C">
            <w:pPr>
              <w:pStyle w:val="90"/>
            </w:pPr>
            <w:r>
              <w:t>2.50</w:t>
            </w:r>
          </w:p>
        </w:tc>
        <w:tc>
          <w:tcPr>
            <w:tcW w:w="278" w:type="pct"/>
            <w:shd w:val="clear" w:color="auto" w:fill="auto"/>
            <w:vAlign w:val="center"/>
          </w:tcPr>
          <w:p w14:paraId="7653F8A8">
            <w:pPr>
              <w:pStyle w:val="90"/>
            </w:pPr>
            <w:r>
              <w:t>3.75</w:t>
            </w:r>
          </w:p>
        </w:tc>
        <w:tc>
          <w:tcPr>
            <w:tcW w:w="278" w:type="pct"/>
            <w:shd w:val="clear" w:color="auto" w:fill="auto"/>
            <w:vAlign w:val="center"/>
          </w:tcPr>
          <w:p w14:paraId="3BFDC194">
            <w:pPr>
              <w:pStyle w:val="90"/>
            </w:pPr>
            <w:r>
              <w:t>4.17</w:t>
            </w:r>
          </w:p>
        </w:tc>
        <w:tc>
          <w:tcPr>
            <w:tcW w:w="279" w:type="pct"/>
            <w:shd w:val="clear" w:color="auto" w:fill="auto"/>
            <w:vAlign w:val="center"/>
          </w:tcPr>
          <w:p w14:paraId="49F36E18">
            <w:pPr>
              <w:pStyle w:val="90"/>
            </w:pPr>
            <w:r>
              <w:t>24.72</w:t>
            </w:r>
          </w:p>
        </w:tc>
        <w:tc>
          <w:tcPr>
            <w:tcW w:w="278" w:type="pct"/>
            <w:shd w:val="clear" w:color="auto" w:fill="auto"/>
            <w:vAlign w:val="center"/>
          </w:tcPr>
          <w:p w14:paraId="0565AC5F">
            <w:pPr>
              <w:pStyle w:val="90"/>
            </w:pPr>
            <w:r>
              <w:t>20.69</w:t>
            </w:r>
          </w:p>
        </w:tc>
        <w:tc>
          <w:tcPr>
            <w:tcW w:w="270" w:type="pct"/>
            <w:shd w:val="clear" w:color="auto" w:fill="auto"/>
            <w:vAlign w:val="center"/>
          </w:tcPr>
          <w:p w14:paraId="42F185B7">
            <w:pPr>
              <w:pStyle w:val="90"/>
            </w:pPr>
            <w:r>
              <w:t>0.14</w:t>
            </w:r>
          </w:p>
        </w:tc>
      </w:tr>
      <w:tr w14:paraId="6A1C12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433D2310">
            <w:pPr>
              <w:pStyle w:val="90"/>
            </w:pPr>
            <w:r>
              <w:t>七月</w:t>
            </w:r>
          </w:p>
        </w:tc>
        <w:tc>
          <w:tcPr>
            <w:tcW w:w="218" w:type="pct"/>
            <w:shd w:val="clear" w:color="auto" w:fill="auto"/>
            <w:vAlign w:val="center"/>
          </w:tcPr>
          <w:p w14:paraId="4AEB48A5">
            <w:pPr>
              <w:pStyle w:val="90"/>
            </w:pPr>
            <w:r>
              <w:t>4.57</w:t>
            </w:r>
          </w:p>
        </w:tc>
        <w:tc>
          <w:tcPr>
            <w:tcW w:w="278" w:type="pct"/>
            <w:shd w:val="clear" w:color="auto" w:fill="auto"/>
            <w:vAlign w:val="center"/>
          </w:tcPr>
          <w:p w14:paraId="4EC840FF">
            <w:pPr>
              <w:pStyle w:val="90"/>
            </w:pPr>
            <w:r>
              <w:t>3.49</w:t>
            </w:r>
          </w:p>
        </w:tc>
        <w:tc>
          <w:tcPr>
            <w:tcW w:w="279" w:type="pct"/>
            <w:shd w:val="clear" w:color="auto" w:fill="auto"/>
            <w:vAlign w:val="center"/>
          </w:tcPr>
          <w:p w14:paraId="240698D1">
            <w:pPr>
              <w:pStyle w:val="90"/>
            </w:pPr>
            <w:r>
              <w:t>2.55</w:t>
            </w:r>
          </w:p>
        </w:tc>
        <w:tc>
          <w:tcPr>
            <w:tcW w:w="278" w:type="pct"/>
            <w:shd w:val="clear" w:color="auto" w:fill="auto"/>
            <w:vAlign w:val="center"/>
          </w:tcPr>
          <w:p w14:paraId="0B80473E">
            <w:pPr>
              <w:pStyle w:val="90"/>
            </w:pPr>
            <w:r>
              <w:t>3.63</w:t>
            </w:r>
          </w:p>
        </w:tc>
        <w:tc>
          <w:tcPr>
            <w:tcW w:w="278" w:type="pct"/>
            <w:shd w:val="clear" w:color="auto" w:fill="auto"/>
            <w:vAlign w:val="center"/>
          </w:tcPr>
          <w:p w14:paraId="6C7916C0">
            <w:pPr>
              <w:pStyle w:val="90"/>
            </w:pPr>
            <w:r>
              <w:t>4.84</w:t>
            </w:r>
          </w:p>
        </w:tc>
        <w:tc>
          <w:tcPr>
            <w:tcW w:w="278" w:type="pct"/>
            <w:shd w:val="clear" w:color="auto" w:fill="auto"/>
            <w:vAlign w:val="center"/>
          </w:tcPr>
          <w:p w14:paraId="07A35352">
            <w:pPr>
              <w:pStyle w:val="90"/>
            </w:pPr>
            <w:r>
              <w:t>3.90</w:t>
            </w:r>
          </w:p>
        </w:tc>
        <w:tc>
          <w:tcPr>
            <w:tcW w:w="278" w:type="pct"/>
            <w:shd w:val="clear" w:color="auto" w:fill="auto"/>
            <w:vAlign w:val="center"/>
          </w:tcPr>
          <w:p w14:paraId="0C3929C4">
            <w:pPr>
              <w:pStyle w:val="90"/>
            </w:pPr>
            <w:r>
              <w:t>7.39</w:t>
            </w:r>
          </w:p>
        </w:tc>
        <w:tc>
          <w:tcPr>
            <w:tcW w:w="278" w:type="pct"/>
            <w:shd w:val="clear" w:color="auto" w:fill="auto"/>
            <w:vAlign w:val="center"/>
          </w:tcPr>
          <w:p w14:paraId="5BF75634">
            <w:pPr>
              <w:pStyle w:val="90"/>
            </w:pPr>
            <w:r>
              <w:t>6.45</w:t>
            </w:r>
          </w:p>
        </w:tc>
        <w:tc>
          <w:tcPr>
            <w:tcW w:w="278" w:type="pct"/>
            <w:shd w:val="clear" w:color="auto" w:fill="auto"/>
            <w:vAlign w:val="center"/>
          </w:tcPr>
          <w:p w14:paraId="26C13A40">
            <w:pPr>
              <w:pStyle w:val="90"/>
            </w:pPr>
            <w:r>
              <w:t>7.93</w:t>
            </w:r>
          </w:p>
        </w:tc>
        <w:tc>
          <w:tcPr>
            <w:tcW w:w="279" w:type="pct"/>
            <w:shd w:val="clear" w:color="auto" w:fill="auto"/>
            <w:vAlign w:val="center"/>
          </w:tcPr>
          <w:p w14:paraId="10276A31">
            <w:pPr>
              <w:pStyle w:val="90"/>
            </w:pPr>
            <w:r>
              <w:t>3.49</w:t>
            </w:r>
          </w:p>
        </w:tc>
        <w:tc>
          <w:tcPr>
            <w:tcW w:w="278" w:type="pct"/>
            <w:shd w:val="clear" w:color="auto" w:fill="auto"/>
            <w:vAlign w:val="center"/>
          </w:tcPr>
          <w:p w14:paraId="37478532">
            <w:pPr>
              <w:pStyle w:val="90"/>
            </w:pPr>
            <w:r>
              <w:t>2.42</w:t>
            </w:r>
          </w:p>
        </w:tc>
        <w:tc>
          <w:tcPr>
            <w:tcW w:w="278" w:type="pct"/>
            <w:shd w:val="clear" w:color="auto" w:fill="auto"/>
            <w:vAlign w:val="center"/>
          </w:tcPr>
          <w:p w14:paraId="0D448CC1">
            <w:pPr>
              <w:pStyle w:val="90"/>
            </w:pPr>
            <w:r>
              <w:t>1.88</w:t>
            </w:r>
          </w:p>
        </w:tc>
        <w:tc>
          <w:tcPr>
            <w:tcW w:w="278" w:type="pct"/>
            <w:shd w:val="clear" w:color="auto" w:fill="auto"/>
            <w:vAlign w:val="center"/>
          </w:tcPr>
          <w:p w14:paraId="7133E72C">
            <w:pPr>
              <w:pStyle w:val="90"/>
            </w:pPr>
            <w:r>
              <w:t>3.76</w:t>
            </w:r>
          </w:p>
        </w:tc>
        <w:tc>
          <w:tcPr>
            <w:tcW w:w="278" w:type="pct"/>
            <w:shd w:val="clear" w:color="auto" w:fill="auto"/>
            <w:vAlign w:val="center"/>
          </w:tcPr>
          <w:p w14:paraId="21EA1764">
            <w:pPr>
              <w:pStyle w:val="90"/>
            </w:pPr>
            <w:r>
              <w:t>4.70</w:t>
            </w:r>
          </w:p>
        </w:tc>
        <w:tc>
          <w:tcPr>
            <w:tcW w:w="279" w:type="pct"/>
            <w:shd w:val="clear" w:color="auto" w:fill="auto"/>
            <w:vAlign w:val="center"/>
          </w:tcPr>
          <w:p w14:paraId="41CE7E14">
            <w:pPr>
              <w:pStyle w:val="90"/>
            </w:pPr>
            <w:r>
              <w:t>20.56</w:t>
            </w:r>
          </w:p>
        </w:tc>
        <w:tc>
          <w:tcPr>
            <w:tcW w:w="278" w:type="pct"/>
            <w:shd w:val="clear" w:color="auto" w:fill="auto"/>
            <w:vAlign w:val="center"/>
          </w:tcPr>
          <w:p w14:paraId="4058B25F">
            <w:pPr>
              <w:pStyle w:val="90"/>
            </w:pPr>
            <w:r>
              <w:t>18.28</w:t>
            </w:r>
          </w:p>
        </w:tc>
        <w:tc>
          <w:tcPr>
            <w:tcW w:w="270" w:type="pct"/>
            <w:shd w:val="clear" w:color="auto" w:fill="auto"/>
            <w:vAlign w:val="center"/>
          </w:tcPr>
          <w:p w14:paraId="4CAF7002">
            <w:pPr>
              <w:pStyle w:val="90"/>
            </w:pPr>
            <w:r>
              <w:t>0.13</w:t>
            </w:r>
          </w:p>
        </w:tc>
      </w:tr>
      <w:tr w14:paraId="7AE23E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2D456A23">
            <w:pPr>
              <w:pStyle w:val="90"/>
            </w:pPr>
            <w:r>
              <w:t>八月</w:t>
            </w:r>
          </w:p>
        </w:tc>
        <w:tc>
          <w:tcPr>
            <w:tcW w:w="218" w:type="pct"/>
            <w:shd w:val="clear" w:color="auto" w:fill="auto"/>
            <w:vAlign w:val="center"/>
          </w:tcPr>
          <w:p w14:paraId="239A6555">
            <w:pPr>
              <w:pStyle w:val="90"/>
            </w:pPr>
            <w:r>
              <w:t>4.44</w:t>
            </w:r>
          </w:p>
        </w:tc>
        <w:tc>
          <w:tcPr>
            <w:tcW w:w="278" w:type="pct"/>
            <w:shd w:val="clear" w:color="auto" w:fill="auto"/>
            <w:vAlign w:val="center"/>
          </w:tcPr>
          <w:p w14:paraId="5C438A15">
            <w:pPr>
              <w:pStyle w:val="90"/>
            </w:pPr>
            <w:r>
              <w:t>2.28</w:t>
            </w:r>
          </w:p>
        </w:tc>
        <w:tc>
          <w:tcPr>
            <w:tcW w:w="279" w:type="pct"/>
            <w:shd w:val="clear" w:color="auto" w:fill="auto"/>
            <w:vAlign w:val="center"/>
          </w:tcPr>
          <w:p w14:paraId="1E721361">
            <w:pPr>
              <w:pStyle w:val="90"/>
            </w:pPr>
            <w:r>
              <w:t>3.49</w:t>
            </w:r>
          </w:p>
        </w:tc>
        <w:tc>
          <w:tcPr>
            <w:tcW w:w="278" w:type="pct"/>
            <w:shd w:val="clear" w:color="auto" w:fill="auto"/>
            <w:vAlign w:val="center"/>
          </w:tcPr>
          <w:p w14:paraId="7E818F4C">
            <w:pPr>
              <w:pStyle w:val="90"/>
            </w:pPr>
            <w:r>
              <w:t>2.15</w:t>
            </w:r>
          </w:p>
        </w:tc>
        <w:tc>
          <w:tcPr>
            <w:tcW w:w="278" w:type="pct"/>
            <w:shd w:val="clear" w:color="auto" w:fill="auto"/>
            <w:vAlign w:val="center"/>
          </w:tcPr>
          <w:p w14:paraId="0AB4DE6D">
            <w:pPr>
              <w:pStyle w:val="90"/>
            </w:pPr>
            <w:r>
              <w:t>5.78</w:t>
            </w:r>
          </w:p>
        </w:tc>
        <w:tc>
          <w:tcPr>
            <w:tcW w:w="278" w:type="pct"/>
            <w:shd w:val="clear" w:color="auto" w:fill="auto"/>
            <w:vAlign w:val="center"/>
          </w:tcPr>
          <w:p w14:paraId="7CAD8016">
            <w:pPr>
              <w:pStyle w:val="90"/>
            </w:pPr>
            <w:r>
              <w:t>8.47</w:t>
            </w:r>
          </w:p>
        </w:tc>
        <w:tc>
          <w:tcPr>
            <w:tcW w:w="278" w:type="pct"/>
            <w:shd w:val="clear" w:color="auto" w:fill="auto"/>
            <w:vAlign w:val="center"/>
          </w:tcPr>
          <w:p w14:paraId="0B50E382">
            <w:pPr>
              <w:pStyle w:val="90"/>
            </w:pPr>
            <w:r>
              <w:t>7.66</w:t>
            </w:r>
          </w:p>
        </w:tc>
        <w:tc>
          <w:tcPr>
            <w:tcW w:w="278" w:type="pct"/>
            <w:shd w:val="clear" w:color="auto" w:fill="auto"/>
            <w:vAlign w:val="center"/>
          </w:tcPr>
          <w:p w14:paraId="589490F0">
            <w:pPr>
              <w:pStyle w:val="90"/>
            </w:pPr>
            <w:r>
              <w:t>4.30</w:t>
            </w:r>
          </w:p>
        </w:tc>
        <w:tc>
          <w:tcPr>
            <w:tcW w:w="278" w:type="pct"/>
            <w:shd w:val="clear" w:color="auto" w:fill="auto"/>
            <w:vAlign w:val="center"/>
          </w:tcPr>
          <w:p w14:paraId="6CF358C9">
            <w:pPr>
              <w:pStyle w:val="90"/>
            </w:pPr>
            <w:r>
              <w:t>8.06</w:t>
            </w:r>
          </w:p>
        </w:tc>
        <w:tc>
          <w:tcPr>
            <w:tcW w:w="279" w:type="pct"/>
            <w:shd w:val="clear" w:color="auto" w:fill="auto"/>
            <w:vAlign w:val="center"/>
          </w:tcPr>
          <w:p w14:paraId="1B7A7FF0">
            <w:pPr>
              <w:pStyle w:val="90"/>
            </w:pPr>
            <w:r>
              <w:t>4.70</w:t>
            </w:r>
          </w:p>
        </w:tc>
        <w:tc>
          <w:tcPr>
            <w:tcW w:w="278" w:type="pct"/>
            <w:shd w:val="clear" w:color="auto" w:fill="auto"/>
            <w:vAlign w:val="center"/>
          </w:tcPr>
          <w:p w14:paraId="0E75544F">
            <w:pPr>
              <w:pStyle w:val="90"/>
            </w:pPr>
            <w:r>
              <w:t>2.28</w:t>
            </w:r>
          </w:p>
        </w:tc>
        <w:tc>
          <w:tcPr>
            <w:tcW w:w="278" w:type="pct"/>
            <w:shd w:val="clear" w:color="auto" w:fill="auto"/>
            <w:vAlign w:val="center"/>
          </w:tcPr>
          <w:p w14:paraId="37E4A678">
            <w:pPr>
              <w:pStyle w:val="90"/>
            </w:pPr>
            <w:r>
              <w:t>1.61</w:t>
            </w:r>
          </w:p>
        </w:tc>
        <w:tc>
          <w:tcPr>
            <w:tcW w:w="278" w:type="pct"/>
            <w:shd w:val="clear" w:color="auto" w:fill="auto"/>
            <w:vAlign w:val="center"/>
          </w:tcPr>
          <w:p w14:paraId="1427019B">
            <w:pPr>
              <w:pStyle w:val="90"/>
            </w:pPr>
            <w:r>
              <w:t>2.42</w:t>
            </w:r>
          </w:p>
        </w:tc>
        <w:tc>
          <w:tcPr>
            <w:tcW w:w="278" w:type="pct"/>
            <w:shd w:val="clear" w:color="auto" w:fill="auto"/>
            <w:vAlign w:val="center"/>
          </w:tcPr>
          <w:p w14:paraId="710F4272">
            <w:pPr>
              <w:pStyle w:val="90"/>
            </w:pPr>
            <w:r>
              <w:t>4.03</w:t>
            </w:r>
          </w:p>
        </w:tc>
        <w:tc>
          <w:tcPr>
            <w:tcW w:w="279" w:type="pct"/>
            <w:shd w:val="clear" w:color="auto" w:fill="auto"/>
            <w:vAlign w:val="center"/>
          </w:tcPr>
          <w:p w14:paraId="47A8D4F9">
            <w:pPr>
              <w:pStyle w:val="90"/>
            </w:pPr>
            <w:r>
              <w:t>14.78</w:t>
            </w:r>
          </w:p>
        </w:tc>
        <w:tc>
          <w:tcPr>
            <w:tcW w:w="278" w:type="pct"/>
            <w:shd w:val="clear" w:color="auto" w:fill="auto"/>
            <w:vAlign w:val="center"/>
          </w:tcPr>
          <w:p w14:paraId="084A3E2F">
            <w:pPr>
              <w:pStyle w:val="90"/>
            </w:pPr>
            <w:r>
              <w:t>23.39</w:t>
            </w:r>
          </w:p>
        </w:tc>
        <w:tc>
          <w:tcPr>
            <w:tcW w:w="270" w:type="pct"/>
            <w:shd w:val="clear" w:color="auto" w:fill="auto"/>
            <w:vAlign w:val="center"/>
          </w:tcPr>
          <w:p w14:paraId="2642AE36">
            <w:pPr>
              <w:pStyle w:val="90"/>
            </w:pPr>
            <w:r>
              <w:t>0.13</w:t>
            </w:r>
          </w:p>
        </w:tc>
      </w:tr>
      <w:tr w14:paraId="6996CD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49733F34">
            <w:pPr>
              <w:pStyle w:val="90"/>
            </w:pPr>
            <w:r>
              <w:t>九月</w:t>
            </w:r>
          </w:p>
        </w:tc>
        <w:tc>
          <w:tcPr>
            <w:tcW w:w="218" w:type="pct"/>
            <w:shd w:val="clear" w:color="auto" w:fill="auto"/>
            <w:vAlign w:val="center"/>
          </w:tcPr>
          <w:p w14:paraId="37C8A1FD">
            <w:pPr>
              <w:pStyle w:val="90"/>
            </w:pPr>
            <w:r>
              <w:t>3.89</w:t>
            </w:r>
          </w:p>
        </w:tc>
        <w:tc>
          <w:tcPr>
            <w:tcW w:w="278" w:type="pct"/>
            <w:shd w:val="clear" w:color="auto" w:fill="auto"/>
            <w:vAlign w:val="center"/>
          </w:tcPr>
          <w:p w14:paraId="4659231E">
            <w:pPr>
              <w:pStyle w:val="90"/>
            </w:pPr>
            <w:r>
              <w:t>3.47</w:t>
            </w:r>
          </w:p>
        </w:tc>
        <w:tc>
          <w:tcPr>
            <w:tcW w:w="279" w:type="pct"/>
            <w:shd w:val="clear" w:color="auto" w:fill="auto"/>
            <w:vAlign w:val="center"/>
          </w:tcPr>
          <w:p w14:paraId="720435DC">
            <w:pPr>
              <w:pStyle w:val="90"/>
            </w:pPr>
            <w:r>
              <w:t>2.92</w:t>
            </w:r>
          </w:p>
        </w:tc>
        <w:tc>
          <w:tcPr>
            <w:tcW w:w="278" w:type="pct"/>
            <w:shd w:val="clear" w:color="auto" w:fill="auto"/>
            <w:vAlign w:val="center"/>
          </w:tcPr>
          <w:p w14:paraId="6131494A">
            <w:pPr>
              <w:pStyle w:val="90"/>
            </w:pPr>
            <w:r>
              <w:t>4.31</w:t>
            </w:r>
          </w:p>
        </w:tc>
        <w:tc>
          <w:tcPr>
            <w:tcW w:w="278" w:type="pct"/>
            <w:shd w:val="clear" w:color="auto" w:fill="auto"/>
            <w:vAlign w:val="center"/>
          </w:tcPr>
          <w:p w14:paraId="55F9285E">
            <w:pPr>
              <w:pStyle w:val="90"/>
            </w:pPr>
            <w:r>
              <w:t>7.08</w:t>
            </w:r>
          </w:p>
        </w:tc>
        <w:tc>
          <w:tcPr>
            <w:tcW w:w="278" w:type="pct"/>
            <w:shd w:val="clear" w:color="auto" w:fill="auto"/>
            <w:vAlign w:val="center"/>
          </w:tcPr>
          <w:p w14:paraId="19808342">
            <w:pPr>
              <w:pStyle w:val="90"/>
            </w:pPr>
            <w:r>
              <w:t>6.25</w:t>
            </w:r>
          </w:p>
        </w:tc>
        <w:tc>
          <w:tcPr>
            <w:tcW w:w="278" w:type="pct"/>
            <w:shd w:val="clear" w:color="auto" w:fill="auto"/>
            <w:vAlign w:val="center"/>
          </w:tcPr>
          <w:p w14:paraId="0E248D01">
            <w:pPr>
              <w:pStyle w:val="90"/>
            </w:pPr>
            <w:r>
              <w:t>5.56</w:t>
            </w:r>
          </w:p>
        </w:tc>
        <w:tc>
          <w:tcPr>
            <w:tcW w:w="278" w:type="pct"/>
            <w:shd w:val="clear" w:color="auto" w:fill="auto"/>
            <w:vAlign w:val="center"/>
          </w:tcPr>
          <w:p w14:paraId="0F262CFF">
            <w:pPr>
              <w:pStyle w:val="90"/>
            </w:pPr>
            <w:r>
              <w:t>5.42</w:t>
            </w:r>
          </w:p>
        </w:tc>
        <w:tc>
          <w:tcPr>
            <w:tcW w:w="278" w:type="pct"/>
            <w:shd w:val="clear" w:color="auto" w:fill="auto"/>
            <w:vAlign w:val="center"/>
          </w:tcPr>
          <w:p w14:paraId="3FBD0C56">
            <w:pPr>
              <w:pStyle w:val="90"/>
            </w:pPr>
            <w:r>
              <w:t>5.83</w:t>
            </w:r>
          </w:p>
        </w:tc>
        <w:tc>
          <w:tcPr>
            <w:tcW w:w="279" w:type="pct"/>
            <w:shd w:val="clear" w:color="auto" w:fill="auto"/>
            <w:vAlign w:val="center"/>
          </w:tcPr>
          <w:p w14:paraId="6CCEF1F9">
            <w:pPr>
              <w:pStyle w:val="90"/>
            </w:pPr>
            <w:r>
              <w:t>3.47</w:t>
            </w:r>
          </w:p>
        </w:tc>
        <w:tc>
          <w:tcPr>
            <w:tcW w:w="278" w:type="pct"/>
            <w:shd w:val="clear" w:color="auto" w:fill="auto"/>
            <w:vAlign w:val="center"/>
          </w:tcPr>
          <w:p w14:paraId="48FEF8AE">
            <w:pPr>
              <w:pStyle w:val="90"/>
            </w:pPr>
            <w:r>
              <w:t>0.69</w:t>
            </w:r>
          </w:p>
        </w:tc>
        <w:tc>
          <w:tcPr>
            <w:tcW w:w="278" w:type="pct"/>
            <w:shd w:val="clear" w:color="auto" w:fill="auto"/>
            <w:vAlign w:val="center"/>
          </w:tcPr>
          <w:p w14:paraId="26064649">
            <w:pPr>
              <w:pStyle w:val="90"/>
            </w:pPr>
            <w:r>
              <w:t>2.08</w:t>
            </w:r>
          </w:p>
        </w:tc>
        <w:tc>
          <w:tcPr>
            <w:tcW w:w="278" w:type="pct"/>
            <w:shd w:val="clear" w:color="auto" w:fill="auto"/>
            <w:vAlign w:val="center"/>
          </w:tcPr>
          <w:p w14:paraId="7071774B">
            <w:pPr>
              <w:pStyle w:val="90"/>
            </w:pPr>
            <w:r>
              <w:t>2.22</w:t>
            </w:r>
          </w:p>
        </w:tc>
        <w:tc>
          <w:tcPr>
            <w:tcW w:w="278" w:type="pct"/>
            <w:shd w:val="clear" w:color="auto" w:fill="auto"/>
            <w:vAlign w:val="center"/>
          </w:tcPr>
          <w:p w14:paraId="39288784">
            <w:pPr>
              <w:pStyle w:val="90"/>
            </w:pPr>
            <w:r>
              <w:t>3.75</w:t>
            </w:r>
          </w:p>
        </w:tc>
        <w:tc>
          <w:tcPr>
            <w:tcW w:w="279" w:type="pct"/>
            <w:shd w:val="clear" w:color="auto" w:fill="auto"/>
            <w:vAlign w:val="center"/>
          </w:tcPr>
          <w:p w14:paraId="272176AB">
            <w:pPr>
              <w:pStyle w:val="90"/>
            </w:pPr>
            <w:r>
              <w:t>15.14</w:t>
            </w:r>
          </w:p>
        </w:tc>
        <w:tc>
          <w:tcPr>
            <w:tcW w:w="278" w:type="pct"/>
            <w:shd w:val="clear" w:color="auto" w:fill="auto"/>
            <w:vAlign w:val="center"/>
          </w:tcPr>
          <w:p w14:paraId="69438A81">
            <w:pPr>
              <w:pStyle w:val="90"/>
            </w:pPr>
            <w:r>
              <w:t>27.64</w:t>
            </w:r>
          </w:p>
        </w:tc>
        <w:tc>
          <w:tcPr>
            <w:tcW w:w="270" w:type="pct"/>
            <w:shd w:val="clear" w:color="auto" w:fill="auto"/>
            <w:vAlign w:val="center"/>
          </w:tcPr>
          <w:p w14:paraId="5D3F8740">
            <w:pPr>
              <w:pStyle w:val="90"/>
            </w:pPr>
            <w:r>
              <w:t>0.28</w:t>
            </w:r>
          </w:p>
        </w:tc>
      </w:tr>
      <w:tr w14:paraId="4743AE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123F84E2">
            <w:pPr>
              <w:pStyle w:val="90"/>
            </w:pPr>
            <w:r>
              <w:t>十月</w:t>
            </w:r>
          </w:p>
        </w:tc>
        <w:tc>
          <w:tcPr>
            <w:tcW w:w="218" w:type="pct"/>
            <w:shd w:val="clear" w:color="auto" w:fill="auto"/>
            <w:vAlign w:val="center"/>
          </w:tcPr>
          <w:p w14:paraId="05FF2ABD">
            <w:pPr>
              <w:pStyle w:val="90"/>
            </w:pPr>
            <w:r>
              <w:t>2.55</w:t>
            </w:r>
          </w:p>
        </w:tc>
        <w:tc>
          <w:tcPr>
            <w:tcW w:w="278" w:type="pct"/>
            <w:shd w:val="clear" w:color="auto" w:fill="auto"/>
            <w:vAlign w:val="center"/>
          </w:tcPr>
          <w:p w14:paraId="2C61C84E">
            <w:pPr>
              <w:pStyle w:val="90"/>
            </w:pPr>
            <w:r>
              <w:t>2.42</w:t>
            </w:r>
          </w:p>
        </w:tc>
        <w:tc>
          <w:tcPr>
            <w:tcW w:w="279" w:type="pct"/>
            <w:shd w:val="clear" w:color="auto" w:fill="auto"/>
            <w:vAlign w:val="center"/>
          </w:tcPr>
          <w:p w14:paraId="6114F7A1">
            <w:pPr>
              <w:pStyle w:val="90"/>
            </w:pPr>
            <w:r>
              <w:t>2.28</w:t>
            </w:r>
          </w:p>
        </w:tc>
        <w:tc>
          <w:tcPr>
            <w:tcW w:w="278" w:type="pct"/>
            <w:shd w:val="clear" w:color="auto" w:fill="auto"/>
            <w:vAlign w:val="center"/>
          </w:tcPr>
          <w:p w14:paraId="0F7B12D4">
            <w:pPr>
              <w:pStyle w:val="90"/>
            </w:pPr>
            <w:r>
              <w:t>2.28</w:t>
            </w:r>
          </w:p>
        </w:tc>
        <w:tc>
          <w:tcPr>
            <w:tcW w:w="278" w:type="pct"/>
            <w:shd w:val="clear" w:color="auto" w:fill="auto"/>
            <w:vAlign w:val="center"/>
          </w:tcPr>
          <w:p w14:paraId="44F8B760">
            <w:pPr>
              <w:pStyle w:val="90"/>
            </w:pPr>
            <w:r>
              <w:t>8.87</w:t>
            </w:r>
          </w:p>
        </w:tc>
        <w:tc>
          <w:tcPr>
            <w:tcW w:w="278" w:type="pct"/>
            <w:shd w:val="clear" w:color="auto" w:fill="auto"/>
            <w:vAlign w:val="center"/>
          </w:tcPr>
          <w:p w14:paraId="16CA5D47">
            <w:pPr>
              <w:pStyle w:val="90"/>
            </w:pPr>
            <w:r>
              <w:t>5.24</w:t>
            </w:r>
          </w:p>
        </w:tc>
        <w:tc>
          <w:tcPr>
            <w:tcW w:w="278" w:type="pct"/>
            <w:shd w:val="clear" w:color="auto" w:fill="auto"/>
            <w:vAlign w:val="center"/>
          </w:tcPr>
          <w:p w14:paraId="6270FFD8">
            <w:pPr>
              <w:pStyle w:val="90"/>
            </w:pPr>
            <w:r>
              <w:t>4.84</w:t>
            </w:r>
          </w:p>
        </w:tc>
        <w:tc>
          <w:tcPr>
            <w:tcW w:w="278" w:type="pct"/>
            <w:shd w:val="clear" w:color="auto" w:fill="auto"/>
            <w:vAlign w:val="center"/>
          </w:tcPr>
          <w:p w14:paraId="097D9003">
            <w:pPr>
              <w:pStyle w:val="90"/>
            </w:pPr>
            <w:r>
              <w:t>3.49</w:t>
            </w:r>
          </w:p>
        </w:tc>
        <w:tc>
          <w:tcPr>
            <w:tcW w:w="278" w:type="pct"/>
            <w:shd w:val="clear" w:color="auto" w:fill="auto"/>
            <w:vAlign w:val="center"/>
          </w:tcPr>
          <w:p w14:paraId="25FDE970">
            <w:pPr>
              <w:pStyle w:val="90"/>
            </w:pPr>
            <w:r>
              <w:t>4.17</w:t>
            </w:r>
          </w:p>
        </w:tc>
        <w:tc>
          <w:tcPr>
            <w:tcW w:w="279" w:type="pct"/>
            <w:shd w:val="clear" w:color="auto" w:fill="auto"/>
            <w:vAlign w:val="center"/>
          </w:tcPr>
          <w:p w14:paraId="442382E9">
            <w:pPr>
              <w:pStyle w:val="90"/>
            </w:pPr>
            <w:r>
              <w:t>2.96</w:t>
            </w:r>
          </w:p>
        </w:tc>
        <w:tc>
          <w:tcPr>
            <w:tcW w:w="278" w:type="pct"/>
            <w:shd w:val="clear" w:color="auto" w:fill="auto"/>
            <w:vAlign w:val="center"/>
          </w:tcPr>
          <w:p w14:paraId="79E2F720">
            <w:pPr>
              <w:pStyle w:val="90"/>
            </w:pPr>
            <w:r>
              <w:t>3.09</w:t>
            </w:r>
          </w:p>
        </w:tc>
        <w:tc>
          <w:tcPr>
            <w:tcW w:w="278" w:type="pct"/>
            <w:shd w:val="clear" w:color="auto" w:fill="auto"/>
            <w:vAlign w:val="center"/>
          </w:tcPr>
          <w:p w14:paraId="5B31EAF4">
            <w:pPr>
              <w:pStyle w:val="90"/>
            </w:pPr>
            <w:r>
              <w:t>1.75</w:t>
            </w:r>
          </w:p>
        </w:tc>
        <w:tc>
          <w:tcPr>
            <w:tcW w:w="278" w:type="pct"/>
            <w:shd w:val="clear" w:color="auto" w:fill="auto"/>
            <w:vAlign w:val="center"/>
          </w:tcPr>
          <w:p w14:paraId="676E23D9">
            <w:pPr>
              <w:pStyle w:val="90"/>
            </w:pPr>
            <w:r>
              <w:t>1.75</w:t>
            </w:r>
          </w:p>
        </w:tc>
        <w:tc>
          <w:tcPr>
            <w:tcW w:w="278" w:type="pct"/>
            <w:shd w:val="clear" w:color="auto" w:fill="auto"/>
            <w:vAlign w:val="center"/>
          </w:tcPr>
          <w:p w14:paraId="72830CF1">
            <w:pPr>
              <w:pStyle w:val="90"/>
            </w:pPr>
            <w:r>
              <w:t>2.69</w:t>
            </w:r>
          </w:p>
        </w:tc>
        <w:tc>
          <w:tcPr>
            <w:tcW w:w="279" w:type="pct"/>
            <w:shd w:val="clear" w:color="auto" w:fill="auto"/>
            <w:vAlign w:val="center"/>
          </w:tcPr>
          <w:p w14:paraId="296B3451">
            <w:pPr>
              <w:pStyle w:val="90"/>
            </w:pPr>
            <w:r>
              <w:t>25.13</w:t>
            </w:r>
          </w:p>
        </w:tc>
        <w:tc>
          <w:tcPr>
            <w:tcW w:w="278" w:type="pct"/>
            <w:shd w:val="clear" w:color="auto" w:fill="auto"/>
            <w:vAlign w:val="center"/>
          </w:tcPr>
          <w:p w14:paraId="35621226">
            <w:pPr>
              <w:pStyle w:val="90"/>
            </w:pPr>
            <w:r>
              <w:t>26.21</w:t>
            </w:r>
          </w:p>
        </w:tc>
        <w:tc>
          <w:tcPr>
            <w:tcW w:w="270" w:type="pct"/>
            <w:shd w:val="clear" w:color="auto" w:fill="auto"/>
            <w:vAlign w:val="center"/>
          </w:tcPr>
          <w:p w14:paraId="08C7980D">
            <w:pPr>
              <w:pStyle w:val="90"/>
            </w:pPr>
            <w:r>
              <w:t>0.27</w:t>
            </w:r>
          </w:p>
        </w:tc>
      </w:tr>
      <w:tr w14:paraId="1FCB5A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38375778">
            <w:pPr>
              <w:pStyle w:val="90"/>
            </w:pPr>
            <w:r>
              <w:t>十一月</w:t>
            </w:r>
          </w:p>
        </w:tc>
        <w:tc>
          <w:tcPr>
            <w:tcW w:w="218" w:type="pct"/>
            <w:shd w:val="clear" w:color="auto" w:fill="auto"/>
            <w:vAlign w:val="center"/>
          </w:tcPr>
          <w:p w14:paraId="07B30E63">
            <w:pPr>
              <w:pStyle w:val="90"/>
            </w:pPr>
            <w:r>
              <w:t>3.89</w:t>
            </w:r>
          </w:p>
        </w:tc>
        <w:tc>
          <w:tcPr>
            <w:tcW w:w="278" w:type="pct"/>
            <w:shd w:val="clear" w:color="auto" w:fill="auto"/>
            <w:vAlign w:val="center"/>
          </w:tcPr>
          <w:p w14:paraId="3BA5E156">
            <w:pPr>
              <w:pStyle w:val="90"/>
            </w:pPr>
            <w:r>
              <w:t>8.89</w:t>
            </w:r>
          </w:p>
        </w:tc>
        <w:tc>
          <w:tcPr>
            <w:tcW w:w="279" w:type="pct"/>
            <w:shd w:val="clear" w:color="auto" w:fill="auto"/>
            <w:vAlign w:val="center"/>
          </w:tcPr>
          <w:p w14:paraId="12AD90E5">
            <w:pPr>
              <w:pStyle w:val="90"/>
            </w:pPr>
            <w:r>
              <w:t>4.58</w:t>
            </w:r>
          </w:p>
        </w:tc>
        <w:tc>
          <w:tcPr>
            <w:tcW w:w="278" w:type="pct"/>
            <w:shd w:val="clear" w:color="auto" w:fill="auto"/>
            <w:vAlign w:val="center"/>
          </w:tcPr>
          <w:p w14:paraId="24219E87">
            <w:pPr>
              <w:pStyle w:val="90"/>
            </w:pPr>
            <w:r>
              <w:t>8.61</w:t>
            </w:r>
          </w:p>
        </w:tc>
        <w:tc>
          <w:tcPr>
            <w:tcW w:w="278" w:type="pct"/>
            <w:shd w:val="clear" w:color="auto" w:fill="auto"/>
            <w:vAlign w:val="center"/>
          </w:tcPr>
          <w:p w14:paraId="17A8F83F">
            <w:pPr>
              <w:pStyle w:val="90"/>
            </w:pPr>
            <w:r>
              <w:t>4.31</w:t>
            </w:r>
          </w:p>
        </w:tc>
        <w:tc>
          <w:tcPr>
            <w:tcW w:w="278" w:type="pct"/>
            <w:shd w:val="clear" w:color="auto" w:fill="auto"/>
            <w:vAlign w:val="center"/>
          </w:tcPr>
          <w:p w14:paraId="74375D9A">
            <w:pPr>
              <w:pStyle w:val="90"/>
            </w:pPr>
            <w:r>
              <w:t>1.67</w:t>
            </w:r>
          </w:p>
        </w:tc>
        <w:tc>
          <w:tcPr>
            <w:tcW w:w="278" w:type="pct"/>
            <w:shd w:val="clear" w:color="auto" w:fill="auto"/>
            <w:vAlign w:val="center"/>
          </w:tcPr>
          <w:p w14:paraId="0C963932">
            <w:pPr>
              <w:pStyle w:val="90"/>
            </w:pPr>
            <w:r>
              <w:t>1.81</w:t>
            </w:r>
          </w:p>
        </w:tc>
        <w:tc>
          <w:tcPr>
            <w:tcW w:w="278" w:type="pct"/>
            <w:shd w:val="clear" w:color="auto" w:fill="auto"/>
            <w:vAlign w:val="center"/>
          </w:tcPr>
          <w:p w14:paraId="23FB4ADB">
            <w:pPr>
              <w:pStyle w:val="90"/>
            </w:pPr>
            <w:r>
              <w:t>2.08</w:t>
            </w:r>
          </w:p>
        </w:tc>
        <w:tc>
          <w:tcPr>
            <w:tcW w:w="278" w:type="pct"/>
            <w:shd w:val="clear" w:color="auto" w:fill="auto"/>
            <w:vAlign w:val="center"/>
          </w:tcPr>
          <w:p w14:paraId="5812DF85">
            <w:pPr>
              <w:pStyle w:val="90"/>
            </w:pPr>
            <w:r>
              <w:t>5.69</w:t>
            </w:r>
          </w:p>
        </w:tc>
        <w:tc>
          <w:tcPr>
            <w:tcW w:w="279" w:type="pct"/>
            <w:shd w:val="clear" w:color="auto" w:fill="auto"/>
            <w:vAlign w:val="center"/>
          </w:tcPr>
          <w:p w14:paraId="78456F4C">
            <w:pPr>
              <w:pStyle w:val="90"/>
            </w:pPr>
            <w:r>
              <w:t>6.81</w:t>
            </w:r>
          </w:p>
        </w:tc>
        <w:tc>
          <w:tcPr>
            <w:tcW w:w="278" w:type="pct"/>
            <w:shd w:val="clear" w:color="auto" w:fill="auto"/>
            <w:vAlign w:val="center"/>
          </w:tcPr>
          <w:p w14:paraId="132713AE">
            <w:pPr>
              <w:pStyle w:val="90"/>
            </w:pPr>
            <w:r>
              <w:t>4.72</w:t>
            </w:r>
          </w:p>
        </w:tc>
        <w:tc>
          <w:tcPr>
            <w:tcW w:w="278" w:type="pct"/>
            <w:shd w:val="clear" w:color="auto" w:fill="auto"/>
            <w:vAlign w:val="center"/>
          </w:tcPr>
          <w:p w14:paraId="3676BA1E">
            <w:pPr>
              <w:pStyle w:val="90"/>
            </w:pPr>
            <w:r>
              <w:t>2.36</w:t>
            </w:r>
          </w:p>
        </w:tc>
        <w:tc>
          <w:tcPr>
            <w:tcW w:w="278" w:type="pct"/>
            <w:shd w:val="clear" w:color="auto" w:fill="auto"/>
            <w:vAlign w:val="center"/>
          </w:tcPr>
          <w:p w14:paraId="1203EA24">
            <w:pPr>
              <w:pStyle w:val="90"/>
            </w:pPr>
            <w:r>
              <w:t>2.50</w:t>
            </w:r>
          </w:p>
        </w:tc>
        <w:tc>
          <w:tcPr>
            <w:tcW w:w="278" w:type="pct"/>
            <w:shd w:val="clear" w:color="auto" w:fill="auto"/>
            <w:vAlign w:val="center"/>
          </w:tcPr>
          <w:p w14:paraId="76FBCAD3">
            <w:pPr>
              <w:pStyle w:val="90"/>
            </w:pPr>
            <w:r>
              <w:t>7.64</w:t>
            </w:r>
          </w:p>
        </w:tc>
        <w:tc>
          <w:tcPr>
            <w:tcW w:w="279" w:type="pct"/>
            <w:shd w:val="clear" w:color="auto" w:fill="auto"/>
            <w:vAlign w:val="center"/>
          </w:tcPr>
          <w:p w14:paraId="347E16F3">
            <w:pPr>
              <w:pStyle w:val="90"/>
            </w:pPr>
            <w:r>
              <w:t>22.08</w:t>
            </w:r>
          </w:p>
        </w:tc>
        <w:tc>
          <w:tcPr>
            <w:tcW w:w="278" w:type="pct"/>
            <w:shd w:val="clear" w:color="auto" w:fill="auto"/>
            <w:vAlign w:val="center"/>
          </w:tcPr>
          <w:p w14:paraId="586346EE">
            <w:pPr>
              <w:pStyle w:val="90"/>
            </w:pPr>
            <w:r>
              <w:t>9.86</w:t>
            </w:r>
          </w:p>
        </w:tc>
        <w:tc>
          <w:tcPr>
            <w:tcW w:w="270" w:type="pct"/>
            <w:shd w:val="clear" w:color="auto" w:fill="auto"/>
            <w:vAlign w:val="center"/>
          </w:tcPr>
          <w:p w14:paraId="6EAE69B4">
            <w:pPr>
              <w:pStyle w:val="90"/>
            </w:pPr>
            <w:r>
              <w:t>2.50</w:t>
            </w:r>
          </w:p>
        </w:tc>
      </w:tr>
      <w:tr w14:paraId="6B04DF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39C20C58">
            <w:pPr>
              <w:pStyle w:val="90"/>
            </w:pPr>
            <w:r>
              <w:t>十二月</w:t>
            </w:r>
          </w:p>
        </w:tc>
        <w:tc>
          <w:tcPr>
            <w:tcW w:w="218" w:type="pct"/>
            <w:shd w:val="clear" w:color="auto" w:fill="auto"/>
            <w:vAlign w:val="center"/>
          </w:tcPr>
          <w:p w14:paraId="4C0095FF">
            <w:pPr>
              <w:pStyle w:val="90"/>
            </w:pPr>
            <w:r>
              <w:t>1.88</w:t>
            </w:r>
          </w:p>
        </w:tc>
        <w:tc>
          <w:tcPr>
            <w:tcW w:w="278" w:type="pct"/>
            <w:shd w:val="clear" w:color="auto" w:fill="auto"/>
            <w:vAlign w:val="center"/>
          </w:tcPr>
          <w:p w14:paraId="5929976C">
            <w:pPr>
              <w:pStyle w:val="90"/>
            </w:pPr>
            <w:r>
              <w:t>20.30</w:t>
            </w:r>
          </w:p>
        </w:tc>
        <w:tc>
          <w:tcPr>
            <w:tcW w:w="279" w:type="pct"/>
            <w:shd w:val="clear" w:color="auto" w:fill="auto"/>
            <w:vAlign w:val="center"/>
          </w:tcPr>
          <w:p w14:paraId="4423D965">
            <w:pPr>
              <w:pStyle w:val="90"/>
            </w:pPr>
            <w:r>
              <w:t>5.91</w:t>
            </w:r>
          </w:p>
        </w:tc>
        <w:tc>
          <w:tcPr>
            <w:tcW w:w="278" w:type="pct"/>
            <w:shd w:val="clear" w:color="auto" w:fill="auto"/>
            <w:vAlign w:val="center"/>
          </w:tcPr>
          <w:p w14:paraId="62B4632D">
            <w:pPr>
              <w:pStyle w:val="90"/>
            </w:pPr>
            <w:r>
              <w:t>18.28</w:t>
            </w:r>
          </w:p>
        </w:tc>
        <w:tc>
          <w:tcPr>
            <w:tcW w:w="278" w:type="pct"/>
            <w:shd w:val="clear" w:color="auto" w:fill="auto"/>
            <w:vAlign w:val="center"/>
          </w:tcPr>
          <w:p w14:paraId="5DE15EBF">
            <w:pPr>
              <w:pStyle w:val="90"/>
            </w:pPr>
            <w:r>
              <w:t>4.57</w:t>
            </w:r>
          </w:p>
        </w:tc>
        <w:tc>
          <w:tcPr>
            <w:tcW w:w="278" w:type="pct"/>
            <w:shd w:val="clear" w:color="auto" w:fill="auto"/>
            <w:vAlign w:val="center"/>
          </w:tcPr>
          <w:p w14:paraId="32E1F4FA">
            <w:pPr>
              <w:pStyle w:val="90"/>
            </w:pPr>
            <w:r>
              <w:t>1.61</w:t>
            </w:r>
          </w:p>
        </w:tc>
        <w:tc>
          <w:tcPr>
            <w:tcW w:w="278" w:type="pct"/>
            <w:shd w:val="clear" w:color="auto" w:fill="auto"/>
            <w:vAlign w:val="center"/>
          </w:tcPr>
          <w:p w14:paraId="214A1B16">
            <w:pPr>
              <w:pStyle w:val="90"/>
            </w:pPr>
            <w:r>
              <w:t>0.00</w:t>
            </w:r>
          </w:p>
        </w:tc>
        <w:tc>
          <w:tcPr>
            <w:tcW w:w="278" w:type="pct"/>
            <w:shd w:val="clear" w:color="auto" w:fill="auto"/>
            <w:vAlign w:val="center"/>
          </w:tcPr>
          <w:p w14:paraId="4DE7D510">
            <w:pPr>
              <w:pStyle w:val="90"/>
            </w:pPr>
            <w:r>
              <w:t>1.21</w:t>
            </w:r>
          </w:p>
        </w:tc>
        <w:tc>
          <w:tcPr>
            <w:tcW w:w="278" w:type="pct"/>
            <w:shd w:val="clear" w:color="auto" w:fill="auto"/>
            <w:vAlign w:val="center"/>
          </w:tcPr>
          <w:p w14:paraId="28421A85">
            <w:pPr>
              <w:pStyle w:val="90"/>
            </w:pPr>
            <w:r>
              <w:t>2.15</w:t>
            </w:r>
          </w:p>
        </w:tc>
        <w:tc>
          <w:tcPr>
            <w:tcW w:w="279" w:type="pct"/>
            <w:shd w:val="clear" w:color="auto" w:fill="auto"/>
            <w:vAlign w:val="center"/>
          </w:tcPr>
          <w:p w14:paraId="718DDB92">
            <w:pPr>
              <w:pStyle w:val="90"/>
            </w:pPr>
            <w:r>
              <w:t>4.57</w:t>
            </w:r>
          </w:p>
        </w:tc>
        <w:tc>
          <w:tcPr>
            <w:tcW w:w="278" w:type="pct"/>
            <w:shd w:val="clear" w:color="auto" w:fill="auto"/>
            <w:vAlign w:val="center"/>
          </w:tcPr>
          <w:p w14:paraId="70125563">
            <w:pPr>
              <w:pStyle w:val="90"/>
            </w:pPr>
            <w:r>
              <w:t>9.14</w:t>
            </w:r>
          </w:p>
        </w:tc>
        <w:tc>
          <w:tcPr>
            <w:tcW w:w="278" w:type="pct"/>
            <w:shd w:val="clear" w:color="auto" w:fill="auto"/>
            <w:vAlign w:val="center"/>
          </w:tcPr>
          <w:p w14:paraId="2BAA279C">
            <w:pPr>
              <w:pStyle w:val="90"/>
            </w:pPr>
            <w:r>
              <w:t>2.82</w:t>
            </w:r>
          </w:p>
        </w:tc>
        <w:tc>
          <w:tcPr>
            <w:tcW w:w="278" w:type="pct"/>
            <w:shd w:val="clear" w:color="auto" w:fill="auto"/>
            <w:vAlign w:val="center"/>
          </w:tcPr>
          <w:p w14:paraId="2B7D715A">
            <w:pPr>
              <w:pStyle w:val="90"/>
            </w:pPr>
            <w:r>
              <w:t>1.21</w:t>
            </w:r>
          </w:p>
        </w:tc>
        <w:tc>
          <w:tcPr>
            <w:tcW w:w="278" w:type="pct"/>
            <w:shd w:val="clear" w:color="auto" w:fill="auto"/>
            <w:vAlign w:val="center"/>
          </w:tcPr>
          <w:p w14:paraId="6DD6945A">
            <w:pPr>
              <w:pStyle w:val="90"/>
            </w:pPr>
            <w:r>
              <w:t>1.75</w:t>
            </w:r>
          </w:p>
        </w:tc>
        <w:tc>
          <w:tcPr>
            <w:tcW w:w="279" w:type="pct"/>
            <w:shd w:val="clear" w:color="auto" w:fill="auto"/>
            <w:vAlign w:val="center"/>
          </w:tcPr>
          <w:p w14:paraId="65996654">
            <w:pPr>
              <w:pStyle w:val="90"/>
            </w:pPr>
            <w:r>
              <w:t>7.53</w:t>
            </w:r>
          </w:p>
        </w:tc>
        <w:tc>
          <w:tcPr>
            <w:tcW w:w="278" w:type="pct"/>
            <w:shd w:val="clear" w:color="auto" w:fill="auto"/>
            <w:vAlign w:val="center"/>
          </w:tcPr>
          <w:p w14:paraId="528C287E">
            <w:pPr>
              <w:pStyle w:val="90"/>
            </w:pPr>
            <w:r>
              <w:t>6.85</w:t>
            </w:r>
          </w:p>
        </w:tc>
        <w:tc>
          <w:tcPr>
            <w:tcW w:w="270" w:type="pct"/>
            <w:shd w:val="clear" w:color="auto" w:fill="auto"/>
            <w:vAlign w:val="center"/>
          </w:tcPr>
          <w:p w14:paraId="7E7D8BA7">
            <w:pPr>
              <w:pStyle w:val="90"/>
            </w:pPr>
            <w:r>
              <w:t>10.22</w:t>
            </w:r>
          </w:p>
        </w:tc>
      </w:tr>
      <w:tr w14:paraId="45368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477C0789">
            <w:pPr>
              <w:pStyle w:val="90"/>
            </w:pPr>
            <w:r>
              <w:t>全年</w:t>
            </w:r>
          </w:p>
        </w:tc>
        <w:tc>
          <w:tcPr>
            <w:tcW w:w="218" w:type="pct"/>
            <w:shd w:val="clear" w:color="auto" w:fill="auto"/>
            <w:vAlign w:val="center"/>
          </w:tcPr>
          <w:p w14:paraId="681BA1C2">
            <w:pPr>
              <w:pStyle w:val="90"/>
            </w:pPr>
            <w:r>
              <w:t>3.22</w:t>
            </w:r>
          </w:p>
        </w:tc>
        <w:tc>
          <w:tcPr>
            <w:tcW w:w="278" w:type="pct"/>
            <w:shd w:val="clear" w:color="auto" w:fill="auto"/>
            <w:vAlign w:val="center"/>
          </w:tcPr>
          <w:p w14:paraId="5613D484">
            <w:pPr>
              <w:pStyle w:val="90"/>
            </w:pPr>
            <w:r>
              <w:t>3.35</w:t>
            </w:r>
          </w:p>
        </w:tc>
        <w:tc>
          <w:tcPr>
            <w:tcW w:w="279" w:type="pct"/>
            <w:shd w:val="clear" w:color="auto" w:fill="auto"/>
            <w:vAlign w:val="center"/>
          </w:tcPr>
          <w:p w14:paraId="3471E912">
            <w:pPr>
              <w:pStyle w:val="90"/>
            </w:pPr>
            <w:r>
              <w:t>4.44</w:t>
            </w:r>
          </w:p>
        </w:tc>
        <w:tc>
          <w:tcPr>
            <w:tcW w:w="278" w:type="pct"/>
            <w:shd w:val="clear" w:color="auto" w:fill="auto"/>
            <w:vAlign w:val="center"/>
          </w:tcPr>
          <w:p w14:paraId="5C353CF8">
            <w:pPr>
              <w:pStyle w:val="90"/>
            </w:pPr>
            <w:r>
              <w:t>7.56</w:t>
            </w:r>
          </w:p>
        </w:tc>
        <w:tc>
          <w:tcPr>
            <w:tcW w:w="278" w:type="pct"/>
            <w:shd w:val="clear" w:color="auto" w:fill="auto"/>
            <w:vAlign w:val="center"/>
          </w:tcPr>
          <w:p w14:paraId="585CCF3D">
            <w:pPr>
              <w:pStyle w:val="90"/>
            </w:pPr>
            <w:r>
              <w:t>10.73</w:t>
            </w:r>
          </w:p>
        </w:tc>
        <w:tc>
          <w:tcPr>
            <w:tcW w:w="278" w:type="pct"/>
            <w:shd w:val="clear" w:color="auto" w:fill="auto"/>
            <w:vAlign w:val="center"/>
          </w:tcPr>
          <w:p w14:paraId="5B3DB2AC">
            <w:pPr>
              <w:pStyle w:val="90"/>
            </w:pPr>
            <w:r>
              <w:t>4.85</w:t>
            </w:r>
          </w:p>
        </w:tc>
        <w:tc>
          <w:tcPr>
            <w:tcW w:w="278" w:type="pct"/>
            <w:shd w:val="clear" w:color="auto" w:fill="auto"/>
            <w:vAlign w:val="center"/>
          </w:tcPr>
          <w:p w14:paraId="7BAB0F48">
            <w:pPr>
              <w:pStyle w:val="90"/>
            </w:pPr>
            <w:r>
              <w:t>4.03</w:t>
            </w:r>
          </w:p>
        </w:tc>
        <w:tc>
          <w:tcPr>
            <w:tcW w:w="278" w:type="pct"/>
            <w:shd w:val="clear" w:color="auto" w:fill="auto"/>
            <w:vAlign w:val="center"/>
          </w:tcPr>
          <w:p w14:paraId="17DEE35E">
            <w:pPr>
              <w:pStyle w:val="90"/>
            </w:pPr>
            <w:r>
              <w:t>3.99</w:t>
            </w:r>
          </w:p>
        </w:tc>
        <w:tc>
          <w:tcPr>
            <w:tcW w:w="278" w:type="pct"/>
            <w:shd w:val="clear" w:color="auto" w:fill="auto"/>
            <w:vAlign w:val="center"/>
          </w:tcPr>
          <w:p w14:paraId="0ACE4C52">
            <w:pPr>
              <w:pStyle w:val="90"/>
            </w:pPr>
            <w:r>
              <w:t>5.25</w:t>
            </w:r>
          </w:p>
        </w:tc>
        <w:tc>
          <w:tcPr>
            <w:tcW w:w="279" w:type="pct"/>
            <w:shd w:val="clear" w:color="auto" w:fill="auto"/>
            <w:vAlign w:val="center"/>
          </w:tcPr>
          <w:p w14:paraId="72A35AF9">
            <w:pPr>
              <w:pStyle w:val="90"/>
            </w:pPr>
            <w:r>
              <w:t>5.16</w:t>
            </w:r>
          </w:p>
        </w:tc>
        <w:tc>
          <w:tcPr>
            <w:tcW w:w="278" w:type="pct"/>
            <w:shd w:val="clear" w:color="auto" w:fill="auto"/>
            <w:vAlign w:val="center"/>
          </w:tcPr>
          <w:p w14:paraId="70768353">
            <w:pPr>
              <w:pStyle w:val="90"/>
            </w:pPr>
            <w:r>
              <w:t>3.03</w:t>
            </w:r>
          </w:p>
        </w:tc>
        <w:tc>
          <w:tcPr>
            <w:tcW w:w="278" w:type="pct"/>
            <w:shd w:val="clear" w:color="auto" w:fill="auto"/>
            <w:vAlign w:val="center"/>
          </w:tcPr>
          <w:p w14:paraId="766BEAD6">
            <w:pPr>
              <w:pStyle w:val="90"/>
            </w:pPr>
            <w:r>
              <w:t>2.45</w:t>
            </w:r>
          </w:p>
        </w:tc>
        <w:tc>
          <w:tcPr>
            <w:tcW w:w="278" w:type="pct"/>
            <w:shd w:val="clear" w:color="auto" w:fill="auto"/>
            <w:vAlign w:val="center"/>
          </w:tcPr>
          <w:p w14:paraId="0A71B1B6">
            <w:pPr>
              <w:pStyle w:val="90"/>
            </w:pPr>
            <w:r>
              <w:t>2.36</w:t>
            </w:r>
          </w:p>
        </w:tc>
        <w:tc>
          <w:tcPr>
            <w:tcW w:w="278" w:type="pct"/>
            <w:shd w:val="clear" w:color="auto" w:fill="auto"/>
            <w:vAlign w:val="center"/>
          </w:tcPr>
          <w:p w14:paraId="2F9EE82A">
            <w:pPr>
              <w:pStyle w:val="90"/>
            </w:pPr>
            <w:r>
              <w:t>4.53</w:t>
            </w:r>
          </w:p>
        </w:tc>
        <w:tc>
          <w:tcPr>
            <w:tcW w:w="279" w:type="pct"/>
            <w:shd w:val="clear" w:color="auto" w:fill="auto"/>
            <w:vAlign w:val="center"/>
          </w:tcPr>
          <w:p w14:paraId="2B723B8E">
            <w:pPr>
              <w:pStyle w:val="90"/>
            </w:pPr>
            <w:r>
              <w:t>18.25</w:t>
            </w:r>
          </w:p>
        </w:tc>
        <w:tc>
          <w:tcPr>
            <w:tcW w:w="278" w:type="pct"/>
            <w:shd w:val="clear" w:color="auto" w:fill="auto"/>
            <w:vAlign w:val="center"/>
          </w:tcPr>
          <w:p w14:paraId="7E697BD4">
            <w:pPr>
              <w:pStyle w:val="90"/>
            </w:pPr>
            <w:r>
              <w:t>16.39</w:t>
            </w:r>
          </w:p>
        </w:tc>
        <w:tc>
          <w:tcPr>
            <w:tcW w:w="270" w:type="pct"/>
            <w:shd w:val="clear" w:color="auto" w:fill="auto"/>
            <w:vAlign w:val="center"/>
          </w:tcPr>
          <w:p w14:paraId="33ACABE3">
            <w:pPr>
              <w:pStyle w:val="90"/>
            </w:pPr>
            <w:r>
              <w:t>0.41</w:t>
            </w:r>
          </w:p>
        </w:tc>
      </w:tr>
      <w:tr w14:paraId="48EB78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50FFB63E">
            <w:pPr>
              <w:pStyle w:val="90"/>
            </w:pPr>
            <w:r>
              <w:t>春季</w:t>
            </w:r>
          </w:p>
        </w:tc>
        <w:tc>
          <w:tcPr>
            <w:tcW w:w="218" w:type="pct"/>
            <w:shd w:val="clear" w:color="auto" w:fill="auto"/>
            <w:vAlign w:val="center"/>
          </w:tcPr>
          <w:p w14:paraId="06BEBC61">
            <w:pPr>
              <w:pStyle w:val="90"/>
            </w:pPr>
            <w:r>
              <w:t>4.57</w:t>
            </w:r>
          </w:p>
        </w:tc>
        <w:tc>
          <w:tcPr>
            <w:tcW w:w="278" w:type="pct"/>
            <w:shd w:val="clear" w:color="auto" w:fill="auto"/>
            <w:vAlign w:val="center"/>
          </w:tcPr>
          <w:p w14:paraId="484BB029">
            <w:pPr>
              <w:pStyle w:val="90"/>
            </w:pPr>
            <w:r>
              <w:t>2.81</w:t>
            </w:r>
          </w:p>
        </w:tc>
        <w:tc>
          <w:tcPr>
            <w:tcW w:w="279" w:type="pct"/>
            <w:shd w:val="clear" w:color="auto" w:fill="auto"/>
            <w:vAlign w:val="center"/>
          </w:tcPr>
          <w:p w14:paraId="006AFCCE">
            <w:pPr>
              <w:pStyle w:val="90"/>
            </w:pPr>
            <w:r>
              <w:t>3.13</w:t>
            </w:r>
          </w:p>
        </w:tc>
        <w:tc>
          <w:tcPr>
            <w:tcW w:w="278" w:type="pct"/>
            <w:shd w:val="clear" w:color="auto" w:fill="auto"/>
            <w:vAlign w:val="center"/>
          </w:tcPr>
          <w:p w14:paraId="4B7ED79D">
            <w:pPr>
              <w:pStyle w:val="90"/>
            </w:pPr>
            <w:r>
              <w:t>2.76</w:t>
            </w:r>
          </w:p>
        </w:tc>
        <w:tc>
          <w:tcPr>
            <w:tcW w:w="278" w:type="pct"/>
            <w:shd w:val="clear" w:color="auto" w:fill="auto"/>
            <w:vAlign w:val="center"/>
          </w:tcPr>
          <w:p w14:paraId="4CDA9D48">
            <w:pPr>
              <w:pStyle w:val="90"/>
            </w:pPr>
            <w:r>
              <w:t>4.98</w:t>
            </w:r>
          </w:p>
        </w:tc>
        <w:tc>
          <w:tcPr>
            <w:tcW w:w="278" w:type="pct"/>
            <w:shd w:val="clear" w:color="auto" w:fill="auto"/>
            <w:vAlign w:val="center"/>
          </w:tcPr>
          <w:p w14:paraId="77F5EFB2">
            <w:pPr>
              <w:pStyle w:val="90"/>
            </w:pPr>
            <w:r>
              <w:t>5.89</w:t>
            </w:r>
          </w:p>
        </w:tc>
        <w:tc>
          <w:tcPr>
            <w:tcW w:w="278" w:type="pct"/>
            <w:shd w:val="clear" w:color="auto" w:fill="auto"/>
            <w:vAlign w:val="center"/>
          </w:tcPr>
          <w:p w14:paraId="151FF5BC">
            <w:pPr>
              <w:pStyle w:val="90"/>
            </w:pPr>
            <w:r>
              <w:t>6.39</w:t>
            </w:r>
          </w:p>
        </w:tc>
        <w:tc>
          <w:tcPr>
            <w:tcW w:w="278" w:type="pct"/>
            <w:shd w:val="clear" w:color="auto" w:fill="auto"/>
            <w:vAlign w:val="center"/>
          </w:tcPr>
          <w:p w14:paraId="3A81F17B">
            <w:pPr>
              <w:pStyle w:val="90"/>
            </w:pPr>
            <w:r>
              <w:t>5.30</w:t>
            </w:r>
          </w:p>
        </w:tc>
        <w:tc>
          <w:tcPr>
            <w:tcW w:w="278" w:type="pct"/>
            <w:shd w:val="clear" w:color="auto" w:fill="auto"/>
            <w:vAlign w:val="center"/>
          </w:tcPr>
          <w:p w14:paraId="26DEF37B">
            <w:pPr>
              <w:pStyle w:val="90"/>
            </w:pPr>
            <w:r>
              <w:t>7.25</w:t>
            </w:r>
          </w:p>
        </w:tc>
        <w:tc>
          <w:tcPr>
            <w:tcW w:w="279" w:type="pct"/>
            <w:shd w:val="clear" w:color="auto" w:fill="auto"/>
            <w:vAlign w:val="center"/>
          </w:tcPr>
          <w:p w14:paraId="2F1C3500">
            <w:pPr>
              <w:pStyle w:val="90"/>
            </w:pPr>
            <w:r>
              <w:t>3.99</w:t>
            </w:r>
          </w:p>
        </w:tc>
        <w:tc>
          <w:tcPr>
            <w:tcW w:w="278" w:type="pct"/>
            <w:shd w:val="clear" w:color="auto" w:fill="auto"/>
            <w:vAlign w:val="center"/>
          </w:tcPr>
          <w:p w14:paraId="6AF86626">
            <w:pPr>
              <w:pStyle w:val="90"/>
            </w:pPr>
            <w:r>
              <w:t>2.45</w:t>
            </w:r>
          </w:p>
        </w:tc>
        <w:tc>
          <w:tcPr>
            <w:tcW w:w="278" w:type="pct"/>
            <w:shd w:val="clear" w:color="auto" w:fill="auto"/>
            <w:vAlign w:val="center"/>
          </w:tcPr>
          <w:p w14:paraId="6DACDE8D">
            <w:pPr>
              <w:pStyle w:val="90"/>
            </w:pPr>
            <w:r>
              <w:t>1.99</w:t>
            </w:r>
          </w:p>
        </w:tc>
        <w:tc>
          <w:tcPr>
            <w:tcW w:w="278" w:type="pct"/>
            <w:shd w:val="clear" w:color="auto" w:fill="auto"/>
            <w:vAlign w:val="center"/>
          </w:tcPr>
          <w:p w14:paraId="74622AB3">
            <w:pPr>
              <w:pStyle w:val="90"/>
            </w:pPr>
            <w:r>
              <w:t>3.31</w:t>
            </w:r>
          </w:p>
        </w:tc>
        <w:tc>
          <w:tcPr>
            <w:tcW w:w="278" w:type="pct"/>
            <w:shd w:val="clear" w:color="auto" w:fill="auto"/>
            <w:vAlign w:val="center"/>
          </w:tcPr>
          <w:p w14:paraId="3DA39758">
            <w:pPr>
              <w:pStyle w:val="90"/>
            </w:pPr>
            <w:r>
              <w:t>4.30</w:t>
            </w:r>
          </w:p>
        </w:tc>
        <w:tc>
          <w:tcPr>
            <w:tcW w:w="279" w:type="pct"/>
            <w:shd w:val="clear" w:color="auto" w:fill="auto"/>
            <w:vAlign w:val="center"/>
          </w:tcPr>
          <w:p w14:paraId="6DB900E7">
            <w:pPr>
              <w:pStyle w:val="90"/>
            </w:pPr>
            <w:r>
              <w:t>19.97</w:t>
            </w:r>
          </w:p>
        </w:tc>
        <w:tc>
          <w:tcPr>
            <w:tcW w:w="278" w:type="pct"/>
            <w:shd w:val="clear" w:color="auto" w:fill="auto"/>
            <w:vAlign w:val="center"/>
          </w:tcPr>
          <w:p w14:paraId="126ED73A">
            <w:pPr>
              <w:pStyle w:val="90"/>
            </w:pPr>
            <w:r>
              <w:t>20.79</w:t>
            </w:r>
          </w:p>
        </w:tc>
        <w:tc>
          <w:tcPr>
            <w:tcW w:w="270" w:type="pct"/>
            <w:shd w:val="clear" w:color="auto" w:fill="auto"/>
            <w:vAlign w:val="center"/>
          </w:tcPr>
          <w:p w14:paraId="61B78372">
            <w:pPr>
              <w:pStyle w:val="90"/>
            </w:pPr>
            <w:r>
              <w:t>0.14</w:t>
            </w:r>
          </w:p>
        </w:tc>
      </w:tr>
      <w:tr w14:paraId="39D89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64980B45">
            <w:pPr>
              <w:pStyle w:val="90"/>
            </w:pPr>
            <w:r>
              <w:t>夏季</w:t>
            </w:r>
          </w:p>
        </w:tc>
        <w:tc>
          <w:tcPr>
            <w:tcW w:w="218" w:type="pct"/>
            <w:shd w:val="clear" w:color="auto" w:fill="auto"/>
            <w:vAlign w:val="center"/>
          </w:tcPr>
          <w:p w14:paraId="214C5508">
            <w:pPr>
              <w:pStyle w:val="90"/>
            </w:pPr>
            <w:r>
              <w:t>3.43</w:t>
            </w:r>
          </w:p>
        </w:tc>
        <w:tc>
          <w:tcPr>
            <w:tcW w:w="278" w:type="pct"/>
            <w:shd w:val="clear" w:color="auto" w:fill="auto"/>
            <w:vAlign w:val="center"/>
          </w:tcPr>
          <w:p w14:paraId="4F79D068">
            <w:pPr>
              <w:pStyle w:val="90"/>
            </w:pPr>
            <w:r>
              <w:t>4.90</w:t>
            </w:r>
          </w:p>
        </w:tc>
        <w:tc>
          <w:tcPr>
            <w:tcW w:w="279" w:type="pct"/>
            <w:shd w:val="clear" w:color="auto" w:fill="auto"/>
            <w:vAlign w:val="center"/>
          </w:tcPr>
          <w:p w14:paraId="043810B3">
            <w:pPr>
              <w:pStyle w:val="90"/>
            </w:pPr>
            <w:r>
              <w:t>3.25</w:t>
            </w:r>
          </w:p>
        </w:tc>
        <w:tc>
          <w:tcPr>
            <w:tcW w:w="278" w:type="pct"/>
            <w:shd w:val="clear" w:color="auto" w:fill="auto"/>
            <w:vAlign w:val="center"/>
          </w:tcPr>
          <w:p w14:paraId="7E299511">
            <w:pPr>
              <w:pStyle w:val="90"/>
            </w:pPr>
            <w:r>
              <w:t>5.04</w:t>
            </w:r>
          </w:p>
        </w:tc>
        <w:tc>
          <w:tcPr>
            <w:tcW w:w="278" w:type="pct"/>
            <w:shd w:val="clear" w:color="auto" w:fill="auto"/>
            <w:vAlign w:val="center"/>
          </w:tcPr>
          <w:p w14:paraId="556CEFC3">
            <w:pPr>
              <w:pStyle w:val="90"/>
            </w:pPr>
            <w:r>
              <w:t>6.78</w:t>
            </w:r>
          </w:p>
        </w:tc>
        <w:tc>
          <w:tcPr>
            <w:tcW w:w="278" w:type="pct"/>
            <w:shd w:val="clear" w:color="auto" w:fill="auto"/>
            <w:vAlign w:val="center"/>
          </w:tcPr>
          <w:p w14:paraId="0FD5639D">
            <w:pPr>
              <w:pStyle w:val="90"/>
            </w:pPr>
            <w:r>
              <w:t>4.40</w:t>
            </w:r>
          </w:p>
        </w:tc>
        <w:tc>
          <w:tcPr>
            <w:tcW w:w="278" w:type="pct"/>
            <w:shd w:val="clear" w:color="auto" w:fill="auto"/>
            <w:vAlign w:val="center"/>
          </w:tcPr>
          <w:p w14:paraId="7E416624">
            <w:pPr>
              <w:pStyle w:val="90"/>
            </w:pPr>
            <w:r>
              <w:t>4.08</w:t>
            </w:r>
          </w:p>
        </w:tc>
        <w:tc>
          <w:tcPr>
            <w:tcW w:w="278" w:type="pct"/>
            <w:shd w:val="clear" w:color="auto" w:fill="auto"/>
            <w:vAlign w:val="center"/>
          </w:tcPr>
          <w:p w14:paraId="4A378A19">
            <w:pPr>
              <w:pStyle w:val="90"/>
            </w:pPr>
            <w:r>
              <w:t>3.66</w:t>
            </w:r>
          </w:p>
        </w:tc>
        <w:tc>
          <w:tcPr>
            <w:tcW w:w="278" w:type="pct"/>
            <w:shd w:val="clear" w:color="auto" w:fill="auto"/>
            <w:vAlign w:val="center"/>
          </w:tcPr>
          <w:p w14:paraId="51878C0F">
            <w:pPr>
              <w:pStyle w:val="90"/>
            </w:pPr>
            <w:r>
              <w:t>5.22</w:t>
            </w:r>
          </w:p>
        </w:tc>
        <w:tc>
          <w:tcPr>
            <w:tcW w:w="279" w:type="pct"/>
            <w:shd w:val="clear" w:color="auto" w:fill="auto"/>
            <w:vAlign w:val="center"/>
          </w:tcPr>
          <w:p w14:paraId="637876DD">
            <w:pPr>
              <w:pStyle w:val="90"/>
            </w:pPr>
            <w:r>
              <w:t>4.40</w:t>
            </w:r>
          </w:p>
        </w:tc>
        <w:tc>
          <w:tcPr>
            <w:tcW w:w="278" w:type="pct"/>
            <w:shd w:val="clear" w:color="auto" w:fill="auto"/>
            <w:vAlign w:val="center"/>
          </w:tcPr>
          <w:p w14:paraId="4E78E9D7">
            <w:pPr>
              <w:pStyle w:val="90"/>
            </w:pPr>
            <w:r>
              <w:t>2.84</w:t>
            </w:r>
          </w:p>
        </w:tc>
        <w:tc>
          <w:tcPr>
            <w:tcW w:w="278" w:type="pct"/>
            <w:shd w:val="clear" w:color="auto" w:fill="auto"/>
            <w:vAlign w:val="center"/>
          </w:tcPr>
          <w:p w14:paraId="49376991">
            <w:pPr>
              <w:pStyle w:val="90"/>
            </w:pPr>
            <w:r>
              <w:t>2.06</w:t>
            </w:r>
          </w:p>
        </w:tc>
        <w:tc>
          <w:tcPr>
            <w:tcW w:w="278" w:type="pct"/>
            <w:shd w:val="clear" w:color="auto" w:fill="auto"/>
            <w:vAlign w:val="center"/>
          </w:tcPr>
          <w:p w14:paraId="2BE1697C">
            <w:pPr>
              <w:pStyle w:val="90"/>
            </w:pPr>
            <w:r>
              <w:t>2.15</w:t>
            </w:r>
          </w:p>
        </w:tc>
        <w:tc>
          <w:tcPr>
            <w:tcW w:w="278" w:type="pct"/>
            <w:shd w:val="clear" w:color="auto" w:fill="auto"/>
            <w:vAlign w:val="center"/>
          </w:tcPr>
          <w:p w14:paraId="623D0EC6">
            <w:pPr>
              <w:pStyle w:val="90"/>
            </w:pPr>
            <w:r>
              <w:t>4.67</w:t>
            </w:r>
          </w:p>
        </w:tc>
        <w:tc>
          <w:tcPr>
            <w:tcW w:w="279" w:type="pct"/>
            <w:shd w:val="clear" w:color="auto" w:fill="auto"/>
            <w:vAlign w:val="center"/>
          </w:tcPr>
          <w:p w14:paraId="060D6882">
            <w:pPr>
              <w:pStyle w:val="90"/>
            </w:pPr>
            <w:r>
              <w:t>20.83</w:t>
            </w:r>
          </w:p>
        </w:tc>
        <w:tc>
          <w:tcPr>
            <w:tcW w:w="278" w:type="pct"/>
            <w:shd w:val="clear" w:color="auto" w:fill="auto"/>
            <w:vAlign w:val="center"/>
          </w:tcPr>
          <w:p w14:paraId="7A225044">
            <w:pPr>
              <w:pStyle w:val="90"/>
            </w:pPr>
            <w:r>
              <w:t>21.29</w:t>
            </w:r>
          </w:p>
        </w:tc>
        <w:tc>
          <w:tcPr>
            <w:tcW w:w="270" w:type="pct"/>
            <w:shd w:val="clear" w:color="auto" w:fill="auto"/>
            <w:vAlign w:val="center"/>
          </w:tcPr>
          <w:p w14:paraId="1344D5A0">
            <w:pPr>
              <w:pStyle w:val="90"/>
            </w:pPr>
            <w:r>
              <w:t>1.01</w:t>
            </w:r>
          </w:p>
        </w:tc>
      </w:tr>
      <w:tr w14:paraId="03518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25F90F9D">
            <w:pPr>
              <w:pStyle w:val="90"/>
            </w:pPr>
            <w:r>
              <w:t>秋季</w:t>
            </w:r>
          </w:p>
        </w:tc>
        <w:tc>
          <w:tcPr>
            <w:tcW w:w="218" w:type="pct"/>
            <w:shd w:val="clear" w:color="auto" w:fill="auto"/>
            <w:vAlign w:val="center"/>
          </w:tcPr>
          <w:p w14:paraId="49917BD7">
            <w:pPr>
              <w:pStyle w:val="90"/>
            </w:pPr>
            <w:r>
              <w:t>4.12</w:t>
            </w:r>
          </w:p>
        </w:tc>
        <w:tc>
          <w:tcPr>
            <w:tcW w:w="278" w:type="pct"/>
            <w:shd w:val="clear" w:color="auto" w:fill="auto"/>
            <w:vAlign w:val="center"/>
          </w:tcPr>
          <w:p w14:paraId="0F83DB4C">
            <w:pPr>
              <w:pStyle w:val="90"/>
            </w:pPr>
            <w:r>
              <w:t>11.39</w:t>
            </w:r>
          </w:p>
        </w:tc>
        <w:tc>
          <w:tcPr>
            <w:tcW w:w="279" w:type="pct"/>
            <w:shd w:val="clear" w:color="auto" w:fill="auto"/>
            <w:vAlign w:val="center"/>
          </w:tcPr>
          <w:p w14:paraId="7B9849BA">
            <w:pPr>
              <w:pStyle w:val="90"/>
            </w:pPr>
            <w:r>
              <w:t>5.28</w:t>
            </w:r>
          </w:p>
        </w:tc>
        <w:tc>
          <w:tcPr>
            <w:tcW w:w="278" w:type="pct"/>
            <w:shd w:val="clear" w:color="auto" w:fill="auto"/>
            <w:vAlign w:val="center"/>
          </w:tcPr>
          <w:p w14:paraId="16F23602">
            <w:pPr>
              <w:pStyle w:val="90"/>
            </w:pPr>
            <w:r>
              <w:t>13.80</w:t>
            </w:r>
          </w:p>
        </w:tc>
        <w:tc>
          <w:tcPr>
            <w:tcW w:w="278" w:type="pct"/>
            <w:shd w:val="clear" w:color="auto" w:fill="auto"/>
            <w:vAlign w:val="center"/>
          </w:tcPr>
          <w:p w14:paraId="1EE8B292">
            <w:pPr>
              <w:pStyle w:val="90"/>
            </w:pPr>
            <w:r>
              <w:t>11.34</w:t>
            </w:r>
          </w:p>
        </w:tc>
        <w:tc>
          <w:tcPr>
            <w:tcW w:w="278" w:type="pct"/>
            <w:shd w:val="clear" w:color="auto" w:fill="auto"/>
            <w:vAlign w:val="center"/>
          </w:tcPr>
          <w:p w14:paraId="4AACB686">
            <w:pPr>
              <w:pStyle w:val="90"/>
            </w:pPr>
            <w:r>
              <w:t>3.01</w:t>
            </w:r>
          </w:p>
        </w:tc>
        <w:tc>
          <w:tcPr>
            <w:tcW w:w="278" w:type="pct"/>
            <w:shd w:val="clear" w:color="auto" w:fill="auto"/>
            <w:vAlign w:val="center"/>
          </w:tcPr>
          <w:p w14:paraId="31E093C6">
            <w:pPr>
              <w:pStyle w:val="90"/>
            </w:pPr>
            <w:r>
              <w:t>1.34</w:t>
            </w:r>
          </w:p>
        </w:tc>
        <w:tc>
          <w:tcPr>
            <w:tcW w:w="278" w:type="pct"/>
            <w:shd w:val="clear" w:color="auto" w:fill="auto"/>
            <w:vAlign w:val="center"/>
          </w:tcPr>
          <w:p w14:paraId="5E34CA78">
            <w:pPr>
              <w:pStyle w:val="90"/>
            </w:pPr>
            <w:r>
              <w:t>1.62</w:t>
            </w:r>
          </w:p>
        </w:tc>
        <w:tc>
          <w:tcPr>
            <w:tcW w:w="278" w:type="pct"/>
            <w:shd w:val="clear" w:color="auto" w:fill="auto"/>
            <w:vAlign w:val="center"/>
          </w:tcPr>
          <w:p w14:paraId="15289AED">
            <w:pPr>
              <w:pStyle w:val="90"/>
            </w:pPr>
            <w:r>
              <w:t>2.27</w:t>
            </w:r>
          </w:p>
        </w:tc>
        <w:tc>
          <w:tcPr>
            <w:tcW w:w="279" w:type="pct"/>
            <w:shd w:val="clear" w:color="auto" w:fill="auto"/>
            <w:vAlign w:val="center"/>
          </w:tcPr>
          <w:p w14:paraId="1CD093C3">
            <w:pPr>
              <w:pStyle w:val="90"/>
            </w:pPr>
            <w:r>
              <w:t>3.84</w:t>
            </w:r>
          </w:p>
        </w:tc>
        <w:tc>
          <w:tcPr>
            <w:tcW w:w="278" w:type="pct"/>
            <w:shd w:val="clear" w:color="auto" w:fill="auto"/>
            <w:vAlign w:val="center"/>
          </w:tcPr>
          <w:p w14:paraId="4DB056FE">
            <w:pPr>
              <w:pStyle w:val="90"/>
            </w:pPr>
            <w:r>
              <w:t>9.21</w:t>
            </w:r>
          </w:p>
        </w:tc>
        <w:tc>
          <w:tcPr>
            <w:tcW w:w="278" w:type="pct"/>
            <w:shd w:val="clear" w:color="auto" w:fill="auto"/>
            <w:vAlign w:val="center"/>
          </w:tcPr>
          <w:p w14:paraId="23D807E0">
            <w:pPr>
              <w:pStyle w:val="90"/>
            </w:pPr>
            <w:r>
              <w:t>8.84</w:t>
            </w:r>
          </w:p>
        </w:tc>
        <w:tc>
          <w:tcPr>
            <w:tcW w:w="278" w:type="pct"/>
            <w:shd w:val="clear" w:color="auto" w:fill="auto"/>
            <w:vAlign w:val="center"/>
          </w:tcPr>
          <w:p w14:paraId="02AEEFA7">
            <w:pPr>
              <w:pStyle w:val="90"/>
            </w:pPr>
            <w:r>
              <w:t>3.01</w:t>
            </w:r>
          </w:p>
        </w:tc>
        <w:tc>
          <w:tcPr>
            <w:tcW w:w="278" w:type="pct"/>
            <w:shd w:val="clear" w:color="auto" w:fill="auto"/>
            <w:vAlign w:val="center"/>
          </w:tcPr>
          <w:p w14:paraId="026E7DBE">
            <w:pPr>
              <w:pStyle w:val="90"/>
            </w:pPr>
            <w:r>
              <w:t>2.36</w:t>
            </w:r>
          </w:p>
        </w:tc>
        <w:tc>
          <w:tcPr>
            <w:tcW w:w="279" w:type="pct"/>
            <w:shd w:val="clear" w:color="auto" w:fill="auto"/>
            <w:vAlign w:val="center"/>
          </w:tcPr>
          <w:p w14:paraId="7B3E6680">
            <w:pPr>
              <w:pStyle w:val="90"/>
            </w:pPr>
            <w:r>
              <w:t>6.16</w:t>
            </w:r>
          </w:p>
        </w:tc>
        <w:tc>
          <w:tcPr>
            <w:tcW w:w="278" w:type="pct"/>
            <w:shd w:val="clear" w:color="auto" w:fill="auto"/>
            <w:vAlign w:val="center"/>
          </w:tcPr>
          <w:p w14:paraId="22E2E5DC">
            <w:pPr>
              <w:pStyle w:val="90"/>
            </w:pPr>
            <w:r>
              <w:t>8.38</w:t>
            </w:r>
          </w:p>
        </w:tc>
        <w:tc>
          <w:tcPr>
            <w:tcW w:w="270" w:type="pct"/>
            <w:shd w:val="clear" w:color="auto" w:fill="auto"/>
            <w:vAlign w:val="center"/>
          </w:tcPr>
          <w:p w14:paraId="1DF241D4">
            <w:pPr>
              <w:pStyle w:val="90"/>
            </w:pPr>
            <w:r>
              <w:t>4.03</w:t>
            </w:r>
          </w:p>
        </w:tc>
      </w:tr>
      <w:tr w14:paraId="7B5DF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9" w:type="pct"/>
            <w:shd w:val="clear" w:color="auto" w:fill="auto"/>
          </w:tcPr>
          <w:p w14:paraId="4828865C">
            <w:pPr>
              <w:pStyle w:val="90"/>
            </w:pPr>
            <w:r>
              <w:t>冬季</w:t>
            </w:r>
          </w:p>
        </w:tc>
        <w:tc>
          <w:tcPr>
            <w:tcW w:w="218" w:type="pct"/>
            <w:shd w:val="clear" w:color="auto" w:fill="auto"/>
            <w:vAlign w:val="center"/>
          </w:tcPr>
          <w:p w14:paraId="30162D43">
            <w:pPr>
              <w:pStyle w:val="90"/>
            </w:pPr>
            <w:r>
              <w:t>3.84</w:t>
            </w:r>
          </w:p>
        </w:tc>
        <w:tc>
          <w:tcPr>
            <w:tcW w:w="278" w:type="pct"/>
            <w:shd w:val="clear" w:color="auto" w:fill="auto"/>
            <w:vAlign w:val="center"/>
          </w:tcPr>
          <w:p w14:paraId="1D3438C5">
            <w:pPr>
              <w:pStyle w:val="90"/>
            </w:pPr>
            <w:r>
              <w:t>5.58</w:t>
            </w:r>
          </w:p>
        </w:tc>
        <w:tc>
          <w:tcPr>
            <w:tcW w:w="279" w:type="pct"/>
            <w:shd w:val="clear" w:color="auto" w:fill="auto"/>
            <w:vAlign w:val="center"/>
          </w:tcPr>
          <w:p w14:paraId="2CFE68C3">
            <w:pPr>
              <w:pStyle w:val="90"/>
            </w:pPr>
            <w:r>
              <w:t>4.02</w:t>
            </w:r>
          </w:p>
        </w:tc>
        <w:tc>
          <w:tcPr>
            <w:tcW w:w="278" w:type="pct"/>
            <w:shd w:val="clear" w:color="auto" w:fill="auto"/>
            <w:vAlign w:val="center"/>
          </w:tcPr>
          <w:p w14:paraId="680F9935">
            <w:pPr>
              <w:pStyle w:val="90"/>
            </w:pPr>
            <w:r>
              <w:t>7.26</w:t>
            </w:r>
          </w:p>
        </w:tc>
        <w:tc>
          <w:tcPr>
            <w:tcW w:w="278" w:type="pct"/>
            <w:shd w:val="clear" w:color="auto" w:fill="auto"/>
            <w:vAlign w:val="center"/>
          </w:tcPr>
          <w:p w14:paraId="56535E66">
            <w:pPr>
              <w:pStyle w:val="90"/>
            </w:pPr>
            <w:r>
              <w:t>8.45</w:t>
            </w:r>
          </w:p>
        </w:tc>
        <w:tc>
          <w:tcPr>
            <w:tcW w:w="278" w:type="pct"/>
            <w:shd w:val="clear" w:color="auto" w:fill="auto"/>
            <w:vAlign w:val="center"/>
          </w:tcPr>
          <w:p w14:paraId="3E64353A">
            <w:pPr>
              <w:pStyle w:val="90"/>
            </w:pPr>
            <w:r>
              <w:t>4.54</w:t>
            </w:r>
          </w:p>
        </w:tc>
        <w:tc>
          <w:tcPr>
            <w:tcW w:w="278" w:type="pct"/>
            <w:shd w:val="clear" w:color="auto" w:fill="auto"/>
            <w:vAlign w:val="center"/>
          </w:tcPr>
          <w:p w14:paraId="37B68A5B">
            <w:pPr>
              <w:pStyle w:val="90"/>
            </w:pPr>
            <w:r>
              <w:t>3.97</w:t>
            </w:r>
          </w:p>
        </w:tc>
        <w:tc>
          <w:tcPr>
            <w:tcW w:w="278" w:type="pct"/>
            <w:shd w:val="clear" w:color="auto" w:fill="auto"/>
            <w:vAlign w:val="center"/>
          </w:tcPr>
          <w:p w14:paraId="6E3C078A">
            <w:pPr>
              <w:pStyle w:val="90"/>
            </w:pPr>
            <w:r>
              <w:t>3.65</w:t>
            </w:r>
          </w:p>
        </w:tc>
        <w:tc>
          <w:tcPr>
            <w:tcW w:w="278" w:type="pct"/>
            <w:shd w:val="clear" w:color="auto" w:fill="auto"/>
            <w:vAlign w:val="center"/>
          </w:tcPr>
          <w:p w14:paraId="4BA77D35">
            <w:pPr>
              <w:pStyle w:val="90"/>
            </w:pPr>
            <w:r>
              <w:t>5.01</w:t>
            </w:r>
          </w:p>
        </w:tc>
        <w:tc>
          <w:tcPr>
            <w:tcW w:w="279" w:type="pct"/>
            <w:shd w:val="clear" w:color="auto" w:fill="auto"/>
            <w:vAlign w:val="center"/>
          </w:tcPr>
          <w:p w14:paraId="0C7ED230">
            <w:pPr>
              <w:pStyle w:val="90"/>
            </w:pPr>
            <w:r>
              <w:t>4.35</w:t>
            </w:r>
          </w:p>
        </w:tc>
        <w:tc>
          <w:tcPr>
            <w:tcW w:w="278" w:type="pct"/>
            <w:shd w:val="clear" w:color="auto" w:fill="auto"/>
            <w:vAlign w:val="center"/>
          </w:tcPr>
          <w:p w14:paraId="414D3B0A">
            <w:pPr>
              <w:pStyle w:val="90"/>
            </w:pPr>
            <w:r>
              <w:t>4.36</w:t>
            </w:r>
          </w:p>
        </w:tc>
        <w:tc>
          <w:tcPr>
            <w:tcW w:w="278" w:type="pct"/>
            <w:shd w:val="clear" w:color="auto" w:fill="auto"/>
            <w:vAlign w:val="center"/>
          </w:tcPr>
          <w:p w14:paraId="01949E4A">
            <w:pPr>
              <w:pStyle w:val="90"/>
            </w:pPr>
            <w:r>
              <w:t>3.81</w:t>
            </w:r>
          </w:p>
        </w:tc>
        <w:tc>
          <w:tcPr>
            <w:tcW w:w="278" w:type="pct"/>
            <w:shd w:val="clear" w:color="auto" w:fill="auto"/>
            <w:vAlign w:val="center"/>
          </w:tcPr>
          <w:p w14:paraId="221461CA">
            <w:pPr>
              <w:pStyle w:val="90"/>
            </w:pPr>
            <w:r>
              <w:t>2.71</w:t>
            </w:r>
          </w:p>
        </w:tc>
        <w:tc>
          <w:tcPr>
            <w:tcW w:w="278" w:type="pct"/>
            <w:shd w:val="clear" w:color="auto" w:fill="auto"/>
            <w:vAlign w:val="center"/>
          </w:tcPr>
          <w:p w14:paraId="00B496F0">
            <w:pPr>
              <w:pStyle w:val="90"/>
            </w:pPr>
            <w:r>
              <w:t>3.97</w:t>
            </w:r>
          </w:p>
        </w:tc>
        <w:tc>
          <w:tcPr>
            <w:tcW w:w="279" w:type="pct"/>
            <w:shd w:val="clear" w:color="auto" w:fill="auto"/>
            <w:vAlign w:val="center"/>
          </w:tcPr>
          <w:p w14:paraId="54A0676F">
            <w:pPr>
              <w:pStyle w:val="90"/>
            </w:pPr>
            <w:r>
              <w:t>16.35</w:t>
            </w:r>
          </w:p>
        </w:tc>
        <w:tc>
          <w:tcPr>
            <w:tcW w:w="278" w:type="pct"/>
            <w:shd w:val="clear" w:color="auto" w:fill="auto"/>
            <w:vAlign w:val="center"/>
          </w:tcPr>
          <w:p w14:paraId="450D605F">
            <w:pPr>
              <w:pStyle w:val="90"/>
            </w:pPr>
            <w:r>
              <w:t>16.75</w:t>
            </w:r>
          </w:p>
        </w:tc>
        <w:tc>
          <w:tcPr>
            <w:tcW w:w="270" w:type="pct"/>
            <w:shd w:val="clear" w:color="auto" w:fill="auto"/>
            <w:vAlign w:val="center"/>
          </w:tcPr>
          <w:p w14:paraId="19ECB6DA">
            <w:pPr>
              <w:pStyle w:val="90"/>
            </w:pPr>
            <w:r>
              <w:t>1.38</w:t>
            </w:r>
          </w:p>
        </w:tc>
      </w:tr>
    </w:tbl>
    <w:p w14:paraId="17FB71CC">
      <w:pPr>
        <w:ind w:firstLine="480"/>
        <w:sectPr>
          <w:footerReference r:id="rId29" w:type="default"/>
          <w:pgSz w:w="16838" w:h="11906" w:orient="landscape"/>
          <w:pgMar w:top="1474" w:right="1440" w:bottom="1474" w:left="1440" w:header="851" w:footer="633" w:gutter="0"/>
          <w:pgBorders>
            <w:top w:val="none" w:sz="0" w:space="0"/>
            <w:left w:val="none" w:sz="0" w:space="0"/>
            <w:bottom w:val="none" w:sz="0" w:space="0"/>
            <w:right w:val="none" w:sz="0" w:space="0"/>
          </w:pgBorders>
          <w:pgNumType w:fmt="numberInDash"/>
          <w:cols w:space="425" w:num="1"/>
          <w:docGrid w:type="linesAndChars" w:linePitch="326" w:charSpace="0"/>
        </w:sectPr>
      </w:pPr>
    </w:p>
    <w:p w14:paraId="1078350E">
      <w:pPr>
        <w:pStyle w:val="47"/>
        <w:spacing w:before="0" w:beforeLines="0" w:after="0"/>
      </w:pPr>
    </w:p>
    <w:p w14:paraId="750D9130">
      <w:pPr>
        <w:pStyle w:val="49"/>
        <w:spacing w:before="163" w:after="163"/>
      </w:pPr>
      <w:r>
        <w:rPr>
          <w:rFonts w:hint="eastAsia"/>
        </w:rPr>
        <w:t>图5</w:t>
      </w:r>
      <w:r>
        <w:t xml:space="preserve">.1-18   </w:t>
      </w:r>
      <w:r>
        <w:rPr>
          <w:rFonts w:hint="eastAsia"/>
        </w:rPr>
        <w:t>克拉玛依</w:t>
      </w:r>
      <w:r>
        <w:t>气象站</w:t>
      </w:r>
      <w:r>
        <w:rPr>
          <w:rFonts w:hint="eastAsia"/>
        </w:rPr>
        <w:t>风速玫瑰图（2</w:t>
      </w:r>
      <w:r>
        <w:t>021年</w:t>
      </w:r>
      <w:r>
        <w:rPr>
          <w:rFonts w:hint="eastAsia"/>
        </w:rPr>
        <w:t>）</w:t>
      </w:r>
    </w:p>
    <w:p w14:paraId="1A301D37">
      <w:pPr>
        <w:pStyle w:val="43"/>
      </w:pPr>
      <w:bookmarkStart w:id="408" w:name="_Toc82518801"/>
      <w:bookmarkStart w:id="409" w:name="_Toc79515490"/>
      <w:bookmarkStart w:id="410" w:name="_Toc81214113"/>
      <w:bookmarkStart w:id="411" w:name="_Toc80193119"/>
      <w:bookmarkStart w:id="412" w:name="_Toc80973545"/>
      <w:bookmarkStart w:id="413" w:name="_Toc77007819"/>
      <w:bookmarkStart w:id="414" w:name="_Toc152864215"/>
      <w:r>
        <w:rPr>
          <w:rFonts w:hint="eastAsia"/>
        </w:rPr>
        <w:t>预测内容</w:t>
      </w:r>
      <w:bookmarkEnd w:id="408"/>
      <w:bookmarkEnd w:id="409"/>
      <w:bookmarkEnd w:id="410"/>
      <w:bookmarkEnd w:id="411"/>
      <w:bookmarkEnd w:id="412"/>
      <w:bookmarkEnd w:id="413"/>
      <w:bookmarkEnd w:id="414"/>
    </w:p>
    <w:p w14:paraId="4D7DA2DD">
      <w:pPr>
        <w:ind w:firstLine="480"/>
      </w:pPr>
      <w:r>
        <w:rPr>
          <w:rFonts w:hint="eastAsia"/>
        </w:rPr>
        <w:t>（1）本项目正常排放条件下，预测环境空气保护目标和网格点主要污染物的短期浓度和长期浓度的贡献值，评价其最大浓度占标率；</w:t>
      </w:r>
    </w:p>
    <w:p w14:paraId="7E2551CB">
      <w:pPr>
        <w:ind w:firstLine="480"/>
        <w:rPr>
          <w:lang w:bidi="en-US"/>
        </w:rPr>
      </w:pPr>
      <w:r>
        <w:rPr>
          <w:rFonts w:hint="eastAsia"/>
        </w:rPr>
        <w:t>（2）本</w:t>
      </w:r>
      <w:r>
        <w:rPr>
          <w:rFonts w:hint="eastAsia"/>
          <w:lang w:bidi="en-US"/>
        </w:rPr>
        <w:t>项目正常排放条件下，预测评价叠加环境空气质量现状浓度后，环境空气保护目标和网格点主要污染物的保证率日平均质量浓度和年平均质量浓度的达标情况；</w:t>
      </w:r>
    </w:p>
    <w:p w14:paraId="75CB4973">
      <w:pPr>
        <w:ind w:firstLine="480"/>
      </w:pPr>
      <w:r>
        <w:rPr>
          <w:rFonts w:hint="eastAsia"/>
          <w:lang w:bidi="en-US"/>
        </w:rPr>
        <w:t>（3）评价仅有短期浓度标准的污染物浓度叠加最大值后的达标情况；</w:t>
      </w:r>
    </w:p>
    <w:p w14:paraId="6A81ACA0">
      <w:pPr>
        <w:ind w:firstLine="480"/>
        <w:rPr>
          <w:lang w:bidi="en-US"/>
        </w:rPr>
      </w:pPr>
      <w:r>
        <w:rPr>
          <w:rFonts w:hint="eastAsia"/>
        </w:rPr>
        <w:t>（4）</w:t>
      </w:r>
      <w:r>
        <w:rPr>
          <w:rFonts w:hint="eastAsia"/>
          <w:lang w:bidi="en-US"/>
        </w:rPr>
        <w:t>评价区域环境质量的整体变化情况；</w:t>
      </w:r>
    </w:p>
    <w:p w14:paraId="7ABEDABB">
      <w:pPr>
        <w:ind w:firstLine="480"/>
      </w:pPr>
      <w:r>
        <w:rPr>
          <w:rFonts w:hint="eastAsia"/>
          <w:lang w:bidi="en-US"/>
        </w:rPr>
        <w:t>（5）非正常工况下，预测环境空气保护目标和网格点主要污染物的1h最大浓度贡献值，评价其最大浓度占标率。</w:t>
      </w:r>
    </w:p>
    <w:p w14:paraId="354DE32C">
      <w:pPr>
        <w:pStyle w:val="43"/>
      </w:pPr>
      <w:bookmarkStart w:id="415" w:name="_Toc79515491"/>
      <w:bookmarkStart w:id="416" w:name="_Toc82518802"/>
      <w:bookmarkStart w:id="417" w:name="_Toc80193120"/>
      <w:bookmarkStart w:id="418" w:name="_Toc77007820"/>
      <w:bookmarkStart w:id="419" w:name="_Toc80973546"/>
      <w:bookmarkStart w:id="420" w:name="_Toc152864216"/>
      <w:bookmarkStart w:id="421" w:name="_Toc81214114"/>
      <w:r>
        <w:rPr>
          <w:rFonts w:hint="eastAsia"/>
        </w:rPr>
        <w:t>预测参数</w:t>
      </w:r>
      <w:bookmarkEnd w:id="415"/>
      <w:bookmarkEnd w:id="416"/>
      <w:bookmarkEnd w:id="417"/>
      <w:bookmarkEnd w:id="418"/>
      <w:bookmarkEnd w:id="419"/>
      <w:bookmarkEnd w:id="420"/>
      <w:bookmarkEnd w:id="421"/>
    </w:p>
    <w:p w14:paraId="56B067C6">
      <w:pPr>
        <w:pStyle w:val="45"/>
        <w:spacing w:before="65" w:after="65"/>
      </w:pPr>
      <w:r>
        <w:rPr>
          <w:rFonts w:hint="eastAsia"/>
        </w:rPr>
        <w:t>污染源计算清单</w:t>
      </w:r>
    </w:p>
    <w:p w14:paraId="2B0B7F1D">
      <w:pPr>
        <w:ind w:firstLine="480"/>
      </w:pPr>
      <w:r>
        <w:rPr>
          <w:rFonts w:hint="eastAsia"/>
        </w:rPr>
        <w:t>（1）本项目污染源计算清单</w:t>
      </w:r>
    </w:p>
    <w:p w14:paraId="5CAB1067">
      <w:pPr>
        <w:ind w:firstLine="480"/>
      </w:pPr>
      <w:r>
        <w:rPr>
          <w:rFonts w:hint="eastAsia" w:ascii="宋体" w:hAnsi="宋体" w:cs="宋体"/>
        </w:rPr>
        <w:t>①</w:t>
      </w:r>
      <w:r>
        <w:rPr>
          <w:rFonts w:hint="eastAsia"/>
        </w:rPr>
        <w:t>正常工况</w:t>
      </w:r>
    </w:p>
    <w:p w14:paraId="7E4755C7">
      <w:pPr>
        <w:ind w:firstLine="480"/>
      </w:pPr>
      <w:r>
        <w:rPr>
          <w:rFonts w:hint="eastAsia"/>
        </w:rPr>
        <w:t>根据工程分析结果，本项目主要有组织污染源</w:t>
      </w:r>
      <w:r>
        <w:t>2</w:t>
      </w:r>
      <w:r>
        <w:rPr>
          <w:rFonts w:hint="eastAsia"/>
        </w:rPr>
        <w:t>个，无组织面源1个。正常工况下，项目点源污染计算清单，见下表。</w:t>
      </w:r>
    </w:p>
    <w:p w14:paraId="57DD2897">
      <w:pPr>
        <w:pStyle w:val="47"/>
        <w:spacing w:before="65"/>
        <w:rPr>
          <w:rFonts w:hint="eastAsia"/>
        </w:rPr>
      </w:pPr>
      <w:r>
        <w:rPr>
          <w:rFonts w:hint="eastAsia"/>
        </w:rPr>
        <w:t>表5</w:t>
      </w:r>
      <w:r>
        <w:t xml:space="preserve">.1-7   </w:t>
      </w:r>
      <w:r>
        <w:rPr>
          <w:rFonts w:hint="eastAsia"/>
        </w:rPr>
        <w:t>本项目正常工况污染源清单</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76"/>
        <w:gridCol w:w="1220"/>
        <w:gridCol w:w="1084"/>
        <w:gridCol w:w="848"/>
        <w:gridCol w:w="1133"/>
        <w:gridCol w:w="1110"/>
        <w:gridCol w:w="648"/>
        <w:gridCol w:w="68"/>
        <w:gridCol w:w="573"/>
        <w:gridCol w:w="145"/>
        <w:gridCol w:w="720"/>
        <w:gridCol w:w="505"/>
      </w:tblGrid>
      <w:tr w14:paraId="3BD5CF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restart"/>
            <w:vAlign w:val="center"/>
          </w:tcPr>
          <w:p w14:paraId="5155CB19">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排放方式</w:t>
            </w:r>
          </w:p>
        </w:tc>
        <w:tc>
          <w:tcPr>
            <w:tcW w:w="698" w:type="pct"/>
            <w:vMerge w:val="restart"/>
            <w:vAlign w:val="center"/>
          </w:tcPr>
          <w:p w14:paraId="70BBDD9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排放源</w:t>
            </w:r>
          </w:p>
        </w:tc>
        <w:tc>
          <w:tcPr>
            <w:tcW w:w="620" w:type="pct"/>
            <w:vMerge w:val="restart"/>
            <w:vAlign w:val="center"/>
          </w:tcPr>
          <w:p w14:paraId="50BEA96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废气量（Nm</w:t>
            </w:r>
            <w:r>
              <w:rPr>
                <w:kern w:val="0"/>
                <w:sz w:val="21"/>
                <w:szCs w:val="21"/>
                <w:vertAlign w:val="superscript"/>
                <w:lang w:eastAsia="en-US"/>
              </w:rPr>
              <w:t>3</w:t>
            </w:r>
            <w:r>
              <w:rPr>
                <w:kern w:val="0"/>
                <w:sz w:val="21"/>
                <w:szCs w:val="21"/>
                <w:lang w:eastAsia="en-US"/>
              </w:rPr>
              <w:t>/h）</w:t>
            </w:r>
          </w:p>
        </w:tc>
        <w:tc>
          <w:tcPr>
            <w:tcW w:w="485" w:type="pct"/>
            <w:vMerge w:val="restart"/>
            <w:vAlign w:val="center"/>
          </w:tcPr>
          <w:p w14:paraId="519852F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污染物</w:t>
            </w:r>
          </w:p>
        </w:tc>
        <w:tc>
          <w:tcPr>
            <w:tcW w:w="648" w:type="pct"/>
            <w:vMerge w:val="restart"/>
            <w:vAlign w:val="center"/>
          </w:tcPr>
          <w:p w14:paraId="66287B3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排放浓度</w:t>
            </w:r>
          </w:p>
          <w:p w14:paraId="5DA9756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（mg/m³）</w:t>
            </w:r>
          </w:p>
        </w:tc>
        <w:tc>
          <w:tcPr>
            <w:tcW w:w="635" w:type="pct"/>
            <w:vMerge w:val="restart"/>
            <w:vAlign w:val="center"/>
          </w:tcPr>
          <w:p w14:paraId="4645E089">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排放速率（kg/h）</w:t>
            </w:r>
          </w:p>
        </w:tc>
        <w:tc>
          <w:tcPr>
            <w:tcW w:w="1233" w:type="pct"/>
            <w:gridSpan w:val="5"/>
            <w:vAlign w:val="center"/>
          </w:tcPr>
          <w:p w14:paraId="67FAB4F0">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排气筒参数</w:t>
            </w:r>
          </w:p>
        </w:tc>
        <w:tc>
          <w:tcPr>
            <w:tcW w:w="289" w:type="pct"/>
            <w:vMerge w:val="restart"/>
            <w:vAlign w:val="center"/>
          </w:tcPr>
          <w:p w14:paraId="75C04057">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工况</w:t>
            </w:r>
          </w:p>
        </w:tc>
      </w:tr>
      <w:tr w14:paraId="0C38C7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2FE599EF">
            <w:pPr>
              <w:widowControl/>
              <w:adjustRightInd w:val="0"/>
              <w:snapToGrid w:val="0"/>
              <w:spacing w:line="240" w:lineRule="auto"/>
              <w:ind w:firstLine="0" w:firstLineChars="0"/>
              <w:jc w:val="center"/>
              <w:rPr>
                <w:kern w:val="0"/>
                <w:sz w:val="21"/>
                <w:szCs w:val="21"/>
                <w:lang w:eastAsia="en-US"/>
              </w:rPr>
            </w:pPr>
          </w:p>
        </w:tc>
        <w:tc>
          <w:tcPr>
            <w:tcW w:w="698" w:type="pct"/>
            <w:vMerge w:val="continue"/>
            <w:vAlign w:val="center"/>
          </w:tcPr>
          <w:p w14:paraId="1231CC75">
            <w:pPr>
              <w:widowControl/>
              <w:adjustRightInd w:val="0"/>
              <w:snapToGrid w:val="0"/>
              <w:spacing w:line="240" w:lineRule="auto"/>
              <w:ind w:firstLine="0" w:firstLineChars="0"/>
              <w:jc w:val="center"/>
              <w:rPr>
                <w:kern w:val="0"/>
                <w:sz w:val="21"/>
                <w:szCs w:val="21"/>
                <w:lang w:eastAsia="en-US"/>
              </w:rPr>
            </w:pPr>
          </w:p>
        </w:tc>
        <w:tc>
          <w:tcPr>
            <w:tcW w:w="620" w:type="pct"/>
            <w:vMerge w:val="continue"/>
            <w:vAlign w:val="center"/>
          </w:tcPr>
          <w:p w14:paraId="5F91F145">
            <w:pPr>
              <w:widowControl/>
              <w:adjustRightInd w:val="0"/>
              <w:snapToGrid w:val="0"/>
              <w:spacing w:line="240" w:lineRule="auto"/>
              <w:ind w:firstLine="0" w:firstLineChars="0"/>
              <w:jc w:val="center"/>
              <w:rPr>
                <w:kern w:val="0"/>
                <w:sz w:val="21"/>
                <w:szCs w:val="21"/>
                <w:lang w:eastAsia="en-US"/>
              </w:rPr>
            </w:pPr>
          </w:p>
        </w:tc>
        <w:tc>
          <w:tcPr>
            <w:tcW w:w="485" w:type="pct"/>
            <w:vMerge w:val="continue"/>
            <w:vAlign w:val="center"/>
          </w:tcPr>
          <w:p w14:paraId="7266F04E">
            <w:pPr>
              <w:widowControl/>
              <w:adjustRightInd w:val="0"/>
              <w:snapToGrid w:val="0"/>
              <w:spacing w:line="240" w:lineRule="auto"/>
              <w:ind w:firstLine="0" w:firstLineChars="0"/>
              <w:jc w:val="center"/>
              <w:rPr>
                <w:kern w:val="0"/>
                <w:sz w:val="21"/>
                <w:szCs w:val="21"/>
                <w:lang w:eastAsia="en-US"/>
              </w:rPr>
            </w:pPr>
          </w:p>
        </w:tc>
        <w:tc>
          <w:tcPr>
            <w:tcW w:w="648" w:type="pct"/>
            <w:vMerge w:val="continue"/>
            <w:vAlign w:val="center"/>
          </w:tcPr>
          <w:p w14:paraId="4A80ADF2">
            <w:pPr>
              <w:widowControl/>
              <w:adjustRightInd w:val="0"/>
              <w:snapToGrid w:val="0"/>
              <w:spacing w:line="240" w:lineRule="auto"/>
              <w:ind w:firstLine="0" w:firstLineChars="0"/>
              <w:jc w:val="center"/>
              <w:rPr>
                <w:kern w:val="0"/>
                <w:sz w:val="21"/>
                <w:szCs w:val="21"/>
                <w:lang w:eastAsia="en-US"/>
              </w:rPr>
            </w:pPr>
          </w:p>
        </w:tc>
        <w:tc>
          <w:tcPr>
            <w:tcW w:w="635" w:type="pct"/>
            <w:vMerge w:val="continue"/>
            <w:vAlign w:val="center"/>
          </w:tcPr>
          <w:p w14:paraId="2C2625A0">
            <w:pPr>
              <w:widowControl/>
              <w:adjustRightInd w:val="0"/>
              <w:snapToGrid w:val="0"/>
              <w:spacing w:line="240" w:lineRule="auto"/>
              <w:ind w:firstLine="0" w:firstLineChars="0"/>
              <w:jc w:val="center"/>
              <w:rPr>
                <w:kern w:val="0"/>
                <w:sz w:val="21"/>
                <w:szCs w:val="21"/>
                <w:lang w:eastAsia="en-US"/>
              </w:rPr>
            </w:pPr>
          </w:p>
        </w:tc>
        <w:tc>
          <w:tcPr>
            <w:tcW w:w="371" w:type="pct"/>
            <w:vAlign w:val="center"/>
          </w:tcPr>
          <w:p w14:paraId="6B0CEA91">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高度（m）</w:t>
            </w:r>
          </w:p>
        </w:tc>
        <w:tc>
          <w:tcPr>
            <w:tcW w:w="367" w:type="pct"/>
            <w:gridSpan w:val="2"/>
            <w:vAlign w:val="center"/>
          </w:tcPr>
          <w:p w14:paraId="2608C959">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内径（m）</w:t>
            </w:r>
          </w:p>
        </w:tc>
        <w:tc>
          <w:tcPr>
            <w:tcW w:w="495" w:type="pct"/>
            <w:gridSpan w:val="2"/>
            <w:vAlign w:val="center"/>
          </w:tcPr>
          <w:p w14:paraId="01DFE34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出口温度（℃）</w:t>
            </w:r>
          </w:p>
        </w:tc>
        <w:tc>
          <w:tcPr>
            <w:tcW w:w="289" w:type="pct"/>
            <w:vMerge w:val="continue"/>
            <w:vAlign w:val="center"/>
          </w:tcPr>
          <w:p w14:paraId="022AB7A2">
            <w:pPr>
              <w:widowControl/>
              <w:adjustRightInd w:val="0"/>
              <w:snapToGrid w:val="0"/>
              <w:spacing w:line="240" w:lineRule="auto"/>
              <w:ind w:firstLine="0" w:firstLineChars="0"/>
              <w:jc w:val="center"/>
              <w:rPr>
                <w:kern w:val="0"/>
                <w:sz w:val="21"/>
                <w:szCs w:val="21"/>
                <w:lang w:eastAsia="en-US"/>
              </w:rPr>
            </w:pPr>
          </w:p>
        </w:tc>
      </w:tr>
      <w:tr w14:paraId="22962E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restart"/>
            <w:vAlign w:val="center"/>
          </w:tcPr>
          <w:p w14:paraId="347A3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rFonts w:hint="eastAsia"/>
                <w:kern w:val="0"/>
                <w:sz w:val="21"/>
                <w:szCs w:val="21"/>
              </w:rPr>
              <w:t>有组织</w:t>
            </w:r>
          </w:p>
        </w:tc>
        <w:tc>
          <w:tcPr>
            <w:tcW w:w="698" w:type="pct"/>
            <w:shd w:val="clear" w:color="auto" w:fill="auto"/>
            <w:vAlign w:val="center"/>
          </w:tcPr>
          <w:p w14:paraId="1F6B8B8A">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油气回收装置尾气</w:t>
            </w:r>
            <w:r>
              <w:rPr>
                <w:rFonts w:hint="eastAsia"/>
                <w:kern w:val="0"/>
                <w:sz w:val="21"/>
                <w:szCs w:val="21"/>
                <w:lang w:eastAsia="zh-CN"/>
              </w:rPr>
              <w:t>（</w:t>
            </w:r>
            <w:r>
              <w:rPr>
                <w:rFonts w:hint="eastAsia"/>
                <w:kern w:val="0"/>
                <w:sz w:val="21"/>
                <w:szCs w:val="21"/>
                <w:lang w:val="en-US" w:eastAsia="zh-CN"/>
              </w:rPr>
              <w:t>DA001</w:t>
            </w:r>
            <w:r>
              <w:rPr>
                <w:rFonts w:hint="eastAsia"/>
                <w:kern w:val="0"/>
                <w:sz w:val="21"/>
                <w:szCs w:val="21"/>
                <w:lang w:eastAsia="zh-CN"/>
              </w:rPr>
              <w:t>）</w:t>
            </w:r>
          </w:p>
        </w:tc>
        <w:tc>
          <w:tcPr>
            <w:tcW w:w="620" w:type="pct"/>
            <w:shd w:val="clear" w:color="auto" w:fill="auto"/>
            <w:vAlign w:val="center"/>
          </w:tcPr>
          <w:p w14:paraId="7ABBA5DE">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10000</w:t>
            </w:r>
          </w:p>
        </w:tc>
        <w:tc>
          <w:tcPr>
            <w:tcW w:w="485" w:type="pct"/>
            <w:shd w:val="clear" w:color="auto" w:fill="auto"/>
            <w:vAlign w:val="center"/>
          </w:tcPr>
          <w:p w14:paraId="76077C6A">
            <w:pPr>
              <w:widowControl/>
              <w:adjustRightInd w:val="0"/>
              <w:snapToGrid w:val="0"/>
              <w:spacing w:line="240" w:lineRule="auto"/>
              <w:ind w:firstLine="0" w:firstLineChars="0"/>
              <w:jc w:val="center"/>
              <w:rPr>
                <w:rFonts w:ascii="Times New Roman" w:hAnsi="Times New Roman" w:eastAsia="宋体" w:cs="Times New Roman"/>
                <w:kern w:val="0"/>
                <w:sz w:val="21"/>
                <w:szCs w:val="21"/>
                <w:lang w:val="en-US" w:eastAsia="en-US" w:bidi="ar-SA"/>
              </w:rPr>
            </w:pPr>
            <w:r>
              <w:rPr>
                <w:rFonts w:hint="eastAsia"/>
                <w:kern w:val="0"/>
                <w:sz w:val="21"/>
                <w:szCs w:val="21"/>
              </w:rPr>
              <w:t>非甲烷总烃</w:t>
            </w:r>
          </w:p>
        </w:tc>
        <w:tc>
          <w:tcPr>
            <w:tcW w:w="648" w:type="pct"/>
            <w:shd w:val="clear" w:color="auto" w:fill="auto"/>
            <w:vAlign w:val="center"/>
          </w:tcPr>
          <w:p w14:paraId="0AB113D1">
            <w:pPr>
              <w:widowControl/>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kern w:val="0"/>
                <w:sz w:val="21"/>
                <w:szCs w:val="21"/>
              </w:rPr>
              <w:t>8.43</w:t>
            </w:r>
          </w:p>
        </w:tc>
        <w:tc>
          <w:tcPr>
            <w:tcW w:w="635" w:type="pct"/>
            <w:shd w:val="clear" w:color="auto" w:fill="auto"/>
            <w:vAlign w:val="center"/>
          </w:tcPr>
          <w:p w14:paraId="3DF8A679">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kern w:val="0"/>
                <w:sz w:val="21"/>
                <w:szCs w:val="21"/>
              </w:rPr>
              <w:t>0.169</w:t>
            </w:r>
          </w:p>
        </w:tc>
        <w:tc>
          <w:tcPr>
            <w:tcW w:w="371" w:type="pct"/>
            <w:shd w:val="clear" w:color="auto" w:fill="auto"/>
            <w:vAlign w:val="center"/>
          </w:tcPr>
          <w:p w14:paraId="5A16939F">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15</w:t>
            </w:r>
          </w:p>
        </w:tc>
        <w:tc>
          <w:tcPr>
            <w:tcW w:w="367" w:type="pct"/>
            <w:gridSpan w:val="2"/>
            <w:shd w:val="clear" w:color="auto" w:fill="auto"/>
            <w:vAlign w:val="center"/>
          </w:tcPr>
          <w:p w14:paraId="3ADE155E">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0.5</w:t>
            </w:r>
          </w:p>
        </w:tc>
        <w:tc>
          <w:tcPr>
            <w:tcW w:w="495" w:type="pct"/>
            <w:gridSpan w:val="2"/>
            <w:shd w:val="clear" w:color="auto" w:fill="auto"/>
            <w:vAlign w:val="center"/>
          </w:tcPr>
          <w:p w14:paraId="3E1D0EF6">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kern w:val="0"/>
                <w:sz w:val="21"/>
                <w:szCs w:val="21"/>
                <w:lang w:eastAsia="en-US"/>
              </w:rPr>
              <w:t>25</w:t>
            </w:r>
          </w:p>
        </w:tc>
        <w:tc>
          <w:tcPr>
            <w:tcW w:w="289" w:type="pct"/>
            <w:shd w:val="clear" w:color="auto" w:fill="auto"/>
            <w:vAlign w:val="center"/>
          </w:tcPr>
          <w:p w14:paraId="4FFB0524">
            <w:pPr>
              <w:widowControl/>
              <w:adjustRightInd w:val="0"/>
              <w:snapToGrid w:val="0"/>
              <w:spacing w:line="240" w:lineRule="auto"/>
              <w:ind w:firstLine="0" w:firstLineChars="0"/>
              <w:jc w:val="center"/>
              <w:rPr>
                <w:rFonts w:hint="eastAsia" w:ascii="Times New Roman" w:hAnsi="Times New Roman" w:eastAsia="宋体" w:cs="Times New Roman"/>
                <w:kern w:val="0"/>
                <w:sz w:val="21"/>
                <w:szCs w:val="21"/>
                <w:lang w:val="en-US" w:eastAsia="en-US" w:bidi="ar-SA"/>
              </w:rPr>
            </w:pPr>
            <w:r>
              <w:rPr>
                <w:rFonts w:hint="eastAsia"/>
                <w:kern w:val="0"/>
                <w:sz w:val="21"/>
                <w:szCs w:val="21"/>
              </w:rPr>
              <w:t>正常</w:t>
            </w:r>
          </w:p>
        </w:tc>
      </w:tr>
      <w:tr w14:paraId="077F9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7E6F8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p>
        </w:tc>
        <w:tc>
          <w:tcPr>
            <w:tcW w:w="698" w:type="pct"/>
            <w:vMerge w:val="restart"/>
            <w:vAlign w:val="center"/>
          </w:tcPr>
          <w:p w14:paraId="3E891B8D">
            <w:pPr>
              <w:widowControl/>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rPr>
              <w:t>导热油炉</w:t>
            </w:r>
            <w:r>
              <w:rPr>
                <w:rFonts w:hint="eastAsia"/>
                <w:kern w:val="0"/>
                <w:sz w:val="21"/>
                <w:szCs w:val="21"/>
                <w:lang w:eastAsia="zh-CN"/>
              </w:rPr>
              <w:t>（</w:t>
            </w:r>
            <w:r>
              <w:rPr>
                <w:rFonts w:hint="eastAsia"/>
                <w:kern w:val="0"/>
                <w:sz w:val="21"/>
                <w:szCs w:val="21"/>
                <w:lang w:val="en-US" w:eastAsia="zh-CN"/>
              </w:rPr>
              <w:t>DA002</w:t>
            </w:r>
            <w:r>
              <w:rPr>
                <w:rFonts w:hint="eastAsia"/>
                <w:kern w:val="0"/>
                <w:sz w:val="21"/>
                <w:szCs w:val="21"/>
                <w:lang w:eastAsia="zh-CN"/>
              </w:rPr>
              <w:t>）</w:t>
            </w:r>
          </w:p>
        </w:tc>
        <w:tc>
          <w:tcPr>
            <w:tcW w:w="620" w:type="pct"/>
            <w:vMerge w:val="restart"/>
            <w:vAlign w:val="center"/>
          </w:tcPr>
          <w:p w14:paraId="037C7748">
            <w:pPr>
              <w:widowControl/>
              <w:adjustRightInd w:val="0"/>
              <w:snapToGrid w:val="0"/>
              <w:spacing w:line="240" w:lineRule="auto"/>
              <w:ind w:firstLine="0" w:firstLineChars="0"/>
              <w:jc w:val="center"/>
              <w:rPr>
                <w:kern w:val="0"/>
                <w:sz w:val="21"/>
                <w:szCs w:val="21"/>
              </w:rPr>
            </w:pPr>
            <w:r>
              <w:rPr>
                <w:rFonts w:hint="eastAsia"/>
                <w:kern w:val="0"/>
                <w:sz w:val="21"/>
                <w:szCs w:val="21"/>
              </w:rPr>
              <w:t>3</w:t>
            </w:r>
            <w:r>
              <w:rPr>
                <w:kern w:val="0"/>
                <w:sz w:val="21"/>
                <w:szCs w:val="21"/>
              </w:rPr>
              <w:t>367.3</w:t>
            </w:r>
          </w:p>
        </w:tc>
        <w:tc>
          <w:tcPr>
            <w:tcW w:w="485" w:type="pct"/>
            <w:vAlign w:val="center"/>
          </w:tcPr>
          <w:p w14:paraId="5582BE5A">
            <w:pPr>
              <w:pStyle w:val="90"/>
            </w:pPr>
            <w:r>
              <w:t>SO</w:t>
            </w:r>
            <w:r>
              <w:rPr>
                <w:vertAlign w:val="subscript"/>
              </w:rPr>
              <w:t>2</w:t>
            </w:r>
          </w:p>
        </w:tc>
        <w:tc>
          <w:tcPr>
            <w:tcW w:w="648" w:type="pct"/>
            <w:vAlign w:val="center"/>
          </w:tcPr>
          <w:p w14:paraId="30037578">
            <w:pPr>
              <w:pStyle w:val="90"/>
            </w:pPr>
            <w:r>
              <w:t>0.742</w:t>
            </w:r>
          </w:p>
        </w:tc>
        <w:tc>
          <w:tcPr>
            <w:tcW w:w="635" w:type="pct"/>
            <w:vAlign w:val="center"/>
          </w:tcPr>
          <w:p w14:paraId="599A1219">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.0025</w:t>
            </w:r>
          </w:p>
        </w:tc>
        <w:tc>
          <w:tcPr>
            <w:tcW w:w="371" w:type="pct"/>
            <w:vMerge w:val="restart"/>
            <w:vAlign w:val="center"/>
          </w:tcPr>
          <w:p w14:paraId="497F8FE8">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5</w:t>
            </w:r>
          </w:p>
        </w:tc>
        <w:tc>
          <w:tcPr>
            <w:tcW w:w="367" w:type="pct"/>
            <w:gridSpan w:val="2"/>
            <w:vMerge w:val="restart"/>
            <w:vAlign w:val="center"/>
          </w:tcPr>
          <w:p w14:paraId="25917B0B">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.5</w:t>
            </w:r>
          </w:p>
        </w:tc>
        <w:tc>
          <w:tcPr>
            <w:tcW w:w="495" w:type="pct"/>
            <w:gridSpan w:val="2"/>
            <w:vMerge w:val="restart"/>
            <w:vAlign w:val="center"/>
          </w:tcPr>
          <w:p w14:paraId="58555AD6">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00</w:t>
            </w:r>
          </w:p>
        </w:tc>
        <w:tc>
          <w:tcPr>
            <w:tcW w:w="289" w:type="pct"/>
            <w:vMerge w:val="restart"/>
            <w:vAlign w:val="center"/>
          </w:tcPr>
          <w:p w14:paraId="210899EF">
            <w:pPr>
              <w:widowControl/>
              <w:adjustRightInd w:val="0"/>
              <w:snapToGrid w:val="0"/>
              <w:spacing w:line="240" w:lineRule="auto"/>
              <w:ind w:firstLine="0" w:firstLineChars="0"/>
              <w:jc w:val="center"/>
              <w:rPr>
                <w:kern w:val="0"/>
                <w:sz w:val="21"/>
                <w:szCs w:val="21"/>
              </w:rPr>
            </w:pPr>
            <w:r>
              <w:rPr>
                <w:rFonts w:hint="eastAsia"/>
                <w:kern w:val="0"/>
                <w:sz w:val="21"/>
                <w:szCs w:val="21"/>
              </w:rPr>
              <w:t>正常</w:t>
            </w:r>
          </w:p>
        </w:tc>
      </w:tr>
      <w:tr w14:paraId="6536C8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48964B07">
            <w:pPr>
              <w:adjustRightInd w:val="0"/>
              <w:snapToGrid w:val="0"/>
              <w:spacing w:line="240" w:lineRule="auto"/>
              <w:ind w:firstLine="420"/>
              <w:jc w:val="center"/>
              <w:rPr>
                <w:kern w:val="0"/>
                <w:sz w:val="21"/>
                <w:szCs w:val="21"/>
              </w:rPr>
            </w:pPr>
          </w:p>
        </w:tc>
        <w:tc>
          <w:tcPr>
            <w:tcW w:w="698" w:type="pct"/>
            <w:vMerge w:val="continue"/>
            <w:vAlign w:val="center"/>
          </w:tcPr>
          <w:p w14:paraId="07F82A41">
            <w:pPr>
              <w:widowControl/>
              <w:adjustRightInd w:val="0"/>
              <w:snapToGrid w:val="0"/>
              <w:spacing w:line="240" w:lineRule="auto"/>
              <w:ind w:firstLine="0" w:firstLineChars="0"/>
              <w:jc w:val="center"/>
              <w:rPr>
                <w:kern w:val="0"/>
                <w:sz w:val="21"/>
                <w:szCs w:val="21"/>
              </w:rPr>
            </w:pPr>
          </w:p>
        </w:tc>
        <w:tc>
          <w:tcPr>
            <w:tcW w:w="620" w:type="pct"/>
            <w:vMerge w:val="continue"/>
            <w:vAlign w:val="center"/>
          </w:tcPr>
          <w:p w14:paraId="76D280FB">
            <w:pPr>
              <w:widowControl/>
              <w:adjustRightInd w:val="0"/>
              <w:snapToGrid w:val="0"/>
              <w:spacing w:line="240" w:lineRule="auto"/>
              <w:ind w:firstLine="0" w:firstLineChars="0"/>
              <w:jc w:val="center"/>
              <w:rPr>
                <w:kern w:val="0"/>
                <w:sz w:val="21"/>
                <w:szCs w:val="21"/>
                <w:lang w:eastAsia="en-US"/>
              </w:rPr>
            </w:pPr>
          </w:p>
        </w:tc>
        <w:tc>
          <w:tcPr>
            <w:tcW w:w="485" w:type="pct"/>
            <w:vAlign w:val="center"/>
          </w:tcPr>
          <w:p w14:paraId="37B65B77">
            <w:pPr>
              <w:pStyle w:val="90"/>
            </w:pPr>
            <w:r>
              <w:t>NO</w:t>
            </w:r>
            <w:r>
              <w:rPr>
                <w:vertAlign w:val="subscript"/>
              </w:rPr>
              <w:t>x</w:t>
            </w:r>
          </w:p>
        </w:tc>
        <w:tc>
          <w:tcPr>
            <w:tcW w:w="648" w:type="pct"/>
            <w:vAlign w:val="center"/>
          </w:tcPr>
          <w:p w14:paraId="512DE37F">
            <w:pPr>
              <w:pStyle w:val="90"/>
            </w:pPr>
            <w:r>
              <w:rPr>
                <w:rFonts w:hint="eastAsia"/>
              </w:rPr>
              <w:t>5</w:t>
            </w:r>
            <w:r>
              <w:t>.643</w:t>
            </w:r>
          </w:p>
        </w:tc>
        <w:tc>
          <w:tcPr>
            <w:tcW w:w="635" w:type="pct"/>
            <w:vAlign w:val="center"/>
          </w:tcPr>
          <w:p w14:paraId="13FD9D25">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.019</w:t>
            </w:r>
          </w:p>
        </w:tc>
        <w:tc>
          <w:tcPr>
            <w:tcW w:w="371" w:type="pct"/>
            <w:vMerge w:val="continue"/>
            <w:vAlign w:val="center"/>
          </w:tcPr>
          <w:p w14:paraId="3DCADF51">
            <w:pPr>
              <w:widowControl/>
              <w:adjustRightInd w:val="0"/>
              <w:snapToGrid w:val="0"/>
              <w:spacing w:line="240" w:lineRule="auto"/>
              <w:ind w:firstLine="0" w:firstLineChars="0"/>
              <w:jc w:val="center"/>
              <w:rPr>
                <w:kern w:val="0"/>
                <w:sz w:val="21"/>
                <w:szCs w:val="21"/>
                <w:lang w:eastAsia="en-US"/>
              </w:rPr>
            </w:pPr>
          </w:p>
        </w:tc>
        <w:tc>
          <w:tcPr>
            <w:tcW w:w="367" w:type="pct"/>
            <w:gridSpan w:val="2"/>
            <w:vMerge w:val="continue"/>
            <w:vAlign w:val="center"/>
          </w:tcPr>
          <w:p w14:paraId="7BAE63BD">
            <w:pPr>
              <w:widowControl/>
              <w:adjustRightInd w:val="0"/>
              <w:snapToGrid w:val="0"/>
              <w:spacing w:line="240" w:lineRule="auto"/>
              <w:ind w:firstLine="0" w:firstLineChars="0"/>
              <w:jc w:val="center"/>
              <w:rPr>
                <w:kern w:val="0"/>
                <w:sz w:val="21"/>
                <w:szCs w:val="21"/>
                <w:lang w:eastAsia="en-US"/>
              </w:rPr>
            </w:pPr>
          </w:p>
        </w:tc>
        <w:tc>
          <w:tcPr>
            <w:tcW w:w="495" w:type="pct"/>
            <w:gridSpan w:val="2"/>
            <w:vMerge w:val="continue"/>
            <w:vAlign w:val="center"/>
          </w:tcPr>
          <w:p w14:paraId="23CFCA14">
            <w:pPr>
              <w:widowControl/>
              <w:adjustRightInd w:val="0"/>
              <w:snapToGrid w:val="0"/>
              <w:spacing w:line="240" w:lineRule="auto"/>
              <w:ind w:firstLine="0" w:firstLineChars="0"/>
              <w:jc w:val="center"/>
              <w:rPr>
                <w:kern w:val="0"/>
                <w:sz w:val="21"/>
                <w:szCs w:val="21"/>
                <w:lang w:eastAsia="en-US"/>
              </w:rPr>
            </w:pPr>
          </w:p>
        </w:tc>
        <w:tc>
          <w:tcPr>
            <w:tcW w:w="289" w:type="pct"/>
            <w:vMerge w:val="continue"/>
            <w:vAlign w:val="center"/>
          </w:tcPr>
          <w:p w14:paraId="0908A778">
            <w:pPr>
              <w:widowControl/>
              <w:adjustRightInd w:val="0"/>
              <w:snapToGrid w:val="0"/>
              <w:spacing w:line="240" w:lineRule="auto"/>
              <w:ind w:firstLine="0" w:firstLineChars="0"/>
              <w:jc w:val="center"/>
              <w:rPr>
                <w:kern w:val="0"/>
                <w:sz w:val="21"/>
                <w:szCs w:val="21"/>
              </w:rPr>
            </w:pPr>
          </w:p>
        </w:tc>
      </w:tr>
      <w:tr w14:paraId="6D608E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74AEC5FF">
            <w:pPr>
              <w:adjustRightInd w:val="0"/>
              <w:snapToGrid w:val="0"/>
              <w:spacing w:line="240" w:lineRule="auto"/>
              <w:ind w:firstLine="420"/>
              <w:jc w:val="center"/>
              <w:rPr>
                <w:kern w:val="0"/>
                <w:sz w:val="21"/>
                <w:szCs w:val="21"/>
              </w:rPr>
            </w:pPr>
          </w:p>
        </w:tc>
        <w:tc>
          <w:tcPr>
            <w:tcW w:w="698" w:type="pct"/>
            <w:vMerge w:val="continue"/>
            <w:vAlign w:val="center"/>
          </w:tcPr>
          <w:p w14:paraId="7A99DD4A">
            <w:pPr>
              <w:widowControl/>
              <w:adjustRightInd w:val="0"/>
              <w:snapToGrid w:val="0"/>
              <w:spacing w:line="240" w:lineRule="auto"/>
              <w:ind w:firstLine="0" w:firstLineChars="0"/>
              <w:jc w:val="center"/>
              <w:rPr>
                <w:kern w:val="0"/>
                <w:sz w:val="21"/>
                <w:szCs w:val="21"/>
              </w:rPr>
            </w:pPr>
          </w:p>
        </w:tc>
        <w:tc>
          <w:tcPr>
            <w:tcW w:w="620" w:type="pct"/>
            <w:vMerge w:val="continue"/>
            <w:vAlign w:val="center"/>
          </w:tcPr>
          <w:p w14:paraId="2B84FA81">
            <w:pPr>
              <w:widowControl/>
              <w:adjustRightInd w:val="0"/>
              <w:snapToGrid w:val="0"/>
              <w:spacing w:line="240" w:lineRule="auto"/>
              <w:ind w:firstLine="0" w:firstLineChars="0"/>
              <w:jc w:val="center"/>
              <w:rPr>
                <w:kern w:val="0"/>
                <w:sz w:val="21"/>
                <w:szCs w:val="21"/>
                <w:lang w:eastAsia="en-US"/>
              </w:rPr>
            </w:pPr>
          </w:p>
        </w:tc>
        <w:tc>
          <w:tcPr>
            <w:tcW w:w="485" w:type="pct"/>
            <w:vAlign w:val="center"/>
          </w:tcPr>
          <w:p w14:paraId="23BFD7AD">
            <w:pPr>
              <w:pStyle w:val="90"/>
            </w:pPr>
            <w:r>
              <w:rPr>
                <w:rFonts w:hint="eastAsia"/>
              </w:rPr>
              <w:t>颗粒物</w:t>
            </w:r>
          </w:p>
        </w:tc>
        <w:tc>
          <w:tcPr>
            <w:tcW w:w="648" w:type="pct"/>
            <w:vAlign w:val="center"/>
          </w:tcPr>
          <w:p w14:paraId="69FBADB9">
            <w:pPr>
              <w:pStyle w:val="90"/>
            </w:pPr>
            <w:r>
              <w:rPr>
                <w:rFonts w:hint="eastAsia"/>
              </w:rPr>
              <w:t>4</w:t>
            </w:r>
            <w:r>
              <w:t>.455</w:t>
            </w:r>
          </w:p>
        </w:tc>
        <w:tc>
          <w:tcPr>
            <w:tcW w:w="635" w:type="pct"/>
            <w:vAlign w:val="center"/>
          </w:tcPr>
          <w:p w14:paraId="60AE7A45">
            <w:pPr>
              <w:widowControl/>
              <w:adjustRightInd w:val="0"/>
              <w:snapToGrid w:val="0"/>
              <w:spacing w:line="240" w:lineRule="auto"/>
              <w:ind w:firstLine="0" w:firstLineChars="0"/>
              <w:jc w:val="center"/>
              <w:rPr>
                <w:kern w:val="0"/>
                <w:sz w:val="21"/>
                <w:szCs w:val="21"/>
              </w:rPr>
            </w:pPr>
            <w:r>
              <w:rPr>
                <w:kern w:val="0"/>
                <w:sz w:val="21"/>
                <w:szCs w:val="21"/>
              </w:rPr>
              <w:t>0.1</w:t>
            </w:r>
          </w:p>
        </w:tc>
        <w:tc>
          <w:tcPr>
            <w:tcW w:w="371" w:type="pct"/>
            <w:vMerge w:val="continue"/>
            <w:vAlign w:val="center"/>
          </w:tcPr>
          <w:p w14:paraId="3212CEC8">
            <w:pPr>
              <w:widowControl/>
              <w:adjustRightInd w:val="0"/>
              <w:snapToGrid w:val="0"/>
              <w:spacing w:line="240" w:lineRule="auto"/>
              <w:ind w:firstLine="0" w:firstLineChars="0"/>
              <w:jc w:val="center"/>
              <w:rPr>
                <w:kern w:val="0"/>
                <w:sz w:val="21"/>
                <w:szCs w:val="21"/>
                <w:lang w:eastAsia="en-US"/>
              </w:rPr>
            </w:pPr>
          </w:p>
        </w:tc>
        <w:tc>
          <w:tcPr>
            <w:tcW w:w="367" w:type="pct"/>
            <w:gridSpan w:val="2"/>
            <w:vMerge w:val="continue"/>
            <w:vAlign w:val="center"/>
          </w:tcPr>
          <w:p w14:paraId="5A92E71A">
            <w:pPr>
              <w:widowControl/>
              <w:adjustRightInd w:val="0"/>
              <w:snapToGrid w:val="0"/>
              <w:spacing w:line="240" w:lineRule="auto"/>
              <w:ind w:firstLine="0" w:firstLineChars="0"/>
              <w:jc w:val="center"/>
              <w:rPr>
                <w:kern w:val="0"/>
                <w:sz w:val="21"/>
                <w:szCs w:val="21"/>
                <w:lang w:eastAsia="en-US"/>
              </w:rPr>
            </w:pPr>
          </w:p>
        </w:tc>
        <w:tc>
          <w:tcPr>
            <w:tcW w:w="495" w:type="pct"/>
            <w:gridSpan w:val="2"/>
            <w:vMerge w:val="continue"/>
            <w:vAlign w:val="center"/>
          </w:tcPr>
          <w:p w14:paraId="6627A80D">
            <w:pPr>
              <w:widowControl/>
              <w:adjustRightInd w:val="0"/>
              <w:snapToGrid w:val="0"/>
              <w:spacing w:line="240" w:lineRule="auto"/>
              <w:ind w:firstLine="0" w:firstLineChars="0"/>
              <w:jc w:val="center"/>
              <w:rPr>
                <w:kern w:val="0"/>
                <w:sz w:val="21"/>
                <w:szCs w:val="21"/>
                <w:lang w:eastAsia="en-US"/>
              </w:rPr>
            </w:pPr>
          </w:p>
        </w:tc>
        <w:tc>
          <w:tcPr>
            <w:tcW w:w="289" w:type="pct"/>
            <w:vMerge w:val="continue"/>
            <w:vAlign w:val="center"/>
          </w:tcPr>
          <w:p w14:paraId="0DB174E1">
            <w:pPr>
              <w:widowControl/>
              <w:adjustRightInd w:val="0"/>
              <w:snapToGrid w:val="0"/>
              <w:spacing w:line="240" w:lineRule="auto"/>
              <w:ind w:firstLine="0" w:firstLineChars="0"/>
              <w:jc w:val="center"/>
              <w:rPr>
                <w:kern w:val="0"/>
                <w:sz w:val="21"/>
                <w:szCs w:val="21"/>
              </w:rPr>
            </w:pPr>
          </w:p>
        </w:tc>
      </w:tr>
      <w:tr w14:paraId="743400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1FB88D68">
            <w:pPr>
              <w:widowControl/>
              <w:adjustRightInd w:val="0"/>
              <w:snapToGrid w:val="0"/>
              <w:spacing w:line="240" w:lineRule="auto"/>
              <w:ind w:firstLine="0" w:firstLineChars="0"/>
              <w:jc w:val="center"/>
              <w:rPr>
                <w:kern w:val="0"/>
                <w:sz w:val="21"/>
                <w:szCs w:val="21"/>
                <w:lang w:eastAsia="en-US"/>
              </w:rPr>
            </w:pPr>
          </w:p>
        </w:tc>
        <w:tc>
          <w:tcPr>
            <w:tcW w:w="698" w:type="pct"/>
            <w:vAlign w:val="center"/>
          </w:tcPr>
          <w:p w14:paraId="49030290">
            <w:pPr>
              <w:widowControl/>
              <w:adjustRightInd w:val="0"/>
              <w:snapToGrid w:val="0"/>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生产车间（DA003）</w:t>
            </w:r>
          </w:p>
        </w:tc>
        <w:tc>
          <w:tcPr>
            <w:tcW w:w="620" w:type="pct"/>
            <w:vAlign w:val="center"/>
          </w:tcPr>
          <w:p w14:paraId="019919A8">
            <w:pPr>
              <w:widowControl/>
              <w:adjustRightInd w:val="0"/>
              <w:snapToGrid w:val="0"/>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70000</w:t>
            </w:r>
          </w:p>
        </w:tc>
        <w:tc>
          <w:tcPr>
            <w:tcW w:w="485" w:type="pct"/>
            <w:vAlign w:val="center"/>
          </w:tcPr>
          <w:p w14:paraId="188D2114">
            <w:pPr>
              <w:widowControl/>
              <w:adjustRightInd w:val="0"/>
              <w:snapToGrid w:val="0"/>
              <w:spacing w:line="240" w:lineRule="auto"/>
              <w:ind w:firstLine="0" w:firstLineChars="0"/>
              <w:jc w:val="center"/>
              <w:rPr>
                <w:rFonts w:hint="eastAsia"/>
                <w:kern w:val="0"/>
                <w:sz w:val="21"/>
                <w:szCs w:val="21"/>
              </w:rPr>
            </w:pPr>
            <w:r>
              <w:rPr>
                <w:rFonts w:hint="eastAsia"/>
                <w:kern w:val="0"/>
                <w:sz w:val="21"/>
                <w:szCs w:val="21"/>
              </w:rPr>
              <w:t>非甲烷总烃</w:t>
            </w:r>
          </w:p>
        </w:tc>
        <w:tc>
          <w:tcPr>
            <w:tcW w:w="648" w:type="pct"/>
            <w:vAlign w:val="center"/>
          </w:tcPr>
          <w:p w14:paraId="26E6B86F">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10.2</w:t>
            </w:r>
          </w:p>
        </w:tc>
        <w:tc>
          <w:tcPr>
            <w:tcW w:w="635" w:type="pct"/>
            <w:vAlign w:val="center"/>
          </w:tcPr>
          <w:p w14:paraId="57D1C229">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0.714</w:t>
            </w:r>
          </w:p>
        </w:tc>
        <w:tc>
          <w:tcPr>
            <w:tcW w:w="371" w:type="pct"/>
            <w:vAlign w:val="center"/>
          </w:tcPr>
          <w:p w14:paraId="02AA622B">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15</w:t>
            </w:r>
          </w:p>
        </w:tc>
        <w:tc>
          <w:tcPr>
            <w:tcW w:w="367" w:type="pct"/>
            <w:gridSpan w:val="2"/>
            <w:vAlign w:val="center"/>
          </w:tcPr>
          <w:p w14:paraId="51A59DE1">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w:t>
            </w:r>
          </w:p>
        </w:tc>
        <w:tc>
          <w:tcPr>
            <w:tcW w:w="495" w:type="pct"/>
            <w:gridSpan w:val="2"/>
            <w:vAlign w:val="center"/>
          </w:tcPr>
          <w:p w14:paraId="006DDFDC">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25</w:t>
            </w:r>
          </w:p>
        </w:tc>
        <w:tc>
          <w:tcPr>
            <w:tcW w:w="289" w:type="pct"/>
            <w:vAlign w:val="center"/>
          </w:tcPr>
          <w:p w14:paraId="2B66DE42">
            <w:pPr>
              <w:widowControl/>
              <w:adjustRightInd w:val="0"/>
              <w:snapToGrid w:val="0"/>
              <w:spacing w:line="240" w:lineRule="auto"/>
              <w:ind w:firstLine="0" w:firstLineChars="0"/>
              <w:jc w:val="center"/>
              <w:rPr>
                <w:rFonts w:hint="eastAsia"/>
                <w:kern w:val="0"/>
                <w:sz w:val="21"/>
                <w:szCs w:val="21"/>
              </w:rPr>
            </w:pPr>
            <w:r>
              <w:rPr>
                <w:rFonts w:hint="eastAsia"/>
                <w:kern w:val="0"/>
                <w:sz w:val="21"/>
                <w:szCs w:val="21"/>
              </w:rPr>
              <w:t>正常</w:t>
            </w:r>
          </w:p>
        </w:tc>
      </w:tr>
      <w:tr w14:paraId="5DD272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restart"/>
            <w:vAlign w:val="center"/>
          </w:tcPr>
          <w:p w14:paraId="74033FCA">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无组织</w:t>
            </w:r>
          </w:p>
        </w:tc>
        <w:tc>
          <w:tcPr>
            <w:tcW w:w="698" w:type="pct"/>
            <w:vMerge w:val="restart"/>
            <w:vAlign w:val="center"/>
          </w:tcPr>
          <w:p w14:paraId="03DA3194">
            <w:pPr>
              <w:widowControl/>
              <w:adjustRightInd w:val="0"/>
              <w:snapToGrid w:val="0"/>
              <w:spacing w:line="240" w:lineRule="auto"/>
              <w:ind w:firstLine="0" w:firstLineChars="0"/>
              <w:jc w:val="center"/>
              <w:rPr>
                <w:kern w:val="0"/>
                <w:sz w:val="21"/>
                <w:szCs w:val="21"/>
              </w:rPr>
            </w:pPr>
            <w:r>
              <w:rPr>
                <w:rFonts w:hint="eastAsia"/>
                <w:kern w:val="0"/>
                <w:sz w:val="21"/>
                <w:szCs w:val="21"/>
              </w:rPr>
              <w:t>面源海拔</w:t>
            </w:r>
          </w:p>
        </w:tc>
        <w:tc>
          <w:tcPr>
            <w:tcW w:w="620" w:type="pct"/>
            <w:vMerge w:val="restart"/>
            <w:vAlign w:val="center"/>
          </w:tcPr>
          <w:p w14:paraId="66FC6D60">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面源长</w:t>
            </w:r>
          </w:p>
        </w:tc>
        <w:tc>
          <w:tcPr>
            <w:tcW w:w="485" w:type="pct"/>
            <w:vMerge w:val="restart"/>
            <w:vAlign w:val="center"/>
          </w:tcPr>
          <w:p w14:paraId="59752A8A">
            <w:pPr>
              <w:widowControl/>
              <w:adjustRightInd w:val="0"/>
              <w:snapToGrid w:val="0"/>
              <w:spacing w:line="240" w:lineRule="auto"/>
              <w:ind w:firstLine="0" w:firstLineChars="0"/>
              <w:jc w:val="center"/>
              <w:rPr>
                <w:kern w:val="0"/>
                <w:sz w:val="21"/>
                <w:szCs w:val="21"/>
              </w:rPr>
            </w:pPr>
            <w:r>
              <w:rPr>
                <w:rFonts w:hint="eastAsia"/>
                <w:kern w:val="0"/>
                <w:sz w:val="21"/>
                <w:szCs w:val="21"/>
              </w:rPr>
              <w:t>面源宽</w:t>
            </w:r>
          </w:p>
        </w:tc>
        <w:tc>
          <w:tcPr>
            <w:tcW w:w="648" w:type="pct"/>
            <w:vMerge w:val="restart"/>
            <w:vAlign w:val="center"/>
          </w:tcPr>
          <w:p w14:paraId="283AE885">
            <w:pPr>
              <w:widowControl/>
              <w:adjustRightInd w:val="0"/>
              <w:snapToGrid w:val="0"/>
              <w:spacing w:line="240" w:lineRule="auto"/>
              <w:ind w:firstLine="0" w:firstLineChars="0"/>
              <w:jc w:val="center"/>
              <w:rPr>
                <w:kern w:val="0"/>
                <w:sz w:val="21"/>
                <w:szCs w:val="21"/>
              </w:rPr>
            </w:pPr>
            <w:r>
              <w:rPr>
                <w:rFonts w:hint="eastAsia"/>
                <w:kern w:val="0"/>
                <w:sz w:val="21"/>
                <w:szCs w:val="21"/>
              </w:rPr>
              <w:t>与正北夹角</w:t>
            </w:r>
          </w:p>
        </w:tc>
        <w:tc>
          <w:tcPr>
            <w:tcW w:w="635" w:type="pct"/>
            <w:vMerge w:val="restart"/>
            <w:vAlign w:val="center"/>
          </w:tcPr>
          <w:p w14:paraId="28F32A17">
            <w:pPr>
              <w:widowControl/>
              <w:adjustRightInd w:val="0"/>
              <w:snapToGrid w:val="0"/>
              <w:spacing w:line="240" w:lineRule="auto"/>
              <w:ind w:firstLine="0" w:firstLineChars="0"/>
              <w:jc w:val="center"/>
              <w:rPr>
                <w:kern w:val="0"/>
                <w:sz w:val="21"/>
                <w:szCs w:val="21"/>
              </w:rPr>
            </w:pPr>
            <w:r>
              <w:rPr>
                <w:rFonts w:hint="eastAsia"/>
                <w:kern w:val="0"/>
                <w:sz w:val="21"/>
                <w:szCs w:val="21"/>
              </w:rPr>
              <w:t>面源高度</w:t>
            </w:r>
          </w:p>
        </w:tc>
        <w:tc>
          <w:tcPr>
            <w:tcW w:w="1233" w:type="pct"/>
            <w:gridSpan w:val="5"/>
            <w:vAlign w:val="center"/>
          </w:tcPr>
          <w:p w14:paraId="395EC469">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排放速率</w:t>
            </w:r>
            <w:r>
              <w:rPr>
                <w:rFonts w:hint="eastAsia"/>
                <w:kern w:val="0"/>
                <w:sz w:val="21"/>
                <w:szCs w:val="21"/>
              </w:rPr>
              <w:t>（kg/h）</w:t>
            </w:r>
          </w:p>
        </w:tc>
        <w:tc>
          <w:tcPr>
            <w:tcW w:w="289" w:type="pct"/>
            <w:vMerge w:val="restart"/>
            <w:vAlign w:val="center"/>
          </w:tcPr>
          <w:p w14:paraId="710BC9C4">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工况</w:t>
            </w:r>
          </w:p>
        </w:tc>
      </w:tr>
      <w:tr w14:paraId="212FB0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87" w:type="pct"/>
            <w:vMerge w:val="continue"/>
            <w:vAlign w:val="center"/>
          </w:tcPr>
          <w:p w14:paraId="6592946D">
            <w:pPr>
              <w:widowControl/>
              <w:adjustRightInd w:val="0"/>
              <w:snapToGrid w:val="0"/>
              <w:spacing w:line="240" w:lineRule="auto"/>
              <w:ind w:firstLine="0" w:firstLineChars="0"/>
              <w:jc w:val="center"/>
              <w:rPr>
                <w:kern w:val="0"/>
                <w:sz w:val="21"/>
                <w:szCs w:val="21"/>
                <w:lang w:eastAsia="en-US"/>
              </w:rPr>
            </w:pPr>
          </w:p>
        </w:tc>
        <w:tc>
          <w:tcPr>
            <w:tcW w:w="698" w:type="pct"/>
            <w:vMerge w:val="continue"/>
            <w:vAlign w:val="center"/>
          </w:tcPr>
          <w:p w14:paraId="0088AD7E">
            <w:pPr>
              <w:widowControl/>
              <w:adjustRightInd w:val="0"/>
              <w:snapToGrid w:val="0"/>
              <w:spacing w:line="240" w:lineRule="auto"/>
              <w:ind w:firstLine="0" w:firstLineChars="0"/>
              <w:jc w:val="center"/>
              <w:rPr>
                <w:kern w:val="0"/>
                <w:sz w:val="21"/>
                <w:szCs w:val="21"/>
              </w:rPr>
            </w:pPr>
          </w:p>
        </w:tc>
        <w:tc>
          <w:tcPr>
            <w:tcW w:w="620" w:type="pct"/>
            <w:vMerge w:val="continue"/>
            <w:vAlign w:val="center"/>
          </w:tcPr>
          <w:p w14:paraId="0F0CE692">
            <w:pPr>
              <w:widowControl/>
              <w:adjustRightInd w:val="0"/>
              <w:snapToGrid w:val="0"/>
              <w:spacing w:line="240" w:lineRule="auto"/>
              <w:ind w:firstLine="0" w:firstLineChars="0"/>
              <w:jc w:val="center"/>
              <w:rPr>
                <w:kern w:val="0"/>
                <w:sz w:val="21"/>
                <w:szCs w:val="21"/>
                <w:lang w:eastAsia="en-US"/>
              </w:rPr>
            </w:pPr>
          </w:p>
        </w:tc>
        <w:tc>
          <w:tcPr>
            <w:tcW w:w="485" w:type="pct"/>
            <w:vMerge w:val="continue"/>
            <w:vAlign w:val="center"/>
          </w:tcPr>
          <w:p w14:paraId="7A229507">
            <w:pPr>
              <w:widowControl/>
              <w:adjustRightInd w:val="0"/>
              <w:snapToGrid w:val="0"/>
              <w:spacing w:line="240" w:lineRule="auto"/>
              <w:ind w:firstLine="0" w:firstLineChars="0"/>
              <w:jc w:val="center"/>
              <w:rPr>
                <w:kern w:val="0"/>
                <w:sz w:val="21"/>
                <w:szCs w:val="21"/>
              </w:rPr>
            </w:pPr>
          </w:p>
        </w:tc>
        <w:tc>
          <w:tcPr>
            <w:tcW w:w="648" w:type="pct"/>
            <w:vMerge w:val="continue"/>
            <w:vAlign w:val="center"/>
          </w:tcPr>
          <w:p w14:paraId="5617CC91">
            <w:pPr>
              <w:widowControl/>
              <w:adjustRightInd w:val="0"/>
              <w:snapToGrid w:val="0"/>
              <w:spacing w:line="240" w:lineRule="auto"/>
              <w:ind w:firstLine="0" w:firstLineChars="0"/>
              <w:jc w:val="center"/>
              <w:rPr>
                <w:kern w:val="0"/>
                <w:sz w:val="21"/>
                <w:szCs w:val="21"/>
              </w:rPr>
            </w:pPr>
          </w:p>
        </w:tc>
        <w:tc>
          <w:tcPr>
            <w:tcW w:w="635" w:type="pct"/>
            <w:vMerge w:val="continue"/>
            <w:vAlign w:val="center"/>
          </w:tcPr>
          <w:p w14:paraId="0C4AAE23">
            <w:pPr>
              <w:widowControl/>
              <w:adjustRightInd w:val="0"/>
              <w:snapToGrid w:val="0"/>
              <w:spacing w:line="240" w:lineRule="auto"/>
              <w:ind w:firstLine="0" w:firstLineChars="0"/>
              <w:jc w:val="center"/>
              <w:rPr>
                <w:kern w:val="0"/>
                <w:sz w:val="21"/>
                <w:szCs w:val="21"/>
              </w:rPr>
            </w:pPr>
          </w:p>
        </w:tc>
        <w:tc>
          <w:tcPr>
            <w:tcW w:w="410" w:type="pct"/>
            <w:gridSpan w:val="2"/>
            <w:vAlign w:val="center"/>
          </w:tcPr>
          <w:p w14:paraId="0D34AFCC">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NMHC</w:t>
            </w:r>
          </w:p>
        </w:tc>
        <w:tc>
          <w:tcPr>
            <w:tcW w:w="411" w:type="pct"/>
            <w:gridSpan w:val="2"/>
            <w:vAlign w:val="center"/>
          </w:tcPr>
          <w:p w14:paraId="1C33960E">
            <w:pPr>
              <w:pStyle w:val="90"/>
              <w:rPr>
                <w:lang w:eastAsia="en-US"/>
              </w:rPr>
            </w:pPr>
            <w:r>
              <w:rPr>
                <w:rFonts w:hint="eastAsia"/>
              </w:rPr>
              <w:t>氨</w:t>
            </w:r>
          </w:p>
        </w:tc>
        <w:tc>
          <w:tcPr>
            <w:tcW w:w="412" w:type="pct"/>
            <w:vAlign w:val="center"/>
          </w:tcPr>
          <w:p w14:paraId="55C01084">
            <w:pPr>
              <w:pStyle w:val="90"/>
              <w:rPr>
                <w:lang w:eastAsia="en-US"/>
              </w:rPr>
            </w:pPr>
            <w:r>
              <w:rPr>
                <w:rFonts w:hint="eastAsia"/>
              </w:rPr>
              <w:t>硫化氢</w:t>
            </w:r>
          </w:p>
        </w:tc>
        <w:tc>
          <w:tcPr>
            <w:tcW w:w="289" w:type="pct"/>
            <w:vMerge w:val="continue"/>
            <w:vAlign w:val="center"/>
          </w:tcPr>
          <w:p w14:paraId="662A395D">
            <w:pPr>
              <w:widowControl/>
              <w:adjustRightInd w:val="0"/>
              <w:snapToGrid w:val="0"/>
              <w:spacing w:line="240" w:lineRule="auto"/>
              <w:ind w:firstLine="0" w:firstLineChars="0"/>
              <w:jc w:val="center"/>
              <w:rPr>
                <w:kern w:val="0"/>
                <w:sz w:val="21"/>
                <w:szCs w:val="21"/>
                <w:lang w:eastAsia="en-US"/>
              </w:rPr>
            </w:pPr>
          </w:p>
        </w:tc>
      </w:tr>
      <w:tr w14:paraId="1BE6F7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87" w:type="pct"/>
            <w:vMerge w:val="continue"/>
            <w:vAlign w:val="center"/>
          </w:tcPr>
          <w:p w14:paraId="3E41D7E6">
            <w:pPr>
              <w:widowControl/>
              <w:adjustRightInd w:val="0"/>
              <w:snapToGrid w:val="0"/>
              <w:spacing w:line="240" w:lineRule="auto"/>
              <w:ind w:firstLine="0" w:firstLineChars="0"/>
              <w:jc w:val="center"/>
              <w:rPr>
                <w:kern w:val="0"/>
                <w:sz w:val="21"/>
                <w:szCs w:val="21"/>
                <w:lang w:eastAsia="en-US"/>
              </w:rPr>
            </w:pPr>
          </w:p>
        </w:tc>
        <w:tc>
          <w:tcPr>
            <w:tcW w:w="698" w:type="pct"/>
            <w:vAlign w:val="center"/>
          </w:tcPr>
          <w:p w14:paraId="66134C16">
            <w:pPr>
              <w:widowControl/>
              <w:adjustRightInd w:val="0"/>
              <w:snapToGrid w:val="0"/>
              <w:spacing w:line="240" w:lineRule="auto"/>
              <w:ind w:firstLine="0" w:firstLineChars="0"/>
              <w:jc w:val="center"/>
              <w:rPr>
                <w:kern w:val="0"/>
                <w:sz w:val="21"/>
                <w:szCs w:val="21"/>
              </w:rPr>
            </w:pPr>
            <w:r>
              <w:rPr>
                <w:kern w:val="0"/>
                <w:sz w:val="21"/>
                <w:szCs w:val="21"/>
              </w:rPr>
              <w:t>314</w:t>
            </w:r>
          </w:p>
        </w:tc>
        <w:tc>
          <w:tcPr>
            <w:tcW w:w="620" w:type="pct"/>
            <w:vAlign w:val="center"/>
          </w:tcPr>
          <w:p w14:paraId="452FF3FC">
            <w:pPr>
              <w:widowControl/>
              <w:adjustRightInd w:val="0"/>
              <w:snapToGrid w:val="0"/>
              <w:spacing w:line="240" w:lineRule="auto"/>
              <w:ind w:firstLine="0" w:firstLineChars="0"/>
              <w:jc w:val="center"/>
              <w:rPr>
                <w:kern w:val="0"/>
                <w:sz w:val="21"/>
                <w:szCs w:val="21"/>
              </w:rPr>
            </w:pPr>
            <w:r>
              <w:rPr>
                <w:kern w:val="0"/>
                <w:sz w:val="21"/>
                <w:szCs w:val="21"/>
              </w:rPr>
              <w:t>105</w:t>
            </w:r>
            <w:r>
              <w:rPr>
                <w:rFonts w:hint="eastAsia"/>
                <w:kern w:val="0"/>
                <w:sz w:val="21"/>
                <w:szCs w:val="21"/>
              </w:rPr>
              <w:t>m</w:t>
            </w:r>
          </w:p>
        </w:tc>
        <w:tc>
          <w:tcPr>
            <w:tcW w:w="485" w:type="pct"/>
            <w:vAlign w:val="center"/>
          </w:tcPr>
          <w:p w14:paraId="740C3DA0">
            <w:pPr>
              <w:widowControl/>
              <w:adjustRightInd w:val="0"/>
              <w:snapToGrid w:val="0"/>
              <w:spacing w:line="240" w:lineRule="auto"/>
              <w:ind w:firstLine="0" w:firstLineChars="0"/>
              <w:jc w:val="center"/>
              <w:rPr>
                <w:kern w:val="0"/>
                <w:sz w:val="21"/>
                <w:szCs w:val="21"/>
              </w:rPr>
            </w:pPr>
            <w:r>
              <w:rPr>
                <w:kern w:val="0"/>
                <w:sz w:val="21"/>
                <w:szCs w:val="21"/>
              </w:rPr>
              <w:t>50</w:t>
            </w:r>
            <w:r>
              <w:rPr>
                <w:rFonts w:hint="eastAsia"/>
                <w:kern w:val="0"/>
                <w:sz w:val="21"/>
                <w:szCs w:val="21"/>
              </w:rPr>
              <w:t>m</w:t>
            </w:r>
          </w:p>
        </w:tc>
        <w:tc>
          <w:tcPr>
            <w:tcW w:w="648" w:type="pct"/>
            <w:vAlign w:val="center"/>
          </w:tcPr>
          <w:p w14:paraId="69C8AEBD">
            <w:pPr>
              <w:widowControl/>
              <w:adjustRightInd w:val="0"/>
              <w:snapToGrid w:val="0"/>
              <w:spacing w:line="240" w:lineRule="auto"/>
              <w:ind w:firstLine="0" w:firstLineChars="0"/>
              <w:jc w:val="center"/>
              <w:rPr>
                <w:kern w:val="0"/>
                <w:sz w:val="21"/>
                <w:szCs w:val="21"/>
              </w:rPr>
            </w:pPr>
            <w:r>
              <w:rPr>
                <w:rFonts w:hint="eastAsia"/>
                <w:kern w:val="0"/>
                <w:sz w:val="21"/>
                <w:szCs w:val="21"/>
              </w:rPr>
              <w:t>1°</w:t>
            </w:r>
          </w:p>
        </w:tc>
        <w:tc>
          <w:tcPr>
            <w:tcW w:w="635" w:type="pct"/>
            <w:vAlign w:val="center"/>
          </w:tcPr>
          <w:p w14:paraId="05B68224">
            <w:pPr>
              <w:widowControl/>
              <w:adjustRightInd w:val="0"/>
              <w:snapToGrid w:val="0"/>
              <w:spacing w:line="240" w:lineRule="auto"/>
              <w:ind w:firstLine="0" w:firstLineChars="0"/>
              <w:jc w:val="center"/>
              <w:rPr>
                <w:kern w:val="0"/>
                <w:sz w:val="21"/>
                <w:szCs w:val="21"/>
              </w:rPr>
            </w:pPr>
            <w:r>
              <w:rPr>
                <w:rFonts w:hint="eastAsia"/>
                <w:kern w:val="0"/>
                <w:sz w:val="21"/>
                <w:szCs w:val="21"/>
              </w:rPr>
              <w:t>3</w:t>
            </w:r>
          </w:p>
        </w:tc>
        <w:tc>
          <w:tcPr>
            <w:tcW w:w="410" w:type="pct"/>
            <w:gridSpan w:val="2"/>
            <w:vAlign w:val="center"/>
          </w:tcPr>
          <w:p w14:paraId="6ABD48A9">
            <w:pPr>
              <w:widowControl/>
              <w:adjustRightInd w:val="0"/>
              <w:snapToGrid w:val="0"/>
              <w:spacing w:line="240" w:lineRule="auto"/>
              <w:ind w:firstLine="0" w:firstLineChars="0"/>
              <w:jc w:val="center"/>
              <w:rPr>
                <w:kern w:val="0"/>
                <w:sz w:val="21"/>
                <w:szCs w:val="21"/>
              </w:rPr>
            </w:pPr>
            <w:r>
              <w:rPr>
                <w:kern w:val="0"/>
                <w:sz w:val="21"/>
                <w:szCs w:val="21"/>
              </w:rPr>
              <w:t>0.06603</w:t>
            </w:r>
          </w:p>
        </w:tc>
        <w:tc>
          <w:tcPr>
            <w:tcW w:w="411" w:type="pct"/>
            <w:gridSpan w:val="2"/>
            <w:vAlign w:val="center"/>
          </w:tcPr>
          <w:p w14:paraId="49DA08A9">
            <w:pPr>
              <w:widowControl/>
              <w:adjustRightInd w:val="0"/>
              <w:snapToGrid w:val="0"/>
              <w:spacing w:line="240" w:lineRule="auto"/>
              <w:ind w:firstLine="0" w:firstLineChars="0"/>
              <w:jc w:val="center"/>
              <w:rPr>
                <w:kern w:val="0"/>
                <w:sz w:val="21"/>
                <w:szCs w:val="21"/>
              </w:rPr>
            </w:pPr>
            <w:r>
              <w:rPr>
                <w:rFonts w:hint="eastAsia"/>
                <w:kern w:val="0"/>
                <w:sz w:val="21"/>
                <w:szCs w:val="21"/>
              </w:rPr>
              <w:t>0</w:t>
            </w:r>
            <w:r>
              <w:rPr>
                <w:kern w:val="0"/>
                <w:sz w:val="21"/>
                <w:szCs w:val="21"/>
              </w:rPr>
              <w:t>.081</w:t>
            </w:r>
          </w:p>
        </w:tc>
        <w:tc>
          <w:tcPr>
            <w:tcW w:w="412" w:type="pct"/>
            <w:vAlign w:val="center"/>
          </w:tcPr>
          <w:p w14:paraId="2C1C6004">
            <w:pPr>
              <w:pStyle w:val="90"/>
            </w:pPr>
            <w:r>
              <w:rPr>
                <w:rFonts w:hint="eastAsia"/>
              </w:rPr>
              <w:t>0</w:t>
            </w:r>
            <w:r>
              <w:t>.0004</w:t>
            </w:r>
          </w:p>
        </w:tc>
        <w:tc>
          <w:tcPr>
            <w:tcW w:w="289" w:type="pct"/>
            <w:vAlign w:val="center"/>
          </w:tcPr>
          <w:p w14:paraId="012AB00D">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正常</w:t>
            </w:r>
          </w:p>
        </w:tc>
      </w:tr>
    </w:tbl>
    <w:p w14:paraId="1B0DDFB4">
      <w:pPr>
        <w:ind w:firstLine="480"/>
      </w:pPr>
      <w:r>
        <w:rPr>
          <w:rFonts w:hint="eastAsia" w:ascii="宋体" w:hAnsi="宋体" w:cs="宋体"/>
        </w:rPr>
        <w:t>②</w:t>
      </w:r>
      <w:r>
        <w:rPr>
          <w:rFonts w:hint="eastAsia"/>
        </w:rPr>
        <w:t>非正常工况</w:t>
      </w:r>
    </w:p>
    <w:p w14:paraId="189A0E13">
      <w:pPr>
        <w:ind w:firstLine="480"/>
      </w:pPr>
      <w:r>
        <w:rPr>
          <w:rFonts w:hint="eastAsia"/>
        </w:rPr>
        <w:t>本项目非正常工况情景为油气回收装置失效，非甲烷总烃废气未经处理直接排放，非正常工况污染物排放情况见下表。</w:t>
      </w:r>
    </w:p>
    <w:p w14:paraId="1D542BAC">
      <w:pPr>
        <w:pStyle w:val="47"/>
        <w:spacing w:before="65"/>
      </w:pPr>
      <w:r>
        <w:rPr>
          <w:rFonts w:hint="eastAsia"/>
        </w:rPr>
        <w:t>表5</w:t>
      </w:r>
      <w:r>
        <w:t xml:space="preserve">.1-8   </w:t>
      </w:r>
      <w:r>
        <w:rPr>
          <w:rFonts w:hint="eastAsia"/>
        </w:rPr>
        <w:t>非正常工况污染物排放情况</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18"/>
        <w:gridCol w:w="978"/>
        <w:gridCol w:w="983"/>
        <w:gridCol w:w="694"/>
        <w:gridCol w:w="989"/>
        <w:gridCol w:w="1171"/>
        <w:gridCol w:w="601"/>
        <w:gridCol w:w="602"/>
        <w:gridCol w:w="950"/>
        <w:gridCol w:w="644"/>
      </w:tblGrid>
      <w:tr w14:paraId="11BA91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blHeader/>
        </w:trPr>
        <w:tc>
          <w:tcPr>
            <w:tcW w:w="649" w:type="pct"/>
            <w:vMerge w:val="restart"/>
            <w:vAlign w:val="center"/>
          </w:tcPr>
          <w:p w14:paraId="15AF502A">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排气筒</w:t>
            </w:r>
          </w:p>
        </w:tc>
        <w:tc>
          <w:tcPr>
            <w:tcW w:w="569" w:type="pct"/>
            <w:vMerge w:val="restart"/>
            <w:vAlign w:val="center"/>
          </w:tcPr>
          <w:p w14:paraId="7845AC0F">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排放源</w:t>
            </w:r>
          </w:p>
        </w:tc>
        <w:tc>
          <w:tcPr>
            <w:tcW w:w="487" w:type="pct"/>
            <w:vMerge w:val="restart"/>
            <w:vAlign w:val="center"/>
          </w:tcPr>
          <w:p w14:paraId="53C4BAD7">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废气量（Nm</w:t>
            </w:r>
            <w:r>
              <w:rPr>
                <w:kern w:val="0"/>
                <w:sz w:val="21"/>
                <w:szCs w:val="21"/>
                <w:vertAlign w:val="superscript"/>
                <w:lang w:eastAsia="en-US"/>
              </w:rPr>
              <w:t>3</w:t>
            </w:r>
            <w:r>
              <w:rPr>
                <w:kern w:val="0"/>
                <w:sz w:val="21"/>
                <w:szCs w:val="21"/>
                <w:lang w:eastAsia="en-US"/>
              </w:rPr>
              <w:t>/h）</w:t>
            </w:r>
          </w:p>
        </w:tc>
        <w:tc>
          <w:tcPr>
            <w:tcW w:w="406" w:type="pct"/>
            <w:vMerge w:val="restart"/>
            <w:vAlign w:val="center"/>
          </w:tcPr>
          <w:p w14:paraId="33A9BC5B">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污染物</w:t>
            </w:r>
          </w:p>
        </w:tc>
        <w:tc>
          <w:tcPr>
            <w:tcW w:w="568" w:type="pct"/>
            <w:vMerge w:val="restart"/>
            <w:vAlign w:val="center"/>
          </w:tcPr>
          <w:p w14:paraId="3BC9A905">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排放浓度</w:t>
            </w:r>
          </w:p>
          <w:p w14:paraId="47113AB7">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（mg/m³）</w:t>
            </w:r>
          </w:p>
        </w:tc>
        <w:tc>
          <w:tcPr>
            <w:tcW w:w="686" w:type="pct"/>
            <w:vMerge w:val="restart"/>
            <w:vAlign w:val="center"/>
          </w:tcPr>
          <w:p w14:paraId="6ADB39BB">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非正常排放速率（kg/h）</w:t>
            </w:r>
          </w:p>
        </w:tc>
        <w:tc>
          <w:tcPr>
            <w:tcW w:w="1258" w:type="pct"/>
            <w:gridSpan w:val="3"/>
            <w:vAlign w:val="center"/>
          </w:tcPr>
          <w:p w14:paraId="297E1572">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排气筒参数</w:t>
            </w:r>
          </w:p>
        </w:tc>
        <w:tc>
          <w:tcPr>
            <w:tcW w:w="377" w:type="pct"/>
            <w:vMerge w:val="restart"/>
            <w:vAlign w:val="center"/>
          </w:tcPr>
          <w:p w14:paraId="241854A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排放时长</w:t>
            </w:r>
          </w:p>
        </w:tc>
      </w:tr>
      <w:tr w14:paraId="52ACDB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blHeader/>
        </w:trPr>
        <w:tc>
          <w:tcPr>
            <w:tcW w:w="649" w:type="pct"/>
            <w:vMerge w:val="continue"/>
            <w:vAlign w:val="center"/>
          </w:tcPr>
          <w:p w14:paraId="22DB8660">
            <w:pPr>
              <w:widowControl/>
              <w:adjustRightInd w:val="0"/>
              <w:snapToGrid w:val="0"/>
              <w:spacing w:line="240" w:lineRule="auto"/>
              <w:ind w:firstLine="0" w:firstLineChars="0"/>
              <w:jc w:val="center"/>
              <w:rPr>
                <w:kern w:val="0"/>
                <w:sz w:val="21"/>
                <w:szCs w:val="21"/>
                <w:lang w:eastAsia="en-US"/>
              </w:rPr>
            </w:pPr>
          </w:p>
        </w:tc>
        <w:tc>
          <w:tcPr>
            <w:tcW w:w="569" w:type="pct"/>
            <w:vMerge w:val="continue"/>
            <w:vAlign w:val="center"/>
          </w:tcPr>
          <w:p w14:paraId="3A8B5AA5">
            <w:pPr>
              <w:widowControl/>
              <w:adjustRightInd w:val="0"/>
              <w:snapToGrid w:val="0"/>
              <w:spacing w:line="240" w:lineRule="auto"/>
              <w:ind w:firstLine="0" w:firstLineChars="0"/>
              <w:jc w:val="center"/>
              <w:rPr>
                <w:kern w:val="0"/>
                <w:sz w:val="21"/>
                <w:szCs w:val="21"/>
                <w:lang w:eastAsia="en-US"/>
              </w:rPr>
            </w:pPr>
          </w:p>
        </w:tc>
        <w:tc>
          <w:tcPr>
            <w:tcW w:w="487" w:type="pct"/>
            <w:vMerge w:val="continue"/>
            <w:vAlign w:val="center"/>
          </w:tcPr>
          <w:p w14:paraId="5EF9FB0D">
            <w:pPr>
              <w:widowControl/>
              <w:adjustRightInd w:val="0"/>
              <w:snapToGrid w:val="0"/>
              <w:spacing w:line="240" w:lineRule="auto"/>
              <w:ind w:firstLine="0" w:firstLineChars="0"/>
              <w:jc w:val="center"/>
              <w:rPr>
                <w:kern w:val="0"/>
                <w:sz w:val="21"/>
                <w:szCs w:val="21"/>
                <w:lang w:eastAsia="en-US"/>
              </w:rPr>
            </w:pPr>
          </w:p>
        </w:tc>
        <w:tc>
          <w:tcPr>
            <w:tcW w:w="406" w:type="pct"/>
            <w:vMerge w:val="continue"/>
            <w:vAlign w:val="center"/>
          </w:tcPr>
          <w:p w14:paraId="76745878">
            <w:pPr>
              <w:widowControl/>
              <w:adjustRightInd w:val="0"/>
              <w:snapToGrid w:val="0"/>
              <w:spacing w:line="240" w:lineRule="auto"/>
              <w:ind w:firstLine="0" w:firstLineChars="0"/>
              <w:jc w:val="center"/>
              <w:rPr>
                <w:kern w:val="0"/>
                <w:sz w:val="21"/>
                <w:szCs w:val="21"/>
                <w:lang w:eastAsia="en-US"/>
              </w:rPr>
            </w:pPr>
          </w:p>
        </w:tc>
        <w:tc>
          <w:tcPr>
            <w:tcW w:w="568" w:type="pct"/>
            <w:vMerge w:val="continue"/>
            <w:vAlign w:val="center"/>
          </w:tcPr>
          <w:p w14:paraId="2A7793D7">
            <w:pPr>
              <w:widowControl/>
              <w:adjustRightInd w:val="0"/>
              <w:snapToGrid w:val="0"/>
              <w:spacing w:line="240" w:lineRule="auto"/>
              <w:ind w:firstLine="0" w:firstLineChars="0"/>
              <w:jc w:val="center"/>
              <w:rPr>
                <w:kern w:val="0"/>
                <w:sz w:val="21"/>
                <w:szCs w:val="21"/>
                <w:lang w:eastAsia="en-US"/>
              </w:rPr>
            </w:pPr>
          </w:p>
        </w:tc>
        <w:tc>
          <w:tcPr>
            <w:tcW w:w="686" w:type="pct"/>
            <w:vMerge w:val="continue"/>
            <w:vAlign w:val="center"/>
          </w:tcPr>
          <w:p w14:paraId="657D8785">
            <w:pPr>
              <w:widowControl/>
              <w:adjustRightInd w:val="0"/>
              <w:snapToGrid w:val="0"/>
              <w:spacing w:line="240" w:lineRule="auto"/>
              <w:ind w:firstLine="0" w:firstLineChars="0"/>
              <w:jc w:val="center"/>
              <w:rPr>
                <w:kern w:val="0"/>
                <w:sz w:val="21"/>
                <w:szCs w:val="21"/>
                <w:lang w:eastAsia="en-US"/>
              </w:rPr>
            </w:pPr>
          </w:p>
        </w:tc>
        <w:tc>
          <w:tcPr>
            <w:tcW w:w="353" w:type="pct"/>
            <w:vAlign w:val="center"/>
          </w:tcPr>
          <w:p w14:paraId="1395F825">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高度（m）</w:t>
            </w:r>
          </w:p>
        </w:tc>
        <w:tc>
          <w:tcPr>
            <w:tcW w:w="353" w:type="pct"/>
            <w:vAlign w:val="center"/>
          </w:tcPr>
          <w:p w14:paraId="4B8EEB53">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内径（m）</w:t>
            </w:r>
          </w:p>
        </w:tc>
        <w:tc>
          <w:tcPr>
            <w:tcW w:w="552" w:type="pct"/>
            <w:vAlign w:val="center"/>
          </w:tcPr>
          <w:p w14:paraId="5B9D1A4A">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出口温度（℃）</w:t>
            </w:r>
          </w:p>
        </w:tc>
        <w:tc>
          <w:tcPr>
            <w:tcW w:w="377" w:type="pct"/>
            <w:vMerge w:val="continue"/>
            <w:vAlign w:val="center"/>
          </w:tcPr>
          <w:p w14:paraId="45BC991B">
            <w:pPr>
              <w:widowControl/>
              <w:adjustRightInd w:val="0"/>
              <w:snapToGrid w:val="0"/>
              <w:spacing w:line="240" w:lineRule="auto"/>
              <w:ind w:firstLine="0" w:firstLineChars="0"/>
              <w:jc w:val="center"/>
              <w:rPr>
                <w:kern w:val="0"/>
                <w:sz w:val="21"/>
                <w:szCs w:val="21"/>
                <w:lang w:eastAsia="en-US"/>
              </w:rPr>
            </w:pPr>
          </w:p>
        </w:tc>
      </w:tr>
      <w:tr w14:paraId="67BEA7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blHeader/>
        </w:trPr>
        <w:tc>
          <w:tcPr>
            <w:tcW w:w="649" w:type="pct"/>
            <w:vAlign w:val="center"/>
          </w:tcPr>
          <w:p w14:paraId="699C289B">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DA001</w:t>
            </w:r>
          </w:p>
        </w:tc>
        <w:tc>
          <w:tcPr>
            <w:tcW w:w="569" w:type="pct"/>
            <w:vAlign w:val="center"/>
          </w:tcPr>
          <w:p w14:paraId="25904213">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有机废气</w:t>
            </w:r>
          </w:p>
        </w:tc>
        <w:tc>
          <w:tcPr>
            <w:tcW w:w="487" w:type="pct"/>
            <w:vAlign w:val="center"/>
          </w:tcPr>
          <w:p w14:paraId="12FD323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10000</w:t>
            </w:r>
          </w:p>
        </w:tc>
        <w:tc>
          <w:tcPr>
            <w:tcW w:w="406" w:type="pct"/>
            <w:vAlign w:val="center"/>
          </w:tcPr>
          <w:p w14:paraId="394F6A8E">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非甲烷总烃</w:t>
            </w:r>
          </w:p>
        </w:tc>
        <w:tc>
          <w:tcPr>
            <w:tcW w:w="568" w:type="pct"/>
            <w:vAlign w:val="center"/>
          </w:tcPr>
          <w:p w14:paraId="1D71A3EB">
            <w:pPr>
              <w:widowControl/>
              <w:adjustRightInd w:val="0"/>
              <w:snapToGrid w:val="0"/>
              <w:spacing w:line="240" w:lineRule="auto"/>
              <w:ind w:firstLine="0" w:firstLineChars="0"/>
              <w:jc w:val="center"/>
              <w:rPr>
                <w:kern w:val="0"/>
                <w:sz w:val="21"/>
                <w:szCs w:val="21"/>
              </w:rPr>
            </w:pPr>
            <w:r>
              <w:rPr>
                <w:kern w:val="0"/>
                <w:sz w:val="21"/>
                <w:szCs w:val="21"/>
              </w:rPr>
              <w:t>295.7</w:t>
            </w:r>
          </w:p>
        </w:tc>
        <w:tc>
          <w:tcPr>
            <w:tcW w:w="686" w:type="pct"/>
            <w:vAlign w:val="center"/>
          </w:tcPr>
          <w:p w14:paraId="76E06454">
            <w:pPr>
              <w:widowControl/>
              <w:adjustRightInd w:val="0"/>
              <w:snapToGrid w:val="0"/>
              <w:spacing w:line="240" w:lineRule="auto"/>
              <w:ind w:firstLine="0" w:firstLineChars="0"/>
              <w:jc w:val="center"/>
              <w:rPr>
                <w:kern w:val="0"/>
                <w:sz w:val="21"/>
                <w:szCs w:val="21"/>
              </w:rPr>
            </w:pPr>
            <w:r>
              <w:rPr>
                <w:kern w:val="0"/>
                <w:sz w:val="21"/>
                <w:szCs w:val="21"/>
              </w:rPr>
              <w:t>5.92</w:t>
            </w:r>
          </w:p>
        </w:tc>
        <w:tc>
          <w:tcPr>
            <w:tcW w:w="353" w:type="pct"/>
            <w:vAlign w:val="center"/>
          </w:tcPr>
          <w:p w14:paraId="1AA53C07">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15</w:t>
            </w:r>
          </w:p>
        </w:tc>
        <w:tc>
          <w:tcPr>
            <w:tcW w:w="353" w:type="pct"/>
            <w:vAlign w:val="center"/>
          </w:tcPr>
          <w:p w14:paraId="05A4EF34">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0.5</w:t>
            </w:r>
          </w:p>
        </w:tc>
        <w:tc>
          <w:tcPr>
            <w:tcW w:w="552" w:type="pct"/>
            <w:vAlign w:val="center"/>
          </w:tcPr>
          <w:p w14:paraId="52FA31DE">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25</w:t>
            </w:r>
          </w:p>
        </w:tc>
        <w:tc>
          <w:tcPr>
            <w:tcW w:w="377" w:type="pct"/>
            <w:vAlign w:val="center"/>
          </w:tcPr>
          <w:p w14:paraId="5B130505">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1.0</w:t>
            </w:r>
            <w:r>
              <w:rPr>
                <w:rFonts w:hint="eastAsia"/>
                <w:kern w:val="0"/>
                <w:sz w:val="21"/>
                <w:szCs w:val="21"/>
              </w:rPr>
              <w:t>h</w:t>
            </w:r>
          </w:p>
        </w:tc>
      </w:tr>
    </w:tbl>
    <w:p w14:paraId="40A03480">
      <w:pPr>
        <w:ind w:firstLine="480"/>
      </w:pPr>
      <w:r>
        <w:rPr>
          <w:rFonts w:hint="eastAsia"/>
        </w:rPr>
        <w:t>（2）区域在建、拟建污染源</w:t>
      </w:r>
    </w:p>
    <w:p w14:paraId="16281CF2">
      <w:pPr>
        <w:ind w:firstLine="480"/>
      </w:pPr>
      <w:r>
        <w:rPr>
          <w:rFonts w:hint="eastAsia"/>
        </w:rPr>
        <w:t>根据调查，本项目厂区周边在建污染源包括：新疆锦贸鑫能源有限公司100万吨/年沥青及资源化综合利用项目和世益石化10万吨/年特种油品沥青调和项目，与本项目有关的污染物为非甲烷总烃，具体源强见表5</w:t>
      </w:r>
      <w:r>
        <w:t>.1-9</w:t>
      </w:r>
      <w:r>
        <w:rPr>
          <w:rFonts w:hint="eastAsia"/>
        </w:rPr>
        <w:t>。</w:t>
      </w:r>
    </w:p>
    <w:p w14:paraId="7788981C">
      <w:pPr>
        <w:pStyle w:val="47"/>
        <w:spacing w:before="65"/>
      </w:pPr>
      <w:r>
        <w:rPr>
          <w:rFonts w:hint="eastAsia"/>
        </w:rPr>
        <w:t>表5</w:t>
      </w:r>
      <w:r>
        <w:t xml:space="preserve">.1-9   </w:t>
      </w:r>
      <w:r>
        <w:rPr>
          <w:rFonts w:hint="eastAsia"/>
        </w:rPr>
        <w:t>区域在建、拟建污染源统计表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autofit"/>
        <w:tblCellMar>
          <w:top w:w="0" w:type="dxa"/>
          <w:left w:w="0" w:type="dxa"/>
          <w:bottom w:w="0" w:type="dxa"/>
          <w:right w:w="0" w:type="dxa"/>
        </w:tblCellMar>
      </w:tblPr>
      <w:tblGrid>
        <w:gridCol w:w="567"/>
        <w:gridCol w:w="2886"/>
        <w:gridCol w:w="5277"/>
      </w:tblGrid>
      <w:tr w14:paraId="70F509D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325" w:type="pct"/>
            <w:vMerge w:val="restart"/>
            <w:shd w:val="clear" w:color="auto" w:fill="auto"/>
            <w:vAlign w:val="center"/>
          </w:tcPr>
          <w:p w14:paraId="5D8D749C">
            <w:pPr>
              <w:pStyle w:val="90"/>
              <w:rPr>
                <w:lang w:eastAsia="en-US"/>
              </w:rPr>
            </w:pPr>
            <w:r>
              <w:rPr>
                <w:lang w:eastAsia="en-US"/>
              </w:rPr>
              <w:t>序号</w:t>
            </w:r>
          </w:p>
        </w:tc>
        <w:tc>
          <w:tcPr>
            <w:tcW w:w="1653" w:type="pct"/>
            <w:vMerge w:val="restart"/>
            <w:shd w:val="clear" w:color="auto" w:fill="auto"/>
            <w:vAlign w:val="center"/>
          </w:tcPr>
          <w:p w14:paraId="6C1FA43F">
            <w:pPr>
              <w:pStyle w:val="90"/>
              <w:rPr>
                <w:lang w:eastAsia="en-US"/>
              </w:rPr>
            </w:pPr>
            <w:r>
              <w:rPr>
                <w:lang w:eastAsia="en-US"/>
              </w:rPr>
              <w:t>企业名称</w:t>
            </w:r>
          </w:p>
        </w:tc>
        <w:tc>
          <w:tcPr>
            <w:tcW w:w="3022" w:type="pct"/>
            <w:shd w:val="clear" w:color="auto" w:fill="auto"/>
            <w:vAlign w:val="center"/>
          </w:tcPr>
          <w:p w14:paraId="1618047F">
            <w:pPr>
              <w:pStyle w:val="90"/>
              <w:rPr>
                <w:lang w:eastAsia="en-US"/>
              </w:rPr>
            </w:pPr>
            <w:r>
              <w:rPr>
                <w:lang w:eastAsia="en-US"/>
              </w:rPr>
              <w:t>废气污染物</w:t>
            </w:r>
          </w:p>
        </w:tc>
      </w:tr>
      <w:tr w14:paraId="6A8B495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325" w:type="pct"/>
            <w:vMerge w:val="continue"/>
            <w:shd w:val="clear" w:color="auto" w:fill="auto"/>
            <w:vAlign w:val="center"/>
          </w:tcPr>
          <w:p w14:paraId="0DEE7011">
            <w:pPr>
              <w:pStyle w:val="90"/>
              <w:rPr>
                <w:lang w:eastAsia="en-US"/>
              </w:rPr>
            </w:pPr>
          </w:p>
        </w:tc>
        <w:tc>
          <w:tcPr>
            <w:tcW w:w="1653" w:type="pct"/>
            <w:vMerge w:val="continue"/>
            <w:shd w:val="clear" w:color="auto" w:fill="auto"/>
            <w:vAlign w:val="center"/>
          </w:tcPr>
          <w:p w14:paraId="4363CD29">
            <w:pPr>
              <w:pStyle w:val="90"/>
              <w:rPr>
                <w:lang w:eastAsia="en-US"/>
              </w:rPr>
            </w:pPr>
          </w:p>
        </w:tc>
        <w:tc>
          <w:tcPr>
            <w:tcW w:w="3022" w:type="pct"/>
            <w:shd w:val="clear" w:color="auto" w:fill="auto"/>
            <w:vAlign w:val="center"/>
          </w:tcPr>
          <w:p w14:paraId="25CAE3DA">
            <w:pPr>
              <w:pStyle w:val="90"/>
              <w:rPr>
                <w:lang w:eastAsia="en-US"/>
              </w:rPr>
            </w:pPr>
            <w:r>
              <w:rPr>
                <w:lang w:eastAsia="en-US"/>
              </w:rPr>
              <w:t>非甲烷总烃</w:t>
            </w:r>
          </w:p>
        </w:tc>
      </w:tr>
      <w:tr w14:paraId="31DA3282">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325" w:type="pct"/>
            <w:shd w:val="clear" w:color="auto" w:fill="auto"/>
            <w:vAlign w:val="center"/>
          </w:tcPr>
          <w:p w14:paraId="5B6BA3FF">
            <w:pPr>
              <w:pStyle w:val="90"/>
            </w:pPr>
            <w:r>
              <w:rPr>
                <w:rFonts w:hint="eastAsia"/>
              </w:rPr>
              <w:t>1</w:t>
            </w:r>
          </w:p>
        </w:tc>
        <w:tc>
          <w:tcPr>
            <w:tcW w:w="1653" w:type="pct"/>
            <w:shd w:val="clear" w:color="auto" w:fill="auto"/>
            <w:vAlign w:val="center"/>
          </w:tcPr>
          <w:p w14:paraId="4B859C37">
            <w:pPr>
              <w:pStyle w:val="90"/>
            </w:pPr>
            <w:r>
              <w:t>新疆锦贸鑫能源有限公司</w:t>
            </w:r>
          </w:p>
        </w:tc>
        <w:tc>
          <w:tcPr>
            <w:tcW w:w="3022" w:type="pct"/>
            <w:shd w:val="clear" w:color="auto" w:fill="auto"/>
            <w:vAlign w:val="center"/>
          </w:tcPr>
          <w:p w14:paraId="1643D757">
            <w:pPr>
              <w:pStyle w:val="90"/>
              <w:rPr>
                <w:rFonts w:eastAsia="Times New Roman"/>
              </w:rPr>
            </w:pPr>
            <w:r>
              <w:t>3.26</w:t>
            </w:r>
          </w:p>
        </w:tc>
      </w:tr>
      <w:tr w14:paraId="697DAB76">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325" w:type="pct"/>
            <w:shd w:val="clear" w:color="auto" w:fill="auto"/>
            <w:vAlign w:val="center"/>
          </w:tcPr>
          <w:p w14:paraId="757CF503">
            <w:pPr>
              <w:pStyle w:val="90"/>
            </w:pPr>
            <w:r>
              <w:rPr>
                <w:rFonts w:hint="eastAsia"/>
              </w:rPr>
              <w:t>2</w:t>
            </w:r>
          </w:p>
        </w:tc>
        <w:tc>
          <w:tcPr>
            <w:tcW w:w="1653" w:type="pct"/>
            <w:shd w:val="clear" w:color="auto" w:fill="auto"/>
            <w:vAlign w:val="center"/>
          </w:tcPr>
          <w:p w14:paraId="327F6B3C">
            <w:pPr>
              <w:pStyle w:val="90"/>
            </w:pPr>
            <w:r>
              <w:t>世益石化</w:t>
            </w:r>
          </w:p>
        </w:tc>
        <w:tc>
          <w:tcPr>
            <w:tcW w:w="3022" w:type="pct"/>
            <w:shd w:val="clear" w:color="auto" w:fill="auto"/>
            <w:vAlign w:val="center"/>
          </w:tcPr>
          <w:p w14:paraId="60C4D8AA">
            <w:pPr>
              <w:pStyle w:val="90"/>
              <w:rPr>
                <w:rFonts w:eastAsia="Times New Roman"/>
              </w:rPr>
            </w:pPr>
            <w:r>
              <w:t>0.009</w:t>
            </w:r>
          </w:p>
        </w:tc>
      </w:tr>
      <w:tr w14:paraId="2AD4FA1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0" w:hRule="atLeast"/>
          <w:jc w:val="center"/>
        </w:trPr>
        <w:tc>
          <w:tcPr>
            <w:tcW w:w="1978" w:type="pct"/>
            <w:gridSpan w:val="2"/>
            <w:shd w:val="clear" w:color="auto" w:fill="auto"/>
            <w:vAlign w:val="center"/>
          </w:tcPr>
          <w:p w14:paraId="7490E38B">
            <w:pPr>
              <w:pStyle w:val="90"/>
            </w:pPr>
            <w:r>
              <w:rPr>
                <w:rFonts w:hint="eastAsia"/>
              </w:rPr>
              <w:t>合计</w:t>
            </w:r>
          </w:p>
        </w:tc>
        <w:tc>
          <w:tcPr>
            <w:tcW w:w="3022" w:type="pct"/>
            <w:shd w:val="clear" w:color="auto" w:fill="auto"/>
            <w:vAlign w:val="center"/>
          </w:tcPr>
          <w:p w14:paraId="7BE04845">
            <w:pPr>
              <w:pStyle w:val="90"/>
            </w:pPr>
            <w:r>
              <w:rPr>
                <w:rFonts w:hint="eastAsia"/>
              </w:rPr>
              <w:t>3</w:t>
            </w:r>
            <w:r>
              <w:t>.269</w:t>
            </w:r>
          </w:p>
        </w:tc>
      </w:tr>
    </w:tbl>
    <w:p w14:paraId="5AC22D91">
      <w:pPr>
        <w:pStyle w:val="45"/>
        <w:spacing w:before="65" w:after="65"/>
      </w:pPr>
      <w:r>
        <w:rPr>
          <w:rFonts w:hint="eastAsia"/>
        </w:rPr>
        <w:t>预测因子及模式</w:t>
      </w:r>
    </w:p>
    <w:p w14:paraId="45C947BB">
      <w:pPr>
        <w:ind w:firstLine="480"/>
      </w:pPr>
      <w:r>
        <w:rPr>
          <w:rFonts w:hint="eastAsia"/>
        </w:rPr>
        <w:t>正常工况下的预测因子：二氧化硫、氮氧化物、颗粒物、氨、硫化氢</w:t>
      </w:r>
      <w:r>
        <w:rPr>
          <w:rFonts w:hint="eastAsia"/>
          <w:lang w:eastAsia="zh-CN"/>
        </w:rPr>
        <w:t>、</w:t>
      </w:r>
      <w:r>
        <w:rPr>
          <w:rFonts w:hint="eastAsia"/>
          <w:lang w:val="en-US" w:eastAsia="zh-CN"/>
        </w:rPr>
        <w:t>硫酸</w:t>
      </w:r>
      <w:r>
        <w:rPr>
          <w:rFonts w:hint="eastAsia"/>
        </w:rPr>
        <w:t>和非甲烷总烃共</w:t>
      </w:r>
      <w:r>
        <w:rPr>
          <w:rFonts w:hint="eastAsia"/>
          <w:lang w:val="en-US" w:eastAsia="zh-CN"/>
        </w:rPr>
        <w:t>7</w:t>
      </w:r>
      <w:r>
        <w:rPr>
          <w:rFonts w:hint="eastAsia"/>
        </w:rPr>
        <w:t>个因子，非正常工况下的预测因子：非甲烷总烃等1个因子。</w:t>
      </w:r>
    </w:p>
    <w:p w14:paraId="0CCA3EE0">
      <w:pPr>
        <w:ind w:firstLine="480"/>
      </w:pPr>
      <w:r>
        <w:rPr>
          <w:rFonts w:hint="eastAsia"/>
        </w:rPr>
        <w:t>预测模式：按照《环境影响评价技术导则 大气环境》（HJ2.2-2018）的要求，进行一级预测评价，采用EIAPROA2018软件中的AERMOD模式进行预测。</w:t>
      </w:r>
    </w:p>
    <w:p w14:paraId="0339093E">
      <w:pPr>
        <w:pStyle w:val="45"/>
        <w:spacing w:before="65" w:after="65"/>
      </w:pPr>
      <w:r>
        <w:rPr>
          <w:rFonts w:hint="eastAsia"/>
        </w:rPr>
        <w:t>预测范围及预测点方案</w:t>
      </w:r>
    </w:p>
    <w:p w14:paraId="21DF2270">
      <w:pPr>
        <w:ind w:firstLine="480"/>
      </w:pPr>
      <w:r>
        <w:rPr>
          <w:rFonts w:hint="eastAsia"/>
        </w:rPr>
        <w:t>预测范围覆盖所有环境敏感点，大气环境敏感点，见下表。即以厂区为中心，厂界四周为起点，向外延伸各2.5km，边长为5km的矩形区域。</w:t>
      </w:r>
    </w:p>
    <w:p w14:paraId="3A90F5FA">
      <w:pPr>
        <w:pStyle w:val="47"/>
        <w:spacing w:before="65"/>
      </w:pPr>
      <w:r>
        <w:rPr>
          <w:rFonts w:hint="eastAsia"/>
        </w:rPr>
        <w:t>表5</w:t>
      </w:r>
      <w:r>
        <w:t xml:space="preserve">.1-10   </w:t>
      </w:r>
      <w:r>
        <w:rPr>
          <w:rFonts w:hint="eastAsia"/>
        </w:rPr>
        <w:t>大气环境敏感点一览表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36"/>
        <w:gridCol w:w="2237"/>
        <w:gridCol w:w="2237"/>
      </w:tblGrid>
      <w:tr w14:paraId="08BB8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shd w:val="clear" w:color="auto" w:fill="auto"/>
            <w:vAlign w:val="center"/>
          </w:tcPr>
          <w:p w14:paraId="6330C294">
            <w:pPr>
              <w:adjustRightInd w:val="0"/>
              <w:snapToGrid w:val="0"/>
              <w:spacing w:line="240" w:lineRule="auto"/>
              <w:ind w:firstLine="0" w:firstLineChars="0"/>
              <w:jc w:val="center"/>
              <w:rPr>
                <w:sz w:val="21"/>
                <w:szCs w:val="21"/>
              </w:rPr>
            </w:pPr>
            <w:r>
              <w:rPr>
                <w:rFonts w:hint="eastAsia"/>
                <w:sz w:val="21"/>
                <w:szCs w:val="21"/>
              </w:rPr>
              <w:t>编号</w:t>
            </w:r>
          </w:p>
        </w:tc>
        <w:tc>
          <w:tcPr>
            <w:tcW w:w="1250" w:type="pct"/>
            <w:shd w:val="clear" w:color="auto" w:fill="auto"/>
            <w:vAlign w:val="center"/>
          </w:tcPr>
          <w:p w14:paraId="55B3F559">
            <w:pPr>
              <w:adjustRightInd w:val="0"/>
              <w:snapToGrid w:val="0"/>
              <w:spacing w:line="240" w:lineRule="auto"/>
              <w:ind w:firstLine="0" w:firstLineChars="0"/>
              <w:jc w:val="center"/>
              <w:rPr>
                <w:sz w:val="21"/>
                <w:szCs w:val="21"/>
              </w:rPr>
            </w:pPr>
            <w:r>
              <w:rPr>
                <w:rFonts w:hint="eastAsia"/>
                <w:sz w:val="21"/>
                <w:szCs w:val="21"/>
              </w:rPr>
              <w:t>敏感点</w:t>
            </w:r>
          </w:p>
        </w:tc>
        <w:tc>
          <w:tcPr>
            <w:tcW w:w="1250" w:type="pct"/>
            <w:shd w:val="clear" w:color="auto" w:fill="auto"/>
            <w:vAlign w:val="center"/>
          </w:tcPr>
          <w:p w14:paraId="75C81342">
            <w:pPr>
              <w:adjustRightInd w:val="0"/>
              <w:snapToGrid w:val="0"/>
              <w:spacing w:line="240" w:lineRule="auto"/>
              <w:ind w:firstLine="0" w:firstLineChars="0"/>
              <w:jc w:val="center"/>
              <w:rPr>
                <w:sz w:val="21"/>
                <w:szCs w:val="21"/>
              </w:rPr>
            </w:pPr>
            <w:r>
              <w:rPr>
                <w:rFonts w:hint="eastAsia"/>
                <w:sz w:val="21"/>
                <w:szCs w:val="21"/>
              </w:rPr>
              <w:t>方位</w:t>
            </w:r>
          </w:p>
        </w:tc>
        <w:tc>
          <w:tcPr>
            <w:tcW w:w="1250" w:type="pct"/>
            <w:shd w:val="clear" w:color="auto" w:fill="auto"/>
            <w:vAlign w:val="center"/>
          </w:tcPr>
          <w:p w14:paraId="3E220BBD">
            <w:pPr>
              <w:adjustRightInd w:val="0"/>
              <w:snapToGrid w:val="0"/>
              <w:spacing w:line="240" w:lineRule="auto"/>
              <w:ind w:firstLine="0" w:firstLineChars="0"/>
              <w:jc w:val="center"/>
              <w:rPr>
                <w:sz w:val="21"/>
                <w:szCs w:val="21"/>
              </w:rPr>
            </w:pPr>
            <w:r>
              <w:rPr>
                <w:rFonts w:hint="eastAsia"/>
                <w:sz w:val="21"/>
                <w:szCs w:val="21"/>
              </w:rPr>
              <w:t>厂界距离/km</w:t>
            </w:r>
          </w:p>
        </w:tc>
      </w:tr>
      <w:tr w14:paraId="32D03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shd w:val="clear" w:color="auto" w:fill="auto"/>
            <w:vAlign w:val="center"/>
          </w:tcPr>
          <w:p w14:paraId="6730CF76">
            <w:pPr>
              <w:numPr>
                <w:ilvl w:val="0"/>
                <w:numId w:val="26"/>
              </w:numPr>
              <w:adjustRightInd w:val="0"/>
              <w:snapToGrid w:val="0"/>
              <w:spacing w:line="240" w:lineRule="auto"/>
              <w:ind w:firstLineChars="0"/>
              <w:jc w:val="center"/>
              <w:rPr>
                <w:sz w:val="21"/>
                <w:szCs w:val="21"/>
              </w:rPr>
            </w:pPr>
          </w:p>
        </w:tc>
        <w:tc>
          <w:tcPr>
            <w:tcW w:w="1250" w:type="pct"/>
            <w:shd w:val="clear" w:color="auto" w:fill="auto"/>
            <w:vAlign w:val="center"/>
          </w:tcPr>
          <w:p w14:paraId="5A6AEEFD">
            <w:pPr>
              <w:adjustRightInd w:val="0"/>
              <w:snapToGrid w:val="0"/>
              <w:spacing w:line="240" w:lineRule="auto"/>
              <w:ind w:firstLine="0" w:firstLineChars="0"/>
              <w:jc w:val="center"/>
              <w:rPr>
                <w:sz w:val="21"/>
                <w:szCs w:val="21"/>
              </w:rPr>
            </w:pPr>
            <w:r>
              <w:rPr>
                <w:sz w:val="21"/>
                <w:szCs w:val="21"/>
              </w:rPr>
              <w:t>130团22连</w:t>
            </w:r>
          </w:p>
        </w:tc>
        <w:tc>
          <w:tcPr>
            <w:tcW w:w="1250" w:type="pct"/>
            <w:shd w:val="clear" w:color="auto" w:fill="auto"/>
            <w:vAlign w:val="center"/>
          </w:tcPr>
          <w:p w14:paraId="7DBC4ABE">
            <w:pPr>
              <w:adjustRightInd w:val="0"/>
              <w:snapToGrid w:val="0"/>
              <w:spacing w:line="240" w:lineRule="auto"/>
              <w:ind w:firstLine="0" w:firstLineChars="0"/>
              <w:jc w:val="center"/>
              <w:rPr>
                <w:sz w:val="21"/>
                <w:szCs w:val="21"/>
              </w:rPr>
            </w:pPr>
            <w:r>
              <w:rPr>
                <w:rFonts w:hint="eastAsia"/>
                <w:sz w:val="21"/>
                <w:szCs w:val="21"/>
              </w:rPr>
              <w:t>西南偏西</w:t>
            </w:r>
          </w:p>
        </w:tc>
        <w:tc>
          <w:tcPr>
            <w:tcW w:w="1250" w:type="pct"/>
            <w:shd w:val="clear" w:color="auto" w:fill="auto"/>
            <w:vAlign w:val="center"/>
          </w:tcPr>
          <w:p w14:paraId="737EA7DB">
            <w:pPr>
              <w:adjustRightInd w:val="0"/>
              <w:snapToGrid w:val="0"/>
              <w:spacing w:line="240" w:lineRule="auto"/>
              <w:ind w:firstLine="0" w:firstLineChars="0"/>
              <w:jc w:val="center"/>
              <w:rPr>
                <w:sz w:val="21"/>
                <w:szCs w:val="21"/>
              </w:rPr>
            </w:pPr>
            <w:r>
              <w:rPr>
                <w:rFonts w:hint="eastAsia"/>
                <w:sz w:val="21"/>
                <w:szCs w:val="21"/>
              </w:rPr>
              <w:t>1</w:t>
            </w:r>
            <w:r>
              <w:rPr>
                <w:sz w:val="21"/>
                <w:szCs w:val="21"/>
              </w:rPr>
              <w:t>.8</w:t>
            </w:r>
            <w:r>
              <w:rPr>
                <w:rFonts w:hint="eastAsia"/>
                <w:sz w:val="21"/>
                <w:szCs w:val="21"/>
              </w:rPr>
              <w:t>km</w:t>
            </w:r>
          </w:p>
        </w:tc>
      </w:tr>
    </w:tbl>
    <w:p w14:paraId="779E7404">
      <w:pPr>
        <w:ind w:firstLine="480"/>
        <w:rPr>
          <w:lang w:bidi="en-US"/>
        </w:rPr>
      </w:pPr>
      <w:r>
        <w:rPr>
          <w:rFonts w:hint="eastAsia"/>
          <w:lang w:bidi="en-US"/>
        </w:rPr>
        <w:t>本次预测评价计算点预测网格采用近密远疏方法，设置方法为：</w:t>
      </w:r>
    </w:p>
    <w:p w14:paraId="626676D4">
      <w:pPr>
        <w:ind w:firstLine="480"/>
        <w:rPr>
          <w:lang w:bidi="en-US"/>
        </w:rPr>
      </w:pPr>
      <w:r>
        <w:rPr>
          <w:rFonts w:hint="eastAsia"/>
          <w:lang w:bidi="en-US"/>
        </w:rPr>
        <w:t>X方向为[-2500，2500]100；</w:t>
      </w:r>
    </w:p>
    <w:p w14:paraId="1363801F">
      <w:pPr>
        <w:ind w:firstLine="480"/>
        <w:rPr>
          <w:lang w:bidi="en-US"/>
        </w:rPr>
      </w:pPr>
      <w:r>
        <w:rPr>
          <w:rFonts w:hint="eastAsia"/>
          <w:lang w:bidi="en-US"/>
        </w:rPr>
        <w:t>Y方向为[-2500，2500]100。</w:t>
      </w:r>
    </w:p>
    <w:p w14:paraId="70F96AAC">
      <w:pPr>
        <w:pStyle w:val="43"/>
        <w:rPr>
          <w:lang w:bidi="en-US"/>
        </w:rPr>
      </w:pPr>
      <w:bookmarkStart w:id="422" w:name="_Toc80193121"/>
      <w:bookmarkStart w:id="423" w:name="_Toc80973547"/>
      <w:bookmarkStart w:id="424" w:name="_Toc77007821"/>
      <w:bookmarkStart w:id="425" w:name="_Toc79515492"/>
      <w:bookmarkStart w:id="426" w:name="_Toc81214115"/>
      <w:bookmarkStart w:id="427" w:name="_Toc152864217"/>
      <w:bookmarkStart w:id="428" w:name="_Toc82518803"/>
      <w:r>
        <w:rPr>
          <w:rFonts w:hint="eastAsia"/>
          <w:lang w:bidi="en-US"/>
        </w:rPr>
        <w:t>预测标准</w:t>
      </w:r>
      <w:bookmarkEnd w:id="422"/>
      <w:bookmarkEnd w:id="423"/>
      <w:bookmarkEnd w:id="424"/>
      <w:bookmarkEnd w:id="425"/>
      <w:bookmarkEnd w:id="426"/>
      <w:bookmarkEnd w:id="427"/>
      <w:bookmarkEnd w:id="428"/>
    </w:p>
    <w:p w14:paraId="167BE8E6">
      <w:pPr>
        <w:ind w:firstLine="480"/>
        <w:rPr>
          <w:rFonts w:hint="eastAsia"/>
          <w:lang w:bidi="en-US"/>
        </w:rPr>
      </w:pPr>
      <w:r>
        <w:rPr>
          <w:rFonts w:hint="eastAsia"/>
          <w:lang w:bidi="en-US"/>
        </w:rPr>
        <w:t>本项目污染物非甲烷总烃环境质量标准执行《大气污染物综合排放详解》的小时值；二氧化硫、氮氧化物和PM</w:t>
      </w:r>
      <w:r>
        <w:rPr>
          <w:vertAlign w:val="subscript"/>
          <w:lang w:bidi="en-US"/>
        </w:rPr>
        <w:t>10</w:t>
      </w:r>
      <w:r>
        <w:rPr>
          <w:rFonts w:hint="eastAsia"/>
          <w:lang w:bidi="en-US"/>
        </w:rPr>
        <w:t>执行《环境空气质量标准》（GB3095-2012）二级；氨、硫化氢执行《环境影响评价技术导则 大气环境》（HJ</w:t>
      </w:r>
      <w:r>
        <w:rPr>
          <w:lang w:bidi="en-US"/>
        </w:rPr>
        <w:t>2.2-2018</w:t>
      </w:r>
      <w:r>
        <w:rPr>
          <w:rFonts w:hint="eastAsia"/>
          <w:lang w:bidi="en-US"/>
        </w:rPr>
        <w:t>）附录D。具体见下表。</w:t>
      </w:r>
    </w:p>
    <w:p w14:paraId="671FCC6C">
      <w:pPr>
        <w:ind w:firstLine="480"/>
        <w:rPr>
          <w:rFonts w:hint="eastAsia"/>
          <w:lang w:bidi="en-US"/>
        </w:rPr>
      </w:pPr>
    </w:p>
    <w:p w14:paraId="61C687BC">
      <w:pPr>
        <w:pStyle w:val="47"/>
        <w:spacing w:before="0" w:beforeLines="0" w:after="0"/>
        <w:rPr>
          <w:lang w:bidi="en-US"/>
        </w:rPr>
      </w:pPr>
      <w:r>
        <w:rPr>
          <w:rFonts w:hint="eastAsia"/>
        </w:rPr>
        <w:t>表5</w:t>
      </w:r>
      <w:r>
        <w:t xml:space="preserve">.1-11   </w:t>
      </w:r>
      <w:r>
        <w:rPr>
          <w:rFonts w:hint="eastAsia"/>
        </w:rPr>
        <w:t xml:space="preserve">大气预测评价标准 </w:t>
      </w:r>
      <w:r>
        <w:t xml:space="preserve">  </w:t>
      </w:r>
      <w:r>
        <w:rPr>
          <w:rFonts w:hint="eastAsia"/>
        </w:rPr>
        <w:t>单位：</w:t>
      </w:r>
      <w:r>
        <w:rPr>
          <w:lang w:bidi="en-US"/>
        </w:rPr>
        <w:t>μ</w:t>
      </w:r>
      <w:r>
        <w:rPr>
          <w:rFonts w:hint="eastAsia"/>
          <w:lang w:bidi="en-US"/>
        </w:rPr>
        <w:t>g/m</w:t>
      </w:r>
      <w:r>
        <w:rPr>
          <w:rFonts w:hint="eastAsia"/>
          <w:vertAlign w:val="superscript"/>
          <w:lang w:bidi="en-US"/>
        </w:rPr>
        <w:t>3</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16"/>
        <w:gridCol w:w="992"/>
        <w:gridCol w:w="1132"/>
        <w:gridCol w:w="1420"/>
        <w:gridCol w:w="3770"/>
      </w:tblGrid>
      <w:tr w14:paraId="5F604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vMerge w:val="restart"/>
            <w:tcMar>
              <w:left w:w="0" w:type="dxa"/>
              <w:right w:w="0" w:type="dxa"/>
            </w:tcMar>
            <w:vAlign w:val="center"/>
          </w:tcPr>
          <w:p w14:paraId="5605733D">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污染物名称</w:t>
            </w:r>
          </w:p>
        </w:tc>
        <w:tc>
          <w:tcPr>
            <w:tcW w:w="2029" w:type="pct"/>
            <w:gridSpan w:val="3"/>
            <w:vAlign w:val="center"/>
          </w:tcPr>
          <w:p w14:paraId="19A32A9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浓度限值（ug/m</w:t>
            </w:r>
            <w:r>
              <w:rPr>
                <w:kern w:val="0"/>
                <w:sz w:val="21"/>
                <w:szCs w:val="21"/>
                <w:vertAlign w:val="superscript"/>
                <w:lang w:eastAsia="en-US"/>
              </w:rPr>
              <w:t>3</w:t>
            </w:r>
            <w:r>
              <w:rPr>
                <w:kern w:val="0"/>
                <w:sz w:val="21"/>
                <w:szCs w:val="21"/>
                <w:lang w:eastAsia="en-US"/>
              </w:rPr>
              <w:t>）</w:t>
            </w:r>
          </w:p>
        </w:tc>
        <w:tc>
          <w:tcPr>
            <w:tcW w:w="2158" w:type="pct"/>
            <w:vMerge w:val="restart"/>
            <w:vAlign w:val="center"/>
          </w:tcPr>
          <w:p w14:paraId="40BC423C">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标准</w:t>
            </w:r>
          </w:p>
        </w:tc>
      </w:tr>
      <w:tr w14:paraId="1A6C8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vMerge w:val="continue"/>
            <w:tcMar>
              <w:left w:w="0" w:type="dxa"/>
              <w:right w:w="0" w:type="dxa"/>
            </w:tcMar>
            <w:vAlign w:val="center"/>
          </w:tcPr>
          <w:p w14:paraId="20B67225">
            <w:pPr>
              <w:widowControl/>
              <w:adjustRightInd w:val="0"/>
              <w:snapToGrid w:val="0"/>
              <w:spacing w:line="240" w:lineRule="auto"/>
              <w:ind w:firstLine="0" w:firstLineChars="0"/>
              <w:jc w:val="center"/>
              <w:rPr>
                <w:kern w:val="0"/>
                <w:sz w:val="21"/>
                <w:szCs w:val="21"/>
                <w:lang w:eastAsia="en-US"/>
              </w:rPr>
            </w:pPr>
          </w:p>
        </w:tc>
        <w:tc>
          <w:tcPr>
            <w:tcW w:w="568" w:type="pct"/>
            <w:tcMar>
              <w:left w:w="0" w:type="dxa"/>
              <w:right w:w="0" w:type="dxa"/>
            </w:tcMar>
            <w:vAlign w:val="center"/>
          </w:tcPr>
          <w:p w14:paraId="4C18648C">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小时平均</w:t>
            </w:r>
          </w:p>
        </w:tc>
        <w:tc>
          <w:tcPr>
            <w:tcW w:w="648" w:type="pct"/>
            <w:tcMar>
              <w:left w:w="0" w:type="dxa"/>
              <w:right w:w="0" w:type="dxa"/>
            </w:tcMar>
            <w:vAlign w:val="center"/>
          </w:tcPr>
          <w:p w14:paraId="14022BB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日平均</w:t>
            </w:r>
          </w:p>
        </w:tc>
        <w:tc>
          <w:tcPr>
            <w:tcW w:w="813" w:type="pct"/>
            <w:vAlign w:val="center"/>
          </w:tcPr>
          <w:p w14:paraId="53A98631">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年平均</w:t>
            </w:r>
          </w:p>
        </w:tc>
        <w:tc>
          <w:tcPr>
            <w:tcW w:w="2158" w:type="pct"/>
            <w:vMerge w:val="continue"/>
            <w:vAlign w:val="center"/>
          </w:tcPr>
          <w:p w14:paraId="7A835936">
            <w:pPr>
              <w:widowControl/>
              <w:adjustRightInd w:val="0"/>
              <w:snapToGrid w:val="0"/>
              <w:spacing w:line="240" w:lineRule="auto"/>
              <w:ind w:firstLine="0" w:firstLineChars="0"/>
              <w:jc w:val="center"/>
              <w:rPr>
                <w:kern w:val="0"/>
                <w:sz w:val="21"/>
                <w:szCs w:val="21"/>
                <w:lang w:eastAsia="en-US"/>
              </w:rPr>
            </w:pPr>
          </w:p>
        </w:tc>
      </w:tr>
      <w:tr w14:paraId="35D98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45AEEA08">
            <w:pPr>
              <w:pStyle w:val="90"/>
            </w:pPr>
            <w:r>
              <w:t>SO</w:t>
            </w:r>
            <w:r>
              <w:rPr>
                <w:vertAlign w:val="subscript"/>
              </w:rPr>
              <w:t>2</w:t>
            </w:r>
          </w:p>
        </w:tc>
        <w:tc>
          <w:tcPr>
            <w:tcW w:w="568" w:type="pct"/>
            <w:tcMar>
              <w:left w:w="0" w:type="dxa"/>
              <w:right w:w="0" w:type="dxa"/>
            </w:tcMar>
            <w:vAlign w:val="center"/>
          </w:tcPr>
          <w:p w14:paraId="765E416F">
            <w:pPr>
              <w:widowControl/>
              <w:adjustRightInd w:val="0"/>
              <w:snapToGrid w:val="0"/>
              <w:spacing w:line="240" w:lineRule="auto"/>
              <w:ind w:firstLine="0" w:firstLineChars="0"/>
              <w:jc w:val="center"/>
              <w:rPr>
                <w:kern w:val="0"/>
                <w:sz w:val="21"/>
                <w:szCs w:val="21"/>
              </w:rPr>
            </w:pPr>
            <w:r>
              <w:rPr>
                <w:rFonts w:hint="eastAsia"/>
                <w:kern w:val="0"/>
                <w:sz w:val="21"/>
                <w:szCs w:val="21"/>
              </w:rPr>
              <w:t>5</w:t>
            </w:r>
            <w:r>
              <w:rPr>
                <w:kern w:val="0"/>
                <w:sz w:val="21"/>
                <w:szCs w:val="21"/>
              </w:rPr>
              <w:t>00</w:t>
            </w:r>
          </w:p>
        </w:tc>
        <w:tc>
          <w:tcPr>
            <w:tcW w:w="648" w:type="pct"/>
            <w:tcMar>
              <w:left w:w="0" w:type="dxa"/>
              <w:right w:w="0" w:type="dxa"/>
            </w:tcMar>
            <w:vAlign w:val="center"/>
          </w:tcPr>
          <w:p w14:paraId="6B13BEA8">
            <w:pPr>
              <w:widowControl/>
              <w:adjustRightInd w:val="0"/>
              <w:snapToGrid w:val="0"/>
              <w:spacing w:line="240" w:lineRule="auto"/>
              <w:ind w:firstLine="0" w:firstLineChars="0"/>
              <w:jc w:val="center"/>
              <w:rPr>
                <w:kern w:val="0"/>
                <w:sz w:val="21"/>
                <w:szCs w:val="21"/>
              </w:rPr>
            </w:pPr>
            <w:r>
              <w:rPr>
                <w:kern w:val="0"/>
                <w:sz w:val="21"/>
                <w:szCs w:val="21"/>
              </w:rPr>
              <w:t>150</w:t>
            </w:r>
          </w:p>
        </w:tc>
        <w:tc>
          <w:tcPr>
            <w:tcW w:w="813" w:type="pct"/>
            <w:vAlign w:val="center"/>
          </w:tcPr>
          <w:p w14:paraId="605DA187">
            <w:pPr>
              <w:widowControl/>
              <w:adjustRightInd w:val="0"/>
              <w:snapToGrid w:val="0"/>
              <w:spacing w:line="240" w:lineRule="auto"/>
              <w:ind w:firstLine="0" w:firstLineChars="0"/>
              <w:jc w:val="center"/>
              <w:rPr>
                <w:kern w:val="0"/>
                <w:sz w:val="21"/>
                <w:szCs w:val="21"/>
              </w:rPr>
            </w:pPr>
            <w:r>
              <w:rPr>
                <w:rFonts w:hint="eastAsia"/>
                <w:kern w:val="0"/>
                <w:sz w:val="21"/>
                <w:szCs w:val="21"/>
              </w:rPr>
              <w:t>6</w:t>
            </w:r>
            <w:r>
              <w:rPr>
                <w:kern w:val="0"/>
                <w:sz w:val="21"/>
                <w:szCs w:val="21"/>
              </w:rPr>
              <w:t>0</w:t>
            </w:r>
          </w:p>
        </w:tc>
        <w:tc>
          <w:tcPr>
            <w:tcW w:w="2158" w:type="pct"/>
            <w:vMerge w:val="restart"/>
            <w:vAlign w:val="center"/>
          </w:tcPr>
          <w:p w14:paraId="40225DB4">
            <w:pPr>
              <w:widowControl/>
              <w:adjustRightInd w:val="0"/>
              <w:snapToGrid w:val="0"/>
              <w:spacing w:line="240" w:lineRule="auto"/>
              <w:ind w:firstLine="0" w:firstLineChars="0"/>
              <w:jc w:val="center"/>
              <w:rPr>
                <w:kern w:val="0"/>
                <w:sz w:val="21"/>
                <w:szCs w:val="21"/>
                <w:lang w:bidi="en-US"/>
              </w:rPr>
            </w:pPr>
            <w:r>
              <w:rPr>
                <w:rFonts w:hint="eastAsia"/>
                <w:kern w:val="0"/>
                <w:sz w:val="21"/>
                <w:szCs w:val="21"/>
                <w:lang w:bidi="en-US"/>
              </w:rPr>
              <w:t>《环境空气质量标准》（GB3095-2012）二级</w:t>
            </w:r>
          </w:p>
        </w:tc>
      </w:tr>
      <w:tr w14:paraId="3CD7A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344BD221">
            <w:pPr>
              <w:pStyle w:val="90"/>
            </w:pPr>
            <w:r>
              <w:t>NO</w:t>
            </w:r>
            <w:r>
              <w:rPr>
                <w:vertAlign w:val="subscript"/>
              </w:rPr>
              <w:t>x</w:t>
            </w:r>
          </w:p>
        </w:tc>
        <w:tc>
          <w:tcPr>
            <w:tcW w:w="568" w:type="pct"/>
            <w:tcMar>
              <w:left w:w="0" w:type="dxa"/>
              <w:right w:w="0" w:type="dxa"/>
            </w:tcMar>
            <w:vAlign w:val="center"/>
          </w:tcPr>
          <w:p w14:paraId="78DB23E1">
            <w:pPr>
              <w:widowControl/>
              <w:adjustRightInd w:val="0"/>
              <w:snapToGrid w:val="0"/>
              <w:spacing w:line="240" w:lineRule="auto"/>
              <w:ind w:firstLine="0" w:firstLineChars="0"/>
              <w:jc w:val="center"/>
              <w:rPr>
                <w:kern w:val="0"/>
                <w:sz w:val="21"/>
                <w:szCs w:val="21"/>
              </w:rPr>
            </w:pPr>
            <w:r>
              <w:rPr>
                <w:rFonts w:hint="eastAsia"/>
                <w:kern w:val="0"/>
                <w:sz w:val="21"/>
                <w:szCs w:val="21"/>
              </w:rPr>
              <w:t>2</w:t>
            </w:r>
            <w:r>
              <w:rPr>
                <w:kern w:val="0"/>
                <w:sz w:val="21"/>
                <w:szCs w:val="21"/>
              </w:rPr>
              <w:t>00</w:t>
            </w:r>
          </w:p>
        </w:tc>
        <w:tc>
          <w:tcPr>
            <w:tcW w:w="648" w:type="pct"/>
            <w:tcMar>
              <w:left w:w="0" w:type="dxa"/>
              <w:right w:w="0" w:type="dxa"/>
            </w:tcMar>
            <w:vAlign w:val="center"/>
          </w:tcPr>
          <w:p w14:paraId="080BEB4F">
            <w:pPr>
              <w:widowControl/>
              <w:adjustRightInd w:val="0"/>
              <w:snapToGrid w:val="0"/>
              <w:spacing w:line="240" w:lineRule="auto"/>
              <w:ind w:firstLine="0" w:firstLineChars="0"/>
              <w:jc w:val="center"/>
              <w:rPr>
                <w:kern w:val="0"/>
                <w:sz w:val="21"/>
                <w:szCs w:val="21"/>
              </w:rPr>
            </w:pPr>
            <w:r>
              <w:rPr>
                <w:rFonts w:hint="eastAsia"/>
                <w:kern w:val="0"/>
                <w:sz w:val="21"/>
                <w:szCs w:val="21"/>
              </w:rPr>
              <w:t>8</w:t>
            </w:r>
            <w:r>
              <w:rPr>
                <w:kern w:val="0"/>
                <w:sz w:val="21"/>
                <w:szCs w:val="21"/>
              </w:rPr>
              <w:t>0</w:t>
            </w:r>
          </w:p>
        </w:tc>
        <w:tc>
          <w:tcPr>
            <w:tcW w:w="813" w:type="pct"/>
            <w:vAlign w:val="center"/>
          </w:tcPr>
          <w:p w14:paraId="4B8A64DC">
            <w:pPr>
              <w:widowControl/>
              <w:adjustRightInd w:val="0"/>
              <w:snapToGrid w:val="0"/>
              <w:spacing w:line="240" w:lineRule="auto"/>
              <w:ind w:firstLine="0" w:firstLineChars="0"/>
              <w:jc w:val="center"/>
              <w:rPr>
                <w:kern w:val="0"/>
                <w:sz w:val="21"/>
                <w:szCs w:val="21"/>
              </w:rPr>
            </w:pPr>
            <w:r>
              <w:rPr>
                <w:rFonts w:hint="eastAsia"/>
                <w:kern w:val="0"/>
                <w:sz w:val="21"/>
                <w:szCs w:val="21"/>
              </w:rPr>
              <w:t>4</w:t>
            </w:r>
            <w:r>
              <w:rPr>
                <w:kern w:val="0"/>
                <w:sz w:val="21"/>
                <w:szCs w:val="21"/>
              </w:rPr>
              <w:t>0</w:t>
            </w:r>
          </w:p>
        </w:tc>
        <w:tc>
          <w:tcPr>
            <w:tcW w:w="2158" w:type="pct"/>
            <w:vMerge w:val="continue"/>
            <w:vAlign w:val="center"/>
          </w:tcPr>
          <w:p w14:paraId="315F3020">
            <w:pPr>
              <w:widowControl/>
              <w:adjustRightInd w:val="0"/>
              <w:snapToGrid w:val="0"/>
              <w:spacing w:line="240" w:lineRule="auto"/>
              <w:ind w:firstLine="0" w:firstLineChars="0"/>
              <w:jc w:val="center"/>
              <w:rPr>
                <w:kern w:val="0"/>
                <w:sz w:val="21"/>
                <w:szCs w:val="21"/>
                <w:lang w:bidi="en-US"/>
              </w:rPr>
            </w:pPr>
          </w:p>
        </w:tc>
      </w:tr>
      <w:tr w14:paraId="1FEA0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4725FC32">
            <w:pPr>
              <w:pStyle w:val="90"/>
            </w:pPr>
            <w:r>
              <w:rPr>
                <w:rFonts w:hint="eastAsia"/>
              </w:rPr>
              <w:t>PM</w:t>
            </w:r>
            <w:r>
              <w:rPr>
                <w:vertAlign w:val="subscript"/>
              </w:rPr>
              <w:t>10</w:t>
            </w:r>
          </w:p>
        </w:tc>
        <w:tc>
          <w:tcPr>
            <w:tcW w:w="568" w:type="pct"/>
            <w:tcMar>
              <w:left w:w="0" w:type="dxa"/>
              <w:right w:w="0" w:type="dxa"/>
            </w:tcMar>
            <w:vAlign w:val="center"/>
          </w:tcPr>
          <w:p w14:paraId="39229E9A">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648" w:type="pct"/>
            <w:tcMar>
              <w:left w:w="0" w:type="dxa"/>
              <w:right w:w="0" w:type="dxa"/>
            </w:tcMar>
            <w:vAlign w:val="center"/>
          </w:tcPr>
          <w:p w14:paraId="60574503">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50</w:t>
            </w:r>
          </w:p>
        </w:tc>
        <w:tc>
          <w:tcPr>
            <w:tcW w:w="813" w:type="pct"/>
            <w:vAlign w:val="center"/>
          </w:tcPr>
          <w:p w14:paraId="488837D9">
            <w:pPr>
              <w:widowControl/>
              <w:adjustRightInd w:val="0"/>
              <w:snapToGrid w:val="0"/>
              <w:spacing w:line="240" w:lineRule="auto"/>
              <w:ind w:firstLine="0" w:firstLineChars="0"/>
              <w:jc w:val="center"/>
              <w:rPr>
                <w:kern w:val="0"/>
                <w:sz w:val="21"/>
                <w:szCs w:val="21"/>
              </w:rPr>
            </w:pPr>
            <w:r>
              <w:rPr>
                <w:rFonts w:hint="eastAsia"/>
                <w:kern w:val="0"/>
                <w:sz w:val="21"/>
                <w:szCs w:val="21"/>
              </w:rPr>
              <w:t>7</w:t>
            </w:r>
            <w:r>
              <w:rPr>
                <w:kern w:val="0"/>
                <w:sz w:val="21"/>
                <w:szCs w:val="21"/>
              </w:rPr>
              <w:t>0</w:t>
            </w:r>
          </w:p>
        </w:tc>
        <w:tc>
          <w:tcPr>
            <w:tcW w:w="2158" w:type="pct"/>
            <w:vMerge w:val="continue"/>
            <w:vAlign w:val="center"/>
          </w:tcPr>
          <w:p w14:paraId="02AC881A">
            <w:pPr>
              <w:widowControl/>
              <w:adjustRightInd w:val="0"/>
              <w:snapToGrid w:val="0"/>
              <w:spacing w:line="240" w:lineRule="auto"/>
              <w:ind w:firstLine="0" w:firstLineChars="0"/>
              <w:jc w:val="center"/>
              <w:rPr>
                <w:kern w:val="0"/>
                <w:sz w:val="21"/>
                <w:szCs w:val="21"/>
                <w:lang w:bidi="en-US"/>
              </w:rPr>
            </w:pPr>
          </w:p>
        </w:tc>
      </w:tr>
      <w:tr w14:paraId="2C6EB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7E52D512">
            <w:pPr>
              <w:widowControl/>
              <w:adjustRightInd w:val="0"/>
              <w:snapToGrid w:val="0"/>
              <w:spacing w:line="240" w:lineRule="auto"/>
              <w:ind w:firstLine="0" w:firstLineChars="0"/>
              <w:jc w:val="center"/>
              <w:rPr>
                <w:kern w:val="0"/>
                <w:sz w:val="21"/>
                <w:szCs w:val="21"/>
                <w:lang w:eastAsia="en-US"/>
              </w:rPr>
            </w:pPr>
            <w:r>
              <w:rPr>
                <w:rFonts w:hint="eastAsia"/>
                <w:kern w:val="0"/>
                <w:sz w:val="21"/>
                <w:szCs w:val="21"/>
              </w:rPr>
              <w:t>非甲烷总烃</w:t>
            </w:r>
          </w:p>
        </w:tc>
        <w:tc>
          <w:tcPr>
            <w:tcW w:w="568" w:type="pct"/>
            <w:tcMar>
              <w:left w:w="0" w:type="dxa"/>
              <w:right w:w="0" w:type="dxa"/>
            </w:tcMar>
            <w:vAlign w:val="center"/>
          </w:tcPr>
          <w:p w14:paraId="163F3C66">
            <w:pPr>
              <w:widowControl/>
              <w:adjustRightInd w:val="0"/>
              <w:snapToGrid w:val="0"/>
              <w:spacing w:line="240" w:lineRule="auto"/>
              <w:ind w:firstLine="0" w:firstLineChars="0"/>
              <w:jc w:val="center"/>
              <w:rPr>
                <w:kern w:val="0"/>
                <w:sz w:val="21"/>
                <w:szCs w:val="21"/>
                <w:lang w:eastAsia="en-US"/>
              </w:rPr>
            </w:pPr>
            <w:r>
              <w:rPr>
                <w:kern w:val="0"/>
                <w:sz w:val="21"/>
                <w:szCs w:val="21"/>
                <w:lang w:eastAsia="en-US"/>
              </w:rPr>
              <w:t>2000</w:t>
            </w:r>
          </w:p>
        </w:tc>
        <w:tc>
          <w:tcPr>
            <w:tcW w:w="648" w:type="pct"/>
            <w:tcMar>
              <w:left w:w="0" w:type="dxa"/>
              <w:right w:w="0" w:type="dxa"/>
            </w:tcMar>
            <w:vAlign w:val="center"/>
          </w:tcPr>
          <w:p w14:paraId="20C8479E">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813" w:type="pct"/>
            <w:vAlign w:val="center"/>
          </w:tcPr>
          <w:p w14:paraId="2EE13668">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2158" w:type="pct"/>
            <w:vAlign w:val="center"/>
          </w:tcPr>
          <w:p w14:paraId="4168B023">
            <w:pPr>
              <w:widowControl/>
              <w:adjustRightInd w:val="0"/>
              <w:snapToGrid w:val="0"/>
              <w:spacing w:line="240" w:lineRule="auto"/>
              <w:ind w:firstLine="0" w:firstLineChars="0"/>
              <w:jc w:val="center"/>
              <w:rPr>
                <w:kern w:val="0"/>
                <w:sz w:val="21"/>
                <w:szCs w:val="21"/>
              </w:rPr>
            </w:pPr>
            <w:r>
              <w:rPr>
                <w:rFonts w:hint="eastAsia"/>
                <w:kern w:val="0"/>
                <w:sz w:val="21"/>
                <w:szCs w:val="21"/>
                <w:lang w:bidi="en-US"/>
              </w:rPr>
              <w:t>《大气污染物综合排放详解》</w:t>
            </w:r>
          </w:p>
        </w:tc>
      </w:tr>
      <w:tr w14:paraId="24324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35AB85F8">
            <w:pPr>
              <w:widowControl/>
              <w:adjustRightInd w:val="0"/>
              <w:snapToGrid w:val="0"/>
              <w:spacing w:line="240" w:lineRule="auto"/>
              <w:ind w:firstLine="0" w:firstLineChars="0"/>
              <w:jc w:val="center"/>
              <w:rPr>
                <w:kern w:val="0"/>
                <w:sz w:val="21"/>
                <w:szCs w:val="21"/>
              </w:rPr>
            </w:pPr>
            <w:r>
              <w:rPr>
                <w:rFonts w:hint="eastAsia"/>
                <w:kern w:val="0"/>
                <w:sz w:val="21"/>
                <w:szCs w:val="21"/>
              </w:rPr>
              <w:t>氨</w:t>
            </w:r>
          </w:p>
        </w:tc>
        <w:tc>
          <w:tcPr>
            <w:tcW w:w="568" w:type="pct"/>
            <w:tcMar>
              <w:left w:w="0" w:type="dxa"/>
              <w:right w:w="0" w:type="dxa"/>
            </w:tcMar>
            <w:vAlign w:val="center"/>
          </w:tcPr>
          <w:p w14:paraId="62EF1930">
            <w:pPr>
              <w:widowControl/>
              <w:adjustRightInd w:val="0"/>
              <w:snapToGrid w:val="0"/>
              <w:spacing w:line="240" w:lineRule="auto"/>
              <w:ind w:firstLine="0" w:firstLineChars="0"/>
              <w:jc w:val="center"/>
              <w:rPr>
                <w:kern w:val="0"/>
                <w:sz w:val="21"/>
                <w:szCs w:val="21"/>
              </w:rPr>
            </w:pPr>
            <w:r>
              <w:rPr>
                <w:rFonts w:hint="eastAsia"/>
                <w:kern w:val="0"/>
                <w:sz w:val="21"/>
                <w:szCs w:val="21"/>
              </w:rPr>
              <w:t>2</w:t>
            </w:r>
            <w:r>
              <w:rPr>
                <w:kern w:val="0"/>
                <w:sz w:val="21"/>
                <w:szCs w:val="21"/>
              </w:rPr>
              <w:t>00</w:t>
            </w:r>
          </w:p>
        </w:tc>
        <w:tc>
          <w:tcPr>
            <w:tcW w:w="648" w:type="pct"/>
            <w:tcMar>
              <w:left w:w="0" w:type="dxa"/>
              <w:right w:w="0" w:type="dxa"/>
            </w:tcMar>
            <w:vAlign w:val="center"/>
          </w:tcPr>
          <w:p w14:paraId="4B9E0BA0">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813" w:type="pct"/>
            <w:vAlign w:val="center"/>
          </w:tcPr>
          <w:p w14:paraId="1F12D734">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2158" w:type="pct"/>
            <w:vMerge w:val="restart"/>
            <w:vAlign w:val="center"/>
          </w:tcPr>
          <w:p w14:paraId="10ADB89E">
            <w:pPr>
              <w:widowControl/>
              <w:adjustRightInd w:val="0"/>
              <w:snapToGrid w:val="0"/>
              <w:spacing w:line="240" w:lineRule="auto"/>
              <w:ind w:firstLine="0" w:firstLineChars="0"/>
              <w:jc w:val="center"/>
              <w:rPr>
                <w:kern w:val="0"/>
                <w:sz w:val="21"/>
                <w:szCs w:val="21"/>
                <w:lang w:bidi="en-US"/>
              </w:rPr>
            </w:pPr>
            <w:r>
              <w:rPr>
                <w:rFonts w:hint="eastAsia"/>
                <w:kern w:val="0"/>
                <w:sz w:val="21"/>
                <w:szCs w:val="21"/>
                <w:lang w:bidi="en-US"/>
              </w:rPr>
              <w:t>《环境影响评价技术导则 大气环境》（HJ</w:t>
            </w:r>
            <w:r>
              <w:rPr>
                <w:kern w:val="0"/>
                <w:sz w:val="21"/>
                <w:szCs w:val="21"/>
                <w:lang w:bidi="en-US"/>
              </w:rPr>
              <w:t>2.2-2018</w:t>
            </w:r>
            <w:r>
              <w:rPr>
                <w:rFonts w:hint="eastAsia"/>
                <w:kern w:val="0"/>
                <w:sz w:val="21"/>
                <w:szCs w:val="21"/>
                <w:lang w:bidi="en-US"/>
              </w:rPr>
              <w:t>）附录D</w:t>
            </w:r>
          </w:p>
        </w:tc>
      </w:tr>
      <w:tr w14:paraId="45E76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4EAC1083">
            <w:pPr>
              <w:widowControl/>
              <w:adjustRightInd w:val="0"/>
              <w:snapToGrid w:val="0"/>
              <w:spacing w:line="240" w:lineRule="auto"/>
              <w:ind w:firstLine="0" w:firstLineChars="0"/>
              <w:jc w:val="center"/>
              <w:rPr>
                <w:kern w:val="0"/>
                <w:sz w:val="21"/>
                <w:szCs w:val="21"/>
              </w:rPr>
            </w:pPr>
            <w:r>
              <w:rPr>
                <w:rFonts w:hint="eastAsia"/>
                <w:kern w:val="0"/>
                <w:sz w:val="21"/>
                <w:szCs w:val="21"/>
              </w:rPr>
              <w:t>硫化氢</w:t>
            </w:r>
          </w:p>
        </w:tc>
        <w:tc>
          <w:tcPr>
            <w:tcW w:w="568" w:type="pct"/>
            <w:tcMar>
              <w:left w:w="0" w:type="dxa"/>
              <w:right w:w="0" w:type="dxa"/>
            </w:tcMar>
            <w:vAlign w:val="center"/>
          </w:tcPr>
          <w:p w14:paraId="1C92248A">
            <w:pPr>
              <w:widowControl/>
              <w:adjustRightInd w:val="0"/>
              <w:snapToGrid w:val="0"/>
              <w:spacing w:line="240" w:lineRule="auto"/>
              <w:ind w:firstLine="0" w:firstLineChars="0"/>
              <w:jc w:val="center"/>
              <w:rPr>
                <w:kern w:val="0"/>
                <w:sz w:val="21"/>
                <w:szCs w:val="21"/>
              </w:rPr>
            </w:pPr>
            <w:r>
              <w:rPr>
                <w:rFonts w:hint="eastAsia"/>
                <w:kern w:val="0"/>
                <w:sz w:val="21"/>
                <w:szCs w:val="21"/>
              </w:rPr>
              <w:t>1</w:t>
            </w:r>
            <w:r>
              <w:rPr>
                <w:kern w:val="0"/>
                <w:sz w:val="21"/>
                <w:szCs w:val="21"/>
              </w:rPr>
              <w:t>0</w:t>
            </w:r>
          </w:p>
        </w:tc>
        <w:tc>
          <w:tcPr>
            <w:tcW w:w="648" w:type="pct"/>
            <w:tcMar>
              <w:left w:w="0" w:type="dxa"/>
              <w:right w:w="0" w:type="dxa"/>
            </w:tcMar>
            <w:vAlign w:val="center"/>
          </w:tcPr>
          <w:p w14:paraId="23673AB5">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813" w:type="pct"/>
            <w:vAlign w:val="center"/>
          </w:tcPr>
          <w:p w14:paraId="432BD004">
            <w:pPr>
              <w:widowControl/>
              <w:adjustRightInd w:val="0"/>
              <w:snapToGrid w:val="0"/>
              <w:spacing w:line="240" w:lineRule="auto"/>
              <w:ind w:firstLine="0" w:firstLineChars="0"/>
              <w:jc w:val="center"/>
              <w:rPr>
                <w:kern w:val="0"/>
                <w:sz w:val="21"/>
                <w:szCs w:val="21"/>
              </w:rPr>
            </w:pPr>
            <w:r>
              <w:rPr>
                <w:rFonts w:hint="eastAsia"/>
                <w:kern w:val="0"/>
                <w:sz w:val="21"/>
                <w:szCs w:val="21"/>
              </w:rPr>
              <w:t>/</w:t>
            </w:r>
          </w:p>
        </w:tc>
        <w:tc>
          <w:tcPr>
            <w:tcW w:w="2158" w:type="pct"/>
            <w:vMerge w:val="continue"/>
            <w:vAlign w:val="center"/>
          </w:tcPr>
          <w:p w14:paraId="438C980E">
            <w:pPr>
              <w:widowControl/>
              <w:adjustRightInd w:val="0"/>
              <w:snapToGrid w:val="0"/>
              <w:spacing w:line="240" w:lineRule="auto"/>
              <w:ind w:firstLine="0" w:firstLineChars="0"/>
              <w:jc w:val="center"/>
              <w:rPr>
                <w:kern w:val="0"/>
                <w:sz w:val="21"/>
                <w:szCs w:val="21"/>
                <w:lang w:bidi="en-US"/>
              </w:rPr>
            </w:pPr>
          </w:p>
        </w:tc>
      </w:tr>
      <w:tr w14:paraId="641F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11" w:type="pct"/>
            <w:tcMar>
              <w:left w:w="0" w:type="dxa"/>
              <w:right w:w="0" w:type="dxa"/>
            </w:tcMar>
            <w:vAlign w:val="center"/>
          </w:tcPr>
          <w:p w14:paraId="4B36D652">
            <w:pPr>
              <w:widowControl/>
              <w:adjustRightInd w:val="0"/>
              <w:snapToGrid w:val="0"/>
              <w:spacing w:line="240" w:lineRule="auto"/>
              <w:ind w:firstLine="0" w:firstLineChars="0"/>
              <w:jc w:val="center"/>
              <w:rPr>
                <w:rFonts w:hint="default" w:eastAsia="宋体"/>
                <w:kern w:val="0"/>
                <w:sz w:val="21"/>
                <w:szCs w:val="21"/>
                <w:lang w:val="en-US" w:eastAsia="zh-CN"/>
              </w:rPr>
            </w:pPr>
            <w:bookmarkStart w:id="429" w:name="_Toc152864218"/>
            <w:bookmarkStart w:id="430" w:name="_Toc77007822"/>
            <w:bookmarkStart w:id="431" w:name="_Toc79515493"/>
            <w:bookmarkStart w:id="432" w:name="_Toc80193122"/>
            <w:bookmarkStart w:id="433" w:name="_Toc80973548"/>
            <w:bookmarkStart w:id="434" w:name="_Toc81214116"/>
            <w:bookmarkStart w:id="435" w:name="_Toc82518804"/>
            <w:r>
              <w:rPr>
                <w:rFonts w:hint="eastAsia"/>
                <w:kern w:val="0"/>
                <w:sz w:val="21"/>
                <w:szCs w:val="21"/>
                <w:lang w:val="en-US" w:eastAsia="zh-CN"/>
              </w:rPr>
              <w:t>硫酸雾</w:t>
            </w:r>
          </w:p>
        </w:tc>
        <w:tc>
          <w:tcPr>
            <w:tcW w:w="568" w:type="pct"/>
            <w:tcMar>
              <w:left w:w="0" w:type="dxa"/>
              <w:right w:w="0" w:type="dxa"/>
            </w:tcMar>
            <w:vAlign w:val="center"/>
          </w:tcPr>
          <w:p w14:paraId="0972EB18">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300</w:t>
            </w:r>
          </w:p>
        </w:tc>
        <w:tc>
          <w:tcPr>
            <w:tcW w:w="648" w:type="pct"/>
            <w:tcMar>
              <w:left w:w="0" w:type="dxa"/>
              <w:right w:w="0" w:type="dxa"/>
            </w:tcMar>
            <w:vAlign w:val="center"/>
          </w:tcPr>
          <w:p w14:paraId="42F1B0BD">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100</w:t>
            </w:r>
          </w:p>
        </w:tc>
        <w:tc>
          <w:tcPr>
            <w:tcW w:w="813" w:type="pct"/>
            <w:vAlign w:val="center"/>
          </w:tcPr>
          <w:p w14:paraId="5AA60088">
            <w:pPr>
              <w:widowControl/>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w:t>
            </w:r>
          </w:p>
        </w:tc>
        <w:tc>
          <w:tcPr>
            <w:tcW w:w="2158" w:type="pct"/>
            <w:vMerge w:val="continue"/>
            <w:vAlign w:val="center"/>
          </w:tcPr>
          <w:p w14:paraId="35DEAAFC">
            <w:pPr>
              <w:widowControl/>
              <w:adjustRightInd w:val="0"/>
              <w:snapToGrid w:val="0"/>
              <w:spacing w:line="240" w:lineRule="auto"/>
              <w:ind w:firstLine="0" w:firstLineChars="0"/>
              <w:jc w:val="center"/>
              <w:rPr>
                <w:kern w:val="0"/>
                <w:sz w:val="21"/>
                <w:szCs w:val="21"/>
                <w:lang w:bidi="en-US"/>
              </w:rPr>
            </w:pPr>
          </w:p>
        </w:tc>
      </w:tr>
    </w:tbl>
    <w:p w14:paraId="1293E088">
      <w:pPr>
        <w:pStyle w:val="43"/>
        <w:adjustRightInd w:val="0"/>
        <w:snapToGrid w:val="0"/>
        <w:spacing w:before="163" w:beforeLines="50" w:after="163" w:afterLines="50" w:line="240" w:lineRule="auto"/>
        <w:rPr>
          <w:lang w:bidi="en-US"/>
        </w:rPr>
      </w:pPr>
      <w:r>
        <w:rPr>
          <w:rFonts w:hint="eastAsia"/>
          <w:lang w:bidi="en-US"/>
        </w:rPr>
        <w:t>预测结果及分析</w:t>
      </w:r>
      <w:bookmarkEnd w:id="429"/>
      <w:bookmarkEnd w:id="430"/>
      <w:bookmarkEnd w:id="431"/>
      <w:bookmarkEnd w:id="432"/>
      <w:bookmarkEnd w:id="433"/>
      <w:bookmarkEnd w:id="434"/>
      <w:bookmarkEnd w:id="435"/>
    </w:p>
    <w:p w14:paraId="4FBC5EC1">
      <w:pPr>
        <w:pStyle w:val="45"/>
        <w:spacing w:before="163" w:beforeLines="50" w:after="163" w:afterLines="50"/>
        <w:rPr>
          <w:lang w:bidi="en-US"/>
        </w:rPr>
      </w:pPr>
      <w:r>
        <w:rPr>
          <w:rFonts w:hint="eastAsia"/>
          <w:lang w:bidi="en-US"/>
        </w:rPr>
        <w:t>短期浓度和长期浓度的贡献值</w:t>
      </w:r>
    </w:p>
    <w:p w14:paraId="3B0BFE23">
      <w:pPr>
        <w:ind w:firstLine="480"/>
        <w:rPr>
          <w:lang w:bidi="en-US"/>
        </w:rPr>
      </w:pPr>
      <w:r>
        <w:rPr>
          <w:rFonts w:hint="eastAsia"/>
          <w:lang w:bidi="en-US"/>
        </w:rPr>
        <w:t>环境空气保护目标、监测点和网格点主要污染物的短期浓度和长期浓度的贡献值及最大浓度占标率统计见下表。</w:t>
      </w:r>
    </w:p>
    <w:p w14:paraId="7EED848B">
      <w:pPr>
        <w:pStyle w:val="47"/>
        <w:spacing w:before="65"/>
        <w:rPr>
          <w:lang w:bidi="en-US"/>
        </w:rPr>
      </w:pPr>
      <w:r>
        <w:rPr>
          <w:rFonts w:hint="eastAsia"/>
          <w:lang w:bidi="en-US"/>
        </w:rPr>
        <w:t>表5</w:t>
      </w:r>
      <w:r>
        <w:rPr>
          <w:lang w:bidi="en-US"/>
        </w:rPr>
        <w:t xml:space="preserve">.1-12   </w:t>
      </w:r>
      <w:r>
        <w:rPr>
          <w:rFonts w:hint="eastAsia"/>
          <w:lang w:bidi="en-US"/>
        </w:rPr>
        <w:t>二氧化硫最大落地浓度及其发生的时间统计一览表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708"/>
        <w:gridCol w:w="993"/>
        <w:gridCol w:w="708"/>
        <w:gridCol w:w="851"/>
        <w:gridCol w:w="709"/>
        <w:gridCol w:w="708"/>
        <w:gridCol w:w="851"/>
        <w:gridCol w:w="850"/>
        <w:gridCol w:w="851"/>
        <w:gridCol w:w="567"/>
        <w:gridCol w:w="508"/>
      </w:tblGrid>
      <w:tr w14:paraId="25C46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41E2B98F">
            <w:pPr>
              <w:pStyle w:val="85"/>
              <w:rPr>
                <w:rFonts w:ascii="Times New Roman" w:hAnsi="Times New Roman" w:eastAsia="宋体"/>
                <w:lang w:val="en-US" w:eastAsia="en-US"/>
              </w:rPr>
            </w:pPr>
            <w:r>
              <w:rPr>
                <w:rFonts w:ascii="Times New Roman" w:hAnsi="Times New Roman" w:eastAsia="宋体"/>
                <w:lang w:val="en-US" w:eastAsia="en-US"/>
              </w:rPr>
              <w:t>序号</w:t>
            </w:r>
          </w:p>
        </w:tc>
        <w:tc>
          <w:tcPr>
            <w:tcW w:w="708" w:type="dxa"/>
            <w:vAlign w:val="center"/>
          </w:tcPr>
          <w:p w14:paraId="17D8EF7B">
            <w:pPr>
              <w:pStyle w:val="85"/>
              <w:rPr>
                <w:rFonts w:ascii="Times New Roman" w:hAnsi="Times New Roman" w:eastAsia="宋体"/>
                <w:lang w:val="en-US" w:eastAsia="en-US"/>
              </w:rPr>
            </w:pPr>
            <w:r>
              <w:rPr>
                <w:rFonts w:ascii="Times New Roman" w:hAnsi="Times New Roman" w:eastAsia="宋体"/>
                <w:lang w:val="en-US" w:eastAsia="en-US"/>
              </w:rPr>
              <w:t>点名称</w:t>
            </w:r>
          </w:p>
        </w:tc>
        <w:tc>
          <w:tcPr>
            <w:tcW w:w="993" w:type="dxa"/>
            <w:noWrap/>
            <w:vAlign w:val="center"/>
          </w:tcPr>
          <w:p w14:paraId="2E8FC2E6">
            <w:pPr>
              <w:pStyle w:val="85"/>
              <w:rPr>
                <w:rFonts w:ascii="Times New Roman" w:hAnsi="Times New Roman" w:eastAsia="宋体"/>
                <w:lang w:val="en-US" w:eastAsia="en-US"/>
              </w:rPr>
            </w:pPr>
            <w:r>
              <w:rPr>
                <w:rFonts w:ascii="Times New Roman" w:hAnsi="Times New Roman" w:eastAsia="宋体"/>
                <w:lang w:val="en-US" w:eastAsia="en-US"/>
              </w:rPr>
              <w:t>点坐标（x，y）</w:t>
            </w:r>
          </w:p>
        </w:tc>
        <w:tc>
          <w:tcPr>
            <w:tcW w:w="708" w:type="dxa"/>
            <w:noWrap/>
            <w:vAlign w:val="center"/>
          </w:tcPr>
          <w:p w14:paraId="51637004">
            <w:pPr>
              <w:pStyle w:val="85"/>
              <w:rPr>
                <w:rFonts w:ascii="Times New Roman" w:hAnsi="Times New Roman" w:eastAsia="宋体"/>
                <w:lang w:val="en-US" w:eastAsia="en-US"/>
              </w:rPr>
            </w:pPr>
            <w:r>
              <w:rPr>
                <w:rFonts w:ascii="Times New Roman" w:hAnsi="Times New Roman" w:eastAsia="宋体"/>
                <w:lang w:val="en-US" w:eastAsia="en-US"/>
              </w:rPr>
              <w:t>地面高程（m）</w:t>
            </w:r>
          </w:p>
        </w:tc>
        <w:tc>
          <w:tcPr>
            <w:tcW w:w="851" w:type="dxa"/>
            <w:noWrap/>
            <w:vAlign w:val="center"/>
          </w:tcPr>
          <w:p w14:paraId="47456705">
            <w:pPr>
              <w:pStyle w:val="85"/>
              <w:rPr>
                <w:rFonts w:ascii="Times New Roman" w:hAnsi="Times New Roman" w:eastAsia="宋体"/>
                <w:lang w:val="en-US" w:eastAsia="en-US"/>
              </w:rPr>
            </w:pPr>
            <w:r>
              <w:rPr>
                <w:rFonts w:ascii="Times New Roman" w:hAnsi="Times New Roman" w:eastAsia="宋体"/>
                <w:lang w:val="en-US" w:eastAsia="en-US"/>
              </w:rPr>
              <w:t>山体高度尺度（m）</w:t>
            </w:r>
          </w:p>
        </w:tc>
        <w:tc>
          <w:tcPr>
            <w:tcW w:w="709" w:type="dxa"/>
            <w:noWrap/>
            <w:vAlign w:val="center"/>
          </w:tcPr>
          <w:p w14:paraId="6397882C">
            <w:pPr>
              <w:pStyle w:val="85"/>
              <w:rPr>
                <w:rFonts w:ascii="Times New Roman" w:hAnsi="Times New Roman" w:eastAsia="宋体"/>
                <w:lang w:val="en-US" w:eastAsia="en-US"/>
              </w:rPr>
            </w:pPr>
            <w:r>
              <w:rPr>
                <w:rFonts w:ascii="Times New Roman" w:hAnsi="Times New Roman" w:eastAsia="宋体"/>
                <w:lang w:val="en-US" w:eastAsia="en-US"/>
              </w:rPr>
              <w:t>离地高度（m）</w:t>
            </w:r>
          </w:p>
        </w:tc>
        <w:tc>
          <w:tcPr>
            <w:tcW w:w="708" w:type="dxa"/>
            <w:noWrap/>
            <w:vAlign w:val="center"/>
          </w:tcPr>
          <w:p w14:paraId="4655274E">
            <w:pPr>
              <w:pStyle w:val="85"/>
              <w:rPr>
                <w:rFonts w:ascii="Times New Roman" w:hAnsi="Times New Roman" w:eastAsia="宋体"/>
                <w:lang w:val="en-US" w:eastAsia="en-US"/>
              </w:rPr>
            </w:pPr>
            <w:r>
              <w:rPr>
                <w:rFonts w:ascii="Times New Roman" w:hAnsi="Times New Roman" w:eastAsia="宋体"/>
                <w:lang w:val="en-US" w:eastAsia="en-US"/>
              </w:rPr>
              <w:t>浓度类型</w:t>
            </w:r>
          </w:p>
        </w:tc>
        <w:tc>
          <w:tcPr>
            <w:tcW w:w="851" w:type="dxa"/>
            <w:noWrap/>
            <w:vAlign w:val="center"/>
          </w:tcPr>
          <w:p w14:paraId="5E0EF688">
            <w:pPr>
              <w:pStyle w:val="85"/>
              <w:rPr>
                <w:rFonts w:ascii="Times New Roman" w:hAnsi="Times New Roman" w:eastAsia="宋体"/>
                <w:lang w:val="en-US" w:eastAsia="en-US"/>
              </w:rPr>
            </w:pPr>
            <w:r>
              <w:rPr>
                <w:rFonts w:ascii="Times New Roman" w:hAnsi="Times New Roman" w:eastAsia="宋体"/>
                <w:lang w:val="en-US" w:eastAsia="en-US"/>
              </w:rPr>
              <w:t>浓度增量</w:t>
            </w:r>
          </w:p>
          <w:p w14:paraId="73867FFB">
            <w:pPr>
              <w:pStyle w:val="85"/>
              <w:rPr>
                <w:rFonts w:ascii="Times New Roman" w:hAnsi="Times New Roman" w:eastAsia="宋体"/>
                <w:lang w:val="en-US" w:eastAsia="en-US"/>
              </w:rPr>
            </w:pPr>
            <w:r>
              <w:rPr>
                <w:rFonts w:ascii="Times New Roman" w:hAnsi="Times New Roman" w:eastAsia="宋体"/>
                <w:lang w:val="en-US" w:eastAsia="en-US"/>
              </w:rPr>
              <w:t>（</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50" w:type="dxa"/>
            <w:noWrap/>
            <w:vAlign w:val="center"/>
          </w:tcPr>
          <w:p w14:paraId="581A7C2B">
            <w:pPr>
              <w:pStyle w:val="85"/>
              <w:rPr>
                <w:rFonts w:ascii="Times New Roman" w:hAnsi="Times New Roman" w:eastAsia="宋体"/>
                <w:lang w:val="en-US"/>
              </w:rPr>
            </w:pPr>
            <w:r>
              <w:rPr>
                <w:rFonts w:ascii="Times New Roman" w:hAnsi="Times New Roman" w:eastAsia="宋体"/>
                <w:lang w:val="en-US"/>
              </w:rPr>
              <w:t>出现时间</w:t>
            </w:r>
          </w:p>
          <w:p w14:paraId="49B06295">
            <w:pPr>
              <w:pStyle w:val="85"/>
              <w:rPr>
                <w:rFonts w:ascii="Times New Roman" w:hAnsi="Times New Roman" w:eastAsia="宋体"/>
                <w:lang w:val="en-US"/>
              </w:rPr>
            </w:pPr>
            <w:r>
              <w:rPr>
                <w:rFonts w:ascii="Times New Roman" w:hAnsi="Times New Roman" w:eastAsia="宋体"/>
                <w:lang w:val="en-US"/>
              </w:rPr>
              <w:t>（YYMMDDHH）</w:t>
            </w:r>
          </w:p>
        </w:tc>
        <w:tc>
          <w:tcPr>
            <w:tcW w:w="851" w:type="dxa"/>
            <w:noWrap/>
            <w:vAlign w:val="center"/>
          </w:tcPr>
          <w:p w14:paraId="5138003E">
            <w:pPr>
              <w:pStyle w:val="85"/>
              <w:rPr>
                <w:rFonts w:ascii="Times New Roman" w:hAnsi="Times New Roman" w:eastAsia="宋体"/>
                <w:lang w:val="en-US" w:eastAsia="en-US"/>
              </w:rPr>
            </w:pPr>
            <w:r>
              <w:rPr>
                <w:rFonts w:ascii="Times New Roman" w:hAnsi="Times New Roman" w:eastAsia="宋体"/>
                <w:lang w:val="en-US" w:eastAsia="en-US"/>
              </w:rPr>
              <w:t>评价标准（</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567" w:type="dxa"/>
            <w:noWrap/>
            <w:vAlign w:val="center"/>
          </w:tcPr>
          <w:p w14:paraId="226F232F">
            <w:pPr>
              <w:pStyle w:val="85"/>
              <w:rPr>
                <w:rFonts w:ascii="Times New Roman" w:hAnsi="Times New Roman" w:eastAsia="宋体"/>
                <w:lang w:val="en-US" w:eastAsia="en-US"/>
              </w:rPr>
            </w:pPr>
            <w:r>
              <w:rPr>
                <w:rFonts w:ascii="Times New Roman" w:hAnsi="Times New Roman" w:eastAsia="宋体"/>
                <w:lang w:val="en-US" w:eastAsia="en-US"/>
              </w:rPr>
              <w:t>占标率%</w:t>
            </w:r>
          </w:p>
        </w:tc>
        <w:tc>
          <w:tcPr>
            <w:tcW w:w="508" w:type="dxa"/>
            <w:noWrap/>
            <w:vAlign w:val="center"/>
          </w:tcPr>
          <w:p w14:paraId="396B09DC">
            <w:pPr>
              <w:pStyle w:val="85"/>
              <w:rPr>
                <w:rFonts w:ascii="Times New Roman" w:hAnsi="Times New Roman" w:eastAsia="宋体"/>
                <w:lang w:val="en-US" w:eastAsia="en-US"/>
              </w:rPr>
            </w:pPr>
            <w:r>
              <w:rPr>
                <w:rFonts w:ascii="Times New Roman" w:hAnsi="Times New Roman" w:eastAsia="宋体"/>
                <w:lang w:val="en-US" w:eastAsia="en-US"/>
              </w:rPr>
              <w:t>是否</w:t>
            </w:r>
          </w:p>
          <w:p w14:paraId="44AF7C11">
            <w:pPr>
              <w:pStyle w:val="85"/>
              <w:rPr>
                <w:rFonts w:ascii="Times New Roman" w:hAnsi="Times New Roman" w:eastAsia="宋体"/>
                <w:lang w:val="en-US" w:eastAsia="en-US"/>
              </w:rPr>
            </w:pPr>
            <w:r>
              <w:rPr>
                <w:rFonts w:ascii="Times New Roman" w:hAnsi="Times New Roman" w:eastAsia="宋体"/>
                <w:lang w:val="en-US" w:eastAsia="en-US"/>
              </w:rPr>
              <w:t>达标</w:t>
            </w:r>
          </w:p>
        </w:tc>
      </w:tr>
      <w:tr w14:paraId="122F0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restart"/>
            <w:noWrap/>
            <w:vAlign w:val="center"/>
          </w:tcPr>
          <w:p w14:paraId="73AAC494">
            <w:pPr>
              <w:pStyle w:val="85"/>
              <w:numPr>
                <w:ilvl w:val="0"/>
                <w:numId w:val="27"/>
              </w:numPr>
              <w:rPr>
                <w:rFonts w:ascii="Times New Roman" w:hAnsi="Times New Roman" w:eastAsia="宋体"/>
                <w:lang w:val="en-US" w:eastAsia="en-US"/>
              </w:rPr>
            </w:pPr>
          </w:p>
        </w:tc>
        <w:tc>
          <w:tcPr>
            <w:tcW w:w="708" w:type="dxa"/>
            <w:vMerge w:val="restart"/>
            <w:vAlign w:val="center"/>
          </w:tcPr>
          <w:p w14:paraId="5A8D74C8">
            <w:pPr>
              <w:pStyle w:val="85"/>
              <w:rPr>
                <w:rFonts w:ascii="Times New Roman" w:hAnsi="Times New Roman" w:eastAsia="宋体"/>
                <w:lang w:val="en-US"/>
              </w:rPr>
            </w:pPr>
            <w:r>
              <w:rPr>
                <w:rFonts w:ascii="Times New Roman" w:hAnsi="Times New Roman" w:eastAsia="宋体"/>
                <w:lang w:val="en-US"/>
              </w:rPr>
              <w:t>130团22连</w:t>
            </w:r>
          </w:p>
        </w:tc>
        <w:tc>
          <w:tcPr>
            <w:tcW w:w="993" w:type="dxa"/>
            <w:vMerge w:val="restart"/>
            <w:noWrap/>
            <w:vAlign w:val="center"/>
          </w:tcPr>
          <w:p w14:paraId="1C07D1C9">
            <w:pPr>
              <w:pStyle w:val="85"/>
              <w:rPr>
                <w:rFonts w:ascii="Times New Roman" w:hAnsi="Times New Roman" w:eastAsia="宋体"/>
                <w:lang w:val="en-US" w:eastAsia="en-US"/>
              </w:rPr>
            </w:pPr>
            <w:r>
              <w:rPr>
                <w:rFonts w:ascii="Times New Roman" w:hAnsi="Times New Roman" w:eastAsia="宋体"/>
                <w:lang w:val="en-US" w:eastAsia="en-US"/>
              </w:rPr>
              <w:t>-1998，-1133</w:t>
            </w:r>
          </w:p>
        </w:tc>
        <w:tc>
          <w:tcPr>
            <w:tcW w:w="708" w:type="dxa"/>
            <w:vMerge w:val="restart"/>
            <w:noWrap/>
            <w:vAlign w:val="center"/>
          </w:tcPr>
          <w:p w14:paraId="1BA59AE9">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851" w:type="dxa"/>
            <w:vMerge w:val="restart"/>
            <w:noWrap/>
            <w:vAlign w:val="center"/>
          </w:tcPr>
          <w:p w14:paraId="6B86843F">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709" w:type="dxa"/>
            <w:vMerge w:val="restart"/>
            <w:noWrap/>
            <w:vAlign w:val="center"/>
          </w:tcPr>
          <w:p w14:paraId="453BFDB3">
            <w:pPr>
              <w:pStyle w:val="85"/>
              <w:rPr>
                <w:rFonts w:ascii="Times New Roman" w:hAnsi="Times New Roman" w:eastAsia="宋体"/>
                <w:lang w:val="en-US" w:eastAsia="en-US"/>
              </w:rPr>
            </w:pPr>
            <w:r>
              <w:rPr>
                <w:rFonts w:ascii="Times New Roman" w:hAnsi="Times New Roman" w:eastAsia="宋体"/>
                <w:lang w:val="en-US" w:eastAsia="en-US"/>
              </w:rPr>
              <w:t>1.5</w:t>
            </w:r>
          </w:p>
        </w:tc>
        <w:tc>
          <w:tcPr>
            <w:tcW w:w="708" w:type="dxa"/>
            <w:noWrap/>
            <w:vAlign w:val="center"/>
          </w:tcPr>
          <w:p w14:paraId="199F63C3">
            <w:pPr>
              <w:pStyle w:val="85"/>
              <w:rPr>
                <w:rFonts w:ascii="Times New Roman" w:hAnsi="Times New Roman" w:eastAsia="宋体"/>
                <w:lang w:val="en-US"/>
              </w:rPr>
            </w:pPr>
            <w:r>
              <w:rPr>
                <w:rFonts w:hint="eastAsia" w:ascii="Times New Roman" w:hAnsi="Times New Roman" w:eastAsia="宋体"/>
                <w:lang w:val="en-US"/>
              </w:rPr>
              <w:t>1小时</w:t>
            </w:r>
          </w:p>
        </w:tc>
        <w:tc>
          <w:tcPr>
            <w:tcW w:w="851" w:type="dxa"/>
            <w:noWrap/>
          </w:tcPr>
          <w:p w14:paraId="6F594DCC">
            <w:pPr>
              <w:pStyle w:val="90"/>
            </w:pPr>
            <w:r>
              <w:t>0.0217</w:t>
            </w:r>
          </w:p>
        </w:tc>
        <w:tc>
          <w:tcPr>
            <w:tcW w:w="850" w:type="dxa"/>
            <w:noWrap/>
          </w:tcPr>
          <w:p w14:paraId="63EDBD03">
            <w:pPr>
              <w:pStyle w:val="90"/>
            </w:pPr>
            <w:r>
              <w:t>22042406</w:t>
            </w:r>
          </w:p>
        </w:tc>
        <w:tc>
          <w:tcPr>
            <w:tcW w:w="851" w:type="dxa"/>
            <w:noWrap/>
            <w:vAlign w:val="center"/>
          </w:tcPr>
          <w:p w14:paraId="7A6BA488">
            <w:pPr>
              <w:adjustRightInd w:val="0"/>
              <w:snapToGrid w:val="0"/>
              <w:spacing w:line="240" w:lineRule="auto"/>
              <w:ind w:firstLine="0" w:firstLineChars="0"/>
              <w:jc w:val="center"/>
              <w:textAlignment w:val="center"/>
              <w:rPr>
                <w:sz w:val="21"/>
                <w:szCs w:val="21"/>
              </w:rPr>
            </w:pPr>
            <w:r>
              <w:rPr>
                <w:rFonts w:hint="eastAsia"/>
                <w:sz w:val="21"/>
                <w:szCs w:val="21"/>
              </w:rPr>
              <w:t>5</w:t>
            </w:r>
            <w:r>
              <w:rPr>
                <w:sz w:val="21"/>
                <w:szCs w:val="21"/>
              </w:rPr>
              <w:t>00</w:t>
            </w:r>
          </w:p>
        </w:tc>
        <w:tc>
          <w:tcPr>
            <w:tcW w:w="567" w:type="dxa"/>
            <w:noWrap/>
            <w:vAlign w:val="center"/>
          </w:tcPr>
          <w:p w14:paraId="52023B93">
            <w:pPr>
              <w:adjustRightInd w:val="0"/>
              <w:snapToGrid w:val="0"/>
              <w:spacing w:line="240" w:lineRule="auto"/>
              <w:ind w:firstLine="0" w:firstLineChars="0"/>
              <w:jc w:val="center"/>
              <w:textAlignment w:val="center"/>
              <w:rPr>
                <w:sz w:val="21"/>
                <w:szCs w:val="21"/>
              </w:rPr>
            </w:pPr>
            <w:r>
              <w:rPr>
                <w:rFonts w:hint="eastAsia"/>
                <w:sz w:val="21"/>
                <w:szCs w:val="21"/>
              </w:rPr>
              <w:t>0</w:t>
            </w:r>
          </w:p>
        </w:tc>
        <w:tc>
          <w:tcPr>
            <w:tcW w:w="508" w:type="dxa"/>
            <w:noWrap/>
            <w:vAlign w:val="center"/>
          </w:tcPr>
          <w:p w14:paraId="5ED804B5">
            <w:pPr>
              <w:adjustRightInd w:val="0"/>
              <w:snapToGrid w:val="0"/>
              <w:spacing w:line="240" w:lineRule="auto"/>
              <w:ind w:firstLine="0" w:firstLineChars="0"/>
              <w:jc w:val="center"/>
              <w:textAlignment w:val="center"/>
              <w:rPr>
                <w:sz w:val="21"/>
                <w:szCs w:val="21"/>
              </w:rPr>
            </w:pPr>
            <w:r>
              <w:rPr>
                <w:sz w:val="21"/>
                <w:szCs w:val="21"/>
              </w:rPr>
              <w:t>达标</w:t>
            </w:r>
          </w:p>
        </w:tc>
      </w:tr>
      <w:tr w14:paraId="12019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73F4047F">
            <w:pPr>
              <w:pStyle w:val="85"/>
              <w:numPr>
                <w:ilvl w:val="0"/>
                <w:numId w:val="27"/>
              </w:numPr>
              <w:rPr>
                <w:rFonts w:ascii="Times New Roman" w:hAnsi="Times New Roman" w:eastAsia="宋体"/>
                <w:lang w:val="en-US" w:eastAsia="en-US"/>
              </w:rPr>
            </w:pPr>
          </w:p>
        </w:tc>
        <w:tc>
          <w:tcPr>
            <w:tcW w:w="708" w:type="dxa"/>
            <w:vMerge w:val="continue"/>
            <w:vAlign w:val="center"/>
          </w:tcPr>
          <w:p w14:paraId="0E121E8A">
            <w:pPr>
              <w:pStyle w:val="85"/>
              <w:rPr>
                <w:rFonts w:ascii="Times New Roman" w:hAnsi="Times New Roman" w:eastAsia="宋体"/>
                <w:lang w:val="en-US"/>
              </w:rPr>
            </w:pPr>
          </w:p>
        </w:tc>
        <w:tc>
          <w:tcPr>
            <w:tcW w:w="993" w:type="dxa"/>
            <w:vMerge w:val="continue"/>
            <w:noWrap/>
            <w:vAlign w:val="center"/>
          </w:tcPr>
          <w:p w14:paraId="594EEEC8">
            <w:pPr>
              <w:pStyle w:val="85"/>
              <w:rPr>
                <w:rFonts w:ascii="Times New Roman" w:hAnsi="Times New Roman" w:eastAsia="宋体"/>
                <w:lang w:val="en-US" w:eastAsia="en-US"/>
              </w:rPr>
            </w:pPr>
          </w:p>
        </w:tc>
        <w:tc>
          <w:tcPr>
            <w:tcW w:w="708" w:type="dxa"/>
            <w:vMerge w:val="continue"/>
            <w:noWrap/>
            <w:vAlign w:val="center"/>
          </w:tcPr>
          <w:p w14:paraId="7164A15B">
            <w:pPr>
              <w:pStyle w:val="85"/>
              <w:rPr>
                <w:rFonts w:ascii="Times New Roman" w:hAnsi="Times New Roman" w:eastAsia="宋体"/>
                <w:lang w:val="en-US" w:eastAsia="en-US"/>
              </w:rPr>
            </w:pPr>
          </w:p>
        </w:tc>
        <w:tc>
          <w:tcPr>
            <w:tcW w:w="851" w:type="dxa"/>
            <w:vMerge w:val="continue"/>
            <w:noWrap/>
            <w:vAlign w:val="center"/>
          </w:tcPr>
          <w:p w14:paraId="1576BBDD">
            <w:pPr>
              <w:pStyle w:val="85"/>
              <w:rPr>
                <w:rFonts w:ascii="Times New Roman" w:hAnsi="Times New Roman" w:eastAsia="宋体"/>
                <w:lang w:val="en-US" w:eastAsia="en-US"/>
              </w:rPr>
            </w:pPr>
          </w:p>
        </w:tc>
        <w:tc>
          <w:tcPr>
            <w:tcW w:w="709" w:type="dxa"/>
            <w:vMerge w:val="continue"/>
            <w:noWrap/>
            <w:vAlign w:val="center"/>
          </w:tcPr>
          <w:p w14:paraId="0B3C9BBF">
            <w:pPr>
              <w:pStyle w:val="85"/>
              <w:rPr>
                <w:rFonts w:ascii="Times New Roman" w:hAnsi="Times New Roman" w:eastAsia="宋体"/>
                <w:lang w:val="en-US" w:eastAsia="en-US"/>
              </w:rPr>
            </w:pPr>
          </w:p>
        </w:tc>
        <w:tc>
          <w:tcPr>
            <w:tcW w:w="708" w:type="dxa"/>
            <w:noWrap/>
            <w:vAlign w:val="center"/>
          </w:tcPr>
          <w:p w14:paraId="18DB171B">
            <w:pPr>
              <w:pStyle w:val="85"/>
              <w:rPr>
                <w:rFonts w:ascii="Times New Roman" w:hAnsi="Times New Roman" w:eastAsia="宋体"/>
                <w:lang w:val="en-US"/>
              </w:rPr>
            </w:pPr>
            <w:r>
              <w:rPr>
                <w:rFonts w:hint="eastAsia" w:ascii="Times New Roman" w:hAnsi="Times New Roman" w:eastAsia="宋体"/>
                <w:lang w:val="en-US"/>
              </w:rPr>
              <w:t>日均值</w:t>
            </w:r>
          </w:p>
        </w:tc>
        <w:tc>
          <w:tcPr>
            <w:tcW w:w="851" w:type="dxa"/>
            <w:noWrap/>
          </w:tcPr>
          <w:p w14:paraId="0545ADD4">
            <w:pPr>
              <w:pStyle w:val="90"/>
            </w:pPr>
            <w:r>
              <w:t>0.0028</w:t>
            </w:r>
          </w:p>
        </w:tc>
        <w:tc>
          <w:tcPr>
            <w:tcW w:w="850" w:type="dxa"/>
            <w:noWrap/>
          </w:tcPr>
          <w:p w14:paraId="3F17DC0B">
            <w:pPr>
              <w:pStyle w:val="90"/>
            </w:pPr>
            <w:r>
              <w:t>221124</w:t>
            </w:r>
          </w:p>
        </w:tc>
        <w:tc>
          <w:tcPr>
            <w:tcW w:w="851" w:type="dxa"/>
            <w:noWrap/>
            <w:vAlign w:val="center"/>
          </w:tcPr>
          <w:p w14:paraId="730D632C">
            <w:pPr>
              <w:adjustRightInd w:val="0"/>
              <w:snapToGrid w:val="0"/>
              <w:spacing w:line="240" w:lineRule="auto"/>
              <w:ind w:firstLine="0" w:firstLineChars="0"/>
              <w:jc w:val="center"/>
              <w:textAlignment w:val="center"/>
              <w:rPr>
                <w:sz w:val="21"/>
                <w:szCs w:val="21"/>
              </w:rPr>
            </w:pPr>
            <w:r>
              <w:rPr>
                <w:rFonts w:hint="eastAsia"/>
                <w:sz w:val="21"/>
                <w:szCs w:val="21"/>
              </w:rPr>
              <w:t>1</w:t>
            </w:r>
            <w:r>
              <w:rPr>
                <w:sz w:val="21"/>
                <w:szCs w:val="21"/>
              </w:rPr>
              <w:t>50</w:t>
            </w:r>
          </w:p>
        </w:tc>
        <w:tc>
          <w:tcPr>
            <w:tcW w:w="567" w:type="dxa"/>
            <w:noWrap/>
            <w:vAlign w:val="center"/>
          </w:tcPr>
          <w:p w14:paraId="0D067048">
            <w:pPr>
              <w:adjustRightInd w:val="0"/>
              <w:snapToGrid w:val="0"/>
              <w:spacing w:line="240" w:lineRule="auto"/>
              <w:ind w:firstLine="0" w:firstLineChars="0"/>
              <w:jc w:val="center"/>
              <w:textAlignment w:val="center"/>
              <w:rPr>
                <w:sz w:val="21"/>
                <w:szCs w:val="21"/>
              </w:rPr>
            </w:pPr>
            <w:r>
              <w:rPr>
                <w:rFonts w:hint="eastAsia"/>
                <w:sz w:val="21"/>
                <w:szCs w:val="21"/>
              </w:rPr>
              <w:t>0</w:t>
            </w:r>
          </w:p>
        </w:tc>
        <w:tc>
          <w:tcPr>
            <w:tcW w:w="508" w:type="dxa"/>
            <w:noWrap/>
            <w:vAlign w:val="center"/>
          </w:tcPr>
          <w:p w14:paraId="14D90A88">
            <w:pPr>
              <w:adjustRightInd w:val="0"/>
              <w:snapToGrid w:val="0"/>
              <w:spacing w:line="240" w:lineRule="auto"/>
              <w:ind w:firstLine="0" w:firstLineChars="0"/>
              <w:jc w:val="center"/>
              <w:textAlignment w:val="center"/>
              <w:rPr>
                <w:sz w:val="21"/>
                <w:szCs w:val="21"/>
              </w:rPr>
            </w:pPr>
            <w:r>
              <w:rPr>
                <w:sz w:val="21"/>
                <w:szCs w:val="21"/>
              </w:rPr>
              <w:t>达标</w:t>
            </w:r>
          </w:p>
        </w:tc>
      </w:tr>
      <w:tr w14:paraId="4C4F5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070AEA70">
            <w:pPr>
              <w:pStyle w:val="85"/>
              <w:numPr>
                <w:ilvl w:val="0"/>
                <w:numId w:val="27"/>
              </w:numPr>
              <w:rPr>
                <w:rFonts w:ascii="Times New Roman" w:hAnsi="Times New Roman" w:eastAsia="宋体"/>
                <w:lang w:val="en-US" w:eastAsia="en-US"/>
              </w:rPr>
            </w:pPr>
          </w:p>
        </w:tc>
        <w:tc>
          <w:tcPr>
            <w:tcW w:w="708" w:type="dxa"/>
            <w:vMerge w:val="continue"/>
            <w:vAlign w:val="center"/>
          </w:tcPr>
          <w:p w14:paraId="5F5ABAD1">
            <w:pPr>
              <w:pStyle w:val="85"/>
              <w:rPr>
                <w:rFonts w:ascii="Times New Roman" w:hAnsi="Times New Roman" w:eastAsia="宋体"/>
                <w:lang w:val="en-US"/>
              </w:rPr>
            </w:pPr>
          </w:p>
        </w:tc>
        <w:tc>
          <w:tcPr>
            <w:tcW w:w="993" w:type="dxa"/>
            <w:vMerge w:val="continue"/>
            <w:noWrap/>
            <w:vAlign w:val="center"/>
          </w:tcPr>
          <w:p w14:paraId="5A5DC097">
            <w:pPr>
              <w:pStyle w:val="85"/>
              <w:rPr>
                <w:rFonts w:ascii="Times New Roman" w:hAnsi="Times New Roman" w:eastAsia="宋体"/>
                <w:lang w:val="en-US" w:eastAsia="en-US"/>
              </w:rPr>
            </w:pPr>
          </w:p>
        </w:tc>
        <w:tc>
          <w:tcPr>
            <w:tcW w:w="708" w:type="dxa"/>
            <w:vMerge w:val="continue"/>
            <w:noWrap/>
            <w:vAlign w:val="center"/>
          </w:tcPr>
          <w:p w14:paraId="6246E108">
            <w:pPr>
              <w:pStyle w:val="85"/>
              <w:rPr>
                <w:rFonts w:ascii="Times New Roman" w:hAnsi="Times New Roman" w:eastAsia="宋体"/>
                <w:lang w:val="en-US" w:eastAsia="en-US"/>
              </w:rPr>
            </w:pPr>
          </w:p>
        </w:tc>
        <w:tc>
          <w:tcPr>
            <w:tcW w:w="851" w:type="dxa"/>
            <w:vMerge w:val="continue"/>
            <w:noWrap/>
            <w:vAlign w:val="center"/>
          </w:tcPr>
          <w:p w14:paraId="76C88C30">
            <w:pPr>
              <w:pStyle w:val="85"/>
              <w:rPr>
                <w:rFonts w:ascii="Times New Roman" w:hAnsi="Times New Roman" w:eastAsia="宋体"/>
                <w:lang w:val="en-US" w:eastAsia="en-US"/>
              </w:rPr>
            </w:pPr>
          </w:p>
        </w:tc>
        <w:tc>
          <w:tcPr>
            <w:tcW w:w="709" w:type="dxa"/>
            <w:vMerge w:val="continue"/>
            <w:noWrap/>
            <w:vAlign w:val="center"/>
          </w:tcPr>
          <w:p w14:paraId="0287E99E">
            <w:pPr>
              <w:pStyle w:val="85"/>
              <w:rPr>
                <w:rFonts w:ascii="Times New Roman" w:hAnsi="Times New Roman" w:eastAsia="宋体"/>
                <w:lang w:val="en-US" w:eastAsia="en-US"/>
              </w:rPr>
            </w:pPr>
          </w:p>
        </w:tc>
        <w:tc>
          <w:tcPr>
            <w:tcW w:w="708" w:type="dxa"/>
            <w:noWrap/>
            <w:vAlign w:val="center"/>
          </w:tcPr>
          <w:p w14:paraId="6644AF7F">
            <w:pPr>
              <w:pStyle w:val="85"/>
              <w:rPr>
                <w:rFonts w:ascii="Times New Roman" w:hAnsi="Times New Roman" w:eastAsia="宋体"/>
                <w:lang w:val="en-US"/>
              </w:rPr>
            </w:pPr>
            <w:r>
              <w:rPr>
                <w:rFonts w:hint="eastAsia" w:ascii="Times New Roman" w:hAnsi="Times New Roman" w:eastAsia="宋体"/>
                <w:lang w:val="en-US"/>
              </w:rPr>
              <w:t>全时段</w:t>
            </w:r>
          </w:p>
        </w:tc>
        <w:tc>
          <w:tcPr>
            <w:tcW w:w="851" w:type="dxa"/>
            <w:noWrap/>
          </w:tcPr>
          <w:p w14:paraId="13404C89">
            <w:pPr>
              <w:pStyle w:val="90"/>
            </w:pPr>
            <w:r>
              <w:t>0.0002</w:t>
            </w:r>
          </w:p>
        </w:tc>
        <w:tc>
          <w:tcPr>
            <w:tcW w:w="850" w:type="dxa"/>
            <w:noWrap/>
          </w:tcPr>
          <w:p w14:paraId="7E3C227C">
            <w:pPr>
              <w:pStyle w:val="90"/>
            </w:pPr>
            <w:r>
              <w:rPr>
                <w:rFonts w:hint="eastAsia"/>
              </w:rPr>
              <w:t>平均值</w:t>
            </w:r>
          </w:p>
        </w:tc>
        <w:tc>
          <w:tcPr>
            <w:tcW w:w="851" w:type="dxa"/>
            <w:noWrap/>
            <w:vAlign w:val="center"/>
          </w:tcPr>
          <w:p w14:paraId="17CB6C50">
            <w:pPr>
              <w:adjustRightInd w:val="0"/>
              <w:snapToGrid w:val="0"/>
              <w:spacing w:line="240" w:lineRule="auto"/>
              <w:ind w:firstLine="0" w:firstLineChars="0"/>
              <w:jc w:val="center"/>
              <w:textAlignment w:val="center"/>
              <w:rPr>
                <w:sz w:val="21"/>
                <w:szCs w:val="21"/>
              </w:rPr>
            </w:pPr>
            <w:r>
              <w:rPr>
                <w:rFonts w:hint="eastAsia"/>
                <w:sz w:val="21"/>
                <w:szCs w:val="21"/>
              </w:rPr>
              <w:t>6</w:t>
            </w:r>
            <w:r>
              <w:rPr>
                <w:sz w:val="21"/>
                <w:szCs w:val="21"/>
              </w:rPr>
              <w:t>0</w:t>
            </w:r>
          </w:p>
        </w:tc>
        <w:tc>
          <w:tcPr>
            <w:tcW w:w="567" w:type="dxa"/>
            <w:noWrap/>
            <w:vAlign w:val="center"/>
          </w:tcPr>
          <w:p w14:paraId="717054D6">
            <w:pPr>
              <w:adjustRightInd w:val="0"/>
              <w:snapToGrid w:val="0"/>
              <w:spacing w:line="240" w:lineRule="auto"/>
              <w:ind w:firstLine="0" w:firstLineChars="0"/>
              <w:jc w:val="center"/>
              <w:textAlignment w:val="center"/>
              <w:rPr>
                <w:sz w:val="21"/>
                <w:szCs w:val="21"/>
              </w:rPr>
            </w:pPr>
            <w:r>
              <w:rPr>
                <w:rFonts w:hint="eastAsia"/>
                <w:sz w:val="21"/>
                <w:szCs w:val="21"/>
              </w:rPr>
              <w:t>0</w:t>
            </w:r>
          </w:p>
        </w:tc>
        <w:tc>
          <w:tcPr>
            <w:tcW w:w="508" w:type="dxa"/>
            <w:noWrap/>
            <w:vAlign w:val="center"/>
          </w:tcPr>
          <w:p w14:paraId="24A9DDE3">
            <w:pPr>
              <w:adjustRightInd w:val="0"/>
              <w:snapToGrid w:val="0"/>
              <w:spacing w:line="240" w:lineRule="auto"/>
              <w:ind w:firstLine="0" w:firstLineChars="0"/>
              <w:jc w:val="center"/>
              <w:textAlignment w:val="center"/>
              <w:rPr>
                <w:sz w:val="21"/>
                <w:szCs w:val="21"/>
              </w:rPr>
            </w:pPr>
            <w:r>
              <w:rPr>
                <w:sz w:val="21"/>
                <w:szCs w:val="21"/>
              </w:rPr>
              <w:t>达标</w:t>
            </w:r>
          </w:p>
        </w:tc>
      </w:tr>
      <w:tr w14:paraId="0538F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restart"/>
            <w:noWrap/>
            <w:vAlign w:val="center"/>
          </w:tcPr>
          <w:p w14:paraId="542E5B50">
            <w:pPr>
              <w:pStyle w:val="85"/>
              <w:numPr>
                <w:ilvl w:val="0"/>
                <w:numId w:val="27"/>
              </w:numPr>
              <w:rPr>
                <w:rFonts w:ascii="Times New Roman" w:hAnsi="Times New Roman" w:eastAsia="宋体"/>
                <w:lang w:val="en-US" w:eastAsia="en-US"/>
              </w:rPr>
            </w:pPr>
          </w:p>
        </w:tc>
        <w:tc>
          <w:tcPr>
            <w:tcW w:w="708" w:type="dxa"/>
            <w:vMerge w:val="restart"/>
            <w:vAlign w:val="center"/>
          </w:tcPr>
          <w:p w14:paraId="4C31CD39">
            <w:pPr>
              <w:pStyle w:val="85"/>
              <w:rPr>
                <w:rFonts w:ascii="Times New Roman" w:hAnsi="Times New Roman" w:eastAsia="宋体"/>
                <w:lang w:val="en-US" w:eastAsia="en-US"/>
              </w:rPr>
            </w:pPr>
            <w:r>
              <w:rPr>
                <w:rFonts w:ascii="Times New Roman" w:hAnsi="Times New Roman" w:eastAsia="宋体"/>
                <w:lang w:val="en-US" w:eastAsia="en-US"/>
              </w:rPr>
              <w:t>网格</w:t>
            </w:r>
          </w:p>
        </w:tc>
        <w:tc>
          <w:tcPr>
            <w:tcW w:w="993" w:type="dxa"/>
            <w:vMerge w:val="restart"/>
            <w:noWrap/>
            <w:vAlign w:val="center"/>
          </w:tcPr>
          <w:p w14:paraId="31E6C0B1">
            <w:pPr>
              <w:pStyle w:val="85"/>
              <w:rPr>
                <w:rFonts w:ascii="Times New Roman" w:hAnsi="Times New Roman" w:eastAsia="宋体"/>
                <w:lang w:val="en-US"/>
              </w:rPr>
            </w:pPr>
            <w:r>
              <w:rPr>
                <w:rFonts w:ascii="Times New Roman" w:hAnsi="Times New Roman" w:eastAsia="宋体"/>
                <w:lang w:val="en-US"/>
              </w:rPr>
              <w:t>-357，-12</w:t>
            </w:r>
          </w:p>
        </w:tc>
        <w:tc>
          <w:tcPr>
            <w:tcW w:w="708" w:type="dxa"/>
            <w:vMerge w:val="restart"/>
            <w:noWrap/>
            <w:vAlign w:val="center"/>
          </w:tcPr>
          <w:p w14:paraId="1FECA75D">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851" w:type="dxa"/>
            <w:vMerge w:val="restart"/>
            <w:noWrap/>
            <w:vAlign w:val="center"/>
          </w:tcPr>
          <w:p w14:paraId="32FB7F30">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709" w:type="dxa"/>
            <w:vMerge w:val="restart"/>
            <w:noWrap/>
            <w:vAlign w:val="center"/>
          </w:tcPr>
          <w:p w14:paraId="3126D29F">
            <w:pPr>
              <w:pStyle w:val="85"/>
              <w:rPr>
                <w:rFonts w:ascii="Times New Roman" w:hAnsi="Times New Roman" w:eastAsia="宋体"/>
                <w:lang w:val="en-US"/>
              </w:rPr>
            </w:pPr>
            <w:r>
              <w:rPr>
                <w:rFonts w:ascii="Times New Roman" w:hAnsi="Times New Roman" w:eastAsia="宋体"/>
                <w:lang w:val="en-US"/>
              </w:rPr>
              <w:t>1.5</w:t>
            </w:r>
          </w:p>
        </w:tc>
        <w:tc>
          <w:tcPr>
            <w:tcW w:w="708" w:type="dxa"/>
            <w:noWrap/>
            <w:vAlign w:val="center"/>
          </w:tcPr>
          <w:p w14:paraId="50164807">
            <w:pPr>
              <w:pStyle w:val="85"/>
              <w:rPr>
                <w:rFonts w:ascii="Times New Roman" w:hAnsi="Times New Roman" w:eastAsia="宋体"/>
                <w:lang w:val="en-US" w:eastAsia="en-US"/>
              </w:rPr>
            </w:pPr>
            <w:r>
              <w:rPr>
                <w:rFonts w:hint="eastAsia" w:ascii="Times New Roman" w:hAnsi="Times New Roman" w:eastAsia="宋体"/>
                <w:lang w:val="en-US"/>
              </w:rPr>
              <w:t>1小时</w:t>
            </w:r>
          </w:p>
        </w:tc>
        <w:tc>
          <w:tcPr>
            <w:tcW w:w="851" w:type="dxa"/>
            <w:noWrap/>
          </w:tcPr>
          <w:p w14:paraId="4C0F90F5">
            <w:pPr>
              <w:pStyle w:val="90"/>
            </w:pPr>
            <w:r>
              <w:t>0.1026</w:t>
            </w:r>
          </w:p>
        </w:tc>
        <w:tc>
          <w:tcPr>
            <w:tcW w:w="850" w:type="dxa"/>
            <w:noWrap/>
          </w:tcPr>
          <w:p w14:paraId="5EC0F5C1">
            <w:pPr>
              <w:pStyle w:val="90"/>
            </w:pPr>
            <w:r>
              <w:t>22042406</w:t>
            </w:r>
          </w:p>
        </w:tc>
        <w:tc>
          <w:tcPr>
            <w:tcW w:w="851" w:type="dxa"/>
            <w:noWrap/>
            <w:vAlign w:val="center"/>
          </w:tcPr>
          <w:p w14:paraId="60DC5E63">
            <w:pPr>
              <w:adjustRightInd w:val="0"/>
              <w:snapToGrid w:val="0"/>
              <w:spacing w:line="240" w:lineRule="auto"/>
              <w:ind w:firstLine="0" w:firstLineChars="0"/>
              <w:jc w:val="center"/>
              <w:textAlignment w:val="center"/>
              <w:rPr>
                <w:sz w:val="21"/>
                <w:szCs w:val="21"/>
              </w:rPr>
            </w:pPr>
            <w:r>
              <w:rPr>
                <w:rFonts w:hint="eastAsia"/>
                <w:sz w:val="21"/>
                <w:szCs w:val="21"/>
              </w:rPr>
              <w:t>5</w:t>
            </w:r>
            <w:r>
              <w:rPr>
                <w:sz w:val="21"/>
                <w:szCs w:val="21"/>
              </w:rPr>
              <w:t>00</w:t>
            </w:r>
          </w:p>
        </w:tc>
        <w:tc>
          <w:tcPr>
            <w:tcW w:w="567" w:type="dxa"/>
            <w:noWrap/>
            <w:vAlign w:val="center"/>
          </w:tcPr>
          <w:p w14:paraId="0E5C971E">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.02</w:t>
            </w:r>
          </w:p>
        </w:tc>
        <w:tc>
          <w:tcPr>
            <w:tcW w:w="508" w:type="dxa"/>
            <w:noWrap/>
            <w:vAlign w:val="center"/>
          </w:tcPr>
          <w:p w14:paraId="5B945E87">
            <w:pPr>
              <w:adjustRightInd w:val="0"/>
              <w:snapToGrid w:val="0"/>
              <w:spacing w:line="240" w:lineRule="auto"/>
              <w:ind w:firstLine="0" w:firstLineChars="0"/>
              <w:jc w:val="center"/>
              <w:textAlignment w:val="center"/>
              <w:rPr>
                <w:sz w:val="21"/>
                <w:szCs w:val="21"/>
              </w:rPr>
            </w:pPr>
            <w:r>
              <w:rPr>
                <w:sz w:val="21"/>
                <w:szCs w:val="21"/>
              </w:rPr>
              <w:t>达标</w:t>
            </w:r>
          </w:p>
        </w:tc>
      </w:tr>
      <w:tr w14:paraId="591CA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10BD08DA">
            <w:pPr>
              <w:pStyle w:val="85"/>
              <w:numPr>
                <w:ilvl w:val="0"/>
                <w:numId w:val="27"/>
              </w:numPr>
              <w:rPr>
                <w:rFonts w:ascii="Times New Roman" w:hAnsi="Times New Roman" w:eastAsia="宋体"/>
                <w:lang w:val="en-US" w:eastAsia="en-US"/>
              </w:rPr>
            </w:pPr>
          </w:p>
        </w:tc>
        <w:tc>
          <w:tcPr>
            <w:tcW w:w="708" w:type="dxa"/>
            <w:vMerge w:val="continue"/>
            <w:vAlign w:val="center"/>
          </w:tcPr>
          <w:p w14:paraId="1CDFA270">
            <w:pPr>
              <w:pStyle w:val="85"/>
              <w:rPr>
                <w:rFonts w:ascii="Times New Roman" w:hAnsi="Times New Roman" w:eastAsia="宋体"/>
                <w:lang w:val="en-US" w:eastAsia="en-US"/>
              </w:rPr>
            </w:pPr>
          </w:p>
        </w:tc>
        <w:tc>
          <w:tcPr>
            <w:tcW w:w="993" w:type="dxa"/>
            <w:vMerge w:val="continue"/>
            <w:noWrap/>
            <w:vAlign w:val="center"/>
          </w:tcPr>
          <w:p w14:paraId="580648C9">
            <w:pPr>
              <w:pStyle w:val="85"/>
              <w:rPr>
                <w:rFonts w:ascii="Times New Roman" w:hAnsi="Times New Roman" w:eastAsia="宋体"/>
                <w:lang w:val="en-US"/>
              </w:rPr>
            </w:pPr>
          </w:p>
        </w:tc>
        <w:tc>
          <w:tcPr>
            <w:tcW w:w="708" w:type="dxa"/>
            <w:vMerge w:val="continue"/>
            <w:noWrap/>
            <w:vAlign w:val="center"/>
          </w:tcPr>
          <w:p w14:paraId="20668BB5">
            <w:pPr>
              <w:pStyle w:val="85"/>
              <w:rPr>
                <w:rFonts w:ascii="Times New Roman" w:hAnsi="Times New Roman" w:eastAsia="宋体"/>
                <w:lang w:val="en-US"/>
              </w:rPr>
            </w:pPr>
          </w:p>
        </w:tc>
        <w:tc>
          <w:tcPr>
            <w:tcW w:w="851" w:type="dxa"/>
            <w:vMerge w:val="continue"/>
            <w:noWrap/>
            <w:vAlign w:val="center"/>
          </w:tcPr>
          <w:p w14:paraId="675C8308">
            <w:pPr>
              <w:pStyle w:val="85"/>
              <w:rPr>
                <w:rFonts w:ascii="Times New Roman" w:hAnsi="Times New Roman" w:eastAsia="宋体"/>
                <w:lang w:val="en-US"/>
              </w:rPr>
            </w:pPr>
          </w:p>
        </w:tc>
        <w:tc>
          <w:tcPr>
            <w:tcW w:w="709" w:type="dxa"/>
            <w:vMerge w:val="continue"/>
            <w:noWrap/>
            <w:vAlign w:val="center"/>
          </w:tcPr>
          <w:p w14:paraId="4D0E6E7D">
            <w:pPr>
              <w:pStyle w:val="85"/>
              <w:rPr>
                <w:rFonts w:ascii="Times New Roman" w:hAnsi="Times New Roman" w:eastAsia="宋体"/>
                <w:lang w:val="en-US"/>
              </w:rPr>
            </w:pPr>
          </w:p>
        </w:tc>
        <w:tc>
          <w:tcPr>
            <w:tcW w:w="708" w:type="dxa"/>
            <w:noWrap/>
            <w:vAlign w:val="center"/>
          </w:tcPr>
          <w:p w14:paraId="51A8046A">
            <w:pPr>
              <w:pStyle w:val="85"/>
              <w:rPr>
                <w:rFonts w:ascii="Times New Roman" w:hAnsi="Times New Roman" w:eastAsia="宋体"/>
                <w:lang w:val="en-US"/>
              </w:rPr>
            </w:pPr>
            <w:r>
              <w:rPr>
                <w:rFonts w:hint="eastAsia" w:ascii="Times New Roman" w:hAnsi="Times New Roman" w:eastAsia="宋体"/>
                <w:lang w:val="en-US"/>
              </w:rPr>
              <w:t>日均值</w:t>
            </w:r>
          </w:p>
        </w:tc>
        <w:tc>
          <w:tcPr>
            <w:tcW w:w="851" w:type="dxa"/>
            <w:noWrap/>
          </w:tcPr>
          <w:p w14:paraId="0A5DEA14">
            <w:pPr>
              <w:pStyle w:val="90"/>
            </w:pPr>
            <w:r>
              <w:t>0.0305</w:t>
            </w:r>
          </w:p>
        </w:tc>
        <w:tc>
          <w:tcPr>
            <w:tcW w:w="850" w:type="dxa"/>
            <w:noWrap/>
          </w:tcPr>
          <w:p w14:paraId="7FB63F78">
            <w:pPr>
              <w:pStyle w:val="90"/>
            </w:pPr>
            <w:r>
              <w:t>221124</w:t>
            </w:r>
          </w:p>
        </w:tc>
        <w:tc>
          <w:tcPr>
            <w:tcW w:w="851" w:type="dxa"/>
            <w:noWrap/>
            <w:vAlign w:val="center"/>
          </w:tcPr>
          <w:p w14:paraId="130CA160">
            <w:pPr>
              <w:adjustRightInd w:val="0"/>
              <w:snapToGrid w:val="0"/>
              <w:spacing w:line="240" w:lineRule="auto"/>
              <w:ind w:firstLine="0" w:firstLineChars="0"/>
              <w:jc w:val="center"/>
              <w:textAlignment w:val="center"/>
              <w:rPr>
                <w:sz w:val="21"/>
                <w:szCs w:val="21"/>
              </w:rPr>
            </w:pPr>
            <w:r>
              <w:rPr>
                <w:rFonts w:hint="eastAsia"/>
                <w:sz w:val="21"/>
                <w:szCs w:val="21"/>
              </w:rPr>
              <w:t>1</w:t>
            </w:r>
            <w:r>
              <w:rPr>
                <w:sz w:val="21"/>
                <w:szCs w:val="21"/>
              </w:rPr>
              <w:t>50</w:t>
            </w:r>
          </w:p>
        </w:tc>
        <w:tc>
          <w:tcPr>
            <w:tcW w:w="567" w:type="dxa"/>
            <w:noWrap/>
            <w:vAlign w:val="center"/>
          </w:tcPr>
          <w:p w14:paraId="42F09C1F">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.02</w:t>
            </w:r>
          </w:p>
        </w:tc>
        <w:tc>
          <w:tcPr>
            <w:tcW w:w="508" w:type="dxa"/>
            <w:noWrap/>
            <w:vAlign w:val="center"/>
          </w:tcPr>
          <w:p w14:paraId="46A2E140">
            <w:pPr>
              <w:adjustRightInd w:val="0"/>
              <w:snapToGrid w:val="0"/>
              <w:spacing w:line="240" w:lineRule="auto"/>
              <w:ind w:firstLine="0" w:firstLineChars="0"/>
              <w:jc w:val="center"/>
              <w:textAlignment w:val="center"/>
              <w:rPr>
                <w:sz w:val="21"/>
                <w:szCs w:val="21"/>
              </w:rPr>
            </w:pPr>
            <w:r>
              <w:rPr>
                <w:sz w:val="21"/>
                <w:szCs w:val="21"/>
              </w:rPr>
              <w:t>达标</w:t>
            </w:r>
          </w:p>
        </w:tc>
      </w:tr>
      <w:tr w14:paraId="3867C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355405F5">
            <w:pPr>
              <w:pStyle w:val="85"/>
              <w:numPr>
                <w:ilvl w:val="0"/>
                <w:numId w:val="27"/>
              </w:numPr>
              <w:rPr>
                <w:rFonts w:ascii="Times New Roman" w:hAnsi="Times New Roman" w:eastAsia="宋体"/>
                <w:lang w:val="en-US" w:eastAsia="en-US"/>
              </w:rPr>
            </w:pPr>
          </w:p>
        </w:tc>
        <w:tc>
          <w:tcPr>
            <w:tcW w:w="708" w:type="dxa"/>
            <w:vMerge w:val="continue"/>
            <w:vAlign w:val="center"/>
          </w:tcPr>
          <w:p w14:paraId="67B8707E">
            <w:pPr>
              <w:pStyle w:val="85"/>
              <w:rPr>
                <w:rFonts w:ascii="Times New Roman" w:hAnsi="Times New Roman" w:eastAsia="宋体"/>
                <w:lang w:val="en-US" w:eastAsia="en-US"/>
              </w:rPr>
            </w:pPr>
          </w:p>
        </w:tc>
        <w:tc>
          <w:tcPr>
            <w:tcW w:w="993" w:type="dxa"/>
            <w:vMerge w:val="continue"/>
            <w:noWrap/>
            <w:vAlign w:val="center"/>
          </w:tcPr>
          <w:p w14:paraId="18106B40">
            <w:pPr>
              <w:pStyle w:val="85"/>
              <w:rPr>
                <w:rFonts w:ascii="Times New Roman" w:hAnsi="Times New Roman" w:eastAsia="宋体"/>
                <w:lang w:val="en-US"/>
              </w:rPr>
            </w:pPr>
          </w:p>
        </w:tc>
        <w:tc>
          <w:tcPr>
            <w:tcW w:w="708" w:type="dxa"/>
            <w:vMerge w:val="continue"/>
            <w:noWrap/>
            <w:vAlign w:val="center"/>
          </w:tcPr>
          <w:p w14:paraId="3306A363">
            <w:pPr>
              <w:pStyle w:val="85"/>
              <w:rPr>
                <w:rFonts w:ascii="Times New Roman" w:hAnsi="Times New Roman" w:eastAsia="宋体"/>
                <w:lang w:val="en-US"/>
              </w:rPr>
            </w:pPr>
          </w:p>
        </w:tc>
        <w:tc>
          <w:tcPr>
            <w:tcW w:w="851" w:type="dxa"/>
            <w:vMerge w:val="continue"/>
            <w:noWrap/>
            <w:vAlign w:val="center"/>
          </w:tcPr>
          <w:p w14:paraId="4D9491B5">
            <w:pPr>
              <w:pStyle w:val="85"/>
              <w:rPr>
                <w:rFonts w:ascii="Times New Roman" w:hAnsi="Times New Roman" w:eastAsia="宋体"/>
                <w:lang w:val="en-US"/>
              </w:rPr>
            </w:pPr>
          </w:p>
        </w:tc>
        <w:tc>
          <w:tcPr>
            <w:tcW w:w="709" w:type="dxa"/>
            <w:vMerge w:val="continue"/>
            <w:noWrap/>
            <w:vAlign w:val="center"/>
          </w:tcPr>
          <w:p w14:paraId="552CB4AD">
            <w:pPr>
              <w:pStyle w:val="85"/>
              <w:rPr>
                <w:rFonts w:ascii="Times New Roman" w:hAnsi="Times New Roman" w:eastAsia="宋体"/>
                <w:lang w:val="en-US"/>
              </w:rPr>
            </w:pPr>
          </w:p>
        </w:tc>
        <w:tc>
          <w:tcPr>
            <w:tcW w:w="708" w:type="dxa"/>
            <w:noWrap/>
            <w:vAlign w:val="center"/>
          </w:tcPr>
          <w:p w14:paraId="105DAFA6">
            <w:pPr>
              <w:pStyle w:val="85"/>
              <w:rPr>
                <w:rFonts w:ascii="Times New Roman" w:hAnsi="Times New Roman" w:eastAsia="宋体"/>
                <w:lang w:val="en-US"/>
              </w:rPr>
            </w:pPr>
            <w:r>
              <w:rPr>
                <w:rFonts w:hint="eastAsia" w:ascii="Times New Roman" w:hAnsi="Times New Roman" w:eastAsia="宋体"/>
                <w:lang w:val="en-US"/>
              </w:rPr>
              <w:t>全时段</w:t>
            </w:r>
          </w:p>
        </w:tc>
        <w:tc>
          <w:tcPr>
            <w:tcW w:w="851" w:type="dxa"/>
            <w:noWrap/>
          </w:tcPr>
          <w:p w14:paraId="50182627">
            <w:pPr>
              <w:pStyle w:val="90"/>
            </w:pPr>
            <w:r>
              <w:t>0.0046</w:t>
            </w:r>
          </w:p>
        </w:tc>
        <w:tc>
          <w:tcPr>
            <w:tcW w:w="850" w:type="dxa"/>
            <w:noWrap/>
          </w:tcPr>
          <w:p w14:paraId="71168A4E">
            <w:pPr>
              <w:pStyle w:val="90"/>
            </w:pPr>
            <w:r>
              <w:rPr>
                <w:rFonts w:hint="eastAsia"/>
              </w:rPr>
              <w:t>平均值</w:t>
            </w:r>
          </w:p>
        </w:tc>
        <w:tc>
          <w:tcPr>
            <w:tcW w:w="851" w:type="dxa"/>
            <w:noWrap/>
            <w:vAlign w:val="center"/>
          </w:tcPr>
          <w:p w14:paraId="1AFDDB91">
            <w:pPr>
              <w:adjustRightInd w:val="0"/>
              <w:snapToGrid w:val="0"/>
              <w:spacing w:line="240" w:lineRule="auto"/>
              <w:ind w:firstLine="0" w:firstLineChars="0"/>
              <w:jc w:val="center"/>
              <w:textAlignment w:val="center"/>
              <w:rPr>
                <w:sz w:val="21"/>
                <w:szCs w:val="21"/>
              </w:rPr>
            </w:pPr>
            <w:r>
              <w:rPr>
                <w:rFonts w:hint="eastAsia"/>
                <w:sz w:val="21"/>
                <w:szCs w:val="21"/>
              </w:rPr>
              <w:t>6</w:t>
            </w:r>
            <w:r>
              <w:rPr>
                <w:sz w:val="21"/>
                <w:szCs w:val="21"/>
              </w:rPr>
              <w:t>0</w:t>
            </w:r>
          </w:p>
        </w:tc>
        <w:tc>
          <w:tcPr>
            <w:tcW w:w="567" w:type="dxa"/>
            <w:noWrap/>
            <w:vAlign w:val="center"/>
          </w:tcPr>
          <w:p w14:paraId="43859B29">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.01</w:t>
            </w:r>
          </w:p>
        </w:tc>
        <w:tc>
          <w:tcPr>
            <w:tcW w:w="508" w:type="dxa"/>
            <w:noWrap/>
            <w:vAlign w:val="center"/>
          </w:tcPr>
          <w:p w14:paraId="6C6175D3">
            <w:pPr>
              <w:adjustRightInd w:val="0"/>
              <w:snapToGrid w:val="0"/>
              <w:spacing w:line="240" w:lineRule="auto"/>
              <w:ind w:firstLine="0" w:firstLineChars="0"/>
              <w:jc w:val="center"/>
              <w:textAlignment w:val="center"/>
              <w:rPr>
                <w:sz w:val="21"/>
                <w:szCs w:val="21"/>
              </w:rPr>
            </w:pPr>
            <w:r>
              <w:rPr>
                <w:sz w:val="21"/>
                <w:szCs w:val="21"/>
              </w:rPr>
              <w:t>达标</w:t>
            </w:r>
          </w:p>
        </w:tc>
      </w:tr>
    </w:tbl>
    <w:p w14:paraId="5080E9FC">
      <w:pPr>
        <w:spacing w:line="240" w:lineRule="auto"/>
        <w:ind w:firstLine="0" w:firstLineChars="0"/>
        <w:jc w:val="center"/>
        <w:rPr>
          <w:lang w:bidi="en-US"/>
        </w:rPr>
      </w:pPr>
    </w:p>
    <w:p w14:paraId="2BEDDFBB">
      <w:pPr>
        <w:pStyle w:val="49"/>
        <w:spacing w:before="163" w:after="163"/>
        <w:rPr>
          <w:rFonts w:hint="eastAsia"/>
        </w:rPr>
      </w:pPr>
      <w:r>
        <w:rPr>
          <w:rFonts w:hint="eastAsia"/>
          <w:lang w:bidi="en-US"/>
        </w:rPr>
        <w:t>图5</w:t>
      </w:r>
      <w:r>
        <w:rPr>
          <w:lang w:bidi="en-US"/>
        </w:rPr>
        <w:t xml:space="preserve">.1-1   </w:t>
      </w:r>
      <w:r>
        <w:rPr>
          <w:rFonts w:hint="eastAsia"/>
          <w:lang w:bidi="en-US"/>
        </w:rPr>
        <w:t>二氧化硫</w:t>
      </w:r>
      <w:r>
        <w:rPr>
          <w:rFonts w:hint="eastAsia"/>
        </w:rPr>
        <w:t>小时贡献浓度分布图</w:t>
      </w:r>
    </w:p>
    <w:p w14:paraId="0C708E73">
      <w:pPr>
        <w:rPr>
          <w:rFonts w:hint="eastAsia"/>
        </w:rPr>
      </w:pPr>
    </w:p>
    <w:p w14:paraId="3AF1E08E">
      <w:pPr>
        <w:rPr>
          <w:rFonts w:hint="eastAsia"/>
        </w:rPr>
      </w:pPr>
    </w:p>
    <w:p w14:paraId="406F5BAE">
      <w:pPr>
        <w:pStyle w:val="47"/>
        <w:spacing w:before="65"/>
        <w:rPr>
          <w:lang w:bidi="en-US"/>
        </w:rPr>
      </w:pPr>
      <w:r>
        <w:rPr>
          <w:rFonts w:hint="eastAsia"/>
          <w:lang w:bidi="en-US"/>
        </w:rPr>
        <w:t>表5</w:t>
      </w:r>
      <w:r>
        <w:rPr>
          <w:lang w:bidi="en-US"/>
        </w:rPr>
        <w:t xml:space="preserve">.1-13   </w:t>
      </w:r>
      <w:r>
        <w:rPr>
          <w:rFonts w:hint="eastAsia"/>
          <w:lang w:bidi="en-US"/>
        </w:rPr>
        <w:t>氮氧化物最大落地浓度及其发生的时间统计一览表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708"/>
        <w:gridCol w:w="993"/>
        <w:gridCol w:w="708"/>
        <w:gridCol w:w="851"/>
        <w:gridCol w:w="709"/>
        <w:gridCol w:w="708"/>
        <w:gridCol w:w="851"/>
        <w:gridCol w:w="850"/>
        <w:gridCol w:w="851"/>
        <w:gridCol w:w="567"/>
        <w:gridCol w:w="508"/>
      </w:tblGrid>
      <w:tr w14:paraId="58457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56461419">
            <w:pPr>
              <w:pStyle w:val="85"/>
              <w:rPr>
                <w:rFonts w:ascii="Times New Roman" w:hAnsi="Times New Roman" w:eastAsia="宋体"/>
                <w:lang w:val="en-US" w:eastAsia="en-US"/>
              </w:rPr>
            </w:pPr>
            <w:r>
              <w:rPr>
                <w:rFonts w:ascii="Times New Roman" w:hAnsi="Times New Roman" w:eastAsia="宋体"/>
                <w:lang w:val="en-US" w:eastAsia="en-US"/>
              </w:rPr>
              <w:t>序号</w:t>
            </w:r>
          </w:p>
        </w:tc>
        <w:tc>
          <w:tcPr>
            <w:tcW w:w="708" w:type="dxa"/>
            <w:vAlign w:val="center"/>
          </w:tcPr>
          <w:p w14:paraId="71397D01">
            <w:pPr>
              <w:pStyle w:val="85"/>
              <w:rPr>
                <w:rFonts w:ascii="Times New Roman" w:hAnsi="Times New Roman" w:eastAsia="宋体"/>
                <w:lang w:val="en-US" w:eastAsia="en-US"/>
              </w:rPr>
            </w:pPr>
            <w:r>
              <w:rPr>
                <w:rFonts w:ascii="Times New Roman" w:hAnsi="Times New Roman" w:eastAsia="宋体"/>
                <w:lang w:val="en-US" w:eastAsia="en-US"/>
              </w:rPr>
              <w:t>点名称</w:t>
            </w:r>
          </w:p>
        </w:tc>
        <w:tc>
          <w:tcPr>
            <w:tcW w:w="993" w:type="dxa"/>
            <w:noWrap/>
            <w:vAlign w:val="center"/>
          </w:tcPr>
          <w:p w14:paraId="7353D38A">
            <w:pPr>
              <w:pStyle w:val="85"/>
              <w:rPr>
                <w:rFonts w:ascii="Times New Roman" w:hAnsi="Times New Roman" w:eastAsia="宋体"/>
                <w:lang w:val="en-US" w:eastAsia="en-US"/>
              </w:rPr>
            </w:pPr>
            <w:r>
              <w:rPr>
                <w:rFonts w:ascii="Times New Roman" w:hAnsi="Times New Roman" w:eastAsia="宋体"/>
                <w:lang w:val="en-US" w:eastAsia="en-US"/>
              </w:rPr>
              <w:t>点坐标（x，y）</w:t>
            </w:r>
          </w:p>
        </w:tc>
        <w:tc>
          <w:tcPr>
            <w:tcW w:w="708" w:type="dxa"/>
            <w:noWrap/>
            <w:vAlign w:val="center"/>
          </w:tcPr>
          <w:p w14:paraId="25CAE40C">
            <w:pPr>
              <w:pStyle w:val="85"/>
              <w:rPr>
                <w:rFonts w:ascii="Times New Roman" w:hAnsi="Times New Roman" w:eastAsia="宋体"/>
                <w:lang w:val="en-US" w:eastAsia="en-US"/>
              </w:rPr>
            </w:pPr>
            <w:r>
              <w:rPr>
                <w:rFonts w:ascii="Times New Roman" w:hAnsi="Times New Roman" w:eastAsia="宋体"/>
                <w:lang w:val="en-US" w:eastAsia="en-US"/>
              </w:rPr>
              <w:t>地面高程（m）</w:t>
            </w:r>
          </w:p>
        </w:tc>
        <w:tc>
          <w:tcPr>
            <w:tcW w:w="851" w:type="dxa"/>
            <w:noWrap/>
            <w:vAlign w:val="center"/>
          </w:tcPr>
          <w:p w14:paraId="6F4B1242">
            <w:pPr>
              <w:pStyle w:val="85"/>
              <w:rPr>
                <w:rFonts w:ascii="Times New Roman" w:hAnsi="Times New Roman" w:eastAsia="宋体"/>
                <w:lang w:val="en-US" w:eastAsia="en-US"/>
              </w:rPr>
            </w:pPr>
            <w:r>
              <w:rPr>
                <w:rFonts w:ascii="Times New Roman" w:hAnsi="Times New Roman" w:eastAsia="宋体"/>
                <w:lang w:val="en-US" w:eastAsia="en-US"/>
              </w:rPr>
              <w:t>山体高度尺度（m）</w:t>
            </w:r>
          </w:p>
        </w:tc>
        <w:tc>
          <w:tcPr>
            <w:tcW w:w="709" w:type="dxa"/>
            <w:noWrap/>
            <w:vAlign w:val="center"/>
          </w:tcPr>
          <w:p w14:paraId="1EE5337A">
            <w:pPr>
              <w:pStyle w:val="85"/>
              <w:rPr>
                <w:rFonts w:ascii="Times New Roman" w:hAnsi="Times New Roman" w:eastAsia="宋体"/>
                <w:lang w:val="en-US" w:eastAsia="en-US"/>
              </w:rPr>
            </w:pPr>
            <w:r>
              <w:rPr>
                <w:rFonts w:ascii="Times New Roman" w:hAnsi="Times New Roman" w:eastAsia="宋体"/>
                <w:lang w:val="en-US" w:eastAsia="en-US"/>
              </w:rPr>
              <w:t>离地高度（m）</w:t>
            </w:r>
          </w:p>
        </w:tc>
        <w:tc>
          <w:tcPr>
            <w:tcW w:w="708" w:type="dxa"/>
            <w:noWrap/>
            <w:vAlign w:val="center"/>
          </w:tcPr>
          <w:p w14:paraId="636E3F67">
            <w:pPr>
              <w:pStyle w:val="85"/>
              <w:rPr>
                <w:rFonts w:ascii="Times New Roman" w:hAnsi="Times New Roman" w:eastAsia="宋体"/>
                <w:lang w:val="en-US" w:eastAsia="en-US"/>
              </w:rPr>
            </w:pPr>
            <w:r>
              <w:rPr>
                <w:rFonts w:ascii="Times New Roman" w:hAnsi="Times New Roman" w:eastAsia="宋体"/>
                <w:lang w:val="en-US" w:eastAsia="en-US"/>
              </w:rPr>
              <w:t>浓度类型</w:t>
            </w:r>
          </w:p>
        </w:tc>
        <w:tc>
          <w:tcPr>
            <w:tcW w:w="851" w:type="dxa"/>
            <w:noWrap/>
            <w:vAlign w:val="center"/>
          </w:tcPr>
          <w:p w14:paraId="7396F1AB">
            <w:pPr>
              <w:pStyle w:val="85"/>
              <w:rPr>
                <w:rFonts w:ascii="Times New Roman" w:hAnsi="Times New Roman" w:eastAsia="宋体"/>
                <w:lang w:val="en-US" w:eastAsia="en-US"/>
              </w:rPr>
            </w:pPr>
            <w:r>
              <w:rPr>
                <w:rFonts w:ascii="Times New Roman" w:hAnsi="Times New Roman" w:eastAsia="宋体"/>
                <w:lang w:val="en-US" w:eastAsia="en-US"/>
              </w:rPr>
              <w:t>浓度增量</w:t>
            </w:r>
          </w:p>
          <w:p w14:paraId="7EC6E235">
            <w:pPr>
              <w:pStyle w:val="85"/>
              <w:rPr>
                <w:rFonts w:ascii="Times New Roman" w:hAnsi="Times New Roman" w:eastAsia="宋体"/>
                <w:lang w:val="en-US" w:eastAsia="en-US"/>
              </w:rPr>
            </w:pPr>
            <w:r>
              <w:rPr>
                <w:rFonts w:ascii="Times New Roman" w:hAnsi="Times New Roman" w:eastAsia="宋体"/>
                <w:lang w:val="en-US" w:eastAsia="en-US"/>
              </w:rPr>
              <w:t>（</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50" w:type="dxa"/>
            <w:noWrap/>
            <w:vAlign w:val="center"/>
          </w:tcPr>
          <w:p w14:paraId="770E329B">
            <w:pPr>
              <w:pStyle w:val="85"/>
              <w:rPr>
                <w:rFonts w:ascii="Times New Roman" w:hAnsi="Times New Roman" w:eastAsia="宋体"/>
                <w:lang w:val="en-US"/>
              </w:rPr>
            </w:pPr>
            <w:r>
              <w:rPr>
                <w:rFonts w:ascii="Times New Roman" w:hAnsi="Times New Roman" w:eastAsia="宋体"/>
                <w:lang w:val="en-US"/>
              </w:rPr>
              <w:t>出现时间</w:t>
            </w:r>
          </w:p>
          <w:p w14:paraId="7E3E8B7E">
            <w:pPr>
              <w:pStyle w:val="85"/>
              <w:rPr>
                <w:rFonts w:ascii="Times New Roman" w:hAnsi="Times New Roman" w:eastAsia="宋体"/>
                <w:lang w:val="en-US"/>
              </w:rPr>
            </w:pPr>
            <w:r>
              <w:rPr>
                <w:rFonts w:ascii="Times New Roman" w:hAnsi="Times New Roman" w:eastAsia="宋体"/>
                <w:lang w:val="en-US"/>
              </w:rPr>
              <w:t>（YYMMDDHH）</w:t>
            </w:r>
          </w:p>
        </w:tc>
        <w:tc>
          <w:tcPr>
            <w:tcW w:w="851" w:type="dxa"/>
            <w:noWrap/>
            <w:vAlign w:val="center"/>
          </w:tcPr>
          <w:p w14:paraId="0072DC55">
            <w:pPr>
              <w:pStyle w:val="85"/>
              <w:rPr>
                <w:rFonts w:ascii="Times New Roman" w:hAnsi="Times New Roman" w:eastAsia="宋体"/>
                <w:lang w:val="en-US" w:eastAsia="en-US"/>
              </w:rPr>
            </w:pPr>
            <w:r>
              <w:rPr>
                <w:rFonts w:ascii="Times New Roman" w:hAnsi="Times New Roman" w:eastAsia="宋体"/>
                <w:lang w:val="en-US" w:eastAsia="en-US"/>
              </w:rPr>
              <w:t>评价标准（</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567" w:type="dxa"/>
            <w:noWrap/>
            <w:vAlign w:val="center"/>
          </w:tcPr>
          <w:p w14:paraId="2525F92B">
            <w:pPr>
              <w:pStyle w:val="85"/>
              <w:rPr>
                <w:rFonts w:ascii="Times New Roman" w:hAnsi="Times New Roman" w:eastAsia="宋体"/>
                <w:lang w:val="en-US" w:eastAsia="en-US"/>
              </w:rPr>
            </w:pPr>
            <w:r>
              <w:rPr>
                <w:rFonts w:ascii="Times New Roman" w:hAnsi="Times New Roman" w:eastAsia="宋体"/>
                <w:lang w:val="en-US" w:eastAsia="en-US"/>
              </w:rPr>
              <w:t>占标率%</w:t>
            </w:r>
          </w:p>
        </w:tc>
        <w:tc>
          <w:tcPr>
            <w:tcW w:w="508" w:type="dxa"/>
            <w:noWrap/>
            <w:vAlign w:val="center"/>
          </w:tcPr>
          <w:p w14:paraId="7ABB1608">
            <w:pPr>
              <w:pStyle w:val="85"/>
              <w:rPr>
                <w:rFonts w:ascii="Times New Roman" w:hAnsi="Times New Roman" w:eastAsia="宋体"/>
                <w:lang w:val="en-US" w:eastAsia="en-US"/>
              </w:rPr>
            </w:pPr>
            <w:r>
              <w:rPr>
                <w:rFonts w:ascii="Times New Roman" w:hAnsi="Times New Roman" w:eastAsia="宋体"/>
                <w:lang w:val="en-US" w:eastAsia="en-US"/>
              </w:rPr>
              <w:t>是否</w:t>
            </w:r>
          </w:p>
          <w:p w14:paraId="41A84F92">
            <w:pPr>
              <w:pStyle w:val="85"/>
              <w:rPr>
                <w:rFonts w:ascii="Times New Roman" w:hAnsi="Times New Roman" w:eastAsia="宋体"/>
                <w:lang w:val="en-US" w:eastAsia="en-US"/>
              </w:rPr>
            </w:pPr>
            <w:r>
              <w:rPr>
                <w:rFonts w:ascii="Times New Roman" w:hAnsi="Times New Roman" w:eastAsia="宋体"/>
                <w:lang w:val="en-US" w:eastAsia="en-US"/>
              </w:rPr>
              <w:t>达标</w:t>
            </w:r>
          </w:p>
        </w:tc>
      </w:tr>
      <w:tr w14:paraId="0DCF5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restart"/>
            <w:noWrap/>
            <w:vAlign w:val="center"/>
          </w:tcPr>
          <w:p w14:paraId="70F4E1A2">
            <w:pPr>
              <w:pStyle w:val="85"/>
              <w:numPr>
                <w:ilvl w:val="0"/>
                <w:numId w:val="28"/>
              </w:numPr>
              <w:rPr>
                <w:rFonts w:ascii="Times New Roman" w:hAnsi="Times New Roman" w:eastAsia="宋体"/>
                <w:lang w:val="en-US" w:eastAsia="en-US"/>
              </w:rPr>
            </w:pPr>
          </w:p>
        </w:tc>
        <w:tc>
          <w:tcPr>
            <w:tcW w:w="708" w:type="dxa"/>
            <w:vMerge w:val="restart"/>
            <w:vAlign w:val="center"/>
          </w:tcPr>
          <w:p w14:paraId="20CA7F74">
            <w:pPr>
              <w:pStyle w:val="85"/>
              <w:rPr>
                <w:rFonts w:ascii="Times New Roman" w:hAnsi="Times New Roman" w:eastAsia="宋体"/>
                <w:lang w:val="en-US"/>
              </w:rPr>
            </w:pPr>
            <w:r>
              <w:rPr>
                <w:rFonts w:ascii="Times New Roman" w:hAnsi="Times New Roman" w:eastAsia="宋体"/>
                <w:lang w:val="en-US"/>
              </w:rPr>
              <w:t>130团22连</w:t>
            </w:r>
          </w:p>
        </w:tc>
        <w:tc>
          <w:tcPr>
            <w:tcW w:w="993" w:type="dxa"/>
            <w:vMerge w:val="restart"/>
            <w:noWrap/>
            <w:vAlign w:val="center"/>
          </w:tcPr>
          <w:p w14:paraId="6A18AC73">
            <w:pPr>
              <w:pStyle w:val="85"/>
              <w:rPr>
                <w:rFonts w:ascii="Times New Roman" w:hAnsi="Times New Roman" w:eastAsia="宋体"/>
                <w:lang w:val="en-US" w:eastAsia="en-US"/>
              </w:rPr>
            </w:pPr>
            <w:r>
              <w:rPr>
                <w:rFonts w:ascii="Times New Roman" w:hAnsi="Times New Roman" w:eastAsia="宋体"/>
                <w:lang w:val="en-US" w:eastAsia="en-US"/>
              </w:rPr>
              <w:t>-1998，-1133</w:t>
            </w:r>
          </w:p>
        </w:tc>
        <w:tc>
          <w:tcPr>
            <w:tcW w:w="708" w:type="dxa"/>
            <w:vMerge w:val="restart"/>
            <w:noWrap/>
            <w:vAlign w:val="center"/>
          </w:tcPr>
          <w:p w14:paraId="2343F8D9">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851" w:type="dxa"/>
            <w:vMerge w:val="restart"/>
            <w:noWrap/>
            <w:vAlign w:val="center"/>
          </w:tcPr>
          <w:p w14:paraId="4F6930A9">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709" w:type="dxa"/>
            <w:vMerge w:val="restart"/>
            <w:noWrap/>
            <w:vAlign w:val="center"/>
          </w:tcPr>
          <w:p w14:paraId="622D6A1D">
            <w:pPr>
              <w:pStyle w:val="85"/>
              <w:rPr>
                <w:rFonts w:ascii="Times New Roman" w:hAnsi="Times New Roman" w:eastAsia="宋体"/>
                <w:lang w:val="en-US" w:eastAsia="en-US"/>
              </w:rPr>
            </w:pPr>
            <w:r>
              <w:rPr>
                <w:rFonts w:ascii="Times New Roman" w:hAnsi="Times New Roman" w:eastAsia="宋体"/>
                <w:lang w:val="en-US" w:eastAsia="en-US"/>
              </w:rPr>
              <w:t>1.5</w:t>
            </w:r>
          </w:p>
        </w:tc>
        <w:tc>
          <w:tcPr>
            <w:tcW w:w="708" w:type="dxa"/>
            <w:noWrap/>
            <w:vAlign w:val="center"/>
          </w:tcPr>
          <w:p w14:paraId="3C9361D6">
            <w:pPr>
              <w:pStyle w:val="85"/>
              <w:rPr>
                <w:rFonts w:ascii="Times New Roman" w:hAnsi="Times New Roman" w:eastAsia="宋体"/>
                <w:lang w:val="en-US"/>
              </w:rPr>
            </w:pPr>
            <w:r>
              <w:rPr>
                <w:rFonts w:hint="eastAsia" w:ascii="Times New Roman" w:hAnsi="Times New Roman" w:eastAsia="宋体"/>
                <w:lang w:val="en-US"/>
              </w:rPr>
              <w:t>1小时</w:t>
            </w:r>
          </w:p>
        </w:tc>
        <w:tc>
          <w:tcPr>
            <w:tcW w:w="851" w:type="dxa"/>
            <w:noWrap/>
          </w:tcPr>
          <w:p w14:paraId="4695C481">
            <w:pPr>
              <w:pStyle w:val="90"/>
            </w:pPr>
            <w:r>
              <w:t>0.1652</w:t>
            </w:r>
          </w:p>
        </w:tc>
        <w:tc>
          <w:tcPr>
            <w:tcW w:w="850" w:type="dxa"/>
            <w:noWrap/>
          </w:tcPr>
          <w:p w14:paraId="521FB505">
            <w:pPr>
              <w:pStyle w:val="90"/>
            </w:pPr>
            <w:r>
              <w:t>22042406</w:t>
            </w:r>
          </w:p>
        </w:tc>
        <w:tc>
          <w:tcPr>
            <w:tcW w:w="851" w:type="dxa"/>
            <w:noWrap/>
            <w:vAlign w:val="center"/>
          </w:tcPr>
          <w:p w14:paraId="5535398E">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00</w:t>
            </w:r>
          </w:p>
        </w:tc>
        <w:tc>
          <w:tcPr>
            <w:tcW w:w="567" w:type="dxa"/>
            <w:noWrap/>
            <w:vAlign w:val="center"/>
          </w:tcPr>
          <w:p w14:paraId="789502E3">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.08</w:t>
            </w:r>
          </w:p>
        </w:tc>
        <w:tc>
          <w:tcPr>
            <w:tcW w:w="508" w:type="dxa"/>
            <w:noWrap/>
            <w:vAlign w:val="center"/>
          </w:tcPr>
          <w:p w14:paraId="5AF56F78">
            <w:pPr>
              <w:adjustRightInd w:val="0"/>
              <w:snapToGrid w:val="0"/>
              <w:spacing w:line="240" w:lineRule="auto"/>
              <w:ind w:firstLine="0" w:firstLineChars="0"/>
              <w:jc w:val="center"/>
              <w:textAlignment w:val="center"/>
              <w:rPr>
                <w:sz w:val="21"/>
                <w:szCs w:val="21"/>
              </w:rPr>
            </w:pPr>
            <w:r>
              <w:rPr>
                <w:sz w:val="21"/>
                <w:szCs w:val="21"/>
              </w:rPr>
              <w:t>达标</w:t>
            </w:r>
          </w:p>
        </w:tc>
      </w:tr>
      <w:tr w14:paraId="03225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72852597">
            <w:pPr>
              <w:pStyle w:val="85"/>
              <w:numPr>
                <w:ilvl w:val="0"/>
                <w:numId w:val="28"/>
              </w:numPr>
              <w:rPr>
                <w:rFonts w:ascii="Times New Roman" w:hAnsi="Times New Roman" w:eastAsia="宋体"/>
                <w:lang w:val="en-US" w:eastAsia="en-US"/>
              </w:rPr>
            </w:pPr>
          </w:p>
        </w:tc>
        <w:tc>
          <w:tcPr>
            <w:tcW w:w="708" w:type="dxa"/>
            <w:vMerge w:val="continue"/>
            <w:vAlign w:val="center"/>
          </w:tcPr>
          <w:p w14:paraId="132562AE">
            <w:pPr>
              <w:pStyle w:val="85"/>
              <w:rPr>
                <w:rFonts w:ascii="Times New Roman" w:hAnsi="Times New Roman" w:eastAsia="宋体"/>
                <w:lang w:val="en-US"/>
              </w:rPr>
            </w:pPr>
          </w:p>
        </w:tc>
        <w:tc>
          <w:tcPr>
            <w:tcW w:w="993" w:type="dxa"/>
            <w:vMerge w:val="continue"/>
            <w:noWrap/>
            <w:vAlign w:val="center"/>
          </w:tcPr>
          <w:p w14:paraId="6FF8C8C0">
            <w:pPr>
              <w:pStyle w:val="85"/>
              <w:rPr>
                <w:rFonts w:ascii="Times New Roman" w:hAnsi="Times New Roman" w:eastAsia="宋体"/>
                <w:lang w:val="en-US" w:eastAsia="en-US"/>
              </w:rPr>
            </w:pPr>
          </w:p>
        </w:tc>
        <w:tc>
          <w:tcPr>
            <w:tcW w:w="708" w:type="dxa"/>
            <w:vMerge w:val="continue"/>
            <w:noWrap/>
            <w:vAlign w:val="center"/>
          </w:tcPr>
          <w:p w14:paraId="7030E9C3">
            <w:pPr>
              <w:pStyle w:val="85"/>
              <w:rPr>
                <w:rFonts w:ascii="Times New Roman" w:hAnsi="Times New Roman" w:eastAsia="宋体"/>
                <w:lang w:val="en-US" w:eastAsia="en-US"/>
              </w:rPr>
            </w:pPr>
          </w:p>
        </w:tc>
        <w:tc>
          <w:tcPr>
            <w:tcW w:w="851" w:type="dxa"/>
            <w:vMerge w:val="continue"/>
            <w:noWrap/>
            <w:vAlign w:val="center"/>
          </w:tcPr>
          <w:p w14:paraId="44DD6733">
            <w:pPr>
              <w:pStyle w:val="85"/>
              <w:rPr>
                <w:rFonts w:ascii="Times New Roman" w:hAnsi="Times New Roman" w:eastAsia="宋体"/>
                <w:lang w:val="en-US" w:eastAsia="en-US"/>
              </w:rPr>
            </w:pPr>
          </w:p>
        </w:tc>
        <w:tc>
          <w:tcPr>
            <w:tcW w:w="709" w:type="dxa"/>
            <w:vMerge w:val="continue"/>
            <w:noWrap/>
            <w:vAlign w:val="center"/>
          </w:tcPr>
          <w:p w14:paraId="31280F61">
            <w:pPr>
              <w:pStyle w:val="85"/>
              <w:rPr>
                <w:rFonts w:ascii="Times New Roman" w:hAnsi="Times New Roman" w:eastAsia="宋体"/>
                <w:lang w:val="en-US" w:eastAsia="en-US"/>
              </w:rPr>
            </w:pPr>
          </w:p>
        </w:tc>
        <w:tc>
          <w:tcPr>
            <w:tcW w:w="708" w:type="dxa"/>
            <w:noWrap/>
            <w:vAlign w:val="center"/>
          </w:tcPr>
          <w:p w14:paraId="6FE919F8">
            <w:pPr>
              <w:pStyle w:val="85"/>
              <w:rPr>
                <w:rFonts w:ascii="Times New Roman" w:hAnsi="Times New Roman" w:eastAsia="宋体"/>
                <w:lang w:val="en-US"/>
              </w:rPr>
            </w:pPr>
            <w:r>
              <w:rPr>
                <w:rFonts w:hint="eastAsia" w:ascii="Times New Roman" w:hAnsi="Times New Roman" w:eastAsia="宋体"/>
                <w:lang w:val="en-US"/>
              </w:rPr>
              <w:t>日均值</w:t>
            </w:r>
          </w:p>
        </w:tc>
        <w:tc>
          <w:tcPr>
            <w:tcW w:w="851" w:type="dxa"/>
            <w:noWrap/>
          </w:tcPr>
          <w:p w14:paraId="3C76890B">
            <w:pPr>
              <w:pStyle w:val="90"/>
            </w:pPr>
            <w:r>
              <w:t>0.0216</w:t>
            </w:r>
          </w:p>
        </w:tc>
        <w:tc>
          <w:tcPr>
            <w:tcW w:w="850" w:type="dxa"/>
            <w:noWrap/>
          </w:tcPr>
          <w:p w14:paraId="74299AB8">
            <w:pPr>
              <w:pStyle w:val="90"/>
            </w:pPr>
            <w:r>
              <w:t>221124</w:t>
            </w:r>
          </w:p>
        </w:tc>
        <w:tc>
          <w:tcPr>
            <w:tcW w:w="851" w:type="dxa"/>
            <w:noWrap/>
            <w:vAlign w:val="center"/>
          </w:tcPr>
          <w:p w14:paraId="7241E9F4">
            <w:pPr>
              <w:adjustRightInd w:val="0"/>
              <w:snapToGrid w:val="0"/>
              <w:spacing w:line="240" w:lineRule="auto"/>
              <w:ind w:firstLine="0" w:firstLineChars="0"/>
              <w:jc w:val="center"/>
              <w:textAlignment w:val="center"/>
              <w:rPr>
                <w:sz w:val="21"/>
                <w:szCs w:val="21"/>
              </w:rPr>
            </w:pPr>
            <w:r>
              <w:rPr>
                <w:rFonts w:hint="eastAsia"/>
                <w:sz w:val="21"/>
                <w:szCs w:val="21"/>
              </w:rPr>
              <w:t>8</w:t>
            </w:r>
            <w:r>
              <w:rPr>
                <w:sz w:val="21"/>
                <w:szCs w:val="21"/>
              </w:rPr>
              <w:t>0</w:t>
            </w:r>
          </w:p>
        </w:tc>
        <w:tc>
          <w:tcPr>
            <w:tcW w:w="567" w:type="dxa"/>
            <w:noWrap/>
            <w:vAlign w:val="center"/>
          </w:tcPr>
          <w:p w14:paraId="1801F34A">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.03</w:t>
            </w:r>
          </w:p>
        </w:tc>
        <w:tc>
          <w:tcPr>
            <w:tcW w:w="508" w:type="dxa"/>
            <w:noWrap/>
            <w:vAlign w:val="center"/>
          </w:tcPr>
          <w:p w14:paraId="7E9C4783">
            <w:pPr>
              <w:adjustRightInd w:val="0"/>
              <w:snapToGrid w:val="0"/>
              <w:spacing w:line="240" w:lineRule="auto"/>
              <w:ind w:firstLine="0" w:firstLineChars="0"/>
              <w:jc w:val="center"/>
              <w:textAlignment w:val="center"/>
              <w:rPr>
                <w:sz w:val="21"/>
                <w:szCs w:val="21"/>
              </w:rPr>
            </w:pPr>
            <w:r>
              <w:rPr>
                <w:sz w:val="21"/>
                <w:szCs w:val="21"/>
              </w:rPr>
              <w:t>达标</w:t>
            </w:r>
          </w:p>
        </w:tc>
      </w:tr>
      <w:tr w14:paraId="4869E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53B1F1A9">
            <w:pPr>
              <w:pStyle w:val="85"/>
              <w:numPr>
                <w:ilvl w:val="0"/>
                <w:numId w:val="28"/>
              </w:numPr>
              <w:rPr>
                <w:rFonts w:ascii="Times New Roman" w:hAnsi="Times New Roman" w:eastAsia="宋体"/>
                <w:lang w:val="en-US" w:eastAsia="en-US"/>
              </w:rPr>
            </w:pPr>
          </w:p>
        </w:tc>
        <w:tc>
          <w:tcPr>
            <w:tcW w:w="708" w:type="dxa"/>
            <w:vMerge w:val="continue"/>
            <w:vAlign w:val="center"/>
          </w:tcPr>
          <w:p w14:paraId="1A9600D9">
            <w:pPr>
              <w:pStyle w:val="85"/>
              <w:rPr>
                <w:rFonts w:ascii="Times New Roman" w:hAnsi="Times New Roman" w:eastAsia="宋体"/>
                <w:lang w:val="en-US"/>
              </w:rPr>
            </w:pPr>
          </w:p>
        </w:tc>
        <w:tc>
          <w:tcPr>
            <w:tcW w:w="993" w:type="dxa"/>
            <w:vMerge w:val="continue"/>
            <w:noWrap/>
            <w:vAlign w:val="center"/>
          </w:tcPr>
          <w:p w14:paraId="513421B2">
            <w:pPr>
              <w:pStyle w:val="85"/>
              <w:rPr>
                <w:rFonts w:ascii="Times New Roman" w:hAnsi="Times New Roman" w:eastAsia="宋体"/>
                <w:lang w:val="en-US" w:eastAsia="en-US"/>
              </w:rPr>
            </w:pPr>
          </w:p>
        </w:tc>
        <w:tc>
          <w:tcPr>
            <w:tcW w:w="708" w:type="dxa"/>
            <w:vMerge w:val="continue"/>
            <w:noWrap/>
            <w:vAlign w:val="center"/>
          </w:tcPr>
          <w:p w14:paraId="2930DA2B">
            <w:pPr>
              <w:pStyle w:val="85"/>
              <w:rPr>
                <w:rFonts w:ascii="Times New Roman" w:hAnsi="Times New Roman" w:eastAsia="宋体"/>
                <w:lang w:val="en-US" w:eastAsia="en-US"/>
              </w:rPr>
            </w:pPr>
          </w:p>
        </w:tc>
        <w:tc>
          <w:tcPr>
            <w:tcW w:w="851" w:type="dxa"/>
            <w:vMerge w:val="continue"/>
            <w:noWrap/>
            <w:vAlign w:val="center"/>
          </w:tcPr>
          <w:p w14:paraId="3091E357">
            <w:pPr>
              <w:pStyle w:val="85"/>
              <w:rPr>
                <w:rFonts w:ascii="Times New Roman" w:hAnsi="Times New Roman" w:eastAsia="宋体"/>
                <w:lang w:val="en-US" w:eastAsia="en-US"/>
              </w:rPr>
            </w:pPr>
          </w:p>
        </w:tc>
        <w:tc>
          <w:tcPr>
            <w:tcW w:w="709" w:type="dxa"/>
            <w:vMerge w:val="continue"/>
            <w:noWrap/>
            <w:vAlign w:val="center"/>
          </w:tcPr>
          <w:p w14:paraId="3E1563EE">
            <w:pPr>
              <w:pStyle w:val="85"/>
              <w:rPr>
                <w:rFonts w:ascii="Times New Roman" w:hAnsi="Times New Roman" w:eastAsia="宋体"/>
                <w:lang w:val="en-US" w:eastAsia="en-US"/>
              </w:rPr>
            </w:pPr>
          </w:p>
        </w:tc>
        <w:tc>
          <w:tcPr>
            <w:tcW w:w="708" w:type="dxa"/>
            <w:noWrap/>
            <w:vAlign w:val="center"/>
          </w:tcPr>
          <w:p w14:paraId="700BE7D2">
            <w:pPr>
              <w:pStyle w:val="85"/>
              <w:rPr>
                <w:rFonts w:ascii="Times New Roman" w:hAnsi="Times New Roman" w:eastAsia="宋体"/>
                <w:lang w:val="en-US"/>
              </w:rPr>
            </w:pPr>
            <w:r>
              <w:rPr>
                <w:rFonts w:hint="eastAsia" w:ascii="Times New Roman" w:hAnsi="Times New Roman" w:eastAsia="宋体"/>
                <w:lang w:val="en-US"/>
              </w:rPr>
              <w:t>全时段</w:t>
            </w:r>
          </w:p>
        </w:tc>
        <w:tc>
          <w:tcPr>
            <w:tcW w:w="851" w:type="dxa"/>
            <w:noWrap/>
          </w:tcPr>
          <w:p w14:paraId="724EB4C6">
            <w:pPr>
              <w:pStyle w:val="90"/>
            </w:pPr>
            <w:r>
              <w:t>0.0013</w:t>
            </w:r>
          </w:p>
        </w:tc>
        <w:tc>
          <w:tcPr>
            <w:tcW w:w="850" w:type="dxa"/>
            <w:noWrap/>
          </w:tcPr>
          <w:p w14:paraId="35424E1B">
            <w:pPr>
              <w:pStyle w:val="90"/>
            </w:pPr>
            <w:r>
              <w:rPr>
                <w:rFonts w:hint="eastAsia"/>
              </w:rPr>
              <w:t>平均值</w:t>
            </w:r>
          </w:p>
        </w:tc>
        <w:tc>
          <w:tcPr>
            <w:tcW w:w="851" w:type="dxa"/>
            <w:noWrap/>
            <w:vAlign w:val="center"/>
          </w:tcPr>
          <w:p w14:paraId="752598C8">
            <w:pPr>
              <w:adjustRightInd w:val="0"/>
              <w:snapToGrid w:val="0"/>
              <w:spacing w:line="240" w:lineRule="auto"/>
              <w:ind w:firstLine="0" w:firstLineChars="0"/>
              <w:jc w:val="center"/>
              <w:textAlignment w:val="center"/>
              <w:rPr>
                <w:sz w:val="21"/>
                <w:szCs w:val="21"/>
              </w:rPr>
            </w:pPr>
            <w:r>
              <w:rPr>
                <w:rFonts w:hint="eastAsia"/>
                <w:sz w:val="21"/>
                <w:szCs w:val="21"/>
              </w:rPr>
              <w:t>4</w:t>
            </w:r>
            <w:r>
              <w:rPr>
                <w:sz w:val="21"/>
                <w:szCs w:val="21"/>
              </w:rPr>
              <w:t>0</w:t>
            </w:r>
          </w:p>
        </w:tc>
        <w:tc>
          <w:tcPr>
            <w:tcW w:w="567" w:type="dxa"/>
            <w:noWrap/>
            <w:vAlign w:val="center"/>
          </w:tcPr>
          <w:p w14:paraId="50941806">
            <w:pPr>
              <w:adjustRightInd w:val="0"/>
              <w:snapToGrid w:val="0"/>
              <w:spacing w:line="240" w:lineRule="auto"/>
              <w:ind w:firstLine="0" w:firstLineChars="0"/>
              <w:jc w:val="center"/>
              <w:textAlignment w:val="center"/>
              <w:rPr>
                <w:sz w:val="21"/>
                <w:szCs w:val="21"/>
              </w:rPr>
            </w:pPr>
            <w:r>
              <w:rPr>
                <w:rFonts w:hint="eastAsia"/>
                <w:sz w:val="21"/>
                <w:szCs w:val="21"/>
              </w:rPr>
              <w:t>0</w:t>
            </w:r>
          </w:p>
        </w:tc>
        <w:tc>
          <w:tcPr>
            <w:tcW w:w="508" w:type="dxa"/>
            <w:noWrap/>
            <w:vAlign w:val="center"/>
          </w:tcPr>
          <w:p w14:paraId="021A85EE">
            <w:pPr>
              <w:adjustRightInd w:val="0"/>
              <w:snapToGrid w:val="0"/>
              <w:spacing w:line="240" w:lineRule="auto"/>
              <w:ind w:firstLine="0" w:firstLineChars="0"/>
              <w:jc w:val="center"/>
              <w:textAlignment w:val="center"/>
              <w:rPr>
                <w:sz w:val="21"/>
                <w:szCs w:val="21"/>
              </w:rPr>
            </w:pPr>
            <w:r>
              <w:rPr>
                <w:sz w:val="21"/>
                <w:szCs w:val="21"/>
              </w:rPr>
              <w:t>达标</w:t>
            </w:r>
          </w:p>
        </w:tc>
      </w:tr>
      <w:tr w14:paraId="02171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restart"/>
            <w:noWrap/>
            <w:vAlign w:val="center"/>
          </w:tcPr>
          <w:p w14:paraId="68295285">
            <w:pPr>
              <w:pStyle w:val="85"/>
              <w:numPr>
                <w:ilvl w:val="0"/>
                <w:numId w:val="28"/>
              </w:numPr>
              <w:rPr>
                <w:rFonts w:ascii="Times New Roman" w:hAnsi="Times New Roman" w:eastAsia="宋体"/>
                <w:lang w:val="en-US" w:eastAsia="en-US"/>
              </w:rPr>
            </w:pPr>
          </w:p>
        </w:tc>
        <w:tc>
          <w:tcPr>
            <w:tcW w:w="708" w:type="dxa"/>
            <w:vMerge w:val="restart"/>
            <w:vAlign w:val="center"/>
          </w:tcPr>
          <w:p w14:paraId="02485FFD">
            <w:pPr>
              <w:pStyle w:val="85"/>
              <w:rPr>
                <w:rFonts w:ascii="Times New Roman" w:hAnsi="Times New Roman" w:eastAsia="宋体"/>
                <w:lang w:val="en-US" w:eastAsia="en-US"/>
              </w:rPr>
            </w:pPr>
            <w:r>
              <w:rPr>
                <w:rFonts w:ascii="Times New Roman" w:hAnsi="Times New Roman" w:eastAsia="宋体"/>
                <w:lang w:val="en-US" w:eastAsia="en-US"/>
              </w:rPr>
              <w:t>网格</w:t>
            </w:r>
          </w:p>
        </w:tc>
        <w:tc>
          <w:tcPr>
            <w:tcW w:w="993" w:type="dxa"/>
            <w:vMerge w:val="restart"/>
            <w:noWrap/>
            <w:vAlign w:val="center"/>
          </w:tcPr>
          <w:p w14:paraId="77DCB62D">
            <w:pPr>
              <w:pStyle w:val="85"/>
              <w:rPr>
                <w:rFonts w:ascii="Times New Roman" w:hAnsi="Times New Roman" w:eastAsia="宋体"/>
                <w:lang w:val="en-US"/>
              </w:rPr>
            </w:pPr>
            <w:r>
              <w:rPr>
                <w:rFonts w:ascii="Times New Roman" w:hAnsi="Times New Roman" w:eastAsia="宋体"/>
                <w:lang w:val="en-US"/>
              </w:rPr>
              <w:t>-357，-12</w:t>
            </w:r>
          </w:p>
        </w:tc>
        <w:tc>
          <w:tcPr>
            <w:tcW w:w="708" w:type="dxa"/>
            <w:vMerge w:val="restart"/>
            <w:noWrap/>
            <w:vAlign w:val="center"/>
          </w:tcPr>
          <w:p w14:paraId="1818DB8E">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851" w:type="dxa"/>
            <w:vMerge w:val="restart"/>
            <w:noWrap/>
            <w:vAlign w:val="center"/>
          </w:tcPr>
          <w:p w14:paraId="69987C98">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709" w:type="dxa"/>
            <w:vMerge w:val="restart"/>
            <w:noWrap/>
            <w:vAlign w:val="center"/>
          </w:tcPr>
          <w:p w14:paraId="2BE94C89">
            <w:pPr>
              <w:pStyle w:val="85"/>
              <w:rPr>
                <w:rFonts w:ascii="Times New Roman" w:hAnsi="Times New Roman" w:eastAsia="宋体"/>
                <w:lang w:val="en-US"/>
              </w:rPr>
            </w:pPr>
            <w:r>
              <w:rPr>
                <w:rFonts w:ascii="Times New Roman" w:hAnsi="Times New Roman" w:eastAsia="宋体"/>
                <w:lang w:val="en-US"/>
              </w:rPr>
              <w:t>1.5</w:t>
            </w:r>
          </w:p>
        </w:tc>
        <w:tc>
          <w:tcPr>
            <w:tcW w:w="708" w:type="dxa"/>
            <w:noWrap/>
            <w:vAlign w:val="center"/>
          </w:tcPr>
          <w:p w14:paraId="3E61A422">
            <w:pPr>
              <w:pStyle w:val="85"/>
              <w:rPr>
                <w:rFonts w:ascii="Times New Roman" w:hAnsi="Times New Roman" w:eastAsia="宋体"/>
                <w:lang w:val="en-US" w:eastAsia="en-US"/>
              </w:rPr>
            </w:pPr>
            <w:r>
              <w:rPr>
                <w:rFonts w:hint="eastAsia" w:ascii="Times New Roman" w:hAnsi="Times New Roman" w:eastAsia="宋体"/>
                <w:lang w:val="en-US"/>
              </w:rPr>
              <w:t>1小时</w:t>
            </w:r>
          </w:p>
        </w:tc>
        <w:tc>
          <w:tcPr>
            <w:tcW w:w="851" w:type="dxa"/>
            <w:noWrap/>
          </w:tcPr>
          <w:p w14:paraId="75B85BBE">
            <w:pPr>
              <w:pStyle w:val="90"/>
            </w:pPr>
            <w:r>
              <w:t>0.7794</w:t>
            </w:r>
          </w:p>
        </w:tc>
        <w:tc>
          <w:tcPr>
            <w:tcW w:w="850" w:type="dxa"/>
            <w:noWrap/>
          </w:tcPr>
          <w:p w14:paraId="78B9E20D">
            <w:pPr>
              <w:pStyle w:val="90"/>
            </w:pPr>
            <w:r>
              <w:t>22042406</w:t>
            </w:r>
          </w:p>
        </w:tc>
        <w:tc>
          <w:tcPr>
            <w:tcW w:w="851" w:type="dxa"/>
            <w:noWrap/>
            <w:vAlign w:val="center"/>
          </w:tcPr>
          <w:p w14:paraId="112CB9DE">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00</w:t>
            </w:r>
          </w:p>
        </w:tc>
        <w:tc>
          <w:tcPr>
            <w:tcW w:w="567" w:type="dxa"/>
            <w:noWrap/>
            <w:vAlign w:val="center"/>
          </w:tcPr>
          <w:p w14:paraId="0179E714">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.39</w:t>
            </w:r>
          </w:p>
        </w:tc>
        <w:tc>
          <w:tcPr>
            <w:tcW w:w="508" w:type="dxa"/>
            <w:noWrap/>
            <w:vAlign w:val="center"/>
          </w:tcPr>
          <w:p w14:paraId="0B7C8E2A">
            <w:pPr>
              <w:adjustRightInd w:val="0"/>
              <w:snapToGrid w:val="0"/>
              <w:spacing w:line="240" w:lineRule="auto"/>
              <w:ind w:firstLine="0" w:firstLineChars="0"/>
              <w:jc w:val="center"/>
              <w:textAlignment w:val="center"/>
              <w:rPr>
                <w:sz w:val="21"/>
                <w:szCs w:val="21"/>
              </w:rPr>
            </w:pPr>
            <w:r>
              <w:rPr>
                <w:sz w:val="21"/>
                <w:szCs w:val="21"/>
              </w:rPr>
              <w:t>达标</w:t>
            </w:r>
          </w:p>
        </w:tc>
      </w:tr>
      <w:tr w14:paraId="47C41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3D6D8983">
            <w:pPr>
              <w:pStyle w:val="85"/>
              <w:numPr>
                <w:ilvl w:val="0"/>
                <w:numId w:val="28"/>
              </w:numPr>
              <w:rPr>
                <w:rFonts w:ascii="Times New Roman" w:hAnsi="Times New Roman" w:eastAsia="宋体"/>
                <w:lang w:val="en-US" w:eastAsia="en-US"/>
              </w:rPr>
            </w:pPr>
          </w:p>
        </w:tc>
        <w:tc>
          <w:tcPr>
            <w:tcW w:w="708" w:type="dxa"/>
            <w:vMerge w:val="continue"/>
            <w:vAlign w:val="center"/>
          </w:tcPr>
          <w:p w14:paraId="2D26CE00">
            <w:pPr>
              <w:pStyle w:val="85"/>
              <w:rPr>
                <w:rFonts w:ascii="Times New Roman" w:hAnsi="Times New Roman" w:eastAsia="宋体"/>
                <w:lang w:val="en-US" w:eastAsia="en-US"/>
              </w:rPr>
            </w:pPr>
          </w:p>
        </w:tc>
        <w:tc>
          <w:tcPr>
            <w:tcW w:w="993" w:type="dxa"/>
            <w:vMerge w:val="continue"/>
            <w:noWrap/>
            <w:vAlign w:val="center"/>
          </w:tcPr>
          <w:p w14:paraId="1C48F4F5">
            <w:pPr>
              <w:pStyle w:val="85"/>
              <w:rPr>
                <w:rFonts w:ascii="Times New Roman" w:hAnsi="Times New Roman" w:eastAsia="宋体"/>
                <w:lang w:val="en-US"/>
              </w:rPr>
            </w:pPr>
          </w:p>
        </w:tc>
        <w:tc>
          <w:tcPr>
            <w:tcW w:w="708" w:type="dxa"/>
            <w:vMerge w:val="continue"/>
            <w:noWrap/>
            <w:vAlign w:val="center"/>
          </w:tcPr>
          <w:p w14:paraId="03A24AE4">
            <w:pPr>
              <w:pStyle w:val="85"/>
              <w:rPr>
                <w:rFonts w:ascii="Times New Roman" w:hAnsi="Times New Roman" w:eastAsia="宋体"/>
                <w:lang w:val="en-US"/>
              </w:rPr>
            </w:pPr>
          </w:p>
        </w:tc>
        <w:tc>
          <w:tcPr>
            <w:tcW w:w="851" w:type="dxa"/>
            <w:vMerge w:val="continue"/>
            <w:noWrap/>
            <w:vAlign w:val="center"/>
          </w:tcPr>
          <w:p w14:paraId="71CDDC06">
            <w:pPr>
              <w:pStyle w:val="85"/>
              <w:rPr>
                <w:rFonts w:ascii="Times New Roman" w:hAnsi="Times New Roman" w:eastAsia="宋体"/>
                <w:lang w:val="en-US"/>
              </w:rPr>
            </w:pPr>
          </w:p>
        </w:tc>
        <w:tc>
          <w:tcPr>
            <w:tcW w:w="709" w:type="dxa"/>
            <w:vMerge w:val="continue"/>
            <w:noWrap/>
            <w:vAlign w:val="center"/>
          </w:tcPr>
          <w:p w14:paraId="704FAB25">
            <w:pPr>
              <w:pStyle w:val="85"/>
              <w:rPr>
                <w:rFonts w:ascii="Times New Roman" w:hAnsi="Times New Roman" w:eastAsia="宋体"/>
                <w:lang w:val="en-US"/>
              </w:rPr>
            </w:pPr>
          </w:p>
        </w:tc>
        <w:tc>
          <w:tcPr>
            <w:tcW w:w="708" w:type="dxa"/>
            <w:noWrap/>
            <w:vAlign w:val="center"/>
          </w:tcPr>
          <w:p w14:paraId="1285BD56">
            <w:pPr>
              <w:pStyle w:val="85"/>
              <w:rPr>
                <w:rFonts w:ascii="Times New Roman" w:hAnsi="Times New Roman" w:eastAsia="宋体"/>
                <w:lang w:val="en-US"/>
              </w:rPr>
            </w:pPr>
            <w:r>
              <w:rPr>
                <w:rFonts w:hint="eastAsia" w:ascii="Times New Roman" w:hAnsi="Times New Roman" w:eastAsia="宋体"/>
                <w:lang w:val="en-US"/>
              </w:rPr>
              <w:t>日均值</w:t>
            </w:r>
          </w:p>
        </w:tc>
        <w:tc>
          <w:tcPr>
            <w:tcW w:w="851" w:type="dxa"/>
            <w:noWrap/>
          </w:tcPr>
          <w:p w14:paraId="3FCD4089">
            <w:pPr>
              <w:pStyle w:val="90"/>
            </w:pPr>
            <w:r>
              <w:t>0.2321</w:t>
            </w:r>
          </w:p>
        </w:tc>
        <w:tc>
          <w:tcPr>
            <w:tcW w:w="850" w:type="dxa"/>
            <w:noWrap/>
          </w:tcPr>
          <w:p w14:paraId="4447B4BF">
            <w:pPr>
              <w:pStyle w:val="90"/>
            </w:pPr>
            <w:r>
              <w:t>221124</w:t>
            </w:r>
          </w:p>
        </w:tc>
        <w:tc>
          <w:tcPr>
            <w:tcW w:w="851" w:type="dxa"/>
            <w:noWrap/>
            <w:vAlign w:val="center"/>
          </w:tcPr>
          <w:p w14:paraId="5692CC19">
            <w:pPr>
              <w:adjustRightInd w:val="0"/>
              <w:snapToGrid w:val="0"/>
              <w:spacing w:line="240" w:lineRule="auto"/>
              <w:ind w:firstLine="0" w:firstLineChars="0"/>
              <w:jc w:val="center"/>
              <w:textAlignment w:val="center"/>
              <w:rPr>
                <w:sz w:val="21"/>
                <w:szCs w:val="21"/>
              </w:rPr>
            </w:pPr>
            <w:r>
              <w:rPr>
                <w:rFonts w:hint="eastAsia"/>
                <w:sz w:val="21"/>
                <w:szCs w:val="21"/>
              </w:rPr>
              <w:t>8</w:t>
            </w:r>
            <w:r>
              <w:rPr>
                <w:sz w:val="21"/>
                <w:szCs w:val="21"/>
              </w:rPr>
              <w:t>0</w:t>
            </w:r>
          </w:p>
        </w:tc>
        <w:tc>
          <w:tcPr>
            <w:tcW w:w="567" w:type="dxa"/>
            <w:noWrap/>
            <w:vAlign w:val="center"/>
          </w:tcPr>
          <w:p w14:paraId="46E56733">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.29</w:t>
            </w:r>
          </w:p>
        </w:tc>
        <w:tc>
          <w:tcPr>
            <w:tcW w:w="508" w:type="dxa"/>
            <w:noWrap/>
            <w:vAlign w:val="center"/>
          </w:tcPr>
          <w:p w14:paraId="7456AED7">
            <w:pPr>
              <w:adjustRightInd w:val="0"/>
              <w:snapToGrid w:val="0"/>
              <w:spacing w:line="240" w:lineRule="auto"/>
              <w:ind w:firstLine="0" w:firstLineChars="0"/>
              <w:jc w:val="center"/>
              <w:textAlignment w:val="center"/>
              <w:rPr>
                <w:sz w:val="21"/>
                <w:szCs w:val="21"/>
              </w:rPr>
            </w:pPr>
            <w:r>
              <w:rPr>
                <w:sz w:val="21"/>
                <w:szCs w:val="21"/>
              </w:rPr>
              <w:t>达标</w:t>
            </w:r>
          </w:p>
        </w:tc>
      </w:tr>
      <w:tr w14:paraId="231E8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vMerge w:val="continue"/>
            <w:noWrap/>
            <w:vAlign w:val="center"/>
          </w:tcPr>
          <w:p w14:paraId="104CD233">
            <w:pPr>
              <w:pStyle w:val="85"/>
              <w:numPr>
                <w:ilvl w:val="0"/>
                <w:numId w:val="28"/>
              </w:numPr>
              <w:rPr>
                <w:rFonts w:ascii="Times New Roman" w:hAnsi="Times New Roman" w:eastAsia="宋体"/>
                <w:lang w:val="en-US" w:eastAsia="en-US"/>
              </w:rPr>
            </w:pPr>
          </w:p>
        </w:tc>
        <w:tc>
          <w:tcPr>
            <w:tcW w:w="708" w:type="dxa"/>
            <w:vMerge w:val="continue"/>
            <w:vAlign w:val="center"/>
          </w:tcPr>
          <w:p w14:paraId="63EDF974">
            <w:pPr>
              <w:pStyle w:val="85"/>
              <w:rPr>
                <w:rFonts w:ascii="Times New Roman" w:hAnsi="Times New Roman" w:eastAsia="宋体"/>
                <w:lang w:val="en-US" w:eastAsia="en-US"/>
              </w:rPr>
            </w:pPr>
          </w:p>
        </w:tc>
        <w:tc>
          <w:tcPr>
            <w:tcW w:w="993" w:type="dxa"/>
            <w:vMerge w:val="continue"/>
            <w:noWrap/>
            <w:vAlign w:val="center"/>
          </w:tcPr>
          <w:p w14:paraId="6EF55B79">
            <w:pPr>
              <w:pStyle w:val="85"/>
              <w:rPr>
                <w:rFonts w:ascii="Times New Roman" w:hAnsi="Times New Roman" w:eastAsia="宋体"/>
                <w:lang w:val="en-US"/>
              </w:rPr>
            </w:pPr>
          </w:p>
        </w:tc>
        <w:tc>
          <w:tcPr>
            <w:tcW w:w="708" w:type="dxa"/>
            <w:vMerge w:val="continue"/>
            <w:noWrap/>
            <w:vAlign w:val="center"/>
          </w:tcPr>
          <w:p w14:paraId="24F90EA5">
            <w:pPr>
              <w:pStyle w:val="85"/>
              <w:rPr>
                <w:rFonts w:ascii="Times New Roman" w:hAnsi="Times New Roman" w:eastAsia="宋体"/>
                <w:lang w:val="en-US"/>
              </w:rPr>
            </w:pPr>
          </w:p>
        </w:tc>
        <w:tc>
          <w:tcPr>
            <w:tcW w:w="851" w:type="dxa"/>
            <w:vMerge w:val="continue"/>
            <w:noWrap/>
            <w:vAlign w:val="center"/>
          </w:tcPr>
          <w:p w14:paraId="190962E5">
            <w:pPr>
              <w:pStyle w:val="85"/>
              <w:rPr>
                <w:rFonts w:ascii="Times New Roman" w:hAnsi="Times New Roman" w:eastAsia="宋体"/>
                <w:lang w:val="en-US"/>
              </w:rPr>
            </w:pPr>
          </w:p>
        </w:tc>
        <w:tc>
          <w:tcPr>
            <w:tcW w:w="709" w:type="dxa"/>
            <w:vMerge w:val="continue"/>
            <w:noWrap/>
            <w:vAlign w:val="center"/>
          </w:tcPr>
          <w:p w14:paraId="6B941E94">
            <w:pPr>
              <w:pStyle w:val="85"/>
              <w:rPr>
                <w:rFonts w:ascii="Times New Roman" w:hAnsi="Times New Roman" w:eastAsia="宋体"/>
                <w:lang w:val="en-US"/>
              </w:rPr>
            </w:pPr>
          </w:p>
        </w:tc>
        <w:tc>
          <w:tcPr>
            <w:tcW w:w="708" w:type="dxa"/>
            <w:noWrap/>
            <w:vAlign w:val="center"/>
          </w:tcPr>
          <w:p w14:paraId="065AAE46">
            <w:pPr>
              <w:pStyle w:val="85"/>
              <w:rPr>
                <w:rFonts w:ascii="Times New Roman" w:hAnsi="Times New Roman" w:eastAsia="宋体"/>
                <w:lang w:val="en-US"/>
              </w:rPr>
            </w:pPr>
            <w:r>
              <w:rPr>
                <w:rFonts w:hint="eastAsia" w:ascii="Times New Roman" w:hAnsi="Times New Roman" w:eastAsia="宋体"/>
                <w:lang w:val="en-US"/>
              </w:rPr>
              <w:t>全时段</w:t>
            </w:r>
          </w:p>
        </w:tc>
        <w:tc>
          <w:tcPr>
            <w:tcW w:w="851" w:type="dxa"/>
            <w:noWrap/>
          </w:tcPr>
          <w:p w14:paraId="62672A22">
            <w:pPr>
              <w:pStyle w:val="90"/>
            </w:pPr>
            <w:r>
              <w:t>0.0346</w:t>
            </w:r>
          </w:p>
        </w:tc>
        <w:tc>
          <w:tcPr>
            <w:tcW w:w="850" w:type="dxa"/>
            <w:noWrap/>
          </w:tcPr>
          <w:p w14:paraId="53EA376B">
            <w:pPr>
              <w:pStyle w:val="90"/>
            </w:pPr>
            <w:r>
              <w:rPr>
                <w:rFonts w:hint="eastAsia"/>
              </w:rPr>
              <w:t>平均值</w:t>
            </w:r>
          </w:p>
        </w:tc>
        <w:tc>
          <w:tcPr>
            <w:tcW w:w="851" w:type="dxa"/>
            <w:noWrap/>
            <w:vAlign w:val="center"/>
          </w:tcPr>
          <w:p w14:paraId="774152FC">
            <w:pPr>
              <w:adjustRightInd w:val="0"/>
              <w:snapToGrid w:val="0"/>
              <w:spacing w:line="240" w:lineRule="auto"/>
              <w:ind w:firstLine="0" w:firstLineChars="0"/>
              <w:jc w:val="center"/>
              <w:textAlignment w:val="center"/>
              <w:rPr>
                <w:sz w:val="21"/>
                <w:szCs w:val="21"/>
              </w:rPr>
            </w:pPr>
            <w:r>
              <w:rPr>
                <w:rFonts w:hint="eastAsia"/>
                <w:sz w:val="21"/>
                <w:szCs w:val="21"/>
              </w:rPr>
              <w:t>4</w:t>
            </w:r>
            <w:r>
              <w:rPr>
                <w:sz w:val="21"/>
                <w:szCs w:val="21"/>
              </w:rPr>
              <w:t>0</w:t>
            </w:r>
          </w:p>
        </w:tc>
        <w:tc>
          <w:tcPr>
            <w:tcW w:w="567" w:type="dxa"/>
            <w:noWrap/>
            <w:vAlign w:val="center"/>
          </w:tcPr>
          <w:p w14:paraId="132DBC87">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.09</w:t>
            </w:r>
          </w:p>
        </w:tc>
        <w:tc>
          <w:tcPr>
            <w:tcW w:w="508" w:type="dxa"/>
            <w:noWrap/>
            <w:vAlign w:val="center"/>
          </w:tcPr>
          <w:p w14:paraId="396C485A">
            <w:pPr>
              <w:adjustRightInd w:val="0"/>
              <w:snapToGrid w:val="0"/>
              <w:spacing w:line="240" w:lineRule="auto"/>
              <w:ind w:firstLine="0" w:firstLineChars="0"/>
              <w:jc w:val="center"/>
              <w:textAlignment w:val="center"/>
              <w:rPr>
                <w:sz w:val="21"/>
                <w:szCs w:val="21"/>
              </w:rPr>
            </w:pPr>
            <w:r>
              <w:rPr>
                <w:sz w:val="21"/>
                <w:szCs w:val="21"/>
              </w:rPr>
              <w:t>达标</w:t>
            </w:r>
          </w:p>
        </w:tc>
      </w:tr>
      <w:tr w14:paraId="48146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426" w:type="dxa"/>
            <w:noWrap/>
            <w:vAlign w:val="center"/>
          </w:tcPr>
          <w:p w14:paraId="4766BC4E">
            <w:pPr>
              <w:pStyle w:val="90"/>
              <w:rPr>
                <w:lang w:eastAsia="en-US"/>
              </w:rPr>
            </w:pPr>
            <w:r>
              <w:rPr>
                <w:lang w:eastAsia="en-US"/>
              </w:rPr>
              <w:t>序号</w:t>
            </w:r>
          </w:p>
        </w:tc>
        <w:tc>
          <w:tcPr>
            <w:tcW w:w="708" w:type="dxa"/>
            <w:vAlign w:val="center"/>
          </w:tcPr>
          <w:p w14:paraId="504CE005">
            <w:pPr>
              <w:pStyle w:val="90"/>
              <w:rPr>
                <w:lang w:eastAsia="en-US"/>
              </w:rPr>
            </w:pPr>
            <w:r>
              <w:rPr>
                <w:lang w:eastAsia="en-US"/>
              </w:rPr>
              <w:t>点名称</w:t>
            </w:r>
          </w:p>
        </w:tc>
        <w:tc>
          <w:tcPr>
            <w:tcW w:w="993" w:type="dxa"/>
            <w:noWrap/>
            <w:vAlign w:val="center"/>
          </w:tcPr>
          <w:p w14:paraId="739931CA">
            <w:pPr>
              <w:pStyle w:val="90"/>
              <w:rPr>
                <w:lang w:eastAsia="en-US"/>
              </w:rPr>
            </w:pPr>
            <w:r>
              <w:rPr>
                <w:lang w:eastAsia="en-US"/>
              </w:rPr>
              <w:t>点坐标（x，y）</w:t>
            </w:r>
          </w:p>
        </w:tc>
        <w:tc>
          <w:tcPr>
            <w:tcW w:w="708" w:type="dxa"/>
            <w:noWrap/>
            <w:vAlign w:val="center"/>
          </w:tcPr>
          <w:p w14:paraId="3C301E15">
            <w:pPr>
              <w:pStyle w:val="90"/>
              <w:rPr>
                <w:lang w:eastAsia="en-US"/>
              </w:rPr>
            </w:pPr>
            <w:r>
              <w:rPr>
                <w:lang w:eastAsia="en-US"/>
              </w:rPr>
              <w:t>地面高程（m）</w:t>
            </w:r>
          </w:p>
        </w:tc>
        <w:tc>
          <w:tcPr>
            <w:tcW w:w="851" w:type="dxa"/>
            <w:noWrap/>
            <w:vAlign w:val="center"/>
          </w:tcPr>
          <w:p w14:paraId="18B3ECD7">
            <w:pPr>
              <w:pStyle w:val="90"/>
              <w:rPr>
                <w:lang w:eastAsia="en-US"/>
              </w:rPr>
            </w:pPr>
            <w:r>
              <w:rPr>
                <w:lang w:eastAsia="en-US"/>
              </w:rPr>
              <w:t>山体高度尺度（m）</w:t>
            </w:r>
          </w:p>
        </w:tc>
        <w:tc>
          <w:tcPr>
            <w:tcW w:w="709" w:type="dxa"/>
            <w:noWrap/>
            <w:vAlign w:val="center"/>
          </w:tcPr>
          <w:p w14:paraId="7FCFD73B">
            <w:pPr>
              <w:pStyle w:val="90"/>
              <w:rPr>
                <w:lang w:eastAsia="en-US"/>
              </w:rPr>
            </w:pPr>
            <w:r>
              <w:rPr>
                <w:lang w:eastAsia="en-US"/>
              </w:rPr>
              <w:t>离地高度（m）</w:t>
            </w:r>
          </w:p>
        </w:tc>
        <w:tc>
          <w:tcPr>
            <w:tcW w:w="708" w:type="dxa"/>
            <w:noWrap/>
            <w:vAlign w:val="center"/>
          </w:tcPr>
          <w:p w14:paraId="4AEE87CF">
            <w:pPr>
              <w:pStyle w:val="90"/>
              <w:rPr>
                <w:lang w:eastAsia="en-US"/>
              </w:rPr>
            </w:pPr>
            <w:r>
              <w:rPr>
                <w:lang w:eastAsia="en-US"/>
              </w:rPr>
              <w:t>浓度类型</w:t>
            </w:r>
          </w:p>
        </w:tc>
        <w:tc>
          <w:tcPr>
            <w:tcW w:w="851" w:type="dxa"/>
            <w:noWrap/>
            <w:vAlign w:val="center"/>
          </w:tcPr>
          <w:p w14:paraId="7CDA6E74">
            <w:pPr>
              <w:pStyle w:val="90"/>
              <w:rPr>
                <w:lang w:eastAsia="en-US"/>
              </w:rPr>
            </w:pPr>
            <w:r>
              <w:rPr>
                <w:lang w:eastAsia="en-US"/>
              </w:rPr>
              <w:t>浓度增量</w:t>
            </w:r>
          </w:p>
          <w:p w14:paraId="294D967B">
            <w:pPr>
              <w:pStyle w:val="90"/>
              <w:rPr>
                <w:lang w:eastAsia="en-US"/>
              </w:rPr>
            </w:pPr>
            <w:r>
              <w:rPr>
                <w:lang w:eastAsia="en-US"/>
              </w:rPr>
              <w:t>（</w:t>
            </w:r>
            <w:r>
              <w:rPr>
                <w:rFonts w:eastAsia="仿宋_GB2312"/>
              </w:rPr>
              <w:t>μ</w:t>
            </w:r>
            <w:r>
              <w:rPr>
                <w:lang w:eastAsia="en-US"/>
              </w:rPr>
              <w:t>g/m</w:t>
            </w:r>
            <w:r>
              <w:rPr>
                <w:vertAlign w:val="superscript"/>
                <w:lang w:eastAsia="en-US"/>
              </w:rPr>
              <w:t>3</w:t>
            </w:r>
            <w:r>
              <w:rPr>
                <w:lang w:eastAsia="en-US"/>
              </w:rPr>
              <w:t>）</w:t>
            </w:r>
          </w:p>
        </w:tc>
        <w:tc>
          <w:tcPr>
            <w:tcW w:w="850" w:type="dxa"/>
            <w:noWrap/>
            <w:vAlign w:val="center"/>
          </w:tcPr>
          <w:p w14:paraId="6543692A">
            <w:pPr>
              <w:pStyle w:val="90"/>
            </w:pPr>
            <w:r>
              <w:t>出现时间</w:t>
            </w:r>
          </w:p>
          <w:p w14:paraId="62515B2C">
            <w:pPr>
              <w:pStyle w:val="90"/>
            </w:pPr>
            <w:r>
              <w:t>（YYMMDDHH）</w:t>
            </w:r>
          </w:p>
        </w:tc>
        <w:tc>
          <w:tcPr>
            <w:tcW w:w="851" w:type="dxa"/>
            <w:noWrap/>
            <w:vAlign w:val="center"/>
          </w:tcPr>
          <w:p w14:paraId="54D90DE2">
            <w:pPr>
              <w:pStyle w:val="90"/>
              <w:rPr>
                <w:lang w:eastAsia="en-US"/>
              </w:rPr>
            </w:pPr>
            <w:r>
              <w:rPr>
                <w:lang w:eastAsia="en-US"/>
              </w:rPr>
              <w:t>评价标准（</w:t>
            </w:r>
            <w:r>
              <w:rPr>
                <w:rFonts w:eastAsia="仿宋_GB2312"/>
              </w:rPr>
              <w:t>μ</w:t>
            </w:r>
            <w:r>
              <w:rPr>
                <w:lang w:eastAsia="en-US"/>
              </w:rPr>
              <w:t>g/m</w:t>
            </w:r>
            <w:r>
              <w:rPr>
                <w:vertAlign w:val="superscript"/>
                <w:lang w:eastAsia="en-US"/>
              </w:rPr>
              <w:t>3</w:t>
            </w:r>
            <w:r>
              <w:rPr>
                <w:lang w:eastAsia="en-US"/>
              </w:rPr>
              <w:t>）</w:t>
            </w:r>
          </w:p>
        </w:tc>
        <w:tc>
          <w:tcPr>
            <w:tcW w:w="567" w:type="dxa"/>
            <w:noWrap/>
            <w:vAlign w:val="center"/>
          </w:tcPr>
          <w:p w14:paraId="1C4A9F5F">
            <w:pPr>
              <w:pStyle w:val="90"/>
              <w:rPr>
                <w:lang w:eastAsia="en-US"/>
              </w:rPr>
            </w:pPr>
            <w:r>
              <w:rPr>
                <w:lang w:eastAsia="en-US"/>
              </w:rPr>
              <w:t>占标率%</w:t>
            </w:r>
          </w:p>
        </w:tc>
        <w:tc>
          <w:tcPr>
            <w:tcW w:w="508" w:type="dxa"/>
            <w:noWrap/>
            <w:vAlign w:val="center"/>
          </w:tcPr>
          <w:p w14:paraId="7A1A278F">
            <w:pPr>
              <w:pStyle w:val="90"/>
              <w:rPr>
                <w:lang w:eastAsia="en-US"/>
              </w:rPr>
            </w:pPr>
            <w:r>
              <w:rPr>
                <w:lang w:eastAsia="en-US"/>
              </w:rPr>
              <w:t>是否</w:t>
            </w:r>
          </w:p>
          <w:p w14:paraId="76BB8468">
            <w:pPr>
              <w:pStyle w:val="90"/>
              <w:rPr>
                <w:lang w:eastAsia="en-US"/>
              </w:rPr>
            </w:pPr>
            <w:r>
              <w:rPr>
                <w:lang w:eastAsia="en-US"/>
              </w:rPr>
              <w:t>达标</w:t>
            </w:r>
          </w:p>
        </w:tc>
      </w:tr>
      <w:tr w14:paraId="267E4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426" w:type="dxa"/>
            <w:vMerge w:val="restart"/>
            <w:noWrap/>
            <w:vAlign w:val="center"/>
          </w:tcPr>
          <w:p w14:paraId="02B5B313">
            <w:pPr>
              <w:pStyle w:val="90"/>
            </w:pPr>
            <w:r>
              <w:rPr>
                <w:rFonts w:hint="eastAsia"/>
              </w:rPr>
              <w:t>1</w:t>
            </w:r>
          </w:p>
        </w:tc>
        <w:tc>
          <w:tcPr>
            <w:tcW w:w="708" w:type="dxa"/>
            <w:vMerge w:val="restart"/>
            <w:vAlign w:val="center"/>
          </w:tcPr>
          <w:p w14:paraId="6B121772">
            <w:pPr>
              <w:pStyle w:val="90"/>
            </w:pPr>
            <w:r>
              <w:t>130团22连</w:t>
            </w:r>
          </w:p>
        </w:tc>
        <w:tc>
          <w:tcPr>
            <w:tcW w:w="993" w:type="dxa"/>
            <w:vMerge w:val="restart"/>
            <w:noWrap/>
            <w:vAlign w:val="center"/>
          </w:tcPr>
          <w:p w14:paraId="3C246ABE">
            <w:pPr>
              <w:pStyle w:val="90"/>
              <w:rPr>
                <w:lang w:eastAsia="en-US"/>
              </w:rPr>
            </w:pPr>
            <w:r>
              <w:rPr>
                <w:lang w:eastAsia="en-US"/>
              </w:rPr>
              <w:t>-1998，-1133</w:t>
            </w:r>
          </w:p>
        </w:tc>
        <w:tc>
          <w:tcPr>
            <w:tcW w:w="708" w:type="dxa"/>
            <w:vMerge w:val="restart"/>
            <w:noWrap/>
            <w:vAlign w:val="center"/>
          </w:tcPr>
          <w:p w14:paraId="638E60F1">
            <w:pPr>
              <w:pStyle w:val="90"/>
              <w:rPr>
                <w:lang w:eastAsia="en-US"/>
              </w:rPr>
            </w:pPr>
            <w:r>
              <w:rPr>
                <w:lang w:eastAsia="en-US"/>
              </w:rPr>
              <w:t>316.34</w:t>
            </w:r>
          </w:p>
        </w:tc>
        <w:tc>
          <w:tcPr>
            <w:tcW w:w="851" w:type="dxa"/>
            <w:vMerge w:val="restart"/>
            <w:noWrap/>
            <w:vAlign w:val="center"/>
          </w:tcPr>
          <w:p w14:paraId="100C74F7">
            <w:pPr>
              <w:pStyle w:val="90"/>
              <w:rPr>
                <w:lang w:eastAsia="en-US"/>
              </w:rPr>
            </w:pPr>
            <w:r>
              <w:rPr>
                <w:lang w:eastAsia="en-US"/>
              </w:rPr>
              <w:t>316.34</w:t>
            </w:r>
          </w:p>
        </w:tc>
        <w:tc>
          <w:tcPr>
            <w:tcW w:w="709" w:type="dxa"/>
            <w:vMerge w:val="restart"/>
            <w:noWrap/>
            <w:vAlign w:val="center"/>
          </w:tcPr>
          <w:p w14:paraId="716E89D4">
            <w:pPr>
              <w:pStyle w:val="90"/>
              <w:rPr>
                <w:lang w:eastAsia="en-US"/>
              </w:rPr>
            </w:pPr>
            <w:r>
              <w:rPr>
                <w:lang w:eastAsia="en-US"/>
              </w:rPr>
              <w:t>1.5</w:t>
            </w:r>
          </w:p>
        </w:tc>
        <w:tc>
          <w:tcPr>
            <w:tcW w:w="708" w:type="dxa"/>
            <w:noWrap/>
            <w:vAlign w:val="center"/>
          </w:tcPr>
          <w:p w14:paraId="1B6FB1C9">
            <w:pPr>
              <w:pStyle w:val="90"/>
            </w:pPr>
            <w:r>
              <w:rPr>
                <w:rFonts w:hint="eastAsia"/>
              </w:rPr>
              <w:t>日均值</w:t>
            </w:r>
          </w:p>
        </w:tc>
        <w:tc>
          <w:tcPr>
            <w:tcW w:w="851" w:type="dxa"/>
            <w:noWrap/>
            <w:vAlign w:val="center"/>
          </w:tcPr>
          <w:p w14:paraId="78B3CBCC">
            <w:pPr>
              <w:pStyle w:val="90"/>
            </w:pPr>
            <w:r>
              <w:t>0.0170</w:t>
            </w:r>
          </w:p>
        </w:tc>
        <w:tc>
          <w:tcPr>
            <w:tcW w:w="850" w:type="dxa"/>
            <w:noWrap/>
            <w:vAlign w:val="center"/>
          </w:tcPr>
          <w:p w14:paraId="5B2927E3">
            <w:pPr>
              <w:pStyle w:val="90"/>
            </w:pPr>
            <w:r>
              <w:t>221124</w:t>
            </w:r>
          </w:p>
        </w:tc>
        <w:tc>
          <w:tcPr>
            <w:tcW w:w="851" w:type="dxa"/>
            <w:noWrap/>
            <w:vAlign w:val="center"/>
          </w:tcPr>
          <w:p w14:paraId="422E3833">
            <w:pPr>
              <w:pStyle w:val="90"/>
              <w:rPr>
                <w:szCs w:val="21"/>
              </w:rPr>
            </w:pPr>
            <w:r>
              <w:rPr>
                <w:rFonts w:hint="eastAsia"/>
                <w:szCs w:val="21"/>
              </w:rPr>
              <w:t>1</w:t>
            </w:r>
            <w:r>
              <w:rPr>
                <w:szCs w:val="21"/>
              </w:rPr>
              <w:t>50</w:t>
            </w:r>
          </w:p>
        </w:tc>
        <w:tc>
          <w:tcPr>
            <w:tcW w:w="567" w:type="dxa"/>
            <w:noWrap/>
            <w:vAlign w:val="center"/>
          </w:tcPr>
          <w:p w14:paraId="20C9AC01">
            <w:pPr>
              <w:pStyle w:val="90"/>
              <w:rPr>
                <w:szCs w:val="21"/>
              </w:rPr>
            </w:pPr>
            <w:r>
              <w:rPr>
                <w:rFonts w:hint="eastAsia"/>
                <w:szCs w:val="21"/>
              </w:rPr>
              <w:t>0</w:t>
            </w:r>
            <w:r>
              <w:rPr>
                <w:szCs w:val="21"/>
              </w:rPr>
              <w:t>.01</w:t>
            </w:r>
          </w:p>
        </w:tc>
        <w:tc>
          <w:tcPr>
            <w:tcW w:w="508" w:type="dxa"/>
            <w:noWrap/>
            <w:vAlign w:val="center"/>
          </w:tcPr>
          <w:p w14:paraId="6FC2B965">
            <w:pPr>
              <w:pStyle w:val="90"/>
              <w:rPr>
                <w:szCs w:val="21"/>
              </w:rPr>
            </w:pPr>
            <w:r>
              <w:rPr>
                <w:szCs w:val="21"/>
              </w:rPr>
              <w:t>达标</w:t>
            </w:r>
          </w:p>
        </w:tc>
      </w:tr>
      <w:tr w14:paraId="4BC30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426" w:type="dxa"/>
            <w:vMerge w:val="continue"/>
            <w:noWrap/>
            <w:vAlign w:val="center"/>
          </w:tcPr>
          <w:p w14:paraId="1C711983">
            <w:pPr>
              <w:pStyle w:val="90"/>
              <w:rPr>
                <w:lang w:eastAsia="en-US"/>
              </w:rPr>
            </w:pPr>
          </w:p>
        </w:tc>
        <w:tc>
          <w:tcPr>
            <w:tcW w:w="708" w:type="dxa"/>
            <w:vMerge w:val="continue"/>
            <w:vAlign w:val="center"/>
          </w:tcPr>
          <w:p w14:paraId="0CA71216">
            <w:pPr>
              <w:pStyle w:val="90"/>
            </w:pPr>
          </w:p>
        </w:tc>
        <w:tc>
          <w:tcPr>
            <w:tcW w:w="993" w:type="dxa"/>
            <w:vMerge w:val="continue"/>
            <w:noWrap/>
            <w:vAlign w:val="center"/>
          </w:tcPr>
          <w:p w14:paraId="52D4A4A7">
            <w:pPr>
              <w:pStyle w:val="90"/>
              <w:rPr>
                <w:lang w:eastAsia="en-US"/>
              </w:rPr>
            </w:pPr>
          </w:p>
        </w:tc>
        <w:tc>
          <w:tcPr>
            <w:tcW w:w="708" w:type="dxa"/>
            <w:vMerge w:val="continue"/>
            <w:noWrap/>
            <w:vAlign w:val="center"/>
          </w:tcPr>
          <w:p w14:paraId="0CFF761A">
            <w:pPr>
              <w:pStyle w:val="90"/>
              <w:rPr>
                <w:lang w:eastAsia="en-US"/>
              </w:rPr>
            </w:pPr>
          </w:p>
        </w:tc>
        <w:tc>
          <w:tcPr>
            <w:tcW w:w="851" w:type="dxa"/>
            <w:vMerge w:val="continue"/>
            <w:noWrap/>
            <w:vAlign w:val="center"/>
          </w:tcPr>
          <w:p w14:paraId="12A3EF03">
            <w:pPr>
              <w:pStyle w:val="90"/>
              <w:rPr>
                <w:lang w:eastAsia="en-US"/>
              </w:rPr>
            </w:pPr>
          </w:p>
        </w:tc>
        <w:tc>
          <w:tcPr>
            <w:tcW w:w="709" w:type="dxa"/>
            <w:vMerge w:val="continue"/>
            <w:noWrap/>
            <w:vAlign w:val="center"/>
          </w:tcPr>
          <w:p w14:paraId="67525968">
            <w:pPr>
              <w:pStyle w:val="90"/>
              <w:rPr>
                <w:lang w:eastAsia="en-US"/>
              </w:rPr>
            </w:pPr>
          </w:p>
        </w:tc>
        <w:tc>
          <w:tcPr>
            <w:tcW w:w="708" w:type="dxa"/>
            <w:noWrap/>
            <w:vAlign w:val="center"/>
          </w:tcPr>
          <w:p w14:paraId="1B0EF553">
            <w:pPr>
              <w:pStyle w:val="90"/>
            </w:pPr>
            <w:r>
              <w:rPr>
                <w:rFonts w:hint="eastAsia"/>
              </w:rPr>
              <w:t>全时段</w:t>
            </w:r>
          </w:p>
        </w:tc>
        <w:tc>
          <w:tcPr>
            <w:tcW w:w="851" w:type="dxa"/>
            <w:noWrap/>
            <w:vAlign w:val="center"/>
          </w:tcPr>
          <w:p w14:paraId="621916A9">
            <w:pPr>
              <w:pStyle w:val="90"/>
            </w:pPr>
            <w:r>
              <w:t>0.0010</w:t>
            </w:r>
          </w:p>
        </w:tc>
        <w:tc>
          <w:tcPr>
            <w:tcW w:w="850" w:type="dxa"/>
            <w:noWrap/>
            <w:vAlign w:val="center"/>
          </w:tcPr>
          <w:p w14:paraId="11B0A085">
            <w:pPr>
              <w:pStyle w:val="90"/>
            </w:pPr>
            <w:r>
              <w:rPr>
                <w:rFonts w:hint="eastAsia"/>
              </w:rPr>
              <w:t>平均值</w:t>
            </w:r>
          </w:p>
        </w:tc>
        <w:tc>
          <w:tcPr>
            <w:tcW w:w="851" w:type="dxa"/>
            <w:noWrap/>
            <w:vAlign w:val="center"/>
          </w:tcPr>
          <w:p w14:paraId="63286C54">
            <w:pPr>
              <w:pStyle w:val="90"/>
              <w:rPr>
                <w:szCs w:val="21"/>
              </w:rPr>
            </w:pPr>
            <w:r>
              <w:rPr>
                <w:rFonts w:hint="eastAsia"/>
                <w:szCs w:val="21"/>
              </w:rPr>
              <w:t>7</w:t>
            </w:r>
            <w:r>
              <w:rPr>
                <w:szCs w:val="21"/>
              </w:rPr>
              <w:t>0</w:t>
            </w:r>
          </w:p>
        </w:tc>
        <w:tc>
          <w:tcPr>
            <w:tcW w:w="567" w:type="dxa"/>
            <w:noWrap/>
            <w:vAlign w:val="center"/>
          </w:tcPr>
          <w:p w14:paraId="3A296D45">
            <w:pPr>
              <w:pStyle w:val="90"/>
              <w:rPr>
                <w:szCs w:val="21"/>
              </w:rPr>
            </w:pPr>
            <w:r>
              <w:rPr>
                <w:rFonts w:hint="eastAsia"/>
                <w:szCs w:val="21"/>
              </w:rPr>
              <w:t>0</w:t>
            </w:r>
          </w:p>
        </w:tc>
        <w:tc>
          <w:tcPr>
            <w:tcW w:w="508" w:type="dxa"/>
            <w:noWrap/>
            <w:vAlign w:val="center"/>
          </w:tcPr>
          <w:p w14:paraId="04FA0B40">
            <w:pPr>
              <w:pStyle w:val="90"/>
              <w:rPr>
                <w:szCs w:val="21"/>
              </w:rPr>
            </w:pPr>
            <w:r>
              <w:rPr>
                <w:szCs w:val="21"/>
              </w:rPr>
              <w:t>达标</w:t>
            </w:r>
          </w:p>
        </w:tc>
      </w:tr>
      <w:tr w14:paraId="7683A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426" w:type="dxa"/>
            <w:vMerge w:val="restart"/>
            <w:noWrap/>
            <w:vAlign w:val="center"/>
          </w:tcPr>
          <w:p w14:paraId="33B07C95">
            <w:pPr>
              <w:pStyle w:val="90"/>
            </w:pPr>
            <w:r>
              <w:rPr>
                <w:rFonts w:hint="eastAsia"/>
              </w:rPr>
              <w:t>2</w:t>
            </w:r>
          </w:p>
        </w:tc>
        <w:tc>
          <w:tcPr>
            <w:tcW w:w="708" w:type="dxa"/>
            <w:vMerge w:val="restart"/>
            <w:vAlign w:val="center"/>
          </w:tcPr>
          <w:p w14:paraId="569904AD">
            <w:pPr>
              <w:pStyle w:val="90"/>
              <w:rPr>
                <w:lang w:eastAsia="en-US"/>
              </w:rPr>
            </w:pPr>
            <w:r>
              <w:rPr>
                <w:lang w:eastAsia="en-US"/>
              </w:rPr>
              <w:t>网格</w:t>
            </w:r>
          </w:p>
        </w:tc>
        <w:tc>
          <w:tcPr>
            <w:tcW w:w="993" w:type="dxa"/>
            <w:vMerge w:val="restart"/>
            <w:noWrap/>
            <w:vAlign w:val="center"/>
          </w:tcPr>
          <w:p w14:paraId="49704C82">
            <w:pPr>
              <w:pStyle w:val="90"/>
            </w:pPr>
            <w:r>
              <w:t>-357，-12</w:t>
            </w:r>
          </w:p>
        </w:tc>
        <w:tc>
          <w:tcPr>
            <w:tcW w:w="708" w:type="dxa"/>
            <w:vMerge w:val="restart"/>
            <w:noWrap/>
            <w:vAlign w:val="center"/>
          </w:tcPr>
          <w:p w14:paraId="60B4E3B4">
            <w:pPr>
              <w:pStyle w:val="90"/>
            </w:pPr>
            <w:r>
              <w:rPr>
                <w:rFonts w:hint="eastAsia"/>
              </w:rPr>
              <w:t>3</w:t>
            </w:r>
            <w:r>
              <w:t>14.40</w:t>
            </w:r>
          </w:p>
        </w:tc>
        <w:tc>
          <w:tcPr>
            <w:tcW w:w="851" w:type="dxa"/>
            <w:vMerge w:val="restart"/>
            <w:noWrap/>
            <w:vAlign w:val="center"/>
          </w:tcPr>
          <w:p w14:paraId="49A7BE82">
            <w:pPr>
              <w:pStyle w:val="90"/>
            </w:pPr>
            <w:r>
              <w:rPr>
                <w:rFonts w:hint="eastAsia"/>
              </w:rPr>
              <w:t>3</w:t>
            </w:r>
            <w:r>
              <w:t>14.40</w:t>
            </w:r>
          </w:p>
        </w:tc>
        <w:tc>
          <w:tcPr>
            <w:tcW w:w="709" w:type="dxa"/>
            <w:vMerge w:val="restart"/>
            <w:noWrap/>
            <w:vAlign w:val="center"/>
          </w:tcPr>
          <w:p w14:paraId="184A9E96">
            <w:pPr>
              <w:pStyle w:val="90"/>
            </w:pPr>
            <w:r>
              <w:t>1.5</w:t>
            </w:r>
          </w:p>
        </w:tc>
        <w:tc>
          <w:tcPr>
            <w:tcW w:w="708" w:type="dxa"/>
            <w:noWrap/>
            <w:vAlign w:val="center"/>
          </w:tcPr>
          <w:p w14:paraId="6D91F458">
            <w:pPr>
              <w:pStyle w:val="90"/>
              <w:rPr>
                <w:lang w:eastAsia="en-US"/>
              </w:rPr>
            </w:pPr>
            <w:r>
              <w:rPr>
                <w:rFonts w:hint="eastAsia"/>
              </w:rPr>
              <w:t>日均值</w:t>
            </w:r>
          </w:p>
        </w:tc>
        <w:tc>
          <w:tcPr>
            <w:tcW w:w="851" w:type="dxa"/>
            <w:noWrap/>
            <w:vAlign w:val="center"/>
          </w:tcPr>
          <w:p w14:paraId="4E17890C">
            <w:pPr>
              <w:pStyle w:val="90"/>
            </w:pPr>
            <w:r>
              <w:t>0.1832</w:t>
            </w:r>
          </w:p>
        </w:tc>
        <w:tc>
          <w:tcPr>
            <w:tcW w:w="850" w:type="dxa"/>
            <w:noWrap/>
            <w:vAlign w:val="center"/>
          </w:tcPr>
          <w:p w14:paraId="659FC922">
            <w:pPr>
              <w:pStyle w:val="90"/>
            </w:pPr>
            <w:r>
              <w:t>221124</w:t>
            </w:r>
          </w:p>
        </w:tc>
        <w:tc>
          <w:tcPr>
            <w:tcW w:w="851" w:type="dxa"/>
            <w:noWrap/>
            <w:vAlign w:val="center"/>
          </w:tcPr>
          <w:p w14:paraId="7A266489">
            <w:pPr>
              <w:pStyle w:val="90"/>
              <w:rPr>
                <w:szCs w:val="21"/>
              </w:rPr>
            </w:pPr>
            <w:r>
              <w:rPr>
                <w:rFonts w:hint="eastAsia"/>
                <w:szCs w:val="21"/>
              </w:rPr>
              <w:t>1</w:t>
            </w:r>
            <w:r>
              <w:rPr>
                <w:szCs w:val="21"/>
              </w:rPr>
              <w:t>50</w:t>
            </w:r>
          </w:p>
        </w:tc>
        <w:tc>
          <w:tcPr>
            <w:tcW w:w="567" w:type="dxa"/>
            <w:noWrap/>
            <w:vAlign w:val="center"/>
          </w:tcPr>
          <w:p w14:paraId="3361B1AC">
            <w:pPr>
              <w:pStyle w:val="90"/>
              <w:rPr>
                <w:szCs w:val="21"/>
              </w:rPr>
            </w:pPr>
            <w:r>
              <w:rPr>
                <w:rFonts w:hint="eastAsia"/>
                <w:szCs w:val="21"/>
              </w:rPr>
              <w:t>0</w:t>
            </w:r>
            <w:r>
              <w:rPr>
                <w:szCs w:val="21"/>
              </w:rPr>
              <w:t>.12</w:t>
            </w:r>
          </w:p>
        </w:tc>
        <w:tc>
          <w:tcPr>
            <w:tcW w:w="508" w:type="dxa"/>
            <w:noWrap/>
            <w:vAlign w:val="center"/>
          </w:tcPr>
          <w:p w14:paraId="45795469">
            <w:pPr>
              <w:pStyle w:val="90"/>
              <w:rPr>
                <w:szCs w:val="21"/>
              </w:rPr>
            </w:pPr>
            <w:r>
              <w:rPr>
                <w:szCs w:val="21"/>
              </w:rPr>
              <w:t>达标</w:t>
            </w:r>
          </w:p>
        </w:tc>
      </w:tr>
      <w:tr w14:paraId="0B6BD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426" w:type="dxa"/>
            <w:vMerge w:val="continue"/>
            <w:noWrap/>
            <w:vAlign w:val="center"/>
          </w:tcPr>
          <w:p w14:paraId="612CB70A">
            <w:pPr>
              <w:pStyle w:val="90"/>
              <w:rPr>
                <w:lang w:eastAsia="en-US"/>
              </w:rPr>
            </w:pPr>
          </w:p>
        </w:tc>
        <w:tc>
          <w:tcPr>
            <w:tcW w:w="708" w:type="dxa"/>
            <w:vMerge w:val="continue"/>
            <w:vAlign w:val="center"/>
          </w:tcPr>
          <w:p w14:paraId="1764433D">
            <w:pPr>
              <w:pStyle w:val="90"/>
              <w:rPr>
                <w:lang w:eastAsia="en-US"/>
              </w:rPr>
            </w:pPr>
          </w:p>
        </w:tc>
        <w:tc>
          <w:tcPr>
            <w:tcW w:w="993" w:type="dxa"/>
            <w:vMerge w:val="continue"/>
            <w:noWrap/>
            <w:vAlign w:val="center"/>
          </w:tcPr>
          <w:p w14:paraId="6DAF00D3">
            <w:pPr>
              <w:pStyle w:val="90"/>
            </w:pPr>
          </w:p>
        </w:tc>
        <w:tc>
          <w:tcPr>
            <w:tcW w:w="708" w:type="dxa"/>
            <w:vMerge w:val="continue"/>
            <w:noWrap/>
            <w:vAlign w:val="center"/>
          </w:tcPr>
          <w:p w14:paraId="4B3AA034">
            <w:pPr>
              <w:pStyle w:val="90"/>
            </w:pPr>
          </w:p>
        </w:tc>
        <w:tc>
          <w:tcPr>
            <w:tcW w:w="851" w:type="dxa"/>
            <w:vMerge w:val="continue"/>
            <w:noWrap/>
            <w:vAlign w:val="center"/>
          </w:tcPr>
          <w:p w14:paraId="7A04B404">
            <w:pPr>
              <w:pStyle w:val="90"/>
            </w:pPr>
          </w:p>
        </w:tc>
        <w:tc>
          <w:tcPr>
            <w:tcW w:w="709" w:type="dxa"/>
            <w:vMerge w:val="continue"/>
            <w:noWrap/>
            <w:vAlign w:val="center"/>
          </w:tcPr>
          <w:p w14:paraId="384FE528">
            <w:pPr>
              <w:pStyle w:val="90"/>
            </w:pPr>
          </w:p>
        </w:tc>
        <w:tc>
          <w:tcPr>
            <w:tcW w:w="708" w:type="dxa"/>
            <w:noWrap/>
            <w:vAlign w:val="center"/>
          </w:tcPr>
          <w:p w14:paraId="1BADD096">
            <w:pPr>
              <w:pStyle w:val="90"/>
            </w:pPr>
            <w:r>
              <w:rPr>
                <w:rFonts w:hint="eastAsia"/>
              </w:rPr>
              <w:t>全时段</w:t>
            </w:r>
          </w:p>
        </w:tc>
        <w:tc>
          <w:tcPr>
            <w:tcW w:w="851" w:type="dxa"/>
            <w:noWrap/>
            <w:vAlign w:val="center"/>
          </w:tcPr>
          <w:p w14:paraId="73AB6E73">
            <w:pPr>
              <w:pStyle w:val="90"/>
            </w:pPr>
            <w:r>
              <w:t>0.0273</w:t>
            </w:r>
          </w:p>
        </w:tc>
        <w:tc>
          <w:tcPr>
            <w:tcW w:w="850" w:type="dxa"/>
            <w:noWrap/>
            <w:vAlign w:val="center"/>
          </w:tcPr>
          <w:p w14:paraId="552E0398">
            <w:pPr>
              <w:pStyle w:val="90"/>
            </w:pPr>
            <w:r>
              <w:rPr>
                <w:rFonts w:hint="eastAsia"/>
              </w:rPr>
              <w:t>平均值</w:t>
            </w:r>
          </w:p>
        </w:tc>
        <w:tc>
          <w:tcPr>
            <w:tcW w:w="851" w:type="dxa"/>
            <w:noWrap/>
            <w:vAlign w:val="center"/>
          </w:tcPr>
          <w:p w14:paraId="4E03C7DF">
            <w:pPr>
              <w:pStyle w:val="90"/>
              <w:rPr>
                <w:szCs w:val="21"/>
              </w:rPr>
            </w:pPr>
            <w:r>
              <w:rPr>
                <w:rFonts w:hint="eastAsia"/>
                <w:szCs w:val="21"/>
              </w:rPr>
              <w:t>7</w:t>
            </w:r>
            <w:r>
              <w:rPr>
                <w:szCs w:val="21"/>
              </w:rPr>
              <w:t>0</w:t>
            </w:r>
          </w:p>
        </w:tc>
        <w:tc>
          <w:tcPr>
            <w:tcW w:w="567" w:type="dxa"/>
            <w:noWrap/>
            <w:vAlign w:val="center"/>
          </w:tcPr>
          <w:p w14:paraId="4357A267">
            <w:pPr>
              <w:pStyle w:val="90"/>
              <w:rPr>
                <w:szCs w:val="21"/>
              </w:rPr>
            </w:pPr>
            <w:r>
              <w:rPr>
                <w:rFonts w:hint="eastAsia"/>
                <w:szCs w:val="21"/>
              </w:rPr>
              <w:t>0</w:t>
            </w:r>
            <w:r>
              <w:rPr>
                <w:szCs w:val="21"/>
              </w:rPr>
              <w:t>.04</w:t>
            </w:r>
          </w:p>
        </w:tc>
        <w:tc>
          <w:tcPr>
            <w:tcW w:w="508" w:type="dxa"/>
            <w:noWrap/>
            <w:vAlign w:val="center"/>
          </w:tcPr>
          <w:p w14:paraId="4A07C7F8">
            <w:pPr>
              <w:pStyle w:val="90"/>
              <w:rPr>
                <w:szCs w:val="21"/>
              </w:rPr>
            </w:pPr>
            <w:r>
              <w:rPr>
                <w:szCs w:val="21"/>
              </w:rPr>
              <w:t>达标</w:t>
            </w:r>
          </w:p>
        </w:tc>
      </w:tr>
    </w:tbl>
    <w:p w14:paraId="3078C739">
      <w:pPr>
        <w:spacing w:line="240" w:lineRule="auto"/>
        <w:ind w:firstLine="0" w:firstLineChars="0"/>
        <w:jc w:val="center"/>
        <w:rPr>
          <w:lang w:bidi="en-US"/>
        </w:rPr>
      </w:pPr>
    </w:p>
    <w:p w14:paraId="73B3E4F7">
      <w:pPr>
        <w:pStyle w:val="47"/>
        <w:spacing w:before="65"/>
        <w:rPr>
          <w:lang w:bidi="en-US"/>
        </w:rPr>
      </w:pPr>
      <w:r>
        <w:rPr>
          <w:rFonts w:hint="eastAsia"/>
        </w:rPr>
        <w:t>表5</w:t>
      </w:r>
      <w:r>
        <w:t xml:space="preserve">.1-15   </w:t>
      </w:r>
      <w:r>
        <w:rPr>
          <w:rFonts w:hint="eastAsia"/>
        </w:rPr>
        <w:t>氨</w:t>
      </w:r>
      <w:r>
        <w:rPr>
          <w:rFonts w:hint="eastAsia"/>
          <w:lang w:bidi="en-US"/>
        </w:rPr>
        <w:t>最大落地浓度及其发生的时间统计一览表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708"/>
        <w:gridCol w:w="993"/>
        <w:gridCol w:w="708"/>
        <w:gridCol w:w="851"/>
        <w:gridCol w:w="709"/>
        <w:gridCol w:w="708"/>
        <w:gridCol w:w="851"/>
        <w:gridCol w:w="850"/>
        <w:gridCol w:w="851"/>
        <w:gridCol w:w="567"/>
        <w:gridCol w:w="508"/>
      </w:tblGrid>
      <w:tr w14:paraId="2FF51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64A223BC">
            <w:pPr>
              <w:pStyle w:val="85"/>
              <w:rPr>
                <w:rFonts w:ascii="Times New Roman" w:hAnsi="Times New Roman" w:eastAsia="宋体"/>
                <w:lang w:val="en-US" w:eastAsia="en-US"/>
              </w:rPr>
            </w:pPr>
            <w:r>
              <w:rPr>
                <w:rFonts w:ascii="Times New Roman" w:hAnsi="Times New Roman" w:eastAsia="宋体"/>
                <w:lang w:val="en-US" w:eastAsia="en-US"/>
              </w:rPr>
              <w:t>序号</w:t>
            </w:r>
          </w:p>
        </w:tc>
        <w:tc>
          <w:tcPr>
            <w:tcW w:w="708" w:type="dxa"/>
            <w:vAlign w:val="center"/>
          </w:tcPr>
          <w:p w14:paraId="01FD6AB4">
            <w:pPr>
              <w:pStyle w:val="85"/>
              <w:rPr>
                <w:rFonts w:ascii="Times New Roman" w:hAnsi="Times New Roman" w:eastAsia="宋体"/>
                <w:lang w:val="en-US" w:eastAsia="en-US"/>
              </w:rPr>
            </w:pPr>
            <w:r>
              <w:rPr>
                <w:rFonts w:ascii="Times New Roman" w:hAnsi="Times New Roman" w:eastAsia="宋体"/>
                <w:lang w:val="en-US" w:eastAsia="en-US"/>
              </w:rPr>
              <w:t>点名称</w:t>
            </w:r>
          </w:p>
        </w:tc>
        <w:tc>
          <w:tcPr>
            <w:tcW w:w="993" w:type="dxa"/>
            <w:noWrap/>
            <w:vAlign w:val="center"/>
          </w:tcPr>
          <w:p w14:paraId="11F954E4">
            <w:pPr>
              <w:pStyle w:val="85"/>
              <w:rPr>
                <w:rFonts w:ascii="Times New Roman" w:hAnsi="Times New Roman" w:eastAsia="宋体"/>
                <w:lang w:val="en-US" w:eastAsia="en-US"/>
              </w:rPr>
            </w:pPr>
            <w:r>
              <w:rPr>
                <w:rFonts w:ascii="Times New Roman" w:hAnsi="Times New Roman" w:eastAsia="宋体"/>
                <w:lang w:val="en-US" w:eastAsia="en-US"/>
              </w:rPr>
              <w:t>点坐标（x，y）</w:t>
            </w:r>
          </w:p>
        </w:tc>
        <w:tc>
          <w:tcPr>
            <w:tcW w:w="708" w:type="dxa"/>
            <w:noWrap/>
            <w:vAlign w:val="center"/>
          </w:tcPr>
          <w:p w14:paraId="5B505CE8">
            <w:pPr>
              <w:pStyle w:val="85"/>
              <w:rPr>
                <w:rFonts w:ascii="Times New Roman" w:hAnsi="Times New Roman" w:eastAsia="宋体"/>
                <w:lang w:val="en-US" w:eastAsia="en-US"/>
              </w:rPr>
            </w:pPr>
            <w:r>
              <w:rPr>
                <w:rFonts w:ascii="Times New Roman" w:hAnsi="Times New Roman" w:eastAsia="宋体"/>
                <w:lang w:val="en-US" w:eastAsia="en-US"/>
              </w:rPr>
              <w:t>地面高程（m）</w:t>
            </w:r>
          </w:p>
        </w:tc>
        <w:tc>
          <w:tcPr>
            <w:tcW w:w="851" w:type="dxa"/>
            <w:noWrap/>
            <w:vAlign w:val="center"/>
          </w:tcPr>
          <w:p w14:paraId="7B71A546">
            <w:pPr>
              <w:pStyle w:val="85"/>
              <w:rPr>
                <w:rFonts w:ascii="Times New Roman" w:hAnsi="Times New Roman" w:eastAsia="宋体"/>
                <w:lang w:val="en-US" w:eastAsia="en-US"/>
              </w:rPr>
            </w:pPr>
            <w:r>
              <w:rPr>
                <w:rFonts w:ascii="Times New Roman" w:hAnsi="Times New Roman" w:eastAsia="宋体"/>
                <w:lang w:val="en-US" w:eastAsia="en-US"/>
              </w:rPr>
              <w:t>山体高度尺度（m）</w:t>
            </w:r>
          </w:p>
        </w:tc>
        <w:tc>
          <w:tcPr>
            <w:tcW w:w="709" w:type="dxa"/>
            <w:noWrap/>
            <w:vAlign w:val="center"/>
          </w:tcPr>
          <w:p w14:paraId="678C3F28">
            <w:pPr>
              <w:pStyle w:val="85"/>
              <w:rPr>
                <w:rFonts w:ascii="Times New Roman" w:hAnsi="Times New Roman" w:eastAsia="宋体"/>
                <w:lang w:val="en-US" w:eastAsia="en-US"/>
              </w:rPr>
            </w:pPr>
            <w:r>
              <w:rPr>
                <w:rFonts w:ascii="Times New Roman" w:hAnsi="Times New Roman" w:eastAsia="宋体"/>
                <w:lang w:val="en-US" w:eastAsia="en-US"/>
              </w:rPr>
              <w:t>离地高度（m）</w:t>
            </w:r>
          </w:p>
        </w:tc>
        <w:tc>
          <w:tcPr>
            <w:tcW w:w="708" w:type="dxa"/>
            <w:noWrap/>
            <w:vAlign w:val="center"/>
          </w:tcPr>
          <w:p w14:paraId="3DBF2CC9">
            <w:pPr>
              <w:pStyle w:val="85"/>
              <w:rPr>
                <w:rFonts w:ascii="Times New Roman" w:hAnsi="Times New Roman" w:eastAsia="宋体"/>
                <w:lang w:val="en-US" w:eastAsia="en-US"/>
              </w:rPr>
            </w:pPr>
            <w:r>
              <w:rPr>
                <w:rFonts w:ascii="Times New Roman" w:hAnsi="Times New Roman" w:eastAsia="宋体"/>
                <w:lang w:val="en-US" w:eastAsia="en-US"/>
              </w:rPr>
              <w:t>浓度类型</w:t>
            </w:r>
          </w:p>
        </w:tc>
        <w:tc>
          <w:tcPr>
            <w:tcW w:w="851" w:type="dxa"/>
            <w:noWrap/>
            <w:vAlign w:val="center"/>
          </w:tcPr>
          <w:p w14:paraId="150E468E">
            <w:pPr>
              <w:pStyle w:val="85"/>
              <w:rPr>
                <w:rFonts w:ascii="Times New Roman" w:hAnsi="Times New Roman" w:eastAsia="宋体"/>
                <w:lang w:val="en-US" w:eastAsia="en-US"/>
              </w:rPr>
            </w:pPr>
            <w:r>
              <w:rPr>
                <w:rFonts w:ascii="Times New Roman" w:hAnsi="Times New Roman" w:eastAsia="宋体"/>
                <w:lang w:val="en-US" w:eastAsia="en-US"/>
              </w:rPr>
              <w:t>浓度增量</w:t>
            </w:r>
          </w:p>
          <w:p w14:paraId="564B8F07">
            <w:pPr>
              <w:pStyle w:val="85"/>
              <w:rPr>
                <w:rFonts w:ascii="Times New Roman" w:hAnsi="Times New Roman" w:eastAsia="宋体"/>
                <w:lang w:val="en-US" w:eastAsia="en-US"/>
              </w:rPr>
            </w:pPr>
            <w:r>
              <w:rPr>
                <w:rFonts w:ascii="Times New Roman" w:hAnsi="Times New Roman" w:eastAsia="宋体"/>
                <w:lang w:val="en-US" w:eastAsia="en-US"/>
              </w:rPr>
              <w:t>（</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50" w:type="dxa"/>
            <w:noWrap/>
            <w:vAlign w:val="center"/>
          </w:tcPr>
          <w:p w14:paraId="1CFC9476">
            <w:pPr>
              <w:pStyle w:val="85"/>
              <w:rPr>
                <w:rFonts w:ascii="Times New Roman" w:hAnsi="Times New Roman" w:eastAsia="宋体"/>
                <w:lang w:val="en-US"/>
              </w:rPr>
            </w:pPr>
            <w:r>
              <w:rPr>
                <w:rFonts w:ascii="Times New Roman" w:hAnsi="Times New Roman" w:eastAsia="宋体"/>
                <w:lang w:val="en-US"/>
              </w:rPr>
              <w:t>出现时间</w:t>
            </w:r>
          </w:p>
          <w:p w14:paraId="1950E50F">
            <w:pPr>
              <w:pStyle w:val="85"/>
              <w:rPr>
                <w:rFonts w:ascii="Times New Roman" w:hAnsi="Times New Roman" w:eastAsia="宋体"/>
                <w:lang w:val="en-US"/>
              </w:rPr>
            </w:pPr>
            <w:r>
              <w:rPr>
                <w:rFonts w:ascii="Times New Roman" w:hAnsi="Times New Roman" w:eastAsia="宋体"/>
                <w:lang w:val="en-US"/>
              </w:rPr>
              <w:t>（YYMMDDHH）</w:t>
            </w:r>
          </w:p>
        </w:tc>
        <w:tc>
          <w:tcPr>
            <w:tcW w:w="851" w:type="dxa"/>
            <w:noWrap/>
            <w:vAlign w:val="center"/>
          </w:tcPr>
          <w:p w14:paraId="44C4E0CE">
            <w:pPr>
              <w:pStyle w:val="85"/>
              <w:rPr>
                <w:rFonts w:ascii="Times New Roman" w:hAnsi="Times New Roman" w:eastAsia="宋体"/>
                <w:lang w:val="en-US" w:eastAsia="en-US"/>
              </w:rPr>
            </w:pPr>
            <w:r>
              <w:rPr>
                <w:rFonts w:ascii="Times New Roman" w:hAnsi="Times New Roman" w:eastAsia="宋体"/>
                <w:lang w:val="en-US" w:eastAsia="en-US"/>
              </w:rPr>
              <w:t>评价标准（</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567" w:type="dxa"/>
            <w:noWrap/>
            <w:vAlign w:val="center"/>
          </w:tcPr>
          <w:p w14:paraId="07232D92">
            <w:pPr>
              <w:pStyle w:val="85"/>
              <w:rPr>
                <w:rFonts w:ascii="Times New Roman" w:hAnsi="Times New Roman" w:eastAsia="宋体"/>
                <w:lang w:val="en-US" w:eastAsia="en-US"/>
              </w:rPr>
            </w:pPr>
            <w:r>
              <w:rPr>
                <w:rFonts w:ascii="Times New Roman" w:hAnsi="Times New Roman" w:eastAsia="宋体"/>
                <w:lang w:val="en-US" w:eastAsia="en-US"/>
              </w:rPr>
              <w:t>占标率%</w:t>
            </w:r>
          </w:p>
        </w:tc>
        <w:tc>
          <w:tcPr>
            <w:tcW w:w="508" w:type="dxa"/>
            <w:noWrap/>
            <w:vAlign w:val="center"/>
          </w:tcPr>
          <w:p w14:paraId="704B02D8">
            <w:pPr>
              <w:pStyle w:val="85"/>
              <w:rPr>
                <w:rFonts w:ascii="Times New Roman" w:hAnsi="Times New Roman" w:eastAsia="宋体"/>
                <w:lang w:val="en-US" w:eastAsia="en-US"/>
              </w:rPr>
            </w:pPr>
            <w:r>
              <w:rPr>
                <w:rFonts w:ascii="Times New Roman" w:hAnsi="Times New Roman" w:eastAsia="宋体"/>
                <w:lang w:val="en-US" w:eastAsia="en-US"/>
              </w:rPr>
              <w:t>是否</w:t>
            </w:r>
          </w:p>
          <w:p w14:paraId="6355C634">
            <w:pPr>
              <w:pStyle w:val="85"/>
              <w:rPr>
                <w:rFonts w:ascii="Times New Roman" w:hAnsi="Times New Roman" w:eastAsia="宋体"/>
                <w:lang w:val="en-US" w:eastAsia="en-US"/>
              </w:rPr>
            </w:pPr>
            <w:r>
              <w:rPr>
                <w:rFonts w:ascii="Times New Roman" w:hAnsi="Times New Roman" w:eastAsia="宋体"/>
                <w:lang w:val="en-US" w:eastAsia="en-US"/>
              </w:rPr>
              <w:t>达标</w:t>
            </w:r>
          </w:p>
        </w:tc>
      </w:tr>
      <w:tr w14:paraId="790F9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5C53CCAB">
            <w:pPr>
              <w:pStyle w:val="85"/>
              <w:rPr>
                <w:rFonts w:ascii="Times New Roman" w:hAnsi="Times New Roman" w:eastAsia="宋体"/>
                <w:lang w:val="en-US"/>
              </w:rPr>
            </w:pPr>
            <w:r>
              <w:rPr>
                <w:rFonts w:hint="eastAsia" w:ascii="Times New Roman" w:hAnsi="Times New Roman" w:eastAsia="宋体"/>
                <w:lang w:val="en-US"/>
              </w:rPr>
              <w:t>1</w:t>
            </w:r>
          </w:p>
        </w:tc>
        <w:tc>
          <w:tcPr>
            <w:tcW w:w="708" w:type="dxa"/>
            <w:vAlign w:val="center"/>
          </w:tcPr>
          <w:p w14:paraId="6B1A2474">
            <w:pPr>
              <w:pStyle w:val="85"/>
              <w:rPr>
                <w:rFonts w:ascii="Times New Roman" w:hAnsi="Times New Roman" w:eastAsia="宋体"/>
                <w:lang w:val="en-US"/>
              </w:rPr>
            </w:pPr>
            <w:r>
              <w:rPr>
                <w:rFonts w:ascii="Times New Roman" w:hAnsi="Times New Roman" w:eastAsia="宋体"/>
                <w:lang w:val="en-US"/>
              </w:rPr>
              <w:t>130团22连</w:t>
            </w:r>
          </w:p>
        </w:tc>
        <w:tc>
          <w:tcPr>
            <w:tcW w:w="993" w:type="dxa"/>
            <w:noWrap/>
            <w:vAlign w:val="center"/>
          </w:tcPr>
          <w:p w14:paraId="089F1ABA">
            <w:pPr>
              <w:pStyle w:val="85"/>
              <w:rPr>
                <w:rFonts w:ascii="Times New Roman" w:hAnsi="Times New Roman" w:eastAsia="宋体"/>
                <w:lang w:val="en-US" w:eastAsia="en-US"/>
              </w:rPr>
            </w:pPr>
            <w:r>
              <w:rPr>
                <w:rFonts w:ascii="Times New Roman" w:hAnsi="Times New Roman" w:eastAsia="宋体"/>
                <w:lang w:val="en-US" w:eastAsia="en-US"/>
              </w:rPr>
              <w:t>-1998，-1133</w:t>
            </w:r>
          </w:p>
        </w:tc>
        <w:tc>
          <w:tcPr>
            <w:tcW w:w="708" w:type="dxa"/>
            <w:noWrap/>
            <w:vAlign w:val="center"/>
          </w:tcPr>
          <w:p w14:paraId="1280C141">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851" w:type="dxa"/>
            <w:noWrap/>
            <w:vAlign w:val="center"/>
          </w:tcPr>
          <w:p w14:paraId="22592358">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709" w:type="dxa"/>
            <w:noWrap/>
            <w:vAlign w:val="center"/>
          </w:tcPr>
          <w:p w14:paraId="1817A56E">
            <w:pPr>
              <w:pStyle w:val="85"/>
              <w:rPr>
                <w:rFonts w:ascii="Times New Roman" w:hAnsi="Times New Roman" w:eastAsia="宋体"/>
                <w:lang w:val="en-US" w:eastAsia="en-US"/>
              </w:rPr>
            </w:pPr>
            <w:r>
              <w:rPr>
                <w:rFonts w:ascii="Times New Roman" w:hAnsi="Times New Roman" w:eastAsia="宋体"/>
                <w:lang w:val="en-US" w:eastAsia="en-US"/>
              </w:rPr>
              <w:t>1.5</w:t>
            </w:r>
          </w:p>
        </w:tc>
        <w:tc>
          <w:tcPr>
            <w:tcW w:w="708" w:type="dxa"/>
            <w:noWrap/>
            <w:vAlign w:val="center"/>
          </w:tcPr>
          <w:p w14:paraId="3CBFBB63">
            <w:pPr>
              <w:pStyle w:val="85"/>
              <w:rPr>
                <w:rFonts w:ascii="Times New Roman" w:hAnsi="Times New Roman" w:eastAsia="宋体"/>
                <w:lang w:val="en-US"/>
              </w:rPr>
            </w:pPr>
            <w:r>
              <w:rPr>
                <w:rFonts w:hint="eastAsia" w:ascii="Times New Roman" w:hAnsi="Times New Roman" w:eastAsia="宋体"/>
                <w:lang w:val="en-US"/>
              </w:rPr>
              <w:t>1小时</w:t>
            </w:r>
          </w:p>
        </w:tc>
        <w:tc>
          <w:tcPr>
            <w:tcW w:w="851" w:type="dxa"/>
            <w:noWrap/>
            <w:vAlign w:val="center"/>
          </w:tcPr>
          <w:p w14:paraId="0C72EBD8">
            <w:pPr>
              <w:adjustRightInd w:val="0"/>
              <w:snapToGrid w:val="0"/>
              <w:spacing w:line="240" w:lineRule="auto"/>
              <w:ind w:firstLine="0" w:firstLineChars="0"/>
              <w:jc w:val="center"/>
              <w:textAlignment w:val="center"/>
              <w:rPr>
                <w:sz w:val="21"/>
                <w:szCs w:val="21"/>
              </w:rPr>
            </w:pPr>
            <w:r>
              <w:rPr>
                <w:sz w:val="21"/>
                <w:szCs w:val="21"/>
              </w:rPr>
              <w:t>0.051</w:t>
            </w:r>
          </w:p>
        </w:tc>
        <w:tc>
          <w:tcPr>
            <w:tcW w:w="850" w:type="dxa"/>
            <w:noWrap/>
            <w:vAlign w:val="center"/>
          </w:tcPr>
          <w:p w14:paraId="5FA60500">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2011606</w:t>
            </w:r>
          </w:p>
        </w:tc>
        <w:tc>
          <w:tcPr>
            <w:tcW w:w="851" w:type="dxa"/>
            <w:noWrap/>
            <w:vAlign w:val="center"/>
          </w:tcPr>
          <w:p w14:paraId="37C51A61">
            <w:pPr>
              <w:adjustRightInd w:val="0"/>
              <w:snapToGrid w:val="0"/>
              <w:spacing w:line="240" w:lineRule="auto"/>
              <w:ind w:firstLine="0" w:firstLineChars="0"/>
              <w:jc w:val="center"/>
              <w:textAlignment w:val="center"/>
              <w:rPr>
                <w:sz w:val="21"/>
                <w:szCs w:val="21"/>
              </w:rPr>
            </w:pPr>
            <w:r>
              <w:rPr>
                <w:sz w:val="21"/>
                <w:szCs w:val="21"/>
              </w:rPr>
              <w:t>200</w:t>
            </w:r>
          </w:p>
        </w:tc>
        <w:tc>
          <w:tcPr>
            <w:tcW w:w="567" w:type="dxa"/>
            <w:noWrap/>
            <w:vAlign w:val="center"/>
          </w:tcPr>
          <w:p w14:paraId="75074E48">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.03</w:t>
            </w:r>
          </w:p>
        </w:tc>
        <w:tc>
          <w:tcPr>
            <w:tcW w:w="508" w:type="dxa"/>
            <w:noWrap/>
            <w:vAlign w:val="center"/>
          </w:tcPr>
          <w:p w14:paraId="1904B221">
            <w:pPr>
              <w:adjustRightInd w:val="0"/>
              <w:snapToGrid w:val="0"/>
              <w:spacing w:line="240" w:lineRule="auto"/>
              <w:ind w:firstLine="0" w:firstLineChars="0"/>
              <w:jc w:val="center"/>
              <w:textAlignment w:val="center"/>
              <w:rPr>
                <w:sz w:val="21"/>
                <w:szCs w:val="21"/>
              </w:rPr>
            </w:pPr>
            <w:r>
              <w:rPr>
                <w:sz w:val="21"/>
                <w:szCs w:val="21"/>
              </w:rPr>
              <w:t>达标</w:t>
            </w:r>
          </w:p>
        </w:tc>
      </w:tr>
      <w:tr w14:paraId="3A3D5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53ACF35E">
            <w:pPr>
              <w:pStyle w:val="85"/>
              <w:rPr>
                <w:rFonts w:ascii="Times New Roman" w:hAnsi="Times New Roman" w:eastAsia="宋体"/>
                <w:lang w:val="en-US"/>
              </w:rPr>
            </w:pPr>
            <w:r>
              <w:rPr>
                <w:rFonts w:hint="eastAsia" w:ascii="Times New Roman" w:hAnsi="Times New Roman" w:eastAsia="宋体"/>
                <w:lang w:val="en-US"/>
              </w:rPr>
              <w:t>2</w:t>
            </w:r>
          </w:p>
        </w:tc>
        <w:tc>
          <w:tcPr>
            <w:tcW w:w="708" w:type="dxa"/>
            <w:vAlign w:val="center"/>
          </w:tcPr>
          <w:p w14:paraId="3B9E41EB">
            <w:pPr>
              <w:pStyle w:val="85"/>
              <w:rPr>
                <w:rFonts w:ascii="Times New Roman" w:hAnsi="Times New Roman" w:eastAsia="宋体"/>
                <w:lang w:val="en-US" w:eastAsia="en-US"/>
              </w:rPr>
            </w:pPr>
            <w:r>
              <w:rPr>
                <w:rFonts w:ascii="Times New Roman" w:hAnsi="Times New Roman" w:eastAsia="宋体"/>
                <w:lang w:val="en-US" w:eastAsia="en-US"/>
              </w:rPr>
              <w:t>网格</w:t>
            </w:r>
          </w:p>
        </w:tc>
        <w:tc>
          <w:tcPr>
            <w:tcW w:w="993" w:type="dxa"/>
            <w:noWrap/>
            <w:vAlign w:val="center"/>
          </w:tcPr>
          <w:p w14:paraId="0E9AAF46">
            <w:pPr>
              <w:pStyle w:val="85"/>
              <w:rPr>
                <w:rFonts w:ascii="Times New Roman" w:hAnsi="Times New Roman" w:eastAsia="宋体"/>
                <w:lang w:val="en-US"/>
              </w:rPr>
            </w:pPr>
            <w:r>
              <w:rPr>
                <w:rFonts w:ascii="Times New Roman" w:hAnsi="Times New Roman" w:eastAsia="宋体"/>
                <w:lang w:val="en-US"/>
              </w:rPr>
              <w:t>-357，-12</w:t>
            </w:r>
          </w:p>
        </w:tc>
        <w:tc>
          <w:tcPr>
            <w:tcW w:w="708" w:type="dxa"/>
            <w:noWrap/>
            <w:vAlign w:val="center"/>
          </w:tcPr>
          <w:p w14:paraId="45CBA633">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851" w:type="dxa"/>
            <w:noWrap/>
            <w:vAlign w:val="center"/>
          </w:tcPr>
          <w:p w14:paraId="6F8D4364">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709" w:type="dxa"/>
            <w:noWrap/>
            <w:vAlign w:val="center"/>
          </w:tcPr>
          <w:p w14:paraId="4197FE47">
            <w:pPr>
              <w:pStyle w:val="85"/>
              <w:rPr>
                <w:rFonts w:ascii="Times New Roman" w:hAnsi="Times New Roman" w:eastAsia="宋体"/>
                <w:lang w:val="en-US"/>
              </w:rPr>
            </w:pPr>
            <w:r>
              <w:rPr>
                <w:rFonts w:ascii="Times New Roman" w:hAnsi="Times New Roman" w:eastAsia="宋体"/>
                <w:lang w:val="en-US"/>
              </w:rPr>
              <w:t>1.5</w:t>
            </w:r>
          </w:p>
        </w:tc>
        <w:tc>
          <w:tcPr>
            <w:tcW w:w="708" w:type="dxa"/>
            <w:noWrap/>
            <w:vAlign w:val="center"/>
          </w:tcPr>
          <w:p w14:paraId="28E8A06E">
            <w:pPr>
              <w:pStyle w:val="85"/>
              <w:rPr>
                <w:rFonts w:ascii="Times New Roman" w:hAnsi="Times New Roman" w:eastAsia="宋体"/>
                <w:lang w:val="en-US" w:eastAsia="en-US"/>
              </w:rPr>
            </w:pPr>
            <w:r>
              <w:rPr>
                <w:rFonts w:hint="eastAsia" w:ascii="Times New Roman" w:hAnsi="Times New Roman" w:eastAsia="宋体"/>
                <w:lang w:val="en-US"/>
              </w:rPr>
              <w:t>1小时</w:t>
            </w:r>
          </w:p>
        </w:tc>
        <w:tc>
          <w:tcPr>
            <w:tcW w:w="851" w:type="dxa"/>
            <w:noWrap/>
            <w:vAlign w:val="center"/>
          </w:tcPr>
          <w:p w14:paraId="702B275E">
            <w:pPr>
              <w:adjustRightInd w:val="0"/>
              <w:snapToGrid w:val="0"/>
              <w:spacing w:line="240" w:lineRule="auto"/>
              <w:ind w:firstLine="0" w:firstLineChars="0"/>
              <w:jc w:val="center"/>
              <w:textAlignment w:val="center"/>
              <w:rPr>
                <w:sz w:val="21"/>
                <w:szCs w:val="21"/>
              </w:rPr>
            </w:pPr>
            <w:r>
              <w:rPr>
                <w:sz w:val="21"/>
                <w:szCs w:val="21"/>
              </w:rPr>
              <w:t>0.103</w:t>
            </w:r>
          </w:p>
        </w:tc>
        <w:tc>
          <w:tcPr>
            <w:tcW w:w="850" w:type="dxa"/>
            <w:noWrap/>
            <w:vAlign w:val="center"/>
          </w:tcPr>
          <w:p w14:paraId="1F398F6B">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2011606</w:t>
            </w:r>
          </w:p>
        </w:tc>
        <w:tc>
          <w:tcPr>
            <w:tcW w:w="851" w:type="dxa"/>
            <w:noWrap/>
            <w:vAlign w:val="center"/>
          </w:tcPr>
          <w:p w14:paraId="14ADBCE1">
            <w:pPr>
              <w:adjustRightInd w:val="0"/>
              <w:snapToGrid w:val="0"/>
              <w:spacing w:line="240" w:lineRule="auto"/>
              <w:ind w:firstLine="0" w:firstLineChars="0"/>
              <w:jc w:val="center"/>
              <w:textAlignment w:val="center"/>
              <w:rPr>
                <w:sz w:val="21"/>
                <w:szCs w:val="21"/>
              </w:rPr>
            </w:pPr>
            <w:r>
              <w:rPr>
                <w:sz w:val="21"/>
                <w:szCs w:val="21"/>
              </w:rPr>
              <w:t>200</w:t>
            </w:r>
          </w:p>
        </w:tc>
        <w:tc>
          <w:tcPr>
            <w:tcW w:w="567" w:type="dxa"/>
            <w:noWrap/>
            <w:vAlign w:val="center"/>
          </w:tcPr>
          <w:p w14:paraId="624DD629">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.05</w:t>
            </w:r>
          </w:p>
        </w:tc>
        <w:tc>
          <w:tcPr>
            <w:tcW w:w="508" w:type="dxa"/>
            <w:noWrap/>
            <w:vAlign w:val="center"/>
          </w:tcPr>
          <w:p w14:paraId="0AB24290">
            <w:pPr>
              <w:adjustRightInd w:val="0"/>
              <w:snapToGrid w:val="0"/>
              <w:spacing w:line="240" w:lineRule="auto"/>
              <w:ind w:firstLine="0" w:firstLineChars="0"/>
              <w:jc w:val="center"/>
              <w:textAlignment w:val="center"/>
              <w:rPr>
                <w:sz w:val="21"/>
                <w:szCs w:val="21"/>
              </w:rPr>
            </w:pPr>
            <w:r>
              <w:rPr>
                <w:sz w:val="21"/>
                <w:szCs w:val="21"/>
              </w:rPr>
              <w:t>达标</w:t>
            </w:r>
          </w:p>
        </w:tc>
      </w:tr>
    </w:tbl>
    <w:p w14:paraId="468AEF65">
      <w:pPr>
        <w:spacing w:line="240" w:lineRule="auto"/>
        <w:ind w:firstLine="0" w:firstLineChars="0"/>
        <w:jc w:val="center"/>
        <w:rPr>
          <w:lang w:bidi="en-US"/>
        </w:rPr>
      </w:pPr>
    </w:p>
    <w:p w14:paraId="50A71A38">
      <w:pPr>
        <w:pStyle w:val="47"/>
        <w:spacing w:before="65"/>
      </w:pPr>
      <w:r>
        <w:rPr>
          <w:rFonts w:hint="eastAsia"/>
        </w:rPr>
        <w:t>表5</w:t>
      </w:r>
      <w:r>
        <w:t xml:space="preserve">.1-16   </w:t>
      </w:r>
      <w:r>
        <w:rPr>
          <w:rFonts w:hint="eastAsia"/>
        </w:rPr>
        <w:t>硫化氢</w:t>
      </w:r>
      <w:r>
        <w:rPr>
          <w:rFonts w:hint="eastAsia"/>
          <w:lang w:bidi="en-US"/>
        </w:rPr>
        <w:t>最大落地浓度及其发生的时间统计一览表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708"/>
        <w:gridCol w:w="993"/>
        <w:gridCol w:w="708"/>
        <w:gridCol w:w="851"/>
        <w:gridCol w:w="709"/>
        <w:gridCol w:w="708"/>
        <w:gridCol w:w="851"/>
        <w:gridCol w:w="850"/>
        <w:gridCol w:w="851"/>
        <w:gridCol w:w="567"/>
        <w:gridCol w:w="508"/>
      </w:tblGrid>
      <w:tr w14:paraId="1A04F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09092DFF">
            <w:pPr>
              <w:pStyle w:val="85"/>
              <w:rPr>
                <w:rFonts w:ascii="Times New Roman" w:hAnsi="Times New Roman" w:eastAsia="宋体"/>
                <w:lang w:val="en-US" w:eastAsia="en-US"/>
              </w:rPr>
            </w:pPr>
            <w:r>
              <w:rPr>
                <w:rFonts w:ascii="Times New Roman" w:hAnsi="Times New Roman" w:eastAsia="宋体"/>
                <w:lang w:val="en-US" w:eastAsia="en-US"/>
              </w:rPr>
              <w:t>序号</w:t>
            </w:r>
          </w:p>
        </w:tc>
        <w:tc>
          <w:tcPr>
            <w:tcW w:w="708" w:type="dxa"/>
            <w:vAlign w:val="center"/>
          </w:tcPr>
          <w:p w14:paraId="5D276A50">
            <w:pPr>
              <w:pStyle w:val="85"/>
              <w:rPr>
                <w:rFonts w:ascii="Times New Roman" w:hAnsi="Times New Roman" w:eastAsia="宋体"/>
                <w:lang w:val="en-US" w:eastAsia="en-US"/>
              </w:rPr>
            </w:pPr>
            <w:r>
              <w:rPr>
                <w:rFonts w:ascii="Times New Roman" w:hAnsi="Times New Roman" w:eastAsia="宋体"/>
                <w:lang w:val="en-US" w:eastAsia="en-US"/>
              </w:rPr>
              <w:t>点名称</w:t>
            </w:r>
          </w:p>
        </w:tc>
        <w:tc>
          <w:tcPr>
            <w:tcW w:w="993" w:type="dxa"/>
            <w:noWrap/>
            <w:vAlign w:val="center"/>
          </w:tcPr>
          <w:p w14:paraId="1CF9D396">
            <w:pPr>
              <w:pStyle w:val="85"/>
              <w:rPr>
                <w:rFonts w:ascii="Times New Roman" w:hAnsi="Times New Roman" w:eastAsia="宋体"/>
                <w:lang w:val="en-US" w:eastAsia="en-US"/>
              </w:rPr>
            </w:pPr>
            <w:r>
              <w:rPr>
                <w:rFonts w:ascii="Times New Roman" w:hAnsi="Times New Roman" w:eastAsia="宋体"/>
                <w:lang w:val="en-US" w:eastAsia="en-US"/>
              </w:rPr>
              <w:t>点坐标（x，y）</w:t>
            </w:r>
          </w:p>
        </w:tc>
        <w:tc>
          <w:tcPr>
            <w:tcW w:w="708" w:type="dxa"/>
            <w:noWrap/>
            <w:vAlign w:val="center"/>
          </w:tcPr>
          <w:p w14:paraId="0A849798">
            <w:pPr>
              <w:pStyle w:val="85"/>
              <w:rPr>
                <w:rFonts w:ascii="Times New Roman" w:hAnsi="Times New Roman" w:eastAsia="宋体"/>
                <w:lang w:val="en-US" w:eastAsia="en-US"/>
              </w:rPr>
            </w:pPr>
            <w:r>
              <w:rPr>
                <w:rFonts w:ascii="Times New Roman" w:hAnsi="Times New Roman" w:eastAsia="宋体"/>
                <w:lang w:val="en-US" w:eastAsia="en-US"/>
              </w:rPr>
              <w:t>地面高程（m）</w:t>
            </w:r>
          </w:p>
        </w:tc>
        <w:tc>
          <w:tcPr>
            <w:tcW w:w="851" w:type="dxa"/>
            <w:noWrap/>
            <w:vAlign w:val="center"/>
          </w:tcPr>
          <w:p w14:paraId="4AEE4C7F">
            <w:pPr>
              <w:pStyle w:val="85"/>
              <w:rPr>
                <w:rFonts w:ascii="Times New Roman" w:hAnsi="Times New Roman" w:eastAsia="宋体"/>
                <w:lang w:val="en-US" w:eastAsia="en-US"/>
              </w:rPr>
            </w:pPr>
            <w:r>
              <w:rPr>
                <w:rFonts w:ascii="Times New Roman" w:hAnsi="Times New Roman" w:eastAsia="宋体"/>
                <w:lang w:val="en-US" w:eastAsia="en-US"/>
              </w:rPr>
              <w:t>山体高度尺度（m）</w:t>
            </w:r>
          </w:p>
        </w:tc>
        <w:tc>
          <w:tcPr>
            <w:tcW w:w="709" w:type="dxa"/>
            <w:noWrap/>
            <w:vAlign w:val="center"/>
          </w:tcPr>
          <w:p w14:paraId="25BAB3B7">
            <w:pPr>
              <w:pStyle w:val="85"/>
              <w:rPr>
                <w:rFonts w:ascii="Times New Roman" w:hAnsi="Times New Roman" w:eastAsia="宋体"/>
                <w:lang w:val="en-US" w:eastAsia="en-US"/>
              </w:rPr>
            </w:pPr>
            <w:r>
              <w:rPr>
                <w:rFonts w:ascii="Times New Roman" w:hAnsi="Times New Roman" w:eastAsia="宋体"/>
                <w:lang w:val="en-US" w:eastAsia="en-US"/>
              </w:rPr>
              <w:t>离地高度（m）</w:t>
            </w:r>
          </w:p>
        </w:tc>
        <w:tc>
          <w:tcPr>
            <w:tcW w:w="708" w:type="dxa"/>
            <w:noWrap/>
            <w:vAlign w:val="center"/>
          </w:tcPr>
          <w:p w14:paraId="7B2EB06D">
            <w:pPr>
              <w:pStyle w:val="85"/>
              <w:rPr>
                <w:rFonts w:ascii="Times New Roman" w:hAnsi="Times New Roman" w:eastAsia="宋体"/>
                <w:lang w:val="en-US" w:eastAsia="en-US"/>
              </w:rPr>
            </w:pPr>
            <w:r>
              <w:rPr>
                <w:rFonts w:ascii="Times New Roman" w:hAnsi="Times New Roman" w:eastAsia="宋体"/>
                <w:lang w:val="en-US" w:eastAsia="en-US"/>
              </w:rPr>
              <w:t>浓度类型</w:t>
            </w:r>
          </w:p>
        </w:tc>
        <w:tc>
          <w:tcPr>
            <w:tcW w:w="851" w:type="dxa"/>
            <w:noWrap/>
            <w:vAlign w:val="center"/>
          </w:tcPr>
          <w:p w14:paraId="2588096D">
            <w:pPr>
              <w:pStyle w:val="85"/>
              <w:rPr>
                <w:rFonts w:ascii="Times New Roman" w:hAnsi="Times New Roman" w:eastAsia="宋体"/>
                <w:lang w:val="en-US" w:eastAsia="en-US"/>
              </w:rPr>
            </w:pPr>
            <w:r>
              <w:rPr>
                <w:rFonts w:ascii="Times New Roman" w:hAnsi="Times New Roman" w:eastAsia="宋体"/>
                <w:lang w:val="en-US" w:eastAsia="en-US"/>
              </w:rPr>
              <w:t>浓度增量</w:t>
            </w:r>
          </w:p>
          <w:p w14:paraId="54DA1599">
            <w:pPr>
              <w:pStyle w:val="85"/>
              <w:rPr>
                <w:rFonts w:ascii="Times New Roman" w:hAnsi="Times New Roman" w:eastAsia="宋体"/>
                <w:lang w:val="en-US" w:eastAsia="en-US"/>
              </w:rPr>
            </w:pPr>
            <w:r>
              <w:rPr>
                <w:rFonts w:ascii="Times New Roman" w:hAnsi="Times New Roman" w:eastAsia="宋体"/>
                <w:lang w:val="en-US" w:eastAsia="en-US"/>
              </w:rPr>
              <w:t>（</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50" w:type="dxa"/>
            <w:noWrap/>
            <w:vAlign w:val="center"/>
          </w:tcPr>
          <w:p w14:paraId="1D7CE166">
            <w:pPr>
              <w:pStyle w:val="85"/>
              <w:rPr>
                <w:rFonts w:ascii="Times New Roman" w:hAnsi="Times New Roman" w:eastAsia="宋体"/>
                <w:lang w:val="en-US"/>
              </w:rPr>
            </w:pPr>
            <w:r>
              <w:rPr>
                <w:rFonts w:ascii="Times New Roman" w:hAnsi="Times New Roman" w:eastAsia="宋体"/>
                <w:lang w:val="en-US"/>
              </w:rPr>
              <w:t>出现时间</w:t>
            </w:r>
          </w:p>
          <w:p w14:paraId="6256BD61">
            <w:pPr>
              <w:pStyle w:val="85"/>
              <w:rPr>
                <w:rFonts w:ascii="Times New Roman" w:hAnsi="Times New Roman" w:eastAsia="宋体"/>
                <w:lang w:val="en-US"/>
              </w:rPr>
            </w:pPr>
            <w:r>
              <w:rPr>
                <w:rFonts w:ascii="Times New Roman" w:hAnsi="Times New Roman" w:eastAsia="宋体"/>
                <w:lang w:val="en-US"/>
              </w:rPr>
              <w:t>（YYMMDDHH）</w:t>
            </w:r>
          </w:p>
        </w:tc>
        <w:tc>
          <w:tcPr>
            <w:tcW w:w="851" w:type="dxa"/>
            <w:noWrap/>
            <w:vAlign w:val="center"/>
          </w:tcPr>
          <w:p w14:paraId="62C4C78F">
            <w:pPr>
              <w:pStyle w:val="85"/>
              <w:rPr>
                <w:rFonts w:ascii="Times New Roman" w:hAnsi="Times New Roman" w:eastAsia="宋体"/>
                <w:lang w:val="en-US" w:eastAsia="en-US"/>
              </w:rPr>
            </w:pPr>
            <w:r>
              <w:rPr>
                <w:rFonts w:ascii="Times New Roman" w:hAnsi="Times New Roman" w:eastAsia="宋体"/>
                <w:lang w:val="en-US" w:eastAsia="en-US"/>
              </w:rPr>
              <w:t>评价标准（</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567" w:type="dxa"/>
            <w:noWrap/>
            <w:vAlign w:val="center"/>
          </w:tcPr>
          <w:p w14:paraId="246BC440">
            <w:pPr>
              <w:pStyle w:val="85"/>
              <w:rPr>
                <w:rFonts w:ascii="Times New Roman" w:hAnsi="Times New Roman" w:eastAsia="宋体"/>
                <w:lang w:val="en-US" w:eastAsia="en-US"/>
              </w:rPr>
            </w:pPr>
            <w:r>
              <w:rPr>
                <w:rFonts w:ascii="Times New Roman" w:hAnsi="Times New Roman" w:eastAsia="宋体"/>
                <w:lang w:val="en-US" w:eastAsia="en-US"/>
              </w:rPr>
              <w:t>占标率%</w:t>
            </w:r>
          </w:p>
        </w:tc>
        <w:tc>
          <w:tcPr>
            <w:tcW w:w="508" w:type="dxa"/>
            <w:noWrap/>
            <w:vAlign w:val="center"/>
          </w:tcPr>
          <w:p w14:paraId="5610F324">
            <w:pPr>
              <w:pStyle w:val="85"/>
              <w:rPr>
                <w:rFonts w:ascii="Times New Roman" w:hAnsi="Times New Roman" w:eastAsia="宋体"/>
                <w:lang w:val="en-US" w:eastAsia="en-US"/>
              </w:rPr>
            </w:pPr>
            <w:r>
              <w:rPr>
                <w:rFonts w:ascii="Times New Roman" w:hAnsi="Times New Roman" w:eastAsia="宋体"/>
                <w:lang w:val="en-US" w:eastAsia="en-US"/>
              </w:rPr>
              <w:t>是否</w:t>
            </w:r>
          </w:p>
          <w:p w14:paraId="3A4A28F7">
            <w:pPr>
              <w:pStyle w:val="85"/>
              <w:rPr>
                <w:rFonts w:ascii="Times New Roman" w:hAnsi="Times New Roman" w:eastAsia="宋体"/>
                <w:lang w:val="en-US" w:eastAsia="en-US"/>
              </w:rPr>
            </w:pPr>
            <w:r>
              <w:rPr>
                <w:rFonts w:ascii="Times New Roman" w:hAnsi="Times New Roman" w:eastAsia="宋体"/>
                <w:lang w:val="en-US" w:eastAsia="en-US"/>
              </w:rPr>
              <w:t>达标</w:t>
            </w:r>
          </w:p>
        </w:tc>
      </w:tr>
      <w:tr w14:paraId="397B0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37E8E4FB">
            <w:pPr>
              <w:pStyle w:val="85"/>
              <w:rPr>
                <w:rFonts w:ascii="Times New Roman" w:hAnsi="Times New Roman" w:eastAsia="宋体"/>
                <w:lang w:val="en-US"/>
              </w:rPr>
            </w:pPr>
            <w:r>
              <w:rPr>
                <w:rFonts w:hint="eastAsia" w:ascii="Times New Roman" w:hAnsi="Times New Roman" w:eastAsia="宋体"/>
                <w:lang w:val="en-US"/>
              </w:rPr>
              <w:t>1</w:t>
            </w:r>
          </w:p>
        </w:tc>
        <w:tc>
          <w:tcPr>
            <w:tcW w:w="708" w:type="dxa"/>
            <w:vAlign w:val="center"/>
          </w:tcPr>
          <w:p w14:paraId="50E8ECBA">
            <w:pPr>
              <w:pStyle w:val="85"/>
              <w:rPr>
                <w:rFonts w:ascii="Times New Roman" w:hAnsi="Times New Roman" w:eastAsia="宋体"/>
                <w:lang w:val="en-US"/>
              </w:rPr>
            </w:pPr>
            <w:r>
              <w:rPr>
                <w:rFonts w:ascii="Times New Roman" w:hAnsi="Times New Roman" w:eastAsia="宋体"/>
                <w:lang w:val="en-US"/>
              </w:rPr>
              <w:t>130团22连</w:t>
            </w:r>
          </w:p>
        </w:tc>
        <w:tc>
          <w:tcPr>
            <w:tcW w:w="993" w:type="dxa"/>
            <w:noWrap/>
            <w:vAlign w:val="center"/>
          </w:tcPr>
          <w:p w14:paraId="02AE9FDF">
            <w:pPr>
              <w:pStyle w:val="85"/>
              <w:rPr>
                <w:rFonts w:ascii="Times New Roman" w:hAnsi="Times New Roman" w:eastAsia="宋体"/>
                <w:lang w:val="en-US" w:eastAsia="en-US"/>
              </w:rPr>
            </w:pPr>
            <w:r>
              <w:rPr>
                <w:rFonts w:ascii="Times New Roman" w:hAnsi="Times New Roman" w:eastAsia="宋体"/>
                <w:lang w:val="en-US" w:eastAsia="en-US"/>
              </w:rPr>
              <w:t>-1998，-1133</w:t>
            </w:r>
          </w:p>
        </w:tc>
        <w:tc>
          <w:tcPr>
            <w:tcW w:w="708" w:type="dxa"/>
            <w:noWrap/>
            <w:vAlign w:val="center"/>
          </w:tcPr>
          <w:p w14:paraId="79B57991">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851" w:type="dxa"/>
            <w:noWrap/>
            <w:vAlign w:val="center"/>
          </w:tcPr>
          <w:p w14:paraId="76EADD36">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709" w:type="dxa"/>
            <w:noWrap/>
            <w:vAlign w:val="center"/>
          </w:tcPr>
          <w:p w14:paraId="412CB0DB">
            <w:pPr>
              <w:pStyle w:val="85"/>
              <w:rPr>
                <w:rFonts w:ascii="Times New Roman" w:hAnsi="Times New Roman" w:eastAsia="宋体"/>
                <w:lang w:val="en-US" w:eastAsia="en-US"/>
              </w:rPr>
            </w:pPr>
            <w:r>
              <w:rPr>
                <w:rFonts w:ascii="Times New Roman" w:hAnsi="Times New Roman" w:eastAsia="宋体"/>
                <w:lang w:val="en-US" w:eastAsia="en-US"/>
              </w:rPr>
              <w:t>1.5</w:t>
            </w:r>
          </w:p>
        </w:tc>
        <w:tc>
          <w:tcPr>
            <w:tcW w:w="708" w:type="dxa"/>
            <w:noWrap/>
            <w:vAlign w:val="center"/>
          </w:tcPr>
          <w:p w14:paraId="085AFA0C">
            <w:pPr>
              <w:pStyle w:val="85"/>
              <w:rPr>
                <w:rFonts w:ascii="Times New Roman" w:hAnsi="Times New Roman" w:eastAsia="宋体"/>
                <w:lang w:val="en-US"/>
              </w:rPr>
            </w:pPr>
            <w:r>
              <w:rPr>
                <w:rFonts w:hint="eastAsia" w:ascii="Times New Roman" w:hAnsi="Times New Roman" w:eastAsia="宋体"/>
                <w:lang w:val="en-US"/>
              </w:rPr>
              <w:t>1小时</w:t>
            </w:r>
          </w:p>
        </w:tc>
        <w:tc>
          <w:tcPr>
            <w:tcW w:w="851" w:type="dxa"/>
            <w:noWrap/>
            <w:vAlign w:val="center"/>
          </w:tcPr>
          <w:p w14:paraId="41E1B0CA">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.00015</w:t>
            </w:r>
          </w:p>
        </w:tc>
        <w:tc>
          <w:tcPr>
            <w:tcW w:w="850" w:type="dxa"/>
            <w:noWrap/>
            <w:vAlign w:val="center"/>
          </w:tcPr>
          <w:p w14:paraId="6C53124F">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2011606</w:t>
            </w:r>
          </w:p>
        </w:tc>
        <w:tc>
          <w:tcPr>
            <w:tcW w:w="851" w:type="dxa"/>
            <w:noWrap/>
            <w:vAlign w:val="center"/>
          </w:tcPr>
          <w:p w14:paraId="789D41D9">
            <w:pPr>
              <w:adjustRightInd w:val="0"/>
              <w:snapToGrid w:val="0"/>
              <w:spacing w:line="240" w:lineRule="auto"/>
              <w:ind w:firstLine="0" w:firstLineChars="0"/>
              <w:jc w:val="center"/>
              <w:textAlignment w:val="center"/>
              <w:rPr>
                <w:sz w:val="21"/>
                <w:szCs w:val="21"/>
              </w:rPr>
            </w:pPr>
            <w:r>
              <w:rPr>
                <w:rFonts w:hint="eastAsia"/>
                <w:sz w:val="21"/>
                <w:szCs w:val="21"/>
              </w:rPr>
              <w:t>1</w:t>
            </w:r>
            <w:r>
              <w:rPr>
                <w:sz w:val="21"/>
                <w:szCs w:val="21"/>
              </w:rPr>
              <w:t>0</w:t>
            </w:r>
          </w:p>
        </w:tc>
        <w:tc>
          <w:tcPr>
            <w:tcW w:w="567" w:type="dxa"/>
            <w:noWrap/>
            <w:vAlign w:val="center"/>
          </w:tcPr>
          <w:p w14:paraId="48D91112">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.002</w:t>
            </w:r>
          </w:p>
        </w:tc>
        <w:tc>
          <w:tcPr>
            <w:tcW w:w="508" w:type="dxa"/>
            <w:noWrap/>
            <w:vAlign w:val="center"/>
          </w:tcPr>
          <w:p w14:paraId="3928E7F3">
            <w:pPr>
              <w:adjustRightInd w:val="0"/>
              <w:snapToGrid w:val="0"/>
              <w:spacing w:line="240" w:lineRule="auto"/>
              <w:ind w:firstLine="0" w:firstLineChars="0"/>
              <w:jc w:val="center"/>
              <w:textAlignment w:val="center"/>
              <w:rPr>
                <w:sz w:val="21"/>
                <w:szCs w:val="21"/>
              </w:rPr>
            </w:pPr>
            <w:r>
              <w:rPr>
                <w:sz w:val="21"/>
                <w:szCs w:val="21"/>
              </w:rPr>
              <w:t>达标</w:t>
            </w:r>
          </w:p>
        </w:tc>
      </w:tr>
      <w:tr w14:paraId="30ED7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635D43D0">
            <w:pPr>
              <w:pStyle w:val="85"/>
              <w:rPr>
                <w:rFonts w:ascii="Times New Roman" w:hAnsi="Times New Roman" w:eastAsia="宋体"/>
                <w:lang w:val="en-US"/>
              </w:rPr>
            </w:pPr>
            <w:r>
              <w:rPr>
                <w:rFonts w:hint="eastAsia" w:ascii="Times New Roman" w:hAnsi="Times New Roman" w:eastAsia="宋体"/>
                <w:lang w:val="en-US"/>
              </w:rPr>
              <w:t>2</w:t>
            </w:r>
          </w:p>
        </w:tc>
        <w:tc>
          <w:tcPr>
            <w:tcW w:w="708" w:type="dxa"/>
            <w:vAlign w:val="center"/>
          </w:tcPr>
          <w:p w14:paraId="4CF0E976">
            <w:pPr>
              <w:pStyle w:val="85"/>
              <w:rPr>
                <w:rFonts w:ascii="Times New Roman" w:hAnsi="Times New Roman" w:eastAsia="宋体"/>
                <w:lang w:val="en-US" w:eastAsia="en-US"/>
              </w:rPr>
            </w:pPr>
            <w:r>
              <w:rPr>
                <w:rFonts w:ascii="Times New Roman" w:hAnsi="Times New Roman" w:eastAsia="宋体"/>
                <w:lang w:val="en-US" w:eastAsia="en-US"/>
              </w:rPr>
              <w:t>网格</w:t>
            </w:r>
          </w:p>
        </w:tc>
        <w:tc>
          <w:tcPr>
            <w:tcW w:w="993" w:type="dxa"/>
            <w:noWrap/>
            <w:vAlign w:val="center"/>
          </w:tcPr>
          <w:p w14:paraId="5ED88CEE">
            <w:pPr>
              <w:pStyle w:val="85"/>
              <w:rPr>
                <w:rFonts w:ascii="Times New Roman" w:hAnsi="Times New Roman" w:eastAsia="宋体"/>
                <w:lang w:val="en-US"/>
              </w:rPr>
            </w:pPr>
            <w:r>
              <w:rPr>
                <w:rFonts w:ascii="Times New Roman" w:hAnsi="Times New Roman" w:eastAsia="宋体"/>
                <w:lang w:val="en-US"/>
              </w:rPr>
              <w:t>-357，-12</w:t>
            </w:r>
          </w:p>
        </w:tc>
        <w:tc>
          <w:tcPr>
            <w:tcW w:w="708" w:type="dxa"/>
            <w:noWrap/>
            <w:vAlign w:val="center"/>
          </w:tcPr>
          <w:p w14:paraId="3ECB1316">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851" w:type="dxa"/>
            <w:noWrap/>
            <w:vAlign w:val="center"/>
          </w:tcPr>
          <w:p w14:paraId="79203D7E">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709" w:type="dxa"/>
            <w:noWrap/>
            <w:vAlign w:val="center"/>
          </w:tcPr>
          <w:p w14:paraId="24C1B63A">
            <w:pPr>
              <w:pStyle w:val="85"/>
              <w:rPr>
                <w:rFonts w:ascii="Times New Roman" w:hAnsi="Times New Roman" w:eastAsia="宋体"/>
                <w:lang w:val="en-US"/>
              </w:rPr>
            </w:pPr>
            <w:r>
              <w:rPr>
                <w:rFonts w:ascii="Times New Roman" w:hAnsi="Times New Roman" w:eastAsia="宋体"/>
                <w:lang w:val="en-US"/>
              </w:rPr>
              <w:t>1.5</w:t>
            </w:r>
          </w:p>
        </w:tc>
        <w:tc>
          <w:tcPr>
            <w:tcW w:w="708" w:type="dxa"/>
            <w:noWrap/>
            <w:vAlign w:val="center"/>
          </w:tcPr>
          <w:p w14:paraId="39F83D38">
            <w:pPr>
              <w:pStyle w:val="85"/>
              <w:rPr>
                <w:rFonts w:ascii="Times New Roman" w:hAnsi="Times New Roman" w:eastAsia="宋体"/>
                <w:lang w:val="en-US" w:eastAsia="en-US"/>
              </w:rPr>
            </w:pPr>
            <w:r>
              <w:rPr>
                <w:rFonts w:hint="eastAsia" w:ascii="Times New Roman" w:hAnsi="Times New Roman" w:eastAsia="宋体"/>
                <w:lang w:val="en-US"/>
              </w:rPr>
              <w:t>1小时</w:t>
            </w:r>
          </w:p>
        </w:tc>
        <w:tc>
          <w:tcPr>
            <w:tcW w:w="851" w:type="dxa"/>
            <w:noWrap/>
            <w:vAlign w:val="center"/>
          </w:tcPr>
          <w:p w14:paraId="097C529F">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.0008</w:t>
            </w:r>
          </w:p>
        </w:tc>
        <w:tc>
          <w:tcPr>
            <w:tcW w:w="850" w:type="dxa"/>
            <w:noWrap/>
            <w:vAlign w:val="center"/>
          </w:tcPr>
          <w:p w14:paraId="347D51F3">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2011606</w:t>
            </w:r>
          </w:p>
        </w:tc>
        <w:tc>
          <w:tcPr>
            <w:tcW w:w="851" w:type="dxa"/>
            <w:noWrap/>
            <w:vAlign w:val="center"/>
          </w:tcPr>
          <w:p w14:paraId="1BFC922B">
            <w:pPr>
              <w:adjustRightInd w:val="0"/>
              <w:snapToGrid w:val="0"/>
              <w:spacing w:line="240" w:lineRule="auto"/>
              <w:ind w:firstLine="0" w:firstLineChars="0"/>
              <w:jc w:val="center"/>
              <w:textAlignment w:val="center"/>
              <w:rPr>
                <w:sz w:val="21"/>
                <w:szCs w:val="21"/>
              </w:rPr>
            </w:pPr>
            <w:r>
              <w:rPr>
                <w:rFonts w:hint="eastAsia"/>
                <w:sz w:val="21"/>
                <w:szCs w:val="21"/>
              </w:rPr>
              <w:t>1</w:t>
            </w:r>
            <w:r>
              <w:rPr>
                <w:sz w:val="21"/>
                <w:szCs w:val="21"/>
              </w:rPr>
              <w:t>0</w:t>
            </w:r>
          </w:p>
        </w:tc>
        <w:tc>
          <w:tcPr>
            <w:tcW w:w="567" w:type="dxa"/>
            <w:noWrap/>
            <w:vAlign w:val="center"/>
          </w:tcPr>
          <w:p w14:paraId="0F07464A">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.008</w:t>
            </w:r>
          </w:p>
        </w:tc>
        <w:tc>
          <w:tcPr>
            <w:tcW w:w="508" w:type="dxa"/>
            <w:noWrap/>
            <w:vAlign w:val="center"/>
          </w:tcPr>
          <w:p w14:paraId="1BC04249">
            <w:pPr>
              <w:adjustRightInd w:val="0"/>
              <w:snapToGrid w:val="0"/>
              <w:spacing w:line="240" w:lineRule="auto"/>
              <w:ind w:firstLine="0" w:firstLineChars="0"/>
              <w:jc w:val="center"/>
              <w:textAlignment w:val="center"/>
              <w:rPr>
                <w:sz w:val="21"/>
                <w:szCs w:val="21"/>
              </w:rPr>
            </w:pPr>
            <w:r>
              <w:rPr>
                <w:sz w:val="21"/>
                <w:szCs w:val="21"/>
              </w:rPr>
              <w:t>达标</w:t>
            </w:r>
          </w:p>
        </w:tc>
      </w:tr>
    </w:tbl>
    <w:p w14:paraId="3FFD7D7D">
      <w:pPr>
        <w:spacing w:line="240" w:lineRule="auto"/>
        <w:ind w:firstLine="0" w:firstLineChars="0"/>
        <w:jc w:val="center"/>
      </w:pPr>
    </w:p>
    <w:p w14:paraId="44B0A9AE">
      <w:pPr>
        <w:pStyle w:val="49"/>
        <w:spacing w:before="163" w:after="163"/>
        <w:rPr>
          <w:rFonts w:hint="eastAsia"/>
          <w:lang w:val="en-US"/>
        </w:rPr>
      </w:pPr>
      <w:r>
        <w:rPr>
          <w:rFonts w:hint="eastAsia"/>
        </w:rPr>
        <w:t>图5</w:t>
      </w:r>
      <w:r>
        <w:t xml:space="preserve">.1-5   </w:t>
      </w:r>
      <w:r>
        <w:rPr>
          <w:rFonts w:hint="eastAsia"/>
        </w:rPr>
        <w:t>硫化氢</w:t>
      </w:r>
      <w:r>
        <w:rPr>
          <w:rFonts w:hint="eastAsia"/>
          <w:lang w:val="en-US"/>
        </w:rPr>
        <w:t>小时贡献浓度分布图</w:t>
      </w:r>
    </w:p>
    <w:p w14:paraId="487DC525">
      <w:pPr>
        <w:pStyle w:val="47"/>
        <w:spacing w:before="65"/>
        <w:rPr>
          <w:lang w:bidi="en-US"/>
        </w:rPr>
      </w:pPr>
      <w:r>
        <w:rPr>
          <w:rFonts w:hint="eastAsia"/>
        </w:rPr>
        <w:t>表5</w:t>
      </w:r>
      <w:r>
        <w:t>.1-17</w:t>
      </w:r>
      <w:r>
        <w:rPr>
          <w:rFonts w:hint="eastAsia"/>
          <w:lang w:bidi="en-US"/>
        </w:rPr>
        <w:t xml:space="preserve">   </w:t>
      </w:r>
      <w:r>
        <w:rPr>
          <w:rFonts w:hint="eastAsia"/>
          <w:lang w:val="en-US" w:eastAsia="zh-CN" w:bidi="en-US"/>
        </w:rPr>
        <w:t>硫酸雾</w:t>
      </w:r>
      <w:r>
        <w:rPr>
          <w:rFonts w:hint="eastAsia"/>
          <w:lang w:bidi="en-US"/>
        </w:rPr>
        <w:t>最大落地浓度及其发生的时间统计一览表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708"/>
        <w:gridCol w:w="993"/>
        <w:gridCol w:w="708"/>
        <w:gridCol w:w="851"/>
        <w:gridCol w:w="709"/>
        <w:gridCol w:w="708"/>
        <w:gridCol w:w="851"/>
        <w:gridCol w:w="850"/>
        <w:gridCol w:w="851"/>
        <w:gridCol w:w="567"/>
        <w:gridCol w:w="508"/>
      </w:tblGrid>
      <w:tr w14:paraId="4FA38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64DBCF01">
            <w:pPr>
              <w:pStyle w:val="85"/>
              <w:rPr>
                <w:rFonts w:ascii="Times New Roman" w:hAnsi="Times New Roman" w:eastAsia="宋体"/>
                <w:lang w:val="en-US" w:eastAsia="en-US"/>
              </w:rPr>
            </w:pPr>
            <w:r>
              <w:rPr>
                <w:rFonts w:ascii="Times New Roman" w:hAnsi="Times New Roman" w:eastAsia="宋体"/>
                <w:lang w:val="en-US" w:eastAsia="en-US"/>
              </w:rPr>
              <w:t>序号</w:t>
            </w:r>
          </w:p>
        </w:tc>
        <w:tc>
          <w:tcPr>
            <w:tcW w:w="708" w:type="dxa"/>
            <w:vAlign w:val="center"/>
          </w:tcPr>
          <w:p w14:paraId="2C5E5139">
            <w:pPr>
              <w:pStyle w:val="85"/>
              <w:rPr>
                <w:rFonts w:ascii="Times New Roman" w:hAnsi="Times New Roman" w:eastAsia="宋体"/>
                <w:lang w:val="en-US" w:eastAsia="en-US"/>
              </w:rPr>
            </w:pPr>
            <w:r>
              <w:rPr>
                <w:rFonts w:ascii="Times New Roman" w:hAnsi="Times New Roman" w:eastAsia="宋体"/>
                <w:lang w:val="en-US" w:eastAsia="en-US"/>
              </w:rPr>
              <w:t>点名称</w:t>
            </w:r>
          </w:p>
        </w:tc>
        <w:tc>
          <w:tcPr>
            <w:tcW w:w="993" w:type="dxa"/>
            <w:noWrap/>
            <w:vAlign w:val="center"/>
          </w:tcPr>
          <w:p w14:paraId="736CC999">
            <w:pPr>
              <w:pStyle w:val="85"/>
              <w:rPr>
                <w:rFonts w:ascii="Times New Roman" w:hAnsi="Times New Roman" w:eastAsia="宋体"/>
                <w:lang w:val="en-US" w:eastAsia="en-US"/>
              </w:rPr>
            </w:pPr>
            <w:r>
              <w:rPr>
                <w:rFonts w:ascii="Times New Roman" w:hAnsi="Times New Roman" w:eastAsia="宋体"/>
                <w:lang w:val="en-US" w:eastAsia="en-US"/>
              </w:rPr>
              <w:t>点坐标（x，y）</w:t>
            </w:r>
          </w:p>
        </w:tc>
        <w:tc>
          <w:tcPr>
            <w:tcW w:w="708" w:type="dxa"/>
            <w:noWrap/>
            <w:vAlign w:val="center"/>
          </w:tcPr>
          <w:p w14:paraId="3EC46185">
            <w:pPr>
              <w:pStyle w:val="85"/>
              <w:rPr>
                <w:rFonts w:ascii="Times New Roman" w:hAnsi="Times New Roman" w:eastAsia="宋体"/>
                <w:lang w:val="en-US" w:eastAsia="en-US"/>
              </w:rPr>
            </w:pPr>
            <w:r>
              <w:rPr>
                <w:rFonts w:ascii="Times New Roman" w:hAnsi="Times New Roman" w:eastAsia="宋体"/>
                <w:lang w:val="en-US" w:eastAsia="en-US"/>
              </w:rPr>
              <w:t>地面高程（m）</w:t>
            </w:r>
          </w:p>
        </w:tc>
        <w:tc>
          <w:tcPr>
            <w:tcW w:w="851" w:type="dxa"/>
            <w:noWrap/>
            <w:vAlign w:val="center"/>
          </w:tcPr>
          <w:p w14:paraId="5BF10098">
            <w:pPr>
              <w:pStyle w:val="85"/>
              <w:rPr>
                <w:rFonts w:ascii="Times New Roman" w:hAnsi="Times New Roman" w:eastAsia="宋体"/>
                <w:lang w:val="en-US" w:eastAsia="en-US"/>
              </w:rPr>
            </w:pPr>
            <w:r>
              <w:rPr>
                <w:rFonts w:ascii="Times New Roman" w:hAnsi="Times New Roman" w:eastAsia="宋体"/>
                <w:lang w:val="en-US" w:eastAsia="en-US"/>
              </w:rPr>
              <w:t>山体高度尺度（m）</w:t>
            </w:r>
          </w:p>
        </w:tc>
        <w:tc>
          <w:tcPr>
            <w:tcW w:w="709" w:type="dxa"/>
            <w:noWrap/>
            <w:vAlign w:val="center"/>
          </w:tcPr>
          <w:p w14:paraId="543B08B6">
            <w:pPr>
              <w:pStyle w:val="85"/>
              <w:rPr>
                <w:rFonts w:ascii="Times New Roman" w:hAnsi="Times New Roman" w:eastAsia="宋体"/>
                <w:lang w:val="en-US" w:eastAsia="en-US"/>
              </w:rPr>
            </w:pPr>
            <w:r>
              <w:rPr>
                <w:rFonts w:ascii="Times New Roman" w:hAnsi="Times New Roman" w:eastAsia="宋体"/>
                <w:lang w:val="en-US" w:eastAsia="en-US"/>
              </w:rPr>
              <w:t>离地高度（m）</w:t>
            </w:r>
          </w:p>
        </w:tc>
        <w:tc>
          <w:tcPr>
            <w:tcW w:w="708" w:type="dxa"/>
            <w:noWrap/>
            <w:vAlign w:val="center"/>
          </w:tcPr>
          <w:p w14:paraId="2BAC0EA6">
            <w:pPr>
              <w:pStyle w:val="85"/>
              <w:rPr>
                <w:rFonts w:ascii="Times New Roman" w:hAnsi="Times New Roman" w:eastAsia="宋体"/>
                <w:lang w:val="en-US" w:eastAsia="en-US"/>
              </w:rPr>
            </w:pPr>
            <w:r>
              <w:rPr>
                <w:rFonts w:ascii="Times New Roman" w:hAnsi="Times New Roman" w:eastAsia="宋体"/>
                <w:lang w:val="en-US" w:eastAsia="en-US"/>
              </w:rPr>
              <w:t>浓度类型</w:t>
            </w:r>
          </w:p>
        </w:tc>
        <w:tc>
          <w:tcPr>
            <w:tcW w:w="851" w:type="dxa"/>
            <w:noWrap/>
            <w:vAlign w:val="center"/>
          </w:tcPr>
          <w:p w14:paraId="58C6835C">
            <w:pPr>
              <w:pStyle w:val="85"/>
              <w:rPr>
                <w:rFonts w:ascii="Times New Roman" w:hAnsi="Times New Roman" w:eastAsia="宋体"/>
                <w:lang w:val="en-US" w:eastAsia="en-US"/>
              </w:rPr>
            </w:pPr>
            <w:r>
              <w:rPr>
                <w:rFonts w:ascii="Times New Roman" w:hAnsi="Times New Roman" w:eastAsia="宋体"/>
                <w:lang w:val="en-US" w:eastAsia="en-US"/>
              </w:rPr>
              <w:t>浓度增量</w:t>
            </w:r>
          </w:p>
          <w:p w14:paraId="1B4696CD">
            <w:pPr>
              <w:pStyle w:val="85"/>
              <w:rPr>
                <w:rFonts w:ascii="Times New Roman" w:hAnsi="Times New Roman" w:eastAsia="宋体"/>
                <w:lang w:val="en-US" w:eastAsia="en-US"/>
              </w:rPr>
            </w:pPr>
            <w:r>
              <w:rPr>
                <w:rFonts w:ascii="Times New Roman" w:hAnsi="Times New Roman" w:eastAsia="宋体"/>
                <w:lang w:val="en-US" w:eastAsia="en-US"/>
              </w:rPr>
              <w:t>（</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50" w:type="dxa"/>
            <w:noWrap/>
            <w:vAlign w:val="center"/>
          </w:tcPr>
          <w:p w14:paraId="0E52653D">
            <w:pPr>
              <w:pStyle w:val="85"/>
              <w:rPr>
                <w:rFonts w:ascii="Times New Roman" w:hAnsi="Times New Roman" w:eastAsia="宋体"/>
                <w:lang w:val="en-US"/>
              </w:rPr>
            </w:pPr>
            <w:r>
              <w:rPr>
                <w:rFonts w:ascii="Times New Roman" w:hAnsi="Times New Roman" w:eastAsia="宋体"/>
                <w:lang w:val="en-US"/>
              </w:rPr>
              <w:t>出现时间</w:t>
            </w:r>
          </w:p>
          <w:p w14:paraId="31D7BADF">
            <w:pPr>
              <w:pStyle w:val="85"/>
              <w:rPr>
                <w:rFonts w:ascii="Times New Roman" w:hAnsi="Times New Roman" w:eastAsia="宋体"/>
                <w:lang w:val="en-US"/>
              </w:rPr>
            </w:pPr>
            <w:r>
              <w:rPr>
                <w:rFonts w:ascii="Times New Roman" w:hAnsi="Times New Roman" w:eastAsia="宋体"/>
                <w:lang w:val="en-US"/>
              </w:rPr>
              <w:t>（YYMMDDHH）</w:t>
            </w:r>
          </w:p>
        </w:tc>
        <w:tc>
          <w:tcPr>
            <w:tcW w:w="851" w:type="dxa"/>
            <w:noWrap/>
            <w:vAlign w:val="center"/>
          </w:tcPr>
          <w:p w14:paraId="235C2CDB">
            <w:pPr>
              <w:pStyle w:val="85"/>
              <w:rPr>
                <w:rFonts w:ascii="Times New Roman" w:hAnsi="Times New Roman" w:eastAsia="宋体"/>
                <w:lang w:val="en-US" w:eastAsia="en-US"/>
              </w:rPr>
            </w:pPr>
            <w:r>
              <w:rPr>
                <w:rFonts w:ascii="Times New Roman" w:hAnsi="Times New Roman" w:eastAsia="宋体"/>
                <w:lang w:val="en-US" w:eastAsia="en-US"/>
              </w:rPr>
              <w:t>评价标准（</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567" w:type="dxa"/>
            <w:noWrap/>
            <w:vAlign w:val="center"/>
          </w:tcPr>
          <w:p w14:paraId="3A9596B2">
            <w:pPr>
              <w:pStyle w:val="85"/>
              <w:rPr>
                <w:rFonts w:ascii="Times New Roman" w:hAnsi="Times New Roman" w:eastAsia="宋体"/>
                <w:lang w:val="en-US" w:eastAsia="en-US"/>
              </w:rPr>
            </w:pPr>
            <w:r>
              <w:rPr>
                <w:rFonts w:ascii="Times New Roman" w:hAnsi="Times New Roman" w:eastAsia="宋体"/>
                <w:lang w:val="en-US" w:eastAsia="en-US"/>
              </w:rPr>
              <w:t>占标率%</w:t>
            </w:r>
          </w:p>
        </w:tc>
        <w:tc>
          <w:tcPr>
            <w:tcW w:w="508" w:type="dxa"/>
            <w:noWrap/>
            <w:vAlign w:val="center"/>
          </w:tcPr>
          <w:p w14:paraId="3E34EBD2">
            <w:pPr>
              <w:pStyle w:val="85"/>
              <w:rPr>
                <w:rFonts w:ascii="Times New Roman" w:hAnsi="Times New Roman" w:eastAsia="宋体"/>
                <w:lang w:val="en-US" w:eastAsia="en-US"/>
              </w:rPr>
            </w:pPr>
            <w:r>
              <w:rPr>
                <w:rFonts w:ascii="Times New Roman" w:hAnsi="Times New Roman" w:eastAsia="宋体"/>
                <w:lang w:val="en-US" w:eastAsia="en-US"/>
              </w:rPr>
              <w:t>是否</w:t>
            </w:r>
          </w:p>
          <w:p w14:paraId="6A887240">
            <w:pPr>
              <w:pStyle w:val="85"/>
              <w:rPr>
                <w:rFonts w:ascii="Times New Roman" w:hAnsi="Times New Roman" w:eastAsia="宋体"/>
                <w:lang w:val="en-US" w:eastAsia="en-US"/>
              </w:rPr>
            </w:pPr>
            <w:r>
              <w:rPr>
                <w:rFonts w:ascii="Times New Roman" w:hAnsi="Times New Roman" w:eastAsia="宋体"/>
                <w:lang w:val="en-US" w:eastAsia="en-US"/>
              </w:rPr>
              <w:t>达标</w:t>
            </w:r>
          </w:p>
        </w:tc>
      </w:tr>
      <w:tr w14:paraId="045E6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47AD6305">
            <w:pPr>
              <w:pStyle w:val="85"/>
              <w:rPr>
                <w:rFonts w:ascii="Times New Roman" w:hAnsi="Times New Roman" w:eastAsia="宋体"/>
                <w:lang w:val="en-US"/>
              </w:rPr>
            </w:pPr>
            <w:r>
              <w:rPr>
                <w:rFonts w:hint="eastAsia" w:ascii="Times New Roman" w:hAnsi="Times New Roman" w:eastAsia="宋体"/>
                <w:lang w:val="en-US"/>
              </w:rPr>
              <w:t>1</w:t>
            </w:r>
          </w:p>
        </w:tc>
        <w:tc>
          <w:tcPr>
            <w:tcW w:w="708" w:type="dxa"/>
            <w:vAlign w:val="center"/>
          </w:tcPr>
          <w:p w14:paraId="34331F02">
            <w:pPr>
              <w:pStyle w:val="85"/>
              <w:rPr>
                <w:rFonts w:ascii="Times New Roman" w:hAnsi="Times New Roman" w:eastAsia="宋体"/>
                <w:lang w:val="en-US"/>
              </w:rPr>
            </w:pPr>
            <w:r>
              <w:rPr>
                <w:rFonts w:ascii="Times New Roman" w:hAnsi="Times New Roman" w:eastAsia="宋体"/>
                <w:lang w:val="en-US"/>
              </w:rPr>
              <w:t>130团22连</w:t>
            </w:r>
          </w:p>
        </w:tc>
        <w:tc>
          <w:tcPr>
            <w:tcW w:w="993" w:type="dxa"/>
            <w:noWrap/>
            <w:vAlign w:val="center"/>
          </w:tcPr>
          <w:p w14:paraId="00D29835">
            <w:pPr>
              <w:pStyle w:val="85"/>
              <w:rPr>
                <w:rFonts w:ascii="Times New Roman" w:hAnsi="Times New Roman" w:eastAsia="宋体"/>
                <w:lang w:val="en-US" w:eastAsia="en-US"/>
              </w:rPr>
            </w:pPr>
            <w:r>
              <w:rPr>
                <w:rFonts w:ascii="Times New Roman" w:hAnsi="Times New Roman" w:eastAsia="宋体"/>
                <w:lang w:val="en-US" w:eastAsia="en-US"/>
              </w:rPr>
              <w:t>-1998，-1133</w:t>
            </w:r>
          </w:p>
        </w:tc>
        <w:tc>
          <w:tcPr>
            <w:tcW w:w="708" w:type="dxa"/>
            <w:noWrap/>
            <w:vAlign w:val="center"/>
          </w:tcPr>
          <w:p w14:paraId="2A58DB9C">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851" w:type="dxa"/>
            <w:noWrap/>
            <w:vAlign w:val="center"/>
          </w:tcPr>
          <w:p w14:paraId="21EA8F8F">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709" w:type="dxa"/>
            <w:noWrap/>
            <w:vAlign w:val="center"/>
          </w:tcPr>
          <w:p w14:paraId="601CAC9E">
            <w:pPr>
              <w:pStyle w:val="85"/>
              <w:rPr>
                <w:rFonts w:ascii="Times New Roman" w:hAnsi="Times New Roman" w:eastAsia="宋体"/>
                <w:lang w:val="en-US" w:eastAsia="en-US"/>
              </w:rPr>
            </w:pPr>
            <w:r>
              <w:rPr>
                <w:rFonts w:ascii="Times New Roman" w:hAnsi="Times New Roman" w:eastAsia="宋体"/>
                <w:lang w:val="en-US" w:eastAsia="en-US"/>
              </w:rPr>
              <w:t>1.5</w:t>
            </w:r>
          </w:p>
        </w:tc>
        <w:tc>
          <w:tcPr>
            <w:tcW w:w="708" w:type="dxa"/>
            <w:noWrap/>
            <w:vAlign w:val="center"/>
          </w:tcPr>
          <w:p w14:paraId="658507AC">
            <w:pPr>
              <w:pStyle w:val="85"/>
              <w:rPr>
                <w:rFonts w:ascii="Times New Roman" w:hAnsi="Times New Roman" w:eastAsia="宋体"/>
                <w:lang w:val="en-US"/>
              </w:rPr>
            </w:pPr>
            <w:r>
              <w:rPr>
                <w:rFonts w:hint="eastAsia" w:ascii="Times New Roman" w:hAnsi="Times New Roman" w:eastAsia="宋体"/>
                <w:lang w:val="en-US"/>
              </w:rPr>
              <w:t>1小时</w:t>
            </w:r>
          </w:p>
        </w:tc>
        <w:tc>
          <w:tcPr>
            <w:tcW w:w="851" w:type="dxa"/>
            <w:noWrap/>
            <w:vAlign w:val="center"/>
          </w:tcPr>
          <w:p w14:paraId="224BCCB8">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0.2127</w:t>
            </w:r>
          </w:p>
        </w:tc>
        <w:tc>
          <w:tcPr>
            <w:tcW w:w="850" w:type="dxa"/>
            <w:noWrap/>
            <w:vAlign w:val="center"/>
          </w:tcPr>
          <w:p w14:paraId="6FF10AD8">
            <w:pPr>
              <w:adjustRightInd w:val="0"/>
              <w:snapToGrid w:val="0"/>
              <w:spacing w:line="240" w:lineRule="auto"/>
              <w:ind w:firstLine="0" w:firstLineChars="0"/>
              <w:jc w:val="center"/>
              <w:textAlignment w:val="center"/>
              <w:rPr>
                <w:rFonts w:hint="default"/>
                <w:sz w:val="21"/>
                <w:szCs w:val="21"/>
                <w:lang w:val="en-US"/>
              </w:rPr>
            </w:pPr>
            <w:r>
              <w:rPr>
                <w:rFonts w:hint="eastAsia"/>
                <w:sz w:val="21"/>
                <w:szCs w:val="21"/>
              </w:rPr>
              <w:t>2</w:t>
            </w:r>
            <w:r>
              <w:rPr>
                <w:sz w:val="21"/>
                <w:szCs w:val="21"/>
              </w:rPr>
              <w:t>2</w:t>
            </w:r>
            <w:r>
              <w:rPr>
                <w:rFonts w:hint="eastAsia"/>
                <w:sz w:val="21"/>
                <w:szCs w:val="21"/>
                <w:lang w:val="en-US" w:eastAsia="zh-CN"/>
              </w:rPr>
              <w:t>082821</w:t>
            </w:r>
          </w:p>
        </w:tc>
        <w:tc>
          <w:tcPr>
            <w:tcW w:w="851" w:type="dxa"/>
            <w:noWrap/>
            <w:vAlign w:val="center"/>
          </w:tcPr>
          <w:p w14:paraId="6A071EE1">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300</w:t>
            </w:r>
          </w:p>
        </w:tc>
        <w:tc>
          <w:tcPr>
            <w:tcW w:w="567" w:type="dxa"/>
            <w:noWrap/>
            <w:vAlign w:val="center"/>
          </w:tcPr>
          <w:p w14:paraId="5A5C05E6">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0.07</w:t>
            </w:r>
          </w:p>
        </w:tc>
        <w:tc>
          <w:tcPr>
            <w:tcW w:w="508" w:type="dxa"/>
            <w:noWrap/>
            <w:vAlign w:val="center"/>
          </w:tcPr>
          <w:p w14:paraId="4B360B5E">
            <w:pPr>
              <w:adjustRightInd w:val="0"/>
              <w:snapToGrid w:val="0"/>
              <w:spacing w:line="240" w:lineRule="auto"/>
              <w:ind w:firstLine="0" w:firstLineChars="0"/>
              <w:jc w:val="center"/>
              <w:textAlignment w:val="center"/>
              <w:rPr>
                <w:sz w:val="21"/>
                <w:szCs w:val="21"/>
              </w:rPr>
            </w:pPr>
            <w:r>
              <w:rPr>
                <w:sz w:val="21"/>
                <w:szCs w:val="21"/>
              </w:rPr>
              <w:t>达标</w:t>
            </w:r>
          </w:p>
        </w:tc>
      </w:tr>
      <w:tr w14:paraId="1F2B6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blHeader/>
          <w:jc w:val="center"/>
        </w:trPr>
        <w:tc>
          <w:tcPr>
            <w:tcW w:w="426" w:type="dxa"/>
            <w:noWrap/>
            <w:vAlign w:val="center"/>
          </w:tcPr>
          <w:p w14:paraId="7A0FAD5D">
            <w:pPr>
              <w:pStyle w:val="85"/>
              <w:rPr>
                <w:rFonts w:ascii="Times New Roman" w:hAnsi="Times New Roman" w:eastAsia="宋体"/>
                <w:lang w:val="en-US"/>
              </w:rPr>
            </w:pPr>
            <w:r>
              <w:rPr>
                <w:rFonts w:hint="eastAsia" w:ascii="Times New Roman" w:hAnsi="Times New Roman" w:eastAsia="宋体"/>
                <w:lang w:val="en-US"/>
              </w:rPr>
              <w:t>2</w:t>
            </w:r>
          </w:p>
        </w:tc>
        <w:tc>
          <w:tcPr>
            <w:tcW w:w="708" w:type="dxa"/>
            <w:vAlign w:val="center"/>
          </w:tcPr>
          <w:p w14:paraId="5859D761">
            <w:pPr>
              <w:pStyle w:val="85"/>
              <w:rPr>
                <w:rFonts w:ascii="Times New Roman" w:hAnsi="Times New Roman" w:eastAsia="宋体"/>
                <w:lang w:val="en-US" w:eastAsia="en-US"/>
              </w:rPr>
            </w:pPr>
            <w:r>
              <w:rPr>
                <w:rFonts w:ascii="Times New Roman" w:hAnsi="Times New Roman" w:eastAsia="宋体"/>
                <w:lang w:val="en-US" w:eastAsia="en-US"/>
              </w:rPr>
              <w:t>网格</w:t>
            </w:r>
          </w:p>
        </w:tc>
        <w:tc>
          <w:tcPr>
            <w:tcW w:w="993" w:type="dxa"/>
            <w:noWrap/>
            <w:vAlign w:val="center"/>
          </w:tcPr>
          <w:p w14:paraId="67EBE136">
            <w:pPr>
              <w:pStyle w:val="85"/>
              <w:rPr>
                <w:rFonts w:hint="default" w:ascii="Times New Roman" w:hAnsi="Times New Roman" w:eastAsia="宋体"/>
                <w:lang w:val="en-US" w:eastAsia="zh-CN"/>
              </w:rPr>
            </w:pPr>
            <w:r>
              <w:rPr>
                <w:rFonts w:ascii="Times New Roman" w:hAnsi="Times New Roman" w:eastAsia="宋体"/>
                <w:lang w:val="en-US"/>
              </w:rPr>
              <w:t>-</w:t>
            </w:r>
            <w:r>
              <w:rPr>
                <w:rFonts w:hint="eastAsia" w:ascii="Times New Roman" w:hAnsi="Times New Roman" w:eastAsia="宋体"/>
                <w:lang w:val="en-US" w:eastAsia="zh-CN"/>
              </w:rPr>
              <w:t>657</w:t>
            </w:r>
            <w:r>
              <w:rPr>
                <w:rFonts w:ascii="Times New Roman" w:hAnsi="Times New Roman" w:eastAsia="宋体"/>
                <w:lang w:val="en-US"/>
              </w:rPr>
              <w:t>，-</w:t>
            </w:r>
            <w:r>
              <w:rPr>
                <w:rFonts w:hint="eastAsia" w:ascii="Times New Roman" w:hAnsi="Times New Roman" w:eastAsia="宋体"/>
                <w:lang w:val="en-US" w:eastAsia="zh-CN"/>
              </w:rPr>
              <w:t>88</w:t>
            </w:r>
          </w:p>
        </w:tc>
        <w:tc>
          <w:tcPr>
            <w:tcW w:w="708" w:type="dxa"/>
            <w:noWrap/>
            <w:vAlign w:val="center"/>
          </w:tcPr>
          <w:p w14:paraId="3F4E5A8D">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w:t>
            </w:r>
            <w:r>
              <w:rPr>
                <w:rFonts w:hint="eastAsia" w:ascii="Times New Roman" w:hAnsi="Times New Roman" w:eastAsia="宋体"/>
                <w:lang w:val="en-US" w:eastAsia="zh-CN"/>
              </w:rPr>
              <w:t>5</w:t>
            </w:r>
            <w:r>
              <w:rPr>
                <w:rFonts w:ascii="Times New Roman" w:hAnsi="Times New Roman" w:eastAsia="宋体"/>
                <w:lang w:val="en-US"/>
              </w:rPr>
              <w:t>.</w:t>
            </w:r>
            <w:r>
              <w:rPr>
                <w:rFonts w:hint="eastAsia" w:ascii="Times New Roman" w:hAnsi="Times New Roman" w:eastAsia="宋体"/>
                <w:lang w:val="en-US" w:eastAsia="zh-CN"/>
              </w:rPr>
              <w:t>3</w:t>
            </w:r>
            <w:r>
              <w:rPr>
                <w:rFonts w:ascii="Times New Roman" w:hAnsi="Times New Roman" w:eastAsia="宋体"/>
                <w:lang w:val="en-US"/>
              </w:rPr>
              <w:t>0</w:t>
            </w:r>
          </w:p>
        </w:tc>
        <w:tc>
          <w:tcPr>
            <w:tcW w:w="851" w:type="dxa"/>
            <w:noWrap/>
            <w:vAlign w:val="center"/>
          </w:tcPr>
          <w:p w14:paraId="42D01B1B">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709" w:type="dxa"/>
            <w:noWrap/>
            <w:vAlign w:val="center"/>
          </w:tcPr>
          <w:p w14:paraId="7BA0E750">
            <w:pPr>
              <w:pStyle w:val="85"/>
              <w:rPr>
                <w:rFonts w:ascii="Times New Roman" w:hAnsi="Times New Roman" w:eastAsia="宋体"/>
                <w:lang w:val="en-US"/>
              </w:rPr>
            </w:pPr>
            <w:r>
              <w:rPr>
                <w:rFonts w:ascii="Times New Roman" w:hAnsi="Times New Roman" w:eastAsia="宋体"/>
                <w:lang w:val="en-US"/>
              </w:rPr>
              <w:t>1.5</w:t>
            </w:r>
          </w:p>
        </w:tc>
        <w:tc>
          <w:tcPr>
            <w:tcW w:w="708" w:type="dxa"/>
            <w:noWrap/>
            <w:vAlign w:val="center"/>
          </w:tcPr>
          <w:p w14:paraId="27E28888">
            <w:pPr>
              <w:pStyle w:val="85"/>
              <w:rPr>
                <w:rFonts w:ascii="Times New Roman" w:hAnsi="Times New Roman" w:eastAsia="宋体"/>
                <w:lang w:val="en-US" w:eastAsia="en-US"/>
              </w:rPr>
            </w:pPr>
            <w:r>
              <w:rPr>
                <w:rFonts w:hint="eastAsia" w:ascii="Times New Roman" w:hAnsi="Times New Roman" w:eastAsia="宋体"/>
                <w:lang w:val="en-US"/>
              </w:rPr>
              <w:t>1小时</w:t>
            </w:r>
          </w:p>
        </w:tc>
        <w:tc>
          <w:tcPr>
            <w:tcW w:w="851" w:type="dxa"/>
            <w:noWrap/>
            <w:vAlign w:val="center"/>
          </w:tcPr>
          <w:p w14:paraId="20C9A015">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0.7102</w:t>
            </w:r>
          </w:p>
        </w:tc>
        <w:tc>
          <w:tcPr>
            <w:tcW w:w="850" w:type="dxa"/>
            <w:noWrap/>
            <w:vAlign w:val="center"/>
          </w:tcPr>
          <w:p w14:paraId="7DE4B45F">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rPr>
              <w:t>2</w:t>
            </w:r>
            <w:r>
              <w:rPr>
                <w:sz w:val="21"/>
                <w:szCs w:val="21"/>
              </w:rPr>
              <w:t>20</w:t>
            </w:r>
            <w:r>
              <w:rPr>
                <w:rFonts w:hint="eastAsia"/>
                <w:sz w:val="21"/>
                <w:szCs w:val="21"/>
                <w:lang w:val="en-US" w:eastAsia="zh-CN"/>
              </w:rPr>
              <w:t>82919</w:t>
            </w:r>
          </w:p>
        </w:tc>
        <w:tc>
          <w:tcPr>
            <w:tcW w:w="851" w:type="dxa"/>
            <w:noWrap/>
            <w:vAlign w:val="center"/>
          </w:tcPr>
          <w:p w14:paraId="2D8B2804">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300</w:t>
            </w:r>
          </w:p>
        </w:tc>
        <w:tc>
          <w:tcPr>
            <w:tcW w:w="567" w:type="dxa"/>
            <w:noWrap/>
            <w:vAlign w:val="center"/>
          </w:tcPr>
          <w:p w14:paraId="526E17C2">
            <w:pPr>
              <w:adjustRightInd w:val="0"/>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0.24</w:t>
            </w:r>
          </w:p>
        </w:tc>
        <w:tc>
          <w:tcPr>
            <w:tcW w:w="508" w:type="dxa"/>
            <w:noWrap/>
            <w:vAlign w:val="center"/>
          </w:tcPr>
          <w:p w14:paraId="36FBB9B8">
            <w:pPr>
              <w:adjustRightInd w:val="0"/>
              <w:snapToGrid w:val="0"/>
              <w:spacing w:line="240" w:lineRule="auto"/>
              <w:ind w:firstLine="0" w:firstLineChars="0"/>
              <w:jc w:val="center"/>
              <w:textAlignment w:val="center"/>
              <w:rPr>
                <w:sz w:val="21"/>
                <w:szCs w:val="21"/>
              </w:rPr>
            </w:pPr>
            <w:r>
              <w:rPr>
                <w:sz w:val="21"/>
                <w:szCs w:val="21"/>
              </w:rPr>
              <w:t>达标</w:t>
            </w:r>
          </w:p>
        </w:tc>
      </w:tr>
      <w:tr w14:paraId="4212E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782894E8">
            <w:pPr>
              <w:pStyle w:val="85"/>
              <w:rPr>
                <w:rFonts w:ascii="Times New Roman" w:hAnsi="Times New Roman" w:eastAsia="宋体"/>
                <w:lang w:val="en-US" w:eastAsia="en-US"/>
              </w:rPr>
            </w:pPr>
            <w:r>
              <w:rPr>
                <w:rFonts w:ascii="Times New Roman" w:hAnsi="Times New Roman" w:eastAsia="宋体"/>
                <w:lang w:val="en-US" w:eastAsia="en-US"/>
              </w:rPr>
              <w:t>序号</w:t>
            </w:r>
          </w:p>
        </w:tc>
        <w:tc>
          <w:tcPr>
            <w:tcW w:w="708" w:type="dxa"/>
            <w:vAlign w:val="center"/>
          </w:tcPr>
          <w:p w14:paraId="667744AE">
            <w:pPr>
              <w:pStyle w:val="85"/>
              <w:rPr>
                <w:rFonts w:ascii="Times New Roman" w:hAnsi="Times New Roman" w:eastAsia="宋体"/>
                <w:lang w:val="en-US" w:eastAsia="en-US"/>
              </w:rPr>
            </w:pPr>
            <w:r>
              <w:rPr>
                <w:rFonts w:ascii="Times New Roman" w:hAnsi="Times New Roman" w:eastAsia="宋体"/>
                <w:lang w:val="en-US" w:eastAsia="en-US"/>
              </w:rPr>
              <w:t>点名称</w:t>
            </w:r>
          </w:p>
        </w:tc>
        <w:tc>
          <w:tcPr>
            <w:tcW w:w="993" w:type="dxa"/>
            <w:noWrap/>
            <w:vAlign w:val="center"/>
          </w:tcPr>
          <w:p w14:paraId="10A37EDE">
            <w:pPr>
              <w:pStyle w:val="85"/>
              <w:rPr>
                <w:rFonts w:ascii="Times New Roman" w:hAnsi="Times New Roman" w:eastAsia="宋体"/>
                <w:lang w:val="en-US" w:eastAsia="en-US"/>
              </w:rPr>
            </w:pPr>
            <w:r>
              <w:rPr>
                <w:rFonts w:ascii="Times New Roman" w:hAnsi="Times New Roman" w:eastAsia="宋体"/>
                <w:lang w:val="en-US" w:eastAsia="en-US"/>
              </w:rPr>
              <w:t>点坐标（x，y）</w:t>
            </w:r>
          </w:p>
        </w:tc>
        <w:tc>
          <w:tcPr>
            <w:tcW w:w="708" w:type="dxa"/>
            <w:noWrap/>
            <w:vAlign w:val="center"/>
          </w:tcPr>
          <w:p w14:paraId="5C2FC356">
            <w:pPr>
              <w:pStyle w:val="85"/>
              <w:rPr>
                <w:rFonts w:ascii="Times New Roman" w:hAnsi="Times New Roman" w:eastAsia="宋体"/>
                <w:lang w:val="en-US" w:eastAsia="en-US"/>
              </w:rPr>
            </w:pPr>
            <w:r>
              <w:rPr>
                <w:rFonts w:ascii="Times New Roman" w:hAnsi="Times New Roman" w:eastAsia="宋体"/>
                <w:lang w:val="en-US" w:eastAsia="en-US"/>
              </w:rPr>
              <w:t>地面高程（m）</w:t>
            </w:r>
          </w:p>
        </w:tc>
        <w:tc>
          <w:tcPr>
            <w:tcW w:w="851" w:type="dxa"/>
            <w:noWrap/>
            <w:vAlign w:val="center"/>
          </w:tcPr>
          <w:p w14:paraId="50293BC1">
            <w:pPr>
              <w:pStyle w:val="85"/>
              <w:rPr>
                <w:rFonts w:ascii="Times New Roman" w:hAnsi="Times New Roman" w:eastAsia="宋体"/>
                <w:lang w:val="en-US" w:eastAsia="en-US"/>
              </w:rPr>
            </w:pPr>
            <w:r>
              <w:rPr>
                <w:rFonts w:ascii="Times New Roman" w:hAnsi="Times New Roman" w:eastAsia="宋体"/>
                <w:lang w:val="en-US" w:eastAsia="en-US"/>
              </w:rPr>
              <w:t>山体高度尺度（m）</w:t>
            </w:r>
          </w:p>
        </w:tc>
        <w:tc>
          <w:tcPr>
            <w:tcW w:w="709" w:type="dxa"/>
            <w:noWrap/>
            <w:vAlign w:val="center"/>
          </w:tcPr>
          <w:p w14:paraId="704E3784">
            <w:pPr>
              <w:pStyle w:val="85"/>
              <w:rPr>
                <w:rFonts w:ascii="Times New Roman" w:hAnsi="Times New Roman" w:eastAsia="宋体"/>
                <w:lang w:val="en-US" w:eastAsia="en-US"/>
              </w:rPr>
            </w:pPr>
            <w:r>
              <w:rPr>
                <w:rFonts w:ascii="Times New Roman" w:hAnsi="Times New Roman" w:eastAsia="宋体"/>
                <w:lang w:val="en-US" w:eastAsia="en-US"/>
              </w:rPr>
              <w:t>离地高度（m）</w:t>
            </w:r>
          </w:p>
        </w:tc>
        <w:tc>
          <w:tcPr>
            <w:tcW w:w="708" w:type="dxa"/>
            <w:noWrap/>
            <w:vAlign w:val="center"/>
          </w:tcPr>
          <w:p w14:paraId="7E2F1124">
            <w:pPr>
              <w:pStyle w:val="85"/>
              <w:rPr>
                <w:rFonts w:ascii="Times New Roman" w:hAnsi="Times New Roman" w:eastAsia="宋体"/>
                <w:lang w:val="en-US" w:eastAsia="en-US"/>
              </w:rPr>
            </w:pPr>
            <w:r>
              <w:rPr>
                <w:rFonts w:ascii="Times New Roman" w:hAnsi="Times New Roman" w:eastAsia="宋体"/>
                <w:lang w:val="en-US" w:eastAsia="en-US"/>
              </w:rPr>
              <w:t>浓度类型</w:t>
            </w:r>
          </w:p>
        </w:tc>
        <w:tc>
          <w:tcPr>
            <w:tcW w:w="851" w:type="dxa"/>
            <w:noWrap/>
            <w:vAlign w:val="center"/>
          </w:tcPr>
          <w:p w14:paraId="0C5BC957">
            <w:pPr>
              <w:pStyle w:val="85"/>
              <w:rPr>
                <w:rFonts w:ascii="Times New Roman" w:hAnsi="Times New Roman" w:eastAsia="宋体"/>
                <w:lang w:val="en-US" w:eastAsia="en-US"/>
              </w:rPr>
            </w:pPr>
            <w:r>
              <w:rPr>
                <w:rFonts w:ascii="Times New Roman" w:hAnsi="Times New Roman" w:eastAsia="宋体"/>
                <w:lang w:val="en-US" w:eastAsia="en-US"/>
              </w:rPr>
              <w:t>浓度增量</w:t>
            </w:r>
          </w:p>
          <w:p w14:paraId="738AD591">
            <w:pPr>
              <w:pStyle w:val="85"/>
              <w:rPr>
                <w:rFonts w:ascii="Times New Roman" w:hAnsi="Times New Roman" w:eastAsia="宋体"/>
                <w:lang w:val="en-US" w:eastAsia="en-US"/>
              </w:rPr>
            </w:pPr>
            <w:r>
              <w:rPr>
                <w:rFonts w:ascii="Times New Roman" w:hAnsi="Times New Roman" w:eastAsia="宋体"/>
                <w:lang w:val="en-US" w:eastAsia="en-US"/>
              </w:rPr>
              <w:t>（</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50" w:type="dxa"/>
            <w:noWrap/>
            <w:vAlign w:val="center"/>
          </w:tcPr>
          <w:p w14:paraId="4780D704">
            <w:pPr>
              <w:pStyle w:val="85"/>
              <w:rPr>
                <w:rFonts w:ascii="Times New Roman" w:hAnsi="Times New Roman" w:eastAsia="宋体"/>
                <w:lang w:val="en-US"/>
              </w:rPr>
            </w:pPr>
            <w:r>
              <w:rPr>
                <w:rFonts w:ascii="Times New Roman" w:hAnsi="Times New Roman" w:eastAsia="宋体"/>
                <w:lang w:val="en-US"/>
              </w:rPr>
              <w:t>出现时间</w:t>
            </w:r>
          </w:p>
          <w:p w14:paraId="4D821FE9">
            <w:pPr>
              <w:pStyle w:val="85"/>
              <w:rPr>
                <w:rFonts w:ascii="Times New Roman" w:hAnsi="Times New Roman" w:eastAsia="宋体"/>
                <w:lang w:val="en-US"/>
              </w:rPr>
            </w:pPr>
            <w:r>
              <w:rPr>
                <w:rFonts w:ascii="Times New Roman" w:hAnsi="Times New Roman" w:eastAsia="宋体"/>
                <w:lang w:val="en-US"/>
              </w:rPr>
              <w:t>（YYMMDDHH）</w:t>
            </w:r>
          </w:p>
        </w:tc>
        <w:tc>
          <w:tcPr>
            <w:tcW w:w="851" w:type="dxa"/>
            <w:noWrap/>
            <w:vAlign w:val="center"/>
          </w:tcPr>
          <w:p w14:paraId="6707FE66">
            <w:pPr>
              <w:pStyle w:val="85"/>
              <w:rPr>
                <w:rFonts w:ascii="Times New Roman" w:hAnsi="Times New Roman" w:eastAsia="宋体"/>
                <w:lang w:val="en-US" w:eastAsia="en-US"/>
              </w:rPr>
            </w:pPr>
            <w:r>
              <w:rPr>
                <w:rFonts w:ascii="Times New Roman" w:hAnsi="Times New Roman" w:eastAsia="宋体"/>
                <w:lang w:val="en-US" w:eastAsia="en-US"/>
              </w:rPr>
              <w:t>评价标准（</w:t>
            </w:r>
            <w:r>
              <w:rPr>
                <w:rFonts w:ascii="Times New Roman" w:hAnsi="Times New Roman" w:eastAsia="仿宋_GB2312"/>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567" w:type="dxa"/>
            <w:noWrap/>
            <w:vAlign w:val="center"/>
          </w:tcPr>
          <w:p w14:paraId="2BB33CE3">
            <w:pPr>
              <w:pStyle w:val="85"/>
              <w:rPr>
                <w:rFonts w:ascii="Times New Roman" w:hAnsi="Times New Roman" w:eastAsia="宋体"/>
                <w:lang w:val="en-US" w:eastAsia="en-US"/>
              </w:rPr>
            </w:pPr>
            <w:r>
              <w:rPr>
                <w:rFonts w:ascii="Times New Roman" w:hAnsi="Times New Roman" w:eastAsia="宋体"/>
                <w:lang w:val="en-US" w:eastAsia="en-US"/>
              </w:rPr>
              <w:t>占标率%</w:t>
            </w:r>
          </w:p>
        </w:tc>
        <w:tc>
          <w:tcPr>
            <w:tcW w:w="508" w:type="dxa"/>
            <w:noWrap/>
            <w:vAlign w:val="center"/>
          </w:tcPr>
          <w:p w14:paraId="785D64D6">
            <w:pPr>
              <w:pStyle w:val="85"/>
              <w:rPr>
                <w:rFonts w:ascii="Times New Roman" w:hAnsi="Times New Roman" w:eastAsia="宋体"/>
                <w:lang w:val="en-US" w:eastAsia="en-US"/>
              </w:rPr>
            </w:pPr>
            <w:r>
              <w:rPr>
                <w:rFonts w:ascii="Times New Roman" w:hAnsi="Times New Roman" w:eastAsia="宋体"/>
                <w:lang w:val="en-US" w:eastAsia="en-US"/>
              </w:rPr>
              <w:t>是否</w:t>
            </w:r>
          </w:p>
          <w:p w14:paraId="5A1B52A0">
            <w:pPr>
              <w:pStyle w:val="85"/>
              <w:rPr>
                <w:rFonts w:ascii="Times New Roman" w:hAnsi="Times New Roman" w:eastAsia="宋体"/>
                <w:lang w:val="en-US" w:eastAsia="en-US"/>
              </w:rPr>
            </w:pPr>
            <w:r>
              <w:rPr>
                <w:rFonts w:ascii="Times New Roman" w:hAnsi="Times New Roman" w:eastAsia="宋体"/>
                <w:lang w:val="en-US" w:eastAsia="en-US"/>
              </w:rPr>
              <w:t>达标</w:t>
            </w:r>
          </w:p>
        </w:tc>
      </w:tr>
      <w:tr w14:paraId="226B8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78E1F519">
            <w:pPr>
              <w:pStyle w:val="85"/>
              <w:rPr>
                <w:rFonts w:ascii="Times New Roman" w:hAnsi="Times New Roman" w:eastAsia="宋体"/>
                <w:lang w:val="en-US"/>
              </w:rPr>
            </w:pPr>
            <w:r>
              <w:rPr>
                <w:rFonts w:hint="eastAsia" w:ascii="Times New Roman" w:hAnsi="Times New Roman" w:eastAsia="宋体"/>
                <w:lang w:val="en-US"/>
              </w:rPr>
              <w:t>1</w:t>
            </w:r>
          </w:p>
        </w:tc>
        <w:tc>
          <w:tcPr>
            <w:tcW w:w="708" w:type="dxa"/>
            <w:vAlign w:val="center"/>
          </w:tcPr>
          <w:p w14:paraId="59B008A8">
            <w:pPr>
              <w:pStyle w:val="85"/>
              <w:rPr>
                <w:rFonts w:ascii="Times New Roman" w:hAnsi="Times New Roman" w:eastAsia="宋体"/>
                <w:lang w:val="en-US"/>
              </w:rPr>
            </w:pPr>
            <w:r>
              <w:rPr>
                <w:rFonts w:ascii="Times New Roman" w:hAnsi="Times New Roman" w:eastAsia="宋体"/>
                <w:lang w:val="en-US"/>
              </w:rPr>
              <w:t>130团22连</w:t>
            </w:r>
          </w:p>
        </w:tc>
        <w:tc>
          <w:tcPr>
            <w:tcW w:w="993" w:type="dxa"/>
            <w:noWrap/>
            <w:vAlign w:val="center"/>
          </w:tcPr>
          <w:p w14:paraId="21F24857">
            <w:pPr>
              <w:pStyle w:val="85"/>
              <w:rPr>
                <w:rFonts w:ascii="Times New Roman" w:hAnsi="Times New Roman" w:eastAsia="宋体"/>
                <w:lang w:val="en-US" w:eastAsia="en-US"/>
              </w:rPr>
            </w:pPr>
            <w:r>
              <w:rPr>
                <w:rFonts w:ascii="Times New Roman" w:hAnsi="Times New Roman" w:eastAsia="宋体"/>
                <w:lang w:val="en-US" w:eastAsia="en-US"/>
              </w:rPr>
              <w:t>-1998，-1133</w:t>
            </w:r>
          </w:p>
        </w:tc>
        <w:tc>
          <w:tcPr>
            <w:tcW w:w="708" w:type="dxa"/>
            <w:noWrap/>
            <w:vAlign w:val="center"/>
          </w:tcPr>
          <w:p w14:paraId="108FF3C9">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851" w:type="dxa"/>
            <w:noWrap/>
            <w:vAlign w:val="center"/>
          </w:tcPr>
          <w:p w14:paraId="54458FC3">
            <w:pPr>
              <w:pStyle w:val="85"/>
              <w:rPr>
                <w:rFonts w:ascii="Times New Roman" w:hAnsi="Times New Roman" w:eastAsia="宋体"/>
                <w:lang w:val="en-US" w:eastAsia="en-US"/>
              </w:rPr>
            </w:pPr>
            <w:r>
              <w:rPr>
                <w:rFonts w:ascii="Times New Roman" w:hAnsi="Times New Roman" w:eastAsia="宋体"/>
                <w:lang w:val="en-US" w:eastAsia="en-US"/>
              </w:rPr>
              <w:t>316.34</w:t>
            </w:r>
          </w:p>
        </w:tc>
        <w:tc>
          <w:tcPr>
            <w:tcW w:w="709" w:type="dxa"/>
            <w:noWrap/>
            <w:vAlign w:val="center"/>
          </w:tcPr>
          <w:p w14:paraId="4BCCEC6E">
            <w:pPr>
              <w:pStyle w:val="85"/>
              <w:rPr>
                <w:rFonts w:ascii="Times New Roman" w:hAnsi="Times New Roman" w:eastAsia="宋体"/>
                <w:lang w:val="en-US" w:eastAsia="en-US"/>
              </w:rPr>
            </w:pPr>
            <w:r>
              <w:rPr>
                <w:rFonts w:ascii="Times New Roman" w:hAnsi="Times New Roman" w:eastAsia="宋体"/>
                <w:lang w:val="en-US" w:eastAsia="en-US"/>
              </w:rPr>
              <w:t>1.5</w:t>
            </w:r>
          </w:p>
        </w:tc>
        <w:tc>
          <w:tcPr>
            <w:tcW w:w="708" w:type="dxa"/>
            <w:noWrap/>
            <w:vAlign w:val="center"/>
          </w:tcPr>
          <w:p w14:paraId="48E14961">
            <w:pPr>
              <w:pStyle w:val="85"/>
              <w:rPr>
                <w:rFonts w:ascii="Times New Roman" w:hAnsi="Times New Roman" w:eastAsia="宋体"/>
                <w:lang w:val="en-US"/>
              </w:rPr>
            </w:pPr>
            <w:r>
              <w:rPr>
                <w:rFonts w:hint="eastAsia" w:ascii="Times New Roman" w:hAnsi="Times New Roman" w:eastAsia="宋体"/>
                <w:lang w:val="en-US"/>
              </w:rPr>
              <w:t>1小时</w:t>
            </w:r>
          </w:p>
        </w:tc>
        <w:tc>
          <w:tcPr>
            <w:tcW w:w="851" w:type="dxa"/>
            <w:noWrap/>
            <w:vAlign w:val="center"/>
          </w:tcPr>
          <w:p w14:paraId="69DF5E27">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7.4348</w:t>
            </w:r>
          </w:p>
        </w:tc>
        <w:tc>
          <w:tcPr>
            <w:tcW w:w="850" w:type="dxa"/>
            <w:noWrap/>
            <w:vAlign w:val="center"/>
          </w:tcPr>
          <w:p w14:paraId="4E323680">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2011606</w:t>
            </w:r>
          </w:p>
        </w:tc>
        <w:tc>
          <w:tcPr>
            <w:tcW w:w="851" w:type="dxa"/>
            <w:noWrap/>
            <w:vAlign w:val="center"/>
          </w:tcPr>
          <w:p w14:paraId="2C5EF87C">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000</w:t>
            </w:r>
          </w:p>
        </w:tc>
        <w:tc>
          <w:tcPr>
            <w:tcW w:w="567" w:type="dxa"/>
            <w:noWrap/>
            <w:vAlign w:val="center"/>
          </w:tcPr>
          <w:p w14:paraId="660E59D9">
            <w:pPr>
              <w:adjustRightInd w:val="0"/>
              <w:snapToGrid w:val="0"/>
              <w:spacing w:line="240" w:lineRule="auto"/>
              <w:ind w:firstLine="0" w:firstLineChars="0"/>
              <w:jc w:val="center"/>
              <w:textAlignment w:val="center"/>
              <w:rPr>
                <w:sz w:val="21"/>
                <w:szCs w:val="21"/>
              </w:rPr>
            </w:pPr>
            <w:r>
              <w:rPr>
                <w:rFonts w:hint="eastAsia"/>
                <w:sz w:val="21"/>
                <w:szCs w:val="21"/>
              </w:rPr>
              <w:t>1</w:t>
            </w:r>
            <w:r>
              <w:rPr>
                <w:sz w:val="21"/>
                <w:szCs w:val="21"/>
              </w:rPr>
              <w:t>.37</w:t>
            </w:r>
          </w:p>
        </w:tc>
        <w:tc>
          <w:tcPr>
            <w:tcW w:w="508" w:type="dxa"/>
            <w:noWrap/>
            <w:vAlign w:val="center"/>
          </w:tcPr>
          <w:p w14:paraId="0599FE5E">
            <w:pPr>
              <w:adjustRightInd w:val="0"/>
              <w:snapToGrid w:val="0"/>
              <w:spacing w:line="240" w:lineRule="auto"/>
              <w:ind w:firstLine="0" w:firstLineChars="0"/>
              <w:jc w:val="center"/>
              <w:textAlignment w:val="center"/>
              <w:rPr>
                <w:sz w:val="21"/>
                <w:szCs w:val="21"/>
              </w:rPr>
            </w:pPr>
            <w:r>
              <w:rPr>
                <w:sz w:val="21"/>
                <w:szCs w:val="21"/>
              </w:rPr>
              <w:t>达标</w:t>
            </w:r>
          </w:p>
        </w:tc>
      </w:tr>
      <w:tr w14:paraId="3733E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26" w:type="dxa"/>
            <w:noWrap/>
            <w:vAlign w:val="center"/>
          </w:tcPr>
          <w:p w14:paraId="65BA4C80">
            <w:pPr>
              <w:pStyle w:val="85"/>
              <w:rPr>
                <w:rFonts w:ascii="Times New Roman" w:hAnsi="Times New Roman" w:eastAsia="宋体"/>
                <w:lang w:val="en-US"/>
              </w:rPr>
            </w:pPr>
            <w:r>
              <w:rPr>
                <w:rFonts w:hint="eastAsia" w:ascii="Times New Roman" w:hAnsi="Times New Roman" w:eastAsia="宋体"/>
                <w:lang w:val="en-US"/>
              </w:rPr>
              <w:t>2</w:t>
            </w:r>
          </w:p>
        </w:tc>
        <w:tc>
          <w:tcPr>
            <w:tcW w:w="708" w:type="dxa"/>
            <w:vAlign w:val="center"/>
          </w:tcPr>
          <w:p w14:paraId="77277F70">
            <w:pPr>
              <w:pStyle w:val="85"/>
              <w:rPr>
                <w:rFonts w:ascii="Times New Roman" w:hAnsi="Times New Roman" w:eastAsia="宋体"/>
                <w:lang w:val="en-US" w:eastAsia="en-US"/>
              </w:rPr>
            </w:pPr>
            <w:r>
              <w:rPr>
                <w:rFonts w:ascii="Times New Roman" w:hAnsi="Times New Roman" w:eastAsia="宋体"/>
                <w:lang w:val="en-US" w:eastAsia="en-US"/>
              </w:rPr>
              <w:t>网格</w:t>
            </w:r>
          </w:p>
        </w:tc>
        <w:tc>
          <w:tcPr>
            <w:tcW w:w="993" w:type="dxa"/>
            <w:noWrap/>
            <w:vAlign w:val="center"/>
          </w:tcPr>
          <w:p w14:paraId="0150699D">
            <w:pPr>
              <w:pStyle w:val="85"/>
              <w:rPr>
                <w:rFonts w:ascii="Times New Roman" w:hAnsi="Times New Roman" w:eastAsia="宋体"/>
                <w:lang w:val="en-US"/>
              </w:rPr>
            </w:pPr>
            <w:r>
              <w:rPr>
                <w:rFonts w:ascii="Times New Roman" w:hAnsi="Times New Roman" w:eastAsia="宋体"/>
                <w:lang w:val="en-US"/>
              </w:rPr>
              <w:t>-357，-12</w:t>
            </w:r>
          </w:p>
        </w:tc>
        <w:tc>
          <w:tcPr>
            <w:tcW w:w="708" w:type="dxa"/>
            <w:noWrap/>
            <w:vAlign w:val="center"/>
          </w:tcPr>
          <w:p w14:paraId="3C58DC5C">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851" w:type="dxa"/>
            <w:noWrap/>
            <w:vAlign w:val="center"/>
          </w:tcPr>
          <w:p w14:paraId="6D41EB1B">
            <w:pPr>
              <w:pStyle w:val="85"/>
              <w:rPr>
                <w:rFonts w:ascii="Times New Roman" w:hAnsi="Times New Roman" w:eastAsia="宋体"/>
                <w:lang w:val="en-US"/>
              </w:rPr>
            </w:pPr>
            <w:r>
              <w:rPr>
                <w:rFonts w:hint="eastAsia" w:ascii="Times New Roman" w:hAnsi="Times New Roman" w:eastAsia="宋体"/>
                <w:lang w:val="en-US"/>
              </w:rPr>
              <w:t>3</w:t>
            </w:r>
            <w:r>
              <w:rPr>
                <w:rFonts w:ascii="Times New Roman" w:hAnsi="Times New Roman" w:eastAsia="宋体"/>
                <w:lang w:val="en-US"/>
              </w:rPr>
              <w:t>14.40</w:t>
            </w:r>
          </w:p>
        </w:tc>
        <w:tc>
          <w:tcPr>
            <w:tcW w:w="709" w:type="dxa"/>
            <w:noWrap/>
            <w:vAlign w:val="center"/>
          </w:tcPr>
          <w:p w14:paraId="67553AA0">
            <w:pPr>
              <w:pStyle w:val="85"/>
              <w:rPr>
                <w:rFonts w:ascii="Times New Roman" w:hAnsi="Times New Roman" w:eastAsia="宋体"/>
                <w:lang w:val="en-US"/>
              </w:rPr>
            </w:pPr>
            <w:r>
              <w:rPr>
                <w:rFonts w:ascii="Times New Roman" w:hAnsi="Times New Roman" w:eastAsia="宋体"/>
                <w:lang w:val="en-US"/>
              </w:rPr>
              <w:t>1.5</w:t>
            </w:r>
          </w:p>
        </w:tc>
        <w:tc>
          <w:tcPr>
            <w:tcW w:w="708" w:type="dxa"/>
            <w:noWrap/>
            <w:vAlign w:val="center"/>
          </w:tcPr>
          <w:p w14:paraId="0F39C1F1">
            <w:pPr>
              <w:pStyle w:val="85"/>
              <w:rPr>
                <w:rFonts w:ascii="Times New Roman" w:hAnsi="Times New Roman" w:eastAsia="宋体"/>
                <w:lang w:val="en-US" w:eastAsia="en-US"/>
              </w:rPr>
            </w:pPr>
            <w:r>
              <w:rPr>
                <w:rFonts w:hint="eastAsia" w:ascii="Times New Roman" w:hAnsi="Times New Roman" w:eastAsia="宋体"/>
                <w:lang w:val="en-US"/>
              </w:rPr>
              <w:t>1小时</w:t>
            </w:r>
          </w:p>
        </w:tc>
        <w:tc>
          <w:tcPr>
            <w:tcW w:w="851" w:type="dxa"/>
            <w:noWrap/>
            <w:vAlign w:val="center"/>
          </w:tcPr>
          <w:p w14:paraId="4565FD2C">
            <w:pPr>
              <w:adjustRightInd w:val="0"/>
              <w:snapToGrid w:val="0"/>
              <w:spacing w:line="240" w:lineRule="auto"/>
              <w:ind w:firstLine="0" w:firstLineChars="0"/>
              <w:jc w:val="center"/>
              <w:textAlignment w:val="center"/>
              <w:rPr>
                <w:sz w:val="21"/>
                <w:szCs w:val="21"/>
              </w:rPr>
            </w:pPr>
            <w:r>
              <w:rPr>
                <w:rFonts w:hint="eastAsia"/>
                <w:sz w:val="21"/>
                <w:szCs w:val="21"/>
              </w:rPr>
              <w:t>1</w:t>
            </w:r>
            <w:r>
              <w:rPr>
                <w:sz w:val="21"/>
                <w:szCs w:val="21"/>
              </w:rPr>
              <w:t>96.4202</w:t>
            </w:r>
          </w:p>
        </w:tc>
        <w:tc>
          <w:tcPr>
            <w:tcW w:w="850" w:type="dxa"/>
            <w:noWrap/>
            <w:vAlign w:val="center"/>
          </w:tcPr>
          <w:p w14:paraId="43DBAAAB">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2011606</w:t>
            </w:r>
          </w:p>
        </w:tc>
        <w:tc>
          <w:tcPr>
            <w:tcW w:w="851" w:type="dxa"/>
            <w:noWrap/>
            <w:vAlign w:val="center"/>
          </w:tcPr>
          <w:p w14:paraId="413BD081">
            <w:pPr>
              <w:adjustRightInd w:val="0"/>
              <w:snapToGrid w:val="0"/>
              <w:spacing w:line="240" w:lineRule="auto"/>
              <w:ind w:firstLine="0" w:firstLineChars="0"/>
              <w:jc w:val="center"/>
              <w:textAlignment w:val="center"/>
              <w:rPr>
                <w:sz w:val="21"/>
                <w:szCs w:val="21"/>
              </w:rPr>
            </w:pPr>
            <w:r>
              <w:rPr>
                <w:rFonts w:hint="eastAsia"/>
                <w:sz w:val="21"/>
                <w:szCs w:val="21"/>
              </w:rPr>
              <w:t>2</w:t>
            </w:r>
            <w:r>
              <w:rPr>
                <w:sz w:val="21"/>
                <w:szCs w:val="21"/>
              </w:rPr>
              <w:t>000</w:t>
            </w:r>
          </w:p>
        </w:tc>
        <w:tc>
          <w:tcPr>
            <w:tcW w:w="567" w:type="dxa"/>
            <w:noWrap/>
            <w:vAlign w:val="center"/>
          </w:tcPr>
          <w:p w14:paraId="0A67356E">
            <w:pPr>
              <w:adjustRightInd w:val="0"/>
              <w:snapToGrid w:val="0"/>
              <w:spacing w:line="240" w:lineRule="auto"/>
              <w:ind w:firstLine="0" w:firstLineChars="0"/>
              <w:jc w:val="center"/>
              <w:textAlignment w:val="center"/>
              <w:rPr>
                <w:sz w:val="21"/>
                <w:szCs w:val="21"/>
              </w:rPr>
            </w:pPr>
            <w:r>
              <w:rPr>
                <w:rFonts w:hint="eastAsia"/>
                <w:sz w:val="21"/>
                <w:szCs w:val="21"/>
              </w:rPr>
              <w:t>9</w:t>
            </w:r>
            <w:r>
              <w:rPr>
                <w:sz w:val="21"/>
                <w:szCs w:val="21"/>
              </w:rPr>
              <w:t>.82</w:t>
            </w:r>
          </w:p>
        </w:tc>
        <w:tc>
          <w:tcPr>
            <w:tcW w:w="508" w:type="dxa"/>
            <w:noWrap/>
            <w:vAlign w:val="center"/>
          </w:tcPr>
          <w:p w14:paraId="2972A692">
            <w:pPr>
              <w:adjustRightInd w:val="0"/>
              <w:snapToGrid w:val="0"/>
              <w:spacing w:line="240" w:lineRule="auto"/>
              <w:ind w:firstLine="0" w:firstLineChars="0"/>
              <w:jc w:val="center"/>
              <w:textAlignment w:val="center"/>
              <w:rPr>
                <w:sz w:val="21"/>
                <w:szCs w:val="21"/>
              </w:rPr>
            </w:pPr>
            <w:r>
              <w:rPr>
                <w:sz w:val="21"/>
                <w:szCs w:val="21"/>
              </w:rPr>
              <w:t>达标</w:t>
            </w:r>
          </w:p>
        </w:tc>
      </w:tr>
    </w:tbl>
    <w:p w14:paraId="11EF7872">
      <w:pPr>
        <w:pStyle w:val="47"/>
        <w:spacing w:before="65" w:after="0"/>
      </w:pPr>
    </w:p>
    <w:p w14:paraId="35EB3512">
      <w:pPr>
        <w:ind w:firstLine="480"/>
        <w:rPr>
          <w:lang w:bidi="en-US"/>
        </w:rPr>
      </w:pPr>
      <w:r>
        <w:rPr>
          <w:rFonts w:hint="eastAsia"/>
          <w:bCs/>
          <w:lang w:bidi="en-US"/>
        </w:rPr>
        <w:t>综上所述，敏感目标1</w:t>
      </w:r>
      <w:r>
        <w:rPr>
          <w:bCs/>
          <w:lang w:bidi="en-US"/>
        </w:rPr>
        <w:t>30</w:t>
      </w:r>
      <w:r>
        <w:rPr>
          <w:rFonts w:hint="eastAsia"/>
          <w:bCs/>
          <w:lang w:bidi="en-US"/>
        </w:rPr>
        <w:t>团22连二氧化硫1小时贡献浓度值为0</w:t>
      </w:r>
      <w:r>
        <w:rPr>
          <w:bCs/>
          <w:lang w:bidi="en-US"/>
        </w:rPr>
        <w:t>.0217</w:t>
      </w:r>
      <w:r>
        <w:rPr>
          <w:rFonts w:eastAsia="仿宋_GB2312"/>
        </w:rPr>
        <w:t>μ</w:t>
      </w:r>
      <w:r>
        <w:t>g/m</w:t>
      </w:r>
      <w:r>
        <w:rPr>
          <w:vertAlign w:val="superscript"/>
        </w:rPr>
        <w:t>3</w:t>
      </w:r>
      <w:r>
        <w:rPr>
          <w:rFonts w:hint="eastAsia"/>
        </w:rPr>
        <w:t>，占标率为0</w:t>
      </w:r>
      <w:r>
        <w:t>.0000434%</w:t>
      </w:r>
      <w:r>
        <w:rPr>
          <w:rFonts w:hint="eastAsia"/>
        </w:rPr>
        <w:t>、氮氧化物</w:t>
      </w:r>
      <w:r>
        <w:rPr>
          <w:rFonts w:hint="eastAsia"/>
          <w:bCs/>
          <w:lang w:bidi="en-US"/>
        </w:rPr>
        <w:t>1小时贡献浓度值为</w:t>
      </w:r>
      <w:r>
        <w:rPr>
          <w:bCs/>
          <w:lang w:bidi="en-US"/>
        </w:rPr>
        <w:t>0.1652</w:t>
      </w:r>
      <w:r>
        <w:rPr>
          <w:rFonts w:eastAsia="仿宋_GB2312"/>
        </w:rPr>
        <w:t>μ</w:t>
      </w:r>
      <w:r>
        <w:t>g/m</w:t>
      </w:r>
      <w:r>
        <w:rPr>
          <w:vertAlign w:val="superscript"/>
        </w:rPr>
        <w:t>3</w:t>
      </w:r>
      <w:r>
        <w:rPr>
          <w:rFonts w:hint="eastAsia"/>
        </w:rPr>
        <w:t>，占标率为0</w:t>
      </w:r>
      <w:r>
        <w:t>.08%</w:t>
      </w:r>
      <w:r>
        <w:rPr>
          <w:rFonts w:hint="eastAsia"/>
        </w:rPr>
        <w:t>、</w:t>
      </w:r>
      <w:r>
        <w:rPr>
          <w:rFonts w:hint="eastAsia"/>
          <w:bCs/>
          <w:lang w:bidi="en-US"/>
        </w:rPr>
        <w:t>非甲烷总烃在1小时贡献浓度值为2</w:t>
      </w:r>
      <w:r>
        <w:rPr>
          <w:bCs/>
          <w:lang w:bidi="en-US"/>
        </w:rPr>
        <w:t>7.4348</w:t>
      </w:r>
      <w:r>
        <w:rPr>
          <w:rFonts w:eastAsia="仿宋_GB2312"/>
        </w:rPr>
        <w:t>μ</w:t>
      </w:r>
      <w:r>
        <w:t>g/m</w:t>
      </w:r>
      <w:r>
        <w:rPr>
          <w:vertAlign w:val="superscript"/>
        </w:rPr>
        <w:t>3</w:t>
      </w:r>
      <w:r>
        <w:rPr>
          <w:rFonts w:hint="eastAsia"/>
        </w:rPr>
        <w:t>，占标率为1</w:t>
      </w:r>
      <w:r>
        <w:t>.37%</w:t>
      </w:r>
      <w:r>
        <w:rPr>
          <w:rFonts w:hint="eastAsia"/>
        </w:rPr>
        <w:t>；在</w:t>
      </w:r>
      <w:r>
        <w:rPr>
          <w:rFonts w:hint="eastAsia"/>
          <w:bCs/>
          <w:lang w:bidi="en-US"/>
        </w:rPr>
        <w:t>所有计算网格点的最大1小时贡献浓度值为1</w:t>
      </w:r>
      <w:r>
        <w:rPr>
          <w:bCs/>
          <w:lang w:bidi="en-US"/>
        </w:rPr>
        <w:t>96.4202</w:t>
      </w:r>
      <w:r>
        <w:rPr>
          <w:rFonts w:eastAsia="仿宋_GB2312"/>
        </w:rPr>
        <w:t>μ</w:t>
      </w:r>
      <w:r>
        <w:t>g/m</w:t>
      </w:r>
      <w:r>
        <w:rPr>
          <w:vertAlign w:val="superscript"/>
        </w:rPr>
        <w:t>3</w:t>
      </w:r>
      <w:r>
        <w:rPr>
          <w:rFonts w:hint="eastAsia"/>
        </w:rPr>
        <w:t>，占标率为9</w:t>
      </w:r>
      <w:r>
        <w:t>.82%</w:t>
      </w:r>
      <w:r>
        <w:rPr>
          <w:rFonts w:hint="eastAsia"/>
        </w:rPr>
        <w:t>，</w:t>
      </w:r>
      <w:r>
        <w:rPr>
          <w:rFonts w:hint="eastAsia"/>
          <w:bCs/>
          <w:lang w:bidi="en-US"/>
        </w:rPr>
        <w:t>小于</w:t>
      </w:r>
      <w:r>
        <w:rPr>
          <w:bCs/>
          <w:lang w:bidi="en-US"/>
        </w:rPr>
        <w:t>30.0</w:t>
      </w:r>
      <w:r>
        <w:rPr>
          <w:rFonts w:hint="eastAsia"/>
          <w:bCs/>
          <w:lang w:bidi="en-US"/>
        </w:rPr>
        <w:t>%，符合大气导则“新增污染源正常排放下污染物年均浓度贡献值的最大浓度占标率≤30%”的可行性要求。</w:t>
      </w:r>
    </w:p>
    <w:p w14:paraId="6433301F">
      <w:pPr>
        <w:pStyle w:val="45"/>
        <w:spacing w:before="65" w:after="65"/>
        <w:rPr>
          <w:lang w:bidi="en-US"/>
        </w:rPr>
      </w:pPr>
      <w:r>
        <w:rPr>
          <w:lang w:bidi="en-US"/>
        </w:rPr>
        <w:t>环境影响叠加预测</w:t>
      </w:r>
    </w:p>
    <w:p w14:paraId="7707C5D6">
      <w:pPr>
        <w:ind w:firstLine="480"/>
        <w:rPr>
          <w:lang w:bidi="en-US"/>
        </w:rPr>
      </w:pPr>
      <w:r>
        <w:rPr>
          <w:rFonts w:hint="eastAsia"/>
          <w:lang w:bidi="en-US"/>
        </w:rPr>
        <w:t>本次预测评价叠加其他拟建项目、环境空气质量现状浓度后，环境空气保护目标、监测点和网格点主要污染物的保证率日平均质量浓度和年平均质量浓度的达标情况，叠加后污染物最大落地浓度预测结果见下表及下图。</w:t>
      </w:r>
    </w:p>
    <w:p w14:paraId="38ACA474">
      <w:pPr>
        <w:pStyle w:val="47"/>
        <w:spacing w:before="65"/>
        <w:rPr>
          <w:lang w:bidi="en-US"/>
        </w:rPr>
      </w:pPr>
      <w:r>
        <w:rPr>
          <w:rFonts w:hint="eastAsia"/>
          <w:lang w:bidi="en-US"/>
        </w:rPr>
        <w:t>表5</w:t>
      </w:r>
      <w:r>
        <w:rPr>
          <w:lang w:bidi="en-US"/>
        </w:rPr>
        <w:t>.1-1</w:t>
      </w:r>
      <w:r>
        <w:rPr>
          <w:rFonts w:hint="eastAsia"/>
          <w:lang w:val="en-US" w:eastAsia="zh-CN" w:bidi="en-US"/>
        </w:rPr>
        <w:t>9</w:t>
      </w:r>
      <w:r>
        <w:rPr>
          <w:lang w:bidi="en-US"/>
        </w:rPr>
        <w:t xml:space="preserve">   </w:t>
      </w:r>
      <w:r>
        <w:rPr>
          <w:rFonts w:hint="eastAsia"/>
          <w:lang w:bidi="en-US"/>
        </w:rPr>
        <w:t>二氧化硫叠加拟建项目源强后预测结果统计一览表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8"/>
        <w:gridCol w:w="573"/>
        <w:gridCol w:w="850"/>
        <w:gridCol w:w="709"/>
        <w:gridCol w:w="709"/>
        <w:gridCol w:w="850"/>
        <w:gridCol w:w="993"/>
        <w:gridCol w:w="850"/>
        <w:gridCol w:w="992"/>
        <w:gridCol w:w="851"/>
        <w:gridCol w:w="567"/>
        <w:gridCol w:w="508"/>
      </w:tblGrid>
      <w:tr w14:paraId="13BF7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10318E42">
            <w:pPr>
              <w:pStyle w:val="90"/>
              <w:rPr>
                <w:lang w:bidi="ar"/>
              </w:rPr>
            </w:pPr>
            <w:r>
              <w:rPr>
                <w:lang w:bidi="ar"/>
              </w:rPr>
              <w:t>序号</w:t>
            </w:r>
          </w:p>
        </w:tc>
        <w:tc>
          <w:tcPr>
            <w:tcW w:w="573" w:type="dxa"/>
            <w:vAlign w:val="center"/>
          </w:tcPr>
          <w:p w14:paraId="7A3A5BE1">
            <w:pPr>
              <w:pStyle w:val="90"/>
              <w:rPr>
                <w:lang w:bidi="ar"/>
              </w:rPr>
            </w:pPr>
            <w:r>
              <w:rPr>
                <w:lang w:bidi="ar"/>
              </w:rPr>
              <w:t>点名称</w:t>
            </w:r>
          </w:p>
        </w:tc>
        <w:tc>
          <w:tcPr>
            <w:tcW w:w="850" w:type="dxa"/>
            <w:noWrap/>
            <w:vAlign w:val="center"/>
          </w:tcPr>
          <w:p w14:paraId="4C124B5E">
            <w:pPr>
              <w:pStyle w:val="90"/>
              <w:rPr>
                <w:lang w:bidi="ar"/>
              </w:rPr>
            </w:pPr>
            <w:r>
              <w:rPr>
                <w:lang w:bidi="ar"/>
              </w:rPr>
              <w:t>点坐标（x，y）</w:t>
            </w:r>
          </w:p>
        </w:tc>
        <w:tc>
          <w:tcPr>
            <w:tcW w:w="709" w:type="dxa"/>
            <w:noWrap/>
            <w:vAlign w:val="center"/>
          </w:tcPr>
          <w:p w14:paraId="77014820">
            <w:pPr>
              <w:pStyle w:val="90"/>
              <w:rPr>
                <w:lang w:bidi="ar"/>
              </w:rPr>
            </w:pPr>
            <w:r>
              <w:rPr>
                <w:lang w:bidi="ar"/>
              </w:rPr>
              <w:t>地面高程（m）</w:t>
            </w:r>
          </w:p>
        </w:tc>
        <w:tc>
          <w:tcPr>
            <w:tcW w:w="709" w:type="dxa"/>
            <w:noWrap/>
            <w:vAlign w:val="center"/>
          </w:tcPr>
          <w:p w14:paraId="7D77DCD7">
            <w:pPr>
              <w:pStyle w:val="90"/>
              <w:rPr>
                <w:lang w:bidi="ar"/>
              </w:rPr>
            </w:pPr>
            <w:r>
              <w:rPr>
                <w:lang w:bidi="ar"/>
              </w:rPr>
              <w:t>浓度类型</w:t>
            </w:r>
          </w:p>
        </w:tc>
        <w:tc>
          <w:tcPr>
            <w:tcW w:w="850" w:type="dxa"/>
            <w:noWrap/>
            <w:vAlign w:val="center"/>
          </w:tcPr>
          <w:p w14:paraId="382B370A">
            <w:pPr>
              <w:pStyle w:val="90"/>
              <w:rPr>
                <w:lang w:bidi="ar"/>
              </w:rPr>
            </w:pPr>
            <w:r>
              <w:rPr>
                <w:lang w:bidi="ar"/>
              </w:rPr>
              <w:t>浓度增量（μg/m</w:t>
            </w:r>
            <w:r>
              <w:rPr>
                <w:vertAlign w:val="superscript"/>
                <w:lang w:bidi="ar"/>
              </w:rPr>
              <w:t>3</w:t>
            </w:r>
            <w:r>
              <w:rPr>
                <w:lang w:bidi="ar"/>
              </w:rPr>
              <w:t>）</w:t>
            </w:r>
          </w:p>
        </w:tc>
        <w:tc>
          <w:tcPr>
            <w:tcW w:w="993" w:type="dxa"/>
            <w:noWrap/>
            <w:vAlign w:val="center"/>
          </w:tcPr>
          <w:p w14:paraId="026AF8EA">
            <w:pPr>
              <w:pStyle w:val="90"/>
              <w:rPr>
                <w:lang w:bidi="ar"/>
              </w:rPr>
            </w:pPr>
            <w:r>
              <w:rPr>
                <w:lang w:bidi="ar"/>
              </w:rPr>
              <w:t>出现时间</w:t>
            </w:r>
          </w:p>
          <w:p w14:paraId="653C96C7">
            <w:pPr>
              <w:pStyle w:val="90"/>
              <w:rPr>
                <w:lang w:bidi="ar"/>
              </w:rPr>
            </w:pPr>
            <w:r>
              <w:rPr>
                <w:lang w:bidi="ar"/>
              </w:rPr>
              <w:t>（YYMMDDHH）</w:t>
            </w:r>
          </w:p>
        </w:tc>
        <w:tc>
          <w:tcPr>
            <w:tcW w:w="850" w:type="dxa"/>
            <w:noWrap/>
            <w:vAlign w:val="center"/>
          </w:tcPr>
          <w:p w14:paraId="59F875FB">
            <w:pPr>
              <w:pStyle w:val="90"/>
              <w:rPr>
                <w:lang w:bidi="ar"/>
              </w:rPr>
            </w:pPr>
            <w:r>
              <w:rPr>
                <w:lang w:bidi="ar"/>
              </w:rPr>
              <w:t>背景浓度（μg/m</w:t>
            </w:r>
            <w:r>
              <w:rPr>
                <w:vertAlign w:val="superscript"/>
                <w:lang w:bidi="ar"/>
              </w:rPr>
              <w:t>3</w:t>
            </w:r>
            <w:r>
              <w:rPr>
                <w:lang w:bidi="ar"/>
              </w:rPr>
              <w:t>）</w:t>
            </w:r>
          </w:p>
        </w:tc>
        <w:tc>
          <w:tcPr>
            <w:tcW w:w="992" w:type="dxa"/>
            <w:noWrap/>
            <w:vAlign w:val="center"/>
          </w:tcPr>
          <w:p w14:paraId="33949BD8">
            <w:pPr>
              <w:pStyle w:val="90"/>
              <w:rPr>
                <w:lang w:bidi="ar"/>
              </w:rPr>
            </w:pPr>
            <w:r>
              <w:rPr>
                <w:lang w:bidi="ar"/>
              </w:rPr>
              <w:t>叠加背景后的浓度（μg/m</w:t>
            </w:r>
            <w:r>
              <w:rPr>
                <w:vertAlign w:val="superscript"/>
                <w:lang w:bidi="ar"/>
              </w:rPr>
              <w:t>3</w:t>
            </w:r>
            <w:r>
              <w:rPr>
                <w:lang w:bidi="ar"/>
              </w:rPr>
              <w:t>）</w:t>
            </w:r>
          </w:p>
        </w:tc>
        <w:tc>
          <w:tcPr>
            <w:tcW w:w="851" w:type="dxa"/>
            <w:noWrap/>
            <w:vAlign w:val="center"/>
          </w:tcPr>
          <w:p w14:paraId="41382CE1">
            <w:pPr>
              <w:pStyle w:val="90"/>
              <w:rPr>
                <w:lang w:bidi="ar"/>
              </w:rPr>
            </w:pPr>
            <w:r>
              <w:rPr>
                <w:lang w:bidi="ar"/>
              </w:rPr>
              <w:t>评价标准（μg/m</w:t>
            </w:r>
            <w:r>
              <w:rPr>
                <w:vertAlign w:val="superscript"/>
                <w:lang w:bidi="ar"/>
              </w:rPr>
              <w:t>3</w:t>
            </w:r>
            <w:r>
              <w:rPr>
                <w:lang w:bidi="ar"/>
              </w:rPr>
              <w:t>）</w:t>
            </w:r>
          </w:p>
        </w:tc>
        <w:tc>
          <w:tcPr>
            <w:tcW w:w="567" w:type="dxa"/>
            <w:noWrap/>
            <w:vAlign w:val="center"/>
          </w:tcPr>
          <w:p w14:paraId="55F5D976">
            <w:pPr>
              <w:pStyle w:val="90"/>
              <w:rPr>
                <w:lang w:bidi="ar"/>
              </w:rPr>
            </w:pPr>
            <w:r>
              <w:rPr>
                <w:lang w:bidi="ar"/>
              </w:rPr>
              <w:t>占标率%</w:t>
            </w:r>
          </w:p>
        </w:tc>
        <w:tc>
          <w:tcPr>
            <w:tcW w:w="508" w:type="dxa"/>
            <w:noWrap/>
            <w:vAlign w:val="center"/>
          </w:tcPr>
          <w:p w14:paraId="1227A7CC">
            <w:pPr>
              <w:pStyle w:val="90"/>
              <w:rPr>
                <w:lang w:bidi="ar"/>
              </w:rPr>
            </w:pPr>
            <w:r>
              <w:rPr>
                <w:lang w:bidi="ar"/>
              </w:rPr>
              <w:t>是否</w:t>
            </w:r>
          </w:p>
          <w:p w14:paraId="0DF259BF">
            <w:pPr>
              <w:pStyle w:val="90"/>
              <w:rPr>
                <w:lang w:bidi="ar"/>
              </w:rPr>
            </w:pPr>
            <w:r>
              <w:rPr>
                <w:lang w:bidi="ar"/>
              </w:rPr>
              <w:t>达标</w:t>
            </w:r>
          </w:p>
        </w:tc>
      </w:tr>
      <w:tr w14:paraId="0CC09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restart"/>
            <w:noWrap/>
            <w:vAlign w:val="center"/>
          </w:tcPr>
          <w:p w14:paraId="0A4E6CF9">
            <w:pPr>
              <w:pStyle w:val="90"/>
              <w:rPr>
                <w:lang w:bidi="ar"/>
              </w:rPr>
            </w:pPr>
            <w:r>
              <w:rPr>
                <w:rFonts w:hint="eastAsia"/>
                <w:lang w:bidi="ar"/>
              </w:rPr>
              <w:t>1</w:t>
            </w:r>
          </w:p>
        </w:tc>
        <w:tc>
          <w:tcPr>
            <w:tcW w:w="573" w:type="dxa"/>
            <w:vMerge w:val="restart"/>
            <w:vAlign w:val="center"/>
          </w:tcPr>
          <w:p w14:paraId="31AA5237">
            <w:pPr>
              <w:pStyle w:val="90"/>
              <w:rPr>
                <w:szCs w:val="21"/>
                <w:lang w:bidi="ar"/>
              </w:rPr>
            </w:pPr>
            <w:r>
              <w:rPr>
                <w:rFonts w:hint="eastAsia"/>
                <w:szCs w:val="21"/>
                <w:lang w:bidi="ar"/>
              </w:rPr>
              <w:t>130团22连</w:t>
            </w:r>
          </w:p>
        </w:tc>
        <w:tc>
          <w:tcPr>
            <w:tcW w:w="850" w:type="dxa"/>
            <w:vMerge w:val="restart"/>
            <w:noWrap/>
            <w:vAlign w:val="center"/>
          </w:tcPr>
          <w:p w14:paraId="27886659">
            <w:pPr>
              <w:pStyle w:val="90"/>
              <w:rPr>
                <w:szCs w:val="21"/>
                <w:lang w:bidi="ar"/>
              </w:rPr>
            </w:pPr>
            <w:r>
              <w:rPr>
                <w:szCs w:val="21"/>
                <w:lang w:bidi="ar"/>
              </w:rPr>
              <w:t>-1998，-1133</w:t>
            </w:r>
          </w:p>
        </w:tc>
        <w:tc>
          <w:tcPr>
            <w:tcW w:w="709" w:type="dxa"/>
            <w:vMerge w:val="restart"/>
            <w:noWrap/>
            <w:vAlign w:val="center"/>
          </w:tcPr>
          <w:p w14:paraId="155014B8">
            <w:pPr>
              <w:pStyle w:val="90"/>
              <w:rPr>
                <w:szCs w:val="21"/>
                <w:lang w:bidi="ar"/>
              </w:rPr>
            </w:pPr>
            <w:r>
              <w:rPr>
                <w:szCs w:val="21"/>
                <w:lang w:bidi="ar"/>
              </w:rPr>
              <w:t>316.34</w:t>
            </w:r>
          </w:p>
        </w:tc>
        <w:tc>
          <w:tcPr>
            <w:tcW w:w="709" w:type="dxa"/>
            <w:noWrap/>
            <w:vAlign w:val="center"/>
          </w:tcPr>
          <w:p w14:paraId="345CC27C">
            <w:pPr>
              <w:pStyle w:val="90"/>
              <w:rPr>
                <w:szCs w:val="21"/>
                <w:lang w:bidi="ar"/>
              </w:rPr>
            </w:pPr>
            <w:r>
              <w:rPr>
                <w:rFonts w:hint="eastAsia"/>
                <w:szCs w:val="21"/>
                <w:lang w:bidi="ar"/>
              </w:rPr>
              <w:t>日均值</w:t>
            </w:r>
          </w:p>
        </w:tc>
        <w:tc>
          <w:tcPr>
            <w:tcW w:w="850" w:type="dxa"/>
            <w:noWrap/>
          </w:tcPr>
          <w:p w14:paraId="018FF399">
            <w:pPr>
              <w:pStyle w:val="90"/>
            </w:pPr>
            <w:r>
              <w:t>0.0028</w:t>
            </w:r>
          </w:p>
        </w:tc>
        <w:tc>
          <w:tcPr>
            <w:tcW w:w="993" w:type="dxa"/>
            <w:noWrap/>
            <w:vAlign w:val="center"/>
          </w:tcPr>
          <w:p w14:paraId="5931348D">
            <w:pPr>
              <w:pStyle w:val="90"/>
              <w:rPr>
                <w:szCs w:val="21"/>
                <w:lang w:bidi="ar"/>
              </w:rPr>
            </w:pPr>
            <w:r>
              <w:rPr>
                <w:szCs w:val="21"/>
                <w:lang w:bidi="ar"/>
              </w:rPr>
              <w:t>221124</w:t>
            </w:r>
          </w:p>
        </w:tc>
        <w:tc>
          <w:tcPr>
            <w:tcW w:w="850" w:type="dxa"/>
            <w:noWrap/>
          </w:tcPr>
          <w:p w14:paraId="3D315B25">
            <w:pPr>
              <w:pStyle w:val="90"/>
            </w:pPr>
            <w:r>
              <w:t>11.0000</w:t>
            </w:r>
          </w:p>
        </w:tc>
        <w:tc>
          <w:tcPr>
            <w:tcW w:w="992" w:type="dxa"/>
            <w:noWrap/>
          </w:tcPr>
          <w:p w14:paraId="2BCB514D">
            <w:pPr>
              <w:pStyle w:val="90"/>
            </w:pPr>
            <w:r>
              <w:t>11.0028</w:t>
            </w:r>
          </w:p>
        </w:tc>
        <w:tc>
          <w:tcPr>
            <w:tcW w:w="851" w:type="dxa"/>
            <w:noWrap/>
            <w:vAlign w:val="center"/>
          </w:tcPr>
          <w:p w14:paraId="6976F992">
            <w:pPr>
              <w:pStyle w:val="90"/>
              <w:rPr>
                <w:szCs w:val="21"/>
                <w:lang w:bidi="ar"/>
              </w:rPr>
            </w:pPr>
            <w:r>
              <w:rPr>
                <w:szCs w:val="21"/>
                <w:lang w:bidi="ar"/>
              </w:rPr>
              <w:t>150</w:t>
            </w:r>
          </w:p>
        </w:tc>
        <w:tc>
          <w:tcPr>
            <w:tcW w:w="567" w:type="dxa"/>
            <w:noWrap/>
          </w:tcPr>
          <w:p w14:paraId="595F2841">
            <w:pPr>
              <w:pStyle w:val="90"/>
            </w:pPr>
            <w:r>
              <w:t>7.34</w:t>
            </w:r>
          </w:p>
        </w:tc>
        <w:tc>
          <w:tcPr>
            <w:tcW w:w="508" w:type="dxa"/>
            <w:noWrap/>
            <w:vAlign w:val="center"/>
          </w:tcPr>
          <w:p w14:paraId="527CB2B3">
            <w:pPr>
              <w:pStyle w:val="90"/>
              <w:rPr>
                <w:szCs w:val="21"/>
                <w:lang w:bidi="ar"/>
              </w:rPr>
            </w:pPr>
            <w:r>
              <w:rPr>
                <w:szCs w:val="21"/>
                <w:lang w:bidi="ar"/>
              </w:rPr>
              <w:t>达标</w:t>
            </w:r>
          </w:p>
        </w:tc>
      </w:tr>
      <w:tr w14:paraId="1B73F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continue"/>
            <w:noWrap/>
            <w:vAlign w:val="center"/>
          </w:tcPr>
          <w:p w14:paraId="051A6201">
            <w:pPr>
              <w:pStyle w:val="90"/>
              <w:rPr>
                <w:lang w:bidi="ar"/>
              </w:rPr>
            </w:pPr>
          </w:p>
        </w:tc>
        <w:tc>
          <w:tcPr>
            <w:tcW w:w="573" w:type="dxa"/>
            <w:vMerge w:val="continue"/>
            <w:vAlign w:val="center"/>
          </w:tcPr>
          <w:p w14:paraId="4D90F49F">
            <w:pPr>
              <w:pStyle w:val="90"/>
              <w:rPr>
                <w:szCs w:val="21"/>
                <w:lang w:bidi="ar"/>
              </w:rPr>
            </w:pPr>
          </w:p>
        </w:tc>
        <w:tc>
          <w:tcPr>
            <w:tcW w:w="850" w:type="dxa"/>
            <w:vMerge w:val="continue"/>
            <w:noWrap/>
            <w:vAlign w:val="center"/>
          </w:tcPr>
          <w:p w14:paraId="02D2F5EC">
            <w:pPr>
              <w:pStyle w:val="90"/>
              <w:rPr>
                <w:szCs w:val="21"/>
                <w:lang w:bidi="ar"/>
              </w:rPr>
            </w:pPr>
          </w:p>
        </w:tc>
        <w:tc>
          <w:tcPr>
            <w:tcW w:w="709" w:type="dxa"/>
            <w:vMerge w:val="continue"/>
            <w:noWrap/>
            <w:vAlign w:val="center"/>
          </w:tcPr>
          <w:p w14:paraId="60AEDC03">
            <w:pPr>
              <w:pStyle w:val="90"/>
              <w:rPr>
                <w:szCs w:val="21"/>
                <w:lang w:bidi="ar"/>
              </w:rPr>
            </w:pPr>
          </w:p>
        </w:tc>
        <w:tc>
          <w:tcPr>
            <w:tcW w:w="709" w:type="dxa"/>
            <w:noWrap/>
            <w:vAlign w:val="center"/>
          </w:tcPr>
          <w:p w14:paraId="4686B1D5">
            <w:pPr>
              <w:pStyle w:val="90"/>
              <w:rPr>
                <w:szCs w:val="21"/>
                <w:lang w:bidi="ar"/>
              </w:rPr>
            </w:pPr>
            <w:r>
              <w:rPr>
                <w:rFonts w:hint="eastAsia"/>
                <w:szCs w:val="21"/>
                <w:lang w:bidi="ar"/>
              </w:rPr>
              <w:t>年均值</w:t>
            </w:r>
          </w:p>
        </w:tc>
        <w:tc>
          <w:tcPr>
            <w:tcW w:w="850" w:type="dxa"/>
            <w:noWrap/>
          </w:tcPr>
          <w:p w14:paraId="52E16470">
            <w:pPr>
              <w:pStyle w:val="90"/>
            </w:pPr>
            <w:r>
              <w:t>0.0002</w:t>
            </w:r>
          </w:p>
        </w:tc>
        <w:tc>
          <w:tcPr>
            <w:tcW w:w="993" w:type="dxa"/>
            <w:noWrap/>
            <w:vAlign w:val="center"/>
          </w:tcPr>
          <w:p w14:paraId="7A4BBBD9">
            <w:pPr>
              <w:pStyle w:val="90"/>
              <w:rPr>
                <w:szCs w:val="21"/>
                <w:lang w:bidi="ar"/>
              </w:rPr>
            </w:pPr>
            <w:r>
              <w:rPr>
                <w:rFonts w:hint="eastAsia"/>
                <w:szCs w:val="21"/>
                <w:lang w:bidi="ar"/>
              </w:rPr>
              <w:t>平均值</w:t>
            </w:r>
          </w:p>
        </w:tc>
        <w:tc>
          <w:tcPr>
            <w:tcW w:w="850" w:type="dxa"/>
            <w:noWrap/>
          </w:tcPr>
          <w:p w14:paraId="7F4F602F">
            <w:pPr>
              <w:pStyle w:val="90"/>
            </w:pPr>
            <w:r>
              <w:t>7.0000</w:t>
            </w:r>
          </w:p>
        </w:tc>
        <w:tc>
          <w:tcPr>
            <w:tcW w:w="992" w:type="dxa"/>
            <w:noWrap/>
          </w:tcPr>
          <w:p w14:paraId="338383C4">
            <w:pPr>
              <w:pStyle w:val="90"/>
            </w:pPr>
            <w:r>
              <w:t>7.0002</w:t>
            </w:r>
          </w:p>
        </w:tc>
        <w:tc>
          <w:tcPr>
            <w:tcW w:w="851" w:type="dxa"/>
            <w:noWrap/>
            <w:vAlign w:val="center"/>
          </w:tcPr>
          <w:p w14:paraId="4E2B900B">
            <w:pPr>
              <w:pStyle w:val="90"/>
              <w:rPr>
                <w:szCs w:val="21"/>
                <w:lang w:bidi="ar"/>
              </w:rPr>
            </w:pPr>
            <w:r>
              <w:rPr>
                <w:rFonts w:hint="eastAsia"/>
                <w:szCs w:val="21"/>
                <w:lang w:bidi="ar"/>
              </w:rPr>
              <w:t>6</w:t>
            </w:r>
            <w:r>
              <w:rPr>
                <w:szCs w:val="21"/>
                <w:lang w:bidi="ar"/>
              </w:rPr>
              <w:t>0</w:t>
            </w:r>
          </w:p>
        </w:tc>
        <w:tc>
          <w:tcPr>
            <w:tcW w:w="567" w:type="dxa"/>
            <w:noWrap/>
          </w:tcPr>
          <w:p w14:paraId="5ECAACE5">
            <w:pPr>
              <w:pStyle w:val="90"/>
            </w:pPr>
            <w:r>
              <w:t>11.67</w:t>
            </w:r>
          </w:p>
        </w:tc>
        <w:tc>
          <w:tcPr>
            <w:tcW w:w="508" w:type="dxa"/>
            <w:noWrap/>
            <w:vAlign w:val="center"/>
          </w:tcPr>
          <w:p w14:paraId="0D713A39">
            <w:pPr>
              <w:pStyle w:val="90"/>
              <w:rPr>
                <w:szCs w:val="21"/>
                <w:lang w:bidi="ar"/>
              </w:rPr>
            </w:pPr>
            <w:r>
              <w:rPr>
                <w:szCs w:val="21"/>
                <w:lang w:bidi="ar"/>
              </w:rPr>
              <w:t>达标</w:t>
            </w:r>
          </w:p>
        </w:tc>
      </w:tr>
      <w:tr w14:paraId="0B6A0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restart"/>
            <w:noWrap/>
            <w:vAlign w:val="center"/>
          </w:tcPr>
          <w:p w14:paraId="4D1E9428">
            <w:pPr>
              <w:pStyle w:val="90"/>
              <w:rPr>
                <w:lang w:bidi="ar"/>
              </w:rPr>
            </w:pPr>
            <w:r>
              <w:rPr>
                <w:rFonts w:hint="eastAsia"/>
                <w:lang w:bidi="ar"/>
              </w:rPr>
              <w:t>2</w:t>
            </w:r>
          </w:p>
        </w:tc>
        <w:tc>
          <w:tcPr>
            <w:tcW w:w="573" w:type="dxa"/>
            <w:vMerge w:val="restart"/>
            <w:vAlign w:val="center"/>
          </w:tcPr>
          <w:p w14:paraId="77B8CC92">
            <w:pPr>
              <w:pStyle w:val="90"/>
              <w:rPr>
                <w:szCs w:val="21"/>
                <w:lang w:bidi="ar"/>
              </w:rPr>
            </w:pPr>
            <w:r>
              <w:rPr>
                <w:szCs w:val="21"/>
                <w:lang w:bidi="ar"/>
              </w:rPr>
              <w:t>网格</w:t>
            </w:r>
          </w:p>
        </w:tc>
        <w:tc>
          <w:tcPr>
            <w:tcW w:w="850" w:type="dxa"/>
            <w:vMerge w:val="restart"/>
            <w:noWrap/>
            <w:vAlign w:val="center"/>
          </w:tcPr>
          <w:p w14:paraId="682C282B">
            <w:pPr>
              <w:pStyle w:val="90"/>
              <w:rPr>
                <w:szCs w:val="21"/>
                <w:lang w:bidi="ar"/>
              </w:rPr>
            </w:pPr>
            <w:r>
              <w:rPr>
                <w:szCs w:val="21"/>
                <w:lang w:bidi="ar"/>
              </w:rPr>
              <w:t>-357，-12</w:t>
            </w:r>
          </w:p>
        </w:tc>
        <w:tc>
          <w:tcPr>
            <w:tcW w:w="709" w:type="dxa"/>
            <w:vMerge w:val="restart"/>
            <w:noWrap/>
            <w:vAlign w:val="center"/>
          </w:tcPr>
          <w:p w14:paraId="1B130C1D">
            <w:pPr>
              <w:pStyle w:val="90"/>
              <w:rPr>
                <w:szCs w:val="21"/>
                <w:lang w:bidi="ar"/>
              </w:rPr>
            </w:pPr>
            <w:r>
              <w:rPr>
                <w:szCs w:val="21"/>
                <w:lang w:bidi="ar"/>
              </w:rPr>
              <w:t>314.40</w:t>
            </w:r>
          </w:p>
        </w:tc>
        <w:tc>
          <w:tcPr>
            <w:tcW w:w="709" w:type="dxa"/>
            <w:noWrap/>
            <w:vAlign w:val="center"/>
          </w:tcPr>
          <w:p w14:paraId="635C7F3E">
            <w:pPr>
              <w:pStyle w:val="90"/>
              <w:rPr>
                <w:szCs w:val="21"/>
                <w:lang w:bidi="ar"/>
              </w:rPr>
            </w:pPr>
            <w:r>
              <w:rPr>
                <w:rFonts w:hint="eastAsia"/>
                <w:szCs w:val="21"/>
                <w:lang w:bidi="ar"/>
              </w:rPr>
              <w:t>日均值</w:t>
            </w:r>
          </w:p>
        </w:tc>
        <w:tc>
          <w:tcPr>
            <w:tcW w:w="850" w:type="dxa"/>
            <w:noWrap/>
          </w:tcPr>
          <w:p w14:paraId="1A328CDD">
            <w:pPr>
              <w:pStyle w:val="90"/>
            </w:pPr>
            <w:r>
              <w:t>0.0305</w:t>
            </w:r>
          </w:p>
        </w:tc>
        <w:tc>
          <w:tcPr>
            <w:tcW w:w="993" w:type="dxa"/>
            <w:noWrap/>
            <w:vAlign w:val="center"/>
          </w:tcPr>
          <w:p w14:paraId="6D07FC93">
            <w:pPr>
              <w:pStyle w:val="90"/>
              <w:rPr>
                <w:szCs w:val="21"/>
                <w:lang w:bidi="ar"/>
              </w:rPr>
            </w:pPr>
            <w:r>
              <w:rPr>
                <w:szCs w:val="21"/>
                <w:lang w:bidi="ar"/>
              </w:rPr>
              <w:t>2206148</w:t>
            </w:r>
          </w:p>
        </w:tc>
        <w:tc>
          <w:tcPr>
            <w:tcW w:w="850" w:type="dxa"/>
            <w:noWrap/>
          </w:tcPr>
          <w:p w14:paraId="6E7C7A92">
            <w:pPr>
              <w:pStyle w:val="90"/>
            </w:pPr>
            <w:r>
              <w:t>11.0000</w:t>
            </w:r>
          </w:p>
        </w:tc>
        <w:tc>
          <w:tcPr>
            <w:tcW w:w="992" w:type="dxa"/>
            <w:noWrap/>
          </w:tcPr>
          <w:p w14:paraId="15585543">
            <w:pPr>
              <w:pStyle w:val="90"/>
            </w:pPr>
            <w:r>
              <w:t>11.0305</w:t>
            </w:r>
          </w:p>
        </w:tc>
        <w:tc>
          <w:tcPr>
            <w:tcW w:w="851" w:type="dxa"/>
            <w:noWrap/>
            <w:vAlign w:val="center"/>
          </w:tcPr>
          <w:p w14:paraId="49664610">
            <w:pPr>
              <w:pStyle w:val="90"/>
              <w:rPr>
                <w:szCs w:val="21"/>
                <w:lang w:bidi="ar"/>
              </w:rPr>
            </w:pPr>
            <w:r>
              <w:rPr>
                <w:szCs w:val="21"/>
                <w:lang w:bidi="ar"/>
              </w:rPr>
              <w:t>150</w:t>
            </w:r>
          </w:p>
        </w:tc>
        <w:tc>
          <w:tcPr>
            <w:tcW w:w="567" w:type="dxa"/>
            <w:noWrap/>
          </w:tcPr>
          <w:p w14:paraId="0C1922CB">
            <w:pPr>
              <w:pStyle w:val="90"/>
            </w:pPr>
            <w:r>
              <w:t>7.34</w:t>
            </w:r>
          </w:p>
        </w:tc>
        <w:tc>
          <w:tcPr>
            <w:tcW w:w="508" w:type="dxa"/>
            <w:noWrap/>
            <w:vAlign w:val="center"/>
          </w:tcPr>
          <w:p w14:paraId="3C7DBA32">
            <w:pPr>
              <w:pStyle w:val="90"/>
              <w:rPr>
                <w:szCs w:val="21"/>
                <w:lang w:bidi="ar"/>
              </w:rPr>
            </w:pPr>
            <w:r>
              <w:rPr>
                <w:szCs w:val="21"/>
                <w:lang w:bidi="ar"/>
              </w:rPr>
              <w:t>达标</w:t>
            </w:r>
          </w:p>
        </w:tc>
      </w:tr>
      <w:tr w14:paraId="60C8F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continue"/>
            <w:noWrap/>
            <w:vAlign w:val="center"/>
          </w:tcPr>
          <w:p w14:paraId="667DAD86">
            <w:pPr>
              <w:pStyle w:val="90"/>
              <w:rPr>
                <w:lang w:bidi="ar"/>
              </w:rPr>
            </w:pPr>
          </w:p>
        </w:tc>
        <w:tc>
          <w:tcPr>
            <w:tcW w:w="573" w:type="dxa"/>
            <w:vMerge w:val="continue"/>
            <w:vAlign w:val="center"/>
          </w:tcPr>
          <w:p w14:paraId="62302283">
            <w:pPr>
              <w:pStyle w:val="90"/>
              <w:rPr>
                <w:szCs w:val="21"/>
                <w:lang w:bidi="ar"/>
              </w:rPr>
            </w:pPr>
          </w:p>
        </w:tc>
        <w:tc>
          <w:tcPr>
            <w:tcW w:w="850" w:type="dxa"/>
            <w:vMerge w:val="continue"/>
            <w:noWrap/>
            <w:vAlign w:val="center"/>
          </w:tcPr>
          <w:p w14:paraId="076C44B9">
            <w:pPr>
              <w:pStyle w:val="90"/>
              <w:rPr>
                <w:szCs w:val="21"/>
                <w:lang w:bidi="ar"/>
              </w:rPr>
            </w:pPr>
          </w:p>
        </w:tc>
        <w:tc>
          <w:tcPr>
            <w:tcW w:w="709" w:type="dxa"/>
            <w:vMerge w:val="continue"/>
            <w:noWrap/>
            <w:vAlign w:val="center"/>
          </w:tcPr>
          <w:p w14:paraId="0F3205DA">
            <w:pPr>
              <w:pStyle w:val="90"/>
              <w:rPr>
                <w:szCs w:val="21"/>
                <w:lang w:bidi="ar"/>
              </w:rPr>
            </w:pPr>
          </w:p>
        </w:tc>
        <w:tc>
          <w:tcPr>
            <w:tcW w:w="709" w:type="dxa"/>
            <w:noWrap/>
            <w:vAlign w:val="center"/>
          </w:tcPr>
          <w:p w14:paraId="6040C833">
            <w:pPr>
              <w:pStyle w:val="90"/>
              <w:rPr>
                <w:szCs w:val="21"/>
                <w:lang w:bidi="ar"/>
              </w:rPr>
            </w:pPr>
            <w:r>
              <w:rPr>
                <w:rFonts w:hint="eastAsia"/>
                <w:szCs w:val="21"/>
                <w:lang w:bidi="ar"/>
              </w:rPr>
              <w:t>年均值</w:t>
            </w:r>
          </w:p>
        </w:tc>
        <w:tc>
          <w:tcPr>
            <w:tcW w:w="850" w:type="dxa"/>
            <w:noWrap/>
          </w:tcPr>
          <w:p w14:paraId="0643B6DC">
            <w:pPr>
              <w:pStyle w:val="90"/>
            </w:pPr>
            <w:r>
              <w:t>0.0046</w:t>
            </w:r>
          </w:p>
        </w:tc>
        <w:tc>
          <w:tcPr>
            <w:tcW w:w="993" w:type="dxa"/>
            <w:noWrap/>
            <w:vAlign w:val="center"/>
          </w:tcPr>
          <w:p w14:paraId="729A9361">
            <w:pPr>
              <w:pStyle w:val="90"/>
              <w:rPr>
                <w:szCs w:val="21"/>
                <w:lang w:bidi="ar"/>
              </w:rPr>
            </w:pPr>
            <w:r>
              <w:rPr>
                <w:rFonts w:hint="eastAsia"/>
                <w:szCs w:val="21"/>
                <w:lang w:bidi="ar"/>
              </w:rPr>
              <w:t>平均值</w:t>
            </w:r>
          </w:p>
        </w:tc>
        <w:tc>
          <w:tcPr>
            <w:tcW w:w="850" w:type="dxa"/>
            <w:noWrap/>
          </w:tcPr>
          <w:p w14:paraId="01CBAC75">
            <w:pPr>
              <w:pStyle w:val="90"/>
            </w:pPr>
            <w:r>
              <w:t>7.0000</w:t>
            </w:r>
          </w:p>
        </w:tc>
        <w:tc>
          <w:tcPr>
            <w:tcW w:w="992" w:type="dxa"/>
            <w:noWrap/>
          </w:tcPr>
          <w:p w14:paraId="18A6FB04">
            <w:pPr>
              <w:pStyle w:val="90"/>
            </w:pPr>
            <w:r>
              <w:t>7.0046</w:t>
            </w:r>
          </w:p>
        </w:tc>
        <w:tc>
          <w:tcPr>
            <w:tcW w:w="851" w:type="dxa"/>
            <w:noWrap/>
            <w:vAlign w:val="center"/>
          </w:tcPr>
          <w:p w14:paraId="3DF4D720">
            <w:pPr>
              <w:pStyle w:val="90"/>
              <w:rPr>
                <w:szCs w:val="21"/>
                <w:lang w:bidi="ar"/>
              </w:rPr>
            </w:pPr>
            <w:r>
              <w:rPr>
                <w:rFonts w:hint="eastAsia"/>
                <w:szCs w:val="21"/>
                <w:lang w:bidi="ar"/>
              </w:rPr>
              <w:t>6</w:t>
            </w:r>
            <w:r>
              <w:rPr>
                <w:szCs w:val="21"/>
                <w:lang w:bidi="ar"/>
              </w:rPr>
              <w:t>0</w:t>
            </w:r>
          </w:p>
        </w:tc>
        <w:tc>
          <w:tcPr>
            <w:tcW w:w="567" w:type="dxa"/>
            <w:noWrap/>
          </w:tcPr>
          <w:p w14:paraId="2B7A56E9">
            <w:pPr>
              <w:pStyle w:val="90"/>
            </w:pPr>
            <w:r>
              <w:t>11.67</w:t>
            </w:r>
          </w:p>
        </w:tc>
        <w:tc>
          <w:tcPr>
            <w:tcW w:w="508" w:type="dxa"/>
            <w:noWrap/>
            <w:vAlign w:val="center"/>
          </w:tcPr>
          <w:p w14:paraId="681DDA9E">
            <w:pPr>
              <w:pStyle w:val="90"/>
              <w:rPr>
                <w:szCs w:val="21"/>
                <w:lang w:bidi="ar"/>
              </w:rPr>
            </w:pPr>
            <w:r>
              <w:rPr>
                <w:szCs w:val="21"/>
                <w:lang w:bidi="ar"/>
              </w:rPr>
              <w:t>达标</w:t>
            </w:r>
          </w:p>
        </w:tc>
      </w:tr>
    </w:tbl>
    <w:p w14:paraId="637CDCF5">
      <w:pPr>
        <w:pStyle w:val="47"/>
        <w:spacing w:before="65"/>
        <w:rPr>
          <w:lang w:bidi="en-US"/>
        </w:rPr>
      </w:pPr>
    </w:p>
    <w:p w14:paraId="1BBB046C">
      <w:pPr>
        <w:spacing w:line="240" w:lineRule="auto"/>
        <w:ind w:firstLine="0" w:firstLineChars="0"/>
        <w:jc w:val="center"/>
        <w:rPr>
          <w:lang w:val="zh-CN" w:bidi="en-US"/>
        </w:rPr>
      </w:pPr>
    </w:p>
    <w:p w14:paraId="580A7FDD">
      <w:pPr>
        <w:pStyle w:val="47"/>
        <w:spacing w:before="65"/>
        <w:rPr>
          <w:lang w:bidi="en-US"/>
        </w:rPr>
      </w:pPr>
      <w:r>
        <w:rPr>
          <w:rFonts w:hint="eastAsia"/>
          <w:lang w:bidi="en-US"/>
        </w:rPr>
        <w:t>表5</w:t>
      </w:r>
      <w:r>
        <w:rPr>
          <w:lang w:bidi="en-US"/>
        </w:rPr>
        <w:t>.1-</w:t>
      </w:r>
      <w:r>
        <w:rPr>
          <w:rFonts w:hint="eastAsia"/>
          <w:lang w:val="en-US" w:eastAsia="zh-CN" w:bidi="en-US"/>
        </w:rPr>
        <w:t>20</w:t>
      </w:r>
      <w:r>
        <w:rPr>
          <w:lang w:bidi="en-US"/>
        </w:rPr>
        <w:t xml:space="preserve">   </w:t>
      </w:r>
      <w:r>
        <w:rPr>
          <w:rFonts w:hint="eastAsia"/>
          <w:lang w:bidi="en-US"/>
        </w:rPr>
        <w:t>氮氧化物叠加拟建项目源强后预测结果统计一览表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8"/>
        <w:gridCol w:w="573"/>
        <w:gridCol w:w="850"/>
        <w:gridCol w:w="709"/>
        <w:gridCol w:w="709"/>
        <w:gridCol w:w="850"/>
        <w:gridCol w:w="993"/>
        <w:gridCol w:w="850"/>
        <w:gridCol w:w="992"/>
        <w:gridCol w:w="851"/>
        <w:gridCol w:w="567"/>
        <w:gridCol w:w="508"/>
      </w:tblGrid>
      <w:tr w14:paraId="4BE83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43B1B7BA">
            <w:pPr>
              <w:pStyle w:val="90"/>
            </w:pPr>
            <w:r>
              <w:t>序号</w:t>
            </w:r>
          </w:p>
        </w:tc>
        <w:tc>
          <w:tcPr>
            <w:tcW w:w="573" w:type="dxa"/>
            <w:vAlign w:val="center"/>
          </w:tcPr>
          <w:p w14:paraId="639FC047">
            <w:pPr>
              <w:pStyle w:val="90"/>
            </w:pPr>
            <w:r>
              <w:t>点名称</w:t>
            </w:r>
          </w:p>
        </w:tc>
        <w:tc>
          <w:tcPr>
            <w:tcW w:w="850" w:type="dxa"/>
            <w:noWrap/>
            <w:vAlign w:val="center"/>
          </w:tcPr>
          <w:p w14:paraId="717DE001">
            <w:pPr>
              <w:pStyle w:val="90"/>
            </w:pPr>
            <w:r>
              <w:t>点坐标（x，y）</w:t>
            </w:r>
          </w:p>
        </w:tc>
        <w:tc>
          <w:tcPr>
            <w:tcW w:w="709" w:type="dxa"/>
            <w:noWrap/>
            <w:vAlign w:val="center"/>
          </w:tcPr>
          <w:p w14:paraId="544DB9A7">
            <w:pPr>
              <w:pStyle w:val="90"/>
            </w:pPr>
            <w:r>
              <w:t>地面高程（m）</w:t>
            </w:r>
          </w:p>
        </w:tc>
        <w:tc>
          <w:tcPr>
            <w:tcW w:w="709" w:type="dxa"/>
            <w:noWrap/>
            <w:vAlign w:val="center"/>
          </w:tcPr>
          <w:p w14:paraId="746D5D07">
            <w:pPr>
              <w:pStyle w:val="90"/>
            </w:pPr>
            <w:r>
              <w:t>浓度类型</w:t>
            </w:r>
          </w:p>
        </w:tc>
        <w:tc>
          <w:tcPr>
            <w:tcW w:w="850" w:type="dxa"/>
            <w:noWrap/>
            <w:vAlign w:val="center"/>
          </w:tcPr>
          <w:p w14:paraId="1CF8E42C">
            <w:pPr>
              <w:pStyle w:val="90"/>
            </w:pPr>
            <w:r>
              <w:t>浓度增量（μg/m</w:t>
            </w:r>
            <w:r>
              <w:rPr>
                <w:vertAlign w:val="superscript"/>
              </w:rPr>
              <w:t>3</w:t>
            </w:r>
            <w:r>
              <w:t>）</w:t>
            </w:r>
          </w:p>
        </w:tc>
        <w:tc>
          <w:tcPr>
            <w:tcW w:w="993" w:type="dxa"/>
            <w:noWrap/>
            <w:vAlign w:val="center"/>
          </w:tcPr>
          <w:p w14:paraId="66DCB70C">
            <w:pPr>
              <w:pStyle w:val="90"/>
            </w:pPr>
            <w:r>
              <w:t>出现时间</w:t>
            </w:r>
          </w:p>
          <w:p w14:paraId="49987CE5">
            <w:pPr>
              <w:pStyle w:val="90"/>
            </w:pPr>
            <w:r>
              <w:t>（YYMMDDHH）</w:t>
            </w:r>
          </w:p>
        </w:tc>
        <w:tc>
          <w:tcPr>
            <w:tcW w:w="850" w:type="dxa"/>
            <w:noWrap/>
            <w:vAlign w:val="center"/>
          </w:tcPr>
          <w:p w14:paraId="0B5DA044">
            <w:pPr>
              <w:pStyle w:val="90"/>
            </w:pPr>
            <w:r>
              <w:t>背景浓度（μg/m</w:t>
            </w:r>
            <w:r>
              <w:rPr>
                <w:vertAlign w:val="superscript"/>
              </w:rPr>
              <w:t>3</w:t>
            </w:r>
            <w:r>
              <w:t>）</w:t>
            </w:r>
          </w:p>
        </w:tc>
        <w:tc>
          <w:tcPr>
            <w:tcW w:w="992" w:type="dxa"/>
            <w:noWrap/>
            <w:vAlign w:val="center"/>
          </w:tcPr>
          <w:p w14:paraId="2528C64A">
            <w:pPr>
              <w:pStyle w:val="90"/>
            </w:pPr>
            <w:r>
              <w:t>叠加背景后的浓度（μg/m3）</w:t>
            </w:r>
          </w:p>
        </w:tc>
        <w:tc>
          <w:tcPr>
            <w:tcW w:w="851" w:type="dxa"/>
            <w:noWrap/>
            <w:vAlign w:val="center"/>
          </w:tcPr>
          <w:p w14:paraId="11BE547C">
            <w:pPr>
              <w:pStyle w:val="90"/>
            </w:pPr>
            <w:r>
              <w:t>评价标准（μg/m</w:t>
            </w:r>
            <w:r>
              <w:rPr>
                <w:vertAlign w:val="superscript"/>
              </w:rPr>
              <w:t>3</w:t>
            </w:r>
            <w:r>
              <w:t>）</w:t>
            </w:r>
          </w:p>
        </w:tc>
        <w:tc>
          <w:tcPr>
            <w:tcW w:w="567" w:type="dxa"/>
            <w:noWrap/>
            <w:vAlign w:val="center"/>
          </w:tcPr>
          <w:p w14:paraId="2F39916F">
            <w:pPr>
              <w:pStyle w:val="90"/>
            </w:pPr>
            <w:r>
              <w:t>占标率%</w:t>
            </w:r>
          </w:p>
        </w:tc>
        <w:tc>
          <w:tcPr>
            <w:tcW w:w="508" w:type="dxa"/>
            <w:noWrap/>
            <w:vAlign w:val="center"/>
          </w:tcPr>
          <w:p w14:paraId="4DA65F77">
            <w:pPr>
              <w:pStyle w:val="90"/>
            </w:pPr>
            <w:r>
              <w:t>是否</w:t>
            </w:r>
          </w:p>
          <w:p w14:paraId="73CE2F26">
            <w:pPr>
              <w:pStyle w:val="90"/>
            </w:pPr>
            <w:r>
              <w:t>达标</w:t>
            </w:r>
          </w:p>
        </w:tc>
      </w:tr>
      <w:tr w14:paraId="24F63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restart"/>
            <w:noWrap/>
            <w:vAlign w:val="center"/>
          </w:tcPr>
          <w:p w14:paraId="0D594288">
            <w:pPr>
              <w:pStyle w:val="90"/>
            </w:pPr>
            <w:r>
              <w:rPr>
                <w:rFonts w:hint="eastAsia"/>
              </w:rPr>
              <w:t>1</w:t>
            </w:r>
          </w:p>
        </w:tc>
        <w:tc>
          <w:tcPr>
            <w:tcW w:w="573" w:type="dxa"/>
            <w:vMerge w:val="restart"/>
            <w:vAlign w:val="center"/>
          </w:tcPr>
          <w:p w14:paraId="2F89627A">
            <w:pPr>
              <w:pStyle w:val="90"/>
            </w:pPr>
            <w:r>
              <w:rPr>
                <w:rFonts w:hint="eastAsia"/>
              </w:rPr>
              <w:t>130团22连</w:t>
            </w:r>
          </w:p>
        </w:tc>
        <w:tc>
          <w:tcPr>
            <w:tcW w:w="850" w:type="dxa"/>
            <w:vMerge w:val="restart"/>
            <w:noWrap/>
            <w:vAlign w:val="center"/>
          </w:tcPr>
          <w:p w14:paraId="7BE93077">
            <w:pPr>
              <w:pStyle w:val="90"/>
            </w:pPr>
            <w:r>
              <w:t>-1998，-1133</w:t>
            </w:r>
          </w:p>
        </w:tc>
        <w:tc>
          <w:tcPr>
            <w:tcW w:w="709" w:type="dxa"/>
            <w:vMerge w:val="restart"/>
            <w:noWrap/>
            <w:vAlign w:val="center"/>
          </w:tcPr>
          <w:p w14:paraId="0A81E4F7">
            <w:pPr>
              <w:pStyle w:val="90"/>
            </w:pPr>
            <w:r>
              <w:t>316.34</w:t>
            </w:r>
          </w:p>
        </w:tc>
        <w:tc>
          <w:tcPr>
            <w:tcW w:w="709" w:type="dxa"/>
            <w:noWrap/>
            <w:vAlign w:val="center"/>
          </w:tcPr>
          <w:p w14:paraId="39A4232F">
            <w:pPr>
              <w:pStyle w:val="90"/>
            </w:pPr>
            <w:r>
              <w:t>日均值</w:t>
            </w:r>
          </w:p>
        </w:tc>
        <w:tc>
          <w:tcPr>
            <w:tcW w:w="850" w:type="dxa"/>
            <w:noWrap/>
          </w:tcPr>
          <w:p w14:paraId="296B7886">
            <w:pPr>
              <w:pStyle w:val="90"/>
            </w:pPr>
            <w:r>
              <w:t>0.0028</w:t>
            </w:r>
          </w:p>
        </w:tc>
        <w:tc>
          <w:tcPr>
            <w:tcW w:w="993" w:type="dxa"/>
            <w:noWrap/>
            <w:vAlign w:val="center"/>
          </w:tcPr>
          <w:p w14:paraId="7493DF07">
            <w:pPr>
              <w:pStyle w:val="90"/>
            </w:pPr>
            <w:r>
              <w:t>221124</w:t>
            </w:r>
          </w:p>
        </w:tc>
        <w:tc>
          <w:tcPr>
            <w:tcW w:w="850" w:type="dxa"/>
            <w:noWrap/>
          </w:tcPr>
          <w:p w14:paraId="45F91F6C">
            <w:pPr>
              <w:pStyle w:val="90"/>
            </w:pPr>
            <w:r>
              <w:t>11.0000</w:t>
            </w:r>
          </w:p>
        </w:tc>
        <w:tc>
          <w:tcPr>
            <w:tcW w:w="992" w:type="dxa"/>
            <w:noWrap/>
          </w:tcPr>
          <w:p w14:paraId="3B204A1C">
            <w:pPr>
              <w:pStyle w:val="90"/>
            </w:pPr>
            <w:r>
              <w:t>11.0028</w:t>
            </w:r>
          </w:p>
        </w:tc>
        <w:tc>
          <w:tcPr>
            <w:tcW w:w="851" w:type="dxa"/>
            <w:noWrap/>
            <w:vAlign w:val="center"/>
          </w:tcPr>
          <w:p w14:paraId="066EBB65">
            <w:pPr>
              <w:pStyle w:val="90"/>
            </w:pPr>
            <w:r>
              <w:t>150</w:t>
            </w:r>
          </w:p>
        </w:tc>
        <w:tc>
          <w:tcPr>
            <w:tcW w:w="567" w:type="dxa"/>
            <w:noWrap/>
          </w:tcPr>
          <w:p w14:paraId="46753FD5">
            <w:pPr>
              <w:pStyle w:val="90"/>
            </w:pPr>
            <w:r>
              <w:t>7.34</w:t>
            </w:r>
          </w:p>
        </w:tc>
        <w:tc>
          <w:tcPr>
            <w:tcW w:w="508" w:type="dxa"/>
            <w:noWrap/>
            <w:vAlign w:val="center"/>
          </w:tcPr>
          <w:p w14:paraId="251ABC3D">
            <w:pPr>
              <w:pStyle w:val="90"/>
            </w:pPr>
            <w:r>
              <w:t>达标</w:t>
            </w:r>
          </w:p>
        </w:tc>
      </w:tr>
      <w:tr w14:paraId="528A0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continue"/>
            <w:noWrap/>
            <w:vAlign w:val="center"/>
          </w:tcPr>
          <w:p w14:paraId="2F906FF9">
            <w:pPr>
              <w:pStyle w:val="90"/>
            </w:pPr>
          </w:p>
        </w:tc>
        <w:tc>
          <w:tcPr>
            <w:tcW w:w="573" w:type="dxa"/>
            <w:vMerge w:val="continue"/>
            <w:vAlign w:val="center"/>
          </w:tcPr>
          <w:p w14:paraId="465CCA36">
            <w:pPr>
              <w:pStyle w:val="90"/>
            </w:pPr>
          </w:p>
        </w:tc>
        <w:tc>
          <w:tcPr>
            <w:tcW w:w="850" w:type="dxa"/>
            <w:vMerge w:val="continue"/>
            <w:noWrap/>
            <w:vAlign w:val="center"/>
          </w:tcPr>
          <w:p w14:paraId="3AFF4658">
            <w:pPr>
              <w:pStyle w:val="90"/>
            </w:pPr>
          </w:p>
        </w:tc>
        <w:tc>
          <w:tcPr>
            <w:tcW w:w="709" w:type="dxa"/>
            <w:vMerge w:val="continue"/>
            <w:noWrap/>
            <w:vAlign w:val="center"/>
          </w:tcPr>
          <w:p w14:paraId="5ADC8143">
            <w:pPr>
              <w:pStyle w:val="90"/>
            </w:pPr>
          </w:p>
        </w:tc>
        <w:tc>
          <w:tcPr>
            <w:tcW w:w="709" w:type="dxa"/>
            <w:noWrap/>
            <w:vAlign w:val="center"/>
          </w:tcPr>
          <w:p w14:paraId="2AC12457">
            <w:pPr>
              <w:pStyle w:val="90"/>
            </w:pPr>
            <w:r>
              <w:t>年均值</w:t>
            </w:r>
          </w:p>
        </w:tc>
        <w:tc>
          <w:tcPr>
            <w:tcW w:w="850" w:type="dxa"/>
            <w:noWrap/>
          </w:tcPr>
          <w:p w14:paraId="01308407">
            <w:pPr>
              <w:pStyle w:val="90"/>
            </w:pPr>
            <w:r>
              <w:t>0.0002</w:t>
            </w:r>
          </w:p>
        </w:tc>
        <w:tc>
          <w:tcPr>
            <w:tcW w:w="993" w:type="dxa"/>
            <w:noWrap/>
            <w:vAlign w:val="center"/>
          </w:tcPr>
          <w:p w14:paraId="5C010660">
            <w:pPr>
              <w:pStyle w:val="90"/>
            </w:pPr>
            <w:r>
              <w:t>平均值</w:t>
            </w:r>
          </w:p>
        </w:tc>
        <w:tc>
          <w:tcPr>
            <w:tcW w:w="850" w:type="dxa"/>
            <w:noWrap/>
          </w:tcPr>
          <w:p w14:paraId="6A84BA42">
            <w:pPr>
              <w:pStyle w:val="90"/>
            </w:pPr>
            <w:r>
              <w:t>7.0000</w:t>
            </w:r>
          </w:p>
        </w:tc>
        <w:tc>
          <w:tcPr>
            <w:tcW w:w="992" w:type="dxa"/>
            <w:noWrap/>
          </w:tcPr>
          <w:p w14:paraId="13E6C65D">
            <w:pPr>
              <w:pStyle w:val="90"/>
            </w:pPr>
            <w:r>
              <w:t>7.0002</w:t>
            </w:r>
          </w:p>
        </w:tc>
        <w:tc>
          <w:tcPr>
            <w:tcW w:w="851" w:type="dxa"/>
            <w:noWrap/>
            <w:vAlign w:val="center"/>
          </w:tcPr>
          <w:p w14:paraId="11DD5180">
            <w:pPr>
              <w:pStyle w:val="90"/>
            </w:pPr>
            <w:r>
              <w:rPr>
                <w:rFonts w:hint="eastAsia"/>
              </w:rPr>
              <w:t>6</w:t>
            </w:r>
            <w:r>
              <w:t>0</w:t>
            </w:r>
          </w:p>
        </w:tc>
        <w:tc>
          <w:tcPr>
            <w:tcW w:w="567" w:type="dxa"/>
            <w:noWrap/>
          </w:tcPr>
          <w:p w14:paraId="3E52C033">
            <w:pPr>
              <w:pStyle w:val="90"/>
            </w:pPr>
            <w:r>
              <w:t>11.67</w:t>
            </w:r>
          </w:p>
        </w:tc>
        <w:tc>
          <w:tcPr>
            <w:tcW w:w="508" w:type="dxa"/>
            <w:noWrap/>
            <w:vAlign w:val="center"/>
          </w:tcPr>
          <w:p w14:paraId="4A2E2DF3">
            <w:pPr>
              <w:pStyle w:val="90"/>
            </w:pPr>
            <w:r>
              <w:t>达标</w:t>
            </w:r>
          </w:p>
        </w:tc>
      </w:tr>
      <w:tr w14:paraId="7BCC1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restart"/>
            <w:noWrap/>
            <w:vAlign w:val="center"/>
          </w:tcPr>
          <w:p w14:paraId="7C106658">
            <w:pPr>
              <w:pStyle w:val="90"/>
            </w:pPr>
            <w:r>
              <w:rPr>
                <w:rFonts w:hint="eastAsia"/>
              </w:rPr>
              <w:t>2</w:t>
            </w:r>
          </w:p>
        </w:tc>
        <w:tc>
          <w:tcPr>
            <w:tcW w:w="573" w:type="dxa"/>
            <w:vMerge w:val="restart"/>
            <w:vAlign w:val="center"/>
          </w:tcPr>
          <w:p w14:paraId="1BF3C119">
            <w:pPr>
              <w:pStyle w:val="90"/>
            </w:pPr>
            <w:r>
              <w:t>网格</w:t>
            </w:r>
          </w:p>
        </w:tc>
        <w:tc>
          <w:tcPr>
            <w:tcW w:w="850" w:type="dxa"/>
            <w:vMerge w:val="restart"/>
            <w:noWrap/>
            <w:vAlign w:val="center"/>
          </w:tcPr>
          <w:p w14:paraId="683A08C6">
            <w:pPr>
              <w:pStyle w:val="90"/>
            </w:pPr>
            <w:r>
              <w:t>-357，-12</w:t>
            </w:r>
          </w:p>
        </w:tc>
        <w:tc>
          <w:tcPr>
            <w:tcW w:w="709" w:type="dxa"/>
            <w:vMerge w:val="restart"/>
            <w:noWrap/>
            <w:vAlign w:val="center"/>
          </w:tcPr>
          <w:p w14:paraId="4D970DB5">
            <w:pPr>
              <w:pStyle w:val="90"/>
            </w:pPr>
            <w:r>
              <w:t>314.40</w:t>
            </w:r>
          </w:p>
        </w:tc>
        <w:tc>
          <w:tcPr>
            <w:tcW w:w="709" w:type="dxa"/>
            <w:noWrap/>
            <w:vAlign w:val="center"/>
          </w:tcPr>
          <w:p w14:paraId="4EF0DF9B">
            <w:pPr>
              <w:pStyle w:val="90"/>
            </w:pPr>
            <w:r>
              <w:t>日均值</w:t>
            </w:r>
          </w:p>
        </w:tc>
        <w:tc>
          <w:tcPr>
            <w:tcW w:w="850" w:type="dxa"/>
            <w:noWrap/>
          </w:tcPr>
          <w:p w14:paraId="5D4A7175">
            <w:pPr>
              <w:pStyle w:val="90"/>
            </w:pPr>
            <w:r>
              <w:t>0.0305</w:t>
            </w:r>
          </w:p>
        </w:tc>
        <w:tc>
          <w:tcPr>
            <w:tcW w:w="993" w:type="dxa"/>
            <w:noWrap/>
            <w:vAlign w:val="center"/>
          </w:tcPr>
          <w:p w14:paraId="02015053">
            <w:pPr>
              <w:pStyle w:val="90"/>
            </w:pPr>
            <w:r>
              <w:t>2206148</w:t>
            </w:r>
          </w:p>
        </w:tc>
        <w:tc>
          <w:tcPr>
            <w:tcW w:w="850" w:type="dxa"/>
            <w:noWrap/>
          </w:tcPr>
          <w:p w14:paraId="4FC01A1F">
            <w:pPr>
              <w:pStyle w:val="90"/>
            </w:pPr>
            <w:r>
              <w:t>11.0000</w:t>
            </w:r>
          </w:p>
        </w:tc>
        <w:tc>
          <w:tcPr>
            <w:tcW w:w="992" w:type="dxa"/>
            <w:noWrap/>
          </w:tcPr>
          <w:p w14:paraId="248ACA75">
            <w:pPr>
              <w:pStyle w:val="90"/>
            </w:pPr>
            <w:r>
              <w:t>11.0305</w:t>
            </w:r>
          </w:p>
        </w:tc>
        <w:tc>
          <w:tcPr>
            <w:tcW w:w="851" w:type="dxa"/>
            <w:noWrap/>
            <w:vAlign w:val="center"/>
          </w:tcPr>
          <w:p w14:paraId="03ABADC4">
            <w:pPr>
              <w:pStyle w:val="90"/>
            </w:pPr>
            <w:r>
              <w:t>150</w:t>
            </w:r>
          </w:p>
        </w:tc>
        <w:tc>
          <w:tcPr>
            <w:tcW w:w="567" w:type="dxa"/>
            <w:noWrap/>
          </w:tcPr>
          <w:p w14:paraId="2E745F3B">
            <w:pPr>
              <w:pStyle w:val="90"/>
            </w:pPr>
            <w:r>
              <w:t>7.34</w:t>
            </w:r>
          </w:p>
        </w:tc>
        <w:tc>
          <w:tcPr>
            <w:tcW w:w="508" w:type="dxa"/>
            <w:noWrap/>
            <w:vAlign w:val="center"/>
          </w:tcPr>
          <w:p w14:paraId="5EC3AD20">
            <w:pPr>
              <w:pStyle w:val="90"/>
            </w:pPr>
            <w:r>
              <w:t>达标</w:t>
            </w:r>
          </w:p>
        </w:tc>
      </w:tr>
      <w:tr w14:paraId="3ECD3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continue"/>
            <w:noWrap/>
            <w:vAlign w:val="center"/>
          </w:tcPr>
          <w:p w14:paraId="41986D53">
            <w:pPr>
              <w:pStyle w:val="90"/>
            </w:pPr>
          </w:p>
        </w:tc>
        <w:tc>
          <w:tcPr>
            <w:tcW w:w="573" w:type="dxa"/>
            <w:vMerge w:val="continue"/>
            <w:vAlign w:val="center"/>
          </w:tcPr>
          <w:p w14:paraId="530345DA">
            <w:pPr>
              <w:pStyle w:val="90"/>
            </w:pPr>
          </w:p>
        </w:tc>
        <w:tc>
          <w:tcPr>
            <w:tcW w:w="850" w:type="dxa"/>
            <w:vMerge w:val="continue"/>
            <w:noWrap/>
            <w:vAlign w:val="center"/>
          </w:tcPr>
          <w:p w14:paraId="7B807F1E">
            <w:pPr>
              <w:pStyle w:val="90"/>
            </w:pPr>
          </w:p>
        </w:tc>
        <w:tc>
          <w:tcPr>
            <w:tcW w:w="709" w:type="dxa"/>
            <w:vMerge w:val="continue"/>
            <w:noWrap/>
            <w:vAlign w:val="center"/>
          </w:tcPr>
          <w:p w14:paraId="2AC406DF">
            <w:pPr>
              <w:pStyle w:val="90"/>
            </w:pPr>
          </w:p>
        </w:tc>
        <w:tc>
          <w:tcPr>
            <w:tcW w:w="709" w:type="dxa"/>
            <w:noWrap/>
            <w:vAlign w:val="center"/>
          </w:tcPr>
          <w:p w14:paraId="6FF57058">
            <w:pPr>
              <w:pStyle w:val="90"/>
            </w:pPr>
            <w:r>
              <w:t>年均值</w:t>
            </w:r>
          </w:p>
        </w:tc>
        <w:tc>
          <w:tcPr>
            <w:tcW w:w="850" w:type="dxa"/>
            <w:noWrap/>
          </w:tcPr>
          <w:p w14:paraId="18A3244C">
            <w:pPr>
              <w:pStyle w:val="90"/>
            </w:pPr>
            <w:r>
              <w:t>0.0046</w:t>
            </w:r>
          </w:p>
        </w:tc>
        <w:tc>
          <w:tcPr>
            <w:tcW w:w="993" w:type="dxa"/>
            <w:noWrap/>
            <w:vAlign w:val="center"/>
          </w:tcPr>
          <w:p w14:paraId="526BA8DE">
            <w:pPr>
              <w:pStyle w:val="90"/>
            </w:pPr>
            <w:r>
              <w:t>平均值</w:t>
            </w:r>
          </w:p>
        </w:tc>
        <w:tc>
          <w:tcPr>
            <w:tcW w:w="850" w:type="dxa"/>
            <w:noWrap/>
          </w:tcPr>
          <w:p w14:paraId="0D3F734F">
            <w:pPr>
              <w:pStyle w:val="90"/>
            </w:pPr>
            <w:r>
              <w:t>7.0000</w:t>
            </w:r>
          </w:p>
        </w:tc>
        <w:tc>
          <w:tcPr>
            <w:tcW w:w="992" w:type="dxa"/>
            <w:noWrap/>
          </w:tcPr>
          <w:p w14:paraId="1C07E284">
            <w:pPr>
              <w:pStyle w:val="90"/>
            </w:pPr>
            <w:r>
              <w:t>7.0046</w:t>
            </w:r>
          </w:p>
        </w:tc>
        <w:tc>
          <w:tcPr>
            <w:tcW w:w="851" w:type="dxa"/>
            <w:noWrap/>
            <w:vAlign w:val="center"/>
          </w:tcPr>
          <w:p w14:paraId="2969D0E3">
            <w:pPr>
              <w:pStyle w:val="90"/>
            </w:pPr>
            <w:r>
              <w:rPr>
                <w:rFonts w:hint="eastAsia"/>
              </w:rPr>
              <w:t>6</w:t>
            </w:r>
            <w:r>
              <w:t>0</w:t>
            </w:r>
          </w:p>
        </w:tc>
        <w:tc>
          <w:tcPr>
            <w:tcW w:w="567" w:type="dxa"/>
            <w:noWrap/>
          </w:tcPr>
          <w:p w14:paraId="6411B3A0">
            <w:pPr>
              <w:pStyle w:val="90"/>
            </w:pPr>
            <w:r>
              <w:t>11.67</w:t>
            </w:r>
          </w:p>
        </w:tc>
        <w:tc>
          <w:tcPr>
            <w:tcW w:w="508" w:type="dxa"/>
            <w:noWrap/>
            <w:vAlign w:val="center"/>
          </w:tcPr>
          <w:p w14:paraId="5F0EB8CC">
            <w:pPr>
              <w:pStyle w:val="90"/>
            </w:pPr>
            <w:r>
              <w:t>达标</w:t>
            </w:r>
          </w:p>
        </w:tc>
      </w:tr>
    </w:tbl>
    <w:p w14:paraId="75D8952C">
      <w:pPr>
        <w:pStyle w:val="47"/>
        <w:spacing w:before="65"/>
        <w:rPr>
          <w:lang w:bidi="en-US"/>
        </w:rPr>
      </w:pPr>
    </w:p>
    <w:p w14:paraId="2D0D8D1D">
      <w:pPr>
        <w:pStyle w:val="47"/>
        <w:spacing w:before="65"/>
        <w:rPr>
          <w:lang w:bidi="en-US"/>
        </w:rPr>
      </w:pPr>
      <w:r>
        <w:rPr>
          <w:rFonts w:hint="eastAsia"/>
          <w:lang w:bidi="en-US"/>
        </w:rPr>
        <w:t>图5</w:t>
      </w:r>
      <w:r>
        <w:rPr>
          <w:lang w:bidi="en-US"/>
        </w:rPr>
        <w:t>.1-1</w:t>
      </w:r>
      <w:r>
        <w:rPr>
          <w:rFonts w:hint="eastAsia"/>
          <w:lang w:val="en-US" w:eastAsia="zh-CN" w:bidi="en-US"/>
        </w:rPr>
        <w:t>1</w:t>
      </w:r>
      <w:r>
        <w:rPr>
          <w:lang w:bidi="en-US"/>
        </w:rPr>
        <w:t xml:space="preserve">   </w:t>
      </w:r>
      <w:r>
        <w:rPr>
          <w:rFonts w:hint="eastAsia"/>
          <w:lang w:bidi="en-US"/>
        </w:rPr>
        <w:t>氮氧化物烃叠加区域背景值后日均浓度分布图</w:t>
      </w:r>
    </w:p>
    <w:p w14:paraId="0CEF346C">
      <w:pPr>
        <w:spacing w:line="240" w:lineRule="auto"/>
        <w:ind w:firstLine="0" w:firstLineChars="0"/>
        <w:jc w:val="center"/>
        <w:rPr>
          <w:lang w:val="zh-CN" w:bidi="en-US"/>
        </w:rPr>
      </w:pP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8"/>
        <w:gridCol w:w="573"/>
        <w:gridCol w:w="850"/>
        <w:gridCol w:w="709"/>
        <w:gridCol w:w="709"/>
        <w:gridCol w:w="850"/>
        <w:gridCol w:w="993"/>
        <w:gridCol w:w="850"/>
        <w:gridCol w:w="992"/>
        <w:gridCol w:w="851"/>
        <w:gridCol w:w="567"/>
        <w:gridCol w:w="508"/>
      </w:tblGrid>
      <w:tr w14:paraId="0B5C5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1AE72642">
            <w:pPr>
              <w:pStyle w:val="90"/>
              <w:rPr>
                <w:lang w:bidi="ar"/>
              </w:rPr>
            </w:pPr>
            <w:r>
              <w:rPr>
                <w:lang w:bidi="ar"/>
              </w:rPr>
              <w:t>序号</w:t>
            </w:r>
          </w:p>
        </w:tc>
        <w:tc>
          <w:tcPr>
            <w:tcW w:w="573" w:type="dxa"/>
            <w:vAlign w:val="center"/>
          </w:tcPr>
          <w:p w14:paraId="6EF5B811">
            <w:pPr>
              <w:pStyle w:val="90"/>
              <w:rPr>
                <w:lang w:bidi="ar"/>
              </w:rPr>
            </w:pPr>
            <w:r>
              <w:rPr>
                <w:lang w:bidi="ar"/>
              </w:rPr>
              <w:t>点名称</w:t>
            </w:r>
          </w:p>
        </w:tc>
        <w:tc>
          <w:tcPr>
            <w:tcW w:w="850" w:type="dxa"/>
            <w:noWrap/>
            <w:vAlign w:val="center"/>
          </w:tcPr>
          <w:p w14:paraId="0C347C69">
            <w:pPr>
              <w:pStyle w:val="90"/>
              <w:rPr>
                <w:lang w:bidi="ar"/>
              </w:rPr>
            </w:pPr>
            <w:r>
              <w:rPr>
                <w:lang w:bidi="ar"/>
              </w:rPr>
              <w:t>点坐标（x，y）</w:t>
            </w:r>
          </w:p>
        </w:tc>
        <w:tc>
          <w:tcPr>
            <w:tcW w:w="709" w:type="dxa"/>
            <w:noWrap/>
            <w:vAlign w:val="center"/>
          </w:tcPr>
          <w:p w14:paraId="589642D7">
            <w:pPr>
              <w:pStyle w:val="90"/>
              <w:rPr>
                <w:lang w:bidi="ar"/>
              </w:rPr>
            </w:pPr>
            <w:r>
              <w:rPr>
                <w:lang w:bidi="ar"/>
              </w:rPr>
              <w:t>地面高程（m）</w:t>
            </w:r>
          </w:p>
        </w:tc>
        <w:tc>
          <w:tcPr>
            <w:tcW w:w="709" w:type="dxa"/>
            <w:noWrap/>
            <w:vAlign w:val="center"/>
          </w:tcPr>
          <w:p w14:paraId="704AC074">
            <w:pPr>
              <w:pStyle w:val="90"/>
              <w:rPr>
                <w:lang w:bidi="ar"/>
              </w:rPr>
            </w:pPr>
            <w:r>
              <w:rPr>
                <w:lang w:bidi="ar"/>
              </w:rPr>
              <w:t>浓度类型</w:t>
            </w:r>
          </w:p>
        </w:tc>
        <w:tc>
          <w:tcPr>
            <w:tcW w:w="850" w:type="dxa"/>
            <w:noWrap/>
            <w:vAlign w:val="center"/>
          </w:tcPr>
          <w:p w14:paraId="42FE838C">
            <w:pPr>
              <w:pStyle w:val="90"/>
              <w:rPr>
                <w:lang w:bidi="ar"/>
              </w:rPr>
            </w:pPr>
            <w:r>
              <w:rPr>
                <w:lang w:bidi="ar"/>
              </w:rPr>
              <w:t>浓度增量（μg/m</w:t>
            </w:r>
            <w:r>
              <w:rPr>
                <w:vertAlign w:val="superscript"/>
                <w:lang w:bidi="ar"/>
              </w:rPr>
              <w:t>3</w:t>
            </w:r>
            <w:r>
              <w:rPr>
                <w:lang w:bidi="ar"/>
              </w:rPr>
              <w:t>）</w:t>
            </w:r>
          </w:p>
        </w:tc>
        <w:tc>
          <w:tcPr>
            <w:tcW w:w="993" w:type="dxa"/>
            <w:noWrap/>
            <w:vAlign w:val="center"/>
          </w:tcPr>
          <w:p w14:paraId="699E13BD">
            <w:pPr>
              <w:pStyle w:val="90"/>
              <w:rPr>
                <w:lang w:bidi="ar"/>
              </w:rPr>
            </w:pPr>
            <w:r>
              <w:rPr>
                <w:lang w:bidi="ar"/>
              </w:rPr>
              <w:t>出现时间</w:t>
            </w:r>
          </w:p>
          <w:p w14:paraId="39F37632">
            <w:pPr>
              <w:pStyle w:val="90"/>
              <w:rPr>
                <w:lang w:bidi="ar"/>
              </w:rPr>
            </w:pPr>
            <w:r>
              <w:rPr>
                <w:lang w:bidi="ar"/>
              </w:rPr>
              <w:t>（YYMMDDHH）</w:t>
            </w:r>
          </w:p>
        </w:tc>
        <w:tc>
          <w:tcPr>
            <w:tcW w:w="850" w:type="dxa"/>
            <w:noWrap/>
            <w:vAlign w:val="center"/>
          </w:tcPr>
          <w:p w14:paraId="1A1C1831">
            <w:pPr>
              <w:pStyle w:val="90"/>
              <w:rPr>
                <w:lang w:bidi="ar"/>
              </w:rPr>
            </w:pPr>
            <w:r>
              <w:rPr>
                <w:lang w:bidi="ar"/>
              </w:rPr>
              <w:t>背景浓度（μg/m</w:t>
            </w:r>
            <w:r>
              <w:rPr>
                <w:vertAlign w:val="superscript"/>
                <w:lang w:bidi="ar"/>
              </w:rPr>
              <w:t>3</w:t>
            </w:r>
            <w:r>
              <w:rPr>
                <w:lang w:bidi="ar"/>
              </w:rPr>
              <w:t>）</w:t>
            </w:r>
          </w:p>
        </w:tc>
        <w:tc>
          <w:tcPr>
            <w:tcW w:w="992" w:type="dxa"/>
            <w:noWrap/>
            <w:vAlign w:val="center"/>
          </w:tcPr>
          <w:p w14:paraId="05C8ACD6">
            <w:pPr>
              <w:pStyle w:val="90"/>
              <w:rPr>
                <w:lang w:bidi="ar"/>
              </w:rPr>
            </w:pPr>
            <w:r>
              <w:rPr>
                <w:lang w:bidi="ar"/>
              </w:rPr>
              <w:t>叠加背景后的浓度（μg/m</w:t>
            </w:r>
            <w:r>
              <w:rPr>
                <w:vertAlign w:val="superscript"/>
                <w:lang w:bidi="ar"/>
              </w:rPr>
              <w:t>3</w:t>
            </w:r>
            <w:r>
              <w:rPr>
                <w:lang w:bidi="ar"/>
              </w:rPr>
              <w:t>）</w:t>
            </w:r>
          </w:p>
        </w:tc>
        <w:tc>
          <w:tcPr>
            <w:tcW w:w="851" w:type="dxa"/>
            <w:noWrap/>
            <w:vAlign w:val="center"/>
          </w:tcPr>
          <w:p w14:paraId="3D944A46">
            <w:pPr>
              <w:pStyle w:val="90"/>
              <w:rPr>
                <w:lang w:bidi="ar"/>
              </w:rPr>
            </w:pPr>
            <w:r>
              <w:rPr>
                <w:lang w:bidi="ar"/>
              </w:rPr>
              <w:t>评价标准（μg/m</w:t>
            </w:r>
            <w:r>
              <w:rPr>
                <w:vertAlign w:val="superscript"/>
                <w:lang w:bidi="ar"/>
              </w:rPr>
              <w:t>3</w:t>
            </w:r>
            <w:r>
              <w:rPr>
                <w:lang w:bidi="ar"/>
              </w:rPr>
              <w:t>）</w:t>
            </w:r>
          </w:p>
        </w:tc>
        <w:tc>
          <w:tcPr>
            <w:tcW w:w="567" w:type="dxa"/>
            <w:noWrap/>
            <w:vAlign w:val="center"/>
          </w:tcPr>
          <w:p w14:paraId="5E97C42F">
            <w:pPr>
              <w:pStyle w:val="90"/>
              <w:rPr>
                <w:lang w:bidi="ar"/>
              </w:rPr>
            </w:pPr>
            <w:r>
              <w:rPr>
                <w:lang w:bidi="ar"/>
              </w:rPr>
              <w:t>占标率%</w:t>
            </w:r>
          </w:p>
        </w:tc>
        <w:tc>
          <w:tcPr>
            <w:tcW w:w="508" w:type="dxa"/>
            <w:noWrap/>
            <w:vAlign w:val="center"/>
          </w:tcPr>
          <w:p w14:paraId="47AF0CD7">
            <w:pPr>
              <w:pStyle w:val="90"/>
              <w:rPr>
                <w:lang w:bidi="ar"/>
              </w:rPr>
            </w:pPr>
            <w:r>
              <w:rPr>
                <w:lang w:bidi="ar"/>
              </w:rPr>
              <w:t>是否</w:t>
            </w:r>
          </w:p>
          <w:p w14:paraId="60FE62DC">
            <w:pPr>
              <w:pStyle w:val="90"/>
              <w:rPr>
                <w:lang w:bidi="ar"/>
              </w:rPr>
            </w:pPr>
            <w:r>
              <w:rPr>
                <w:lang w:bidi="ar"/>
              </w:rPr>
              <w:t>达标</w:t>
            </w:r>
          </w:p>
        </w:tc>
      </w:tr>
      <w:tr w14:paraId="7B4E3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restart"/>
            <w:noWrap/>
            <w:vAlign w:val="center"/>
          </w:tcPr>
          <w:p w14:paraId="65B7C596">
            <w:pPr>
              <w:pStyle w:val="90"/>
              <w:rPr>
                <w:lang w:bidi="ar"/>
              </w:rPr>
            </w:pPr>
            <w:r>
              <w:rPr>
                <w:rFonts w:hint="eastAsia"/>
                <w:lang w:bidi="ar"/>
              </w:rPr>
              <w:t>1</w:t>
            </w:r>
          </w:p>
        </w:tc>
        <w:tc>
          <w:tcPr>
            <w:tcW w:w="573" w:type="dxa"/>
            <w:vMerge w:val="restart"/>
            <w:vAlign w:val="center"/>
          </w:tcPr>
          <w:p w14:paraId="7E80D0AF">
            <w:pPr>
              <w:pStyle w:val="90"/>
              <w:rPr>
                <w:szCs w:val="21"/>
                <w:lang w:bidi="ar"/>
              </w:rPr>
            </w:pPr>
            <w:r>
              <w:rPr>
                <w:rFonts w:hint="eastAsia"/>
                <w:szCs w:val="21"/>
                <w:lang w:bidi="ar"/>
              </w:rPr>
              <w:t>130团22连</w:t>
            </w:r>
          </w:p>
        </w:tc>
        <w:tc>
          <w:tcPr>
            <w:tcW w:w="850" w:type="dxa"/>
            <w:vMerge w:val="restart"/>
            <w:noWrap/>
            <w:vAlign w:val="center"/>
          </w:tcPr>
          <w:p w14:paraId="471A21E8">
            <w:pPr>
              <w:pStyle w:val="90"/>
              <w:rPr>
                <w:szCs w:val="21"/>
                <w:lang w:bidi="ar"/>
              </w:rPr>
            </w:pPr>
            <w:r>
              <w:rPr>
                <w:szCs w:val="21"/>
                <w:lang w:bidi="ar"/>
              </w:rPr>
              <w:t>-1998，-1133</w:t>
            </w:r>
          </w:p>
        </w:tc>
        <w:tc>
          <w:tcPr>
            <w:tcW w:w="709" w:type="dxa"/>
            <w:vMerge w:val="restart"/>
            <w:noWrap/>
            <w:vAlign w:val="center"/>
          </w:tcPr>
          <w:p w14:paraId="761AEB71">
            <w:pPr>
              <w:pStyle w:val="90"/>
              <w:rPr>
                <w:szCs w:val="21"/>
                <w:lang w:bidi="ar"/>
              </w:rPr>
            </w:pPr>
            <w:r>
              <w:rPr>
                <w:szCs w:val="21"/>
                <w:lang w:bidi="ar"/>
              </w:rPr>
              <w:t>316.34</w:t>
            </w:r>
          </w:p>
        </w:tc>
        <w:tc>
          <w:tcPr>
            <w:tcW w:w="709" w:type="dxa"/>
            <w:noWrap/>
            <w:vAlign w:val="center"/>
          </w:tcPr>
          <w:p w14:paraId="260DA230">
            <w:pPr>
              <w:pStyle w:val="90"/>
              <w:rPr>
                <w:szCs w:val="21"/>
                <w:lang w:bidi="ar"/>
              </w:rPr>
            </w:pPr>
            <w:r>
              <w:rPr>
                <w:rFonts w:hint="eastAsia"/>
                <w:szCs w:val="21"/>
                <w:lang w:bidi="ar"/>
              </w:rPr>
              <w:t>日均值</w:t>
            </w:r>
          </w:p>
        </w:tc>
        <w:tc>
          <w:tcPr>
            <w:tcW w:w="850" w:type="dxa"/>
            <w:noWrap/>
          </w:tcPr>
          <w:p w14:paraId="57B7A6DD">
            <w:pPr>
              <w:pStyle w:val="90"/>
            </w:pPr>
            <w:r>
              <w:t>0.0028</w:t>
            </w:r>
          </w:p>
        </w:tc>
        <w:tc>
          <w:tcPr>
            <w:tcW w:w="993" w:type="dxa"/>
            <w:noWrap/>
            <w:vAlign w:val="center"/>
          </w:tcPr>
          <w:p w14:paraId="36B32828">
            <w:pPr>
              <w:pStyle w:val="90"/>
              <w:rPr>
                <w:szCs w:val="21"/>
                <w:lang w:bidi="ar"/>
              </w:rPr>
            </w:pPr>
            <w:r>
              <w:rPr>
                <w:szCs w:val="21"/>
                <w:lang w:bidi="ar"/>
              </w:rPr>
              <w:t>221124</w:t>
            </w:r>
          </w:p>
        </w:tc>
        <w:tc>
          <w:tcPr>
            <w:tcW w:w="850" w:type="dxa"/>
            <w:noWrap/>
          </w:tcPr>
          <w:p w14:paraId="2D5BD59F">
            <w:pPr>
              <w:pStyle w:val="90"/>
            </w:pPr>
            <w:r>
              <w:t>11.0000</w:t>
            </w:r>
          </w:p>
        </w:tc>
        <w:tc>
          <w:tcPr>
            <w:tcW w:w="992" w:type="dxa"/>
            <w:noWrap/>
          </w:tcPr>
          <w:p w14:paraId="57EEEFCE">
            <w:pPr>
              <w:pStyle w:val="90"/>
            </w:pPr>
            <w:r>
              <w:t>11.0028</w:t>
            </w:r>
          </w:p>
        </w:tc>
        <w:tc>
          <w:tcPr>
            <w:tcW w:w="851" w:type="dxa"/>
            <w:noWrap/>
            <w:vAlign w:val="center"/>
          </w:tcPr>
          <w:p w14:paraId="58C9F272">
            <w:pPr>
              <w:pStyle w:val="90"/>
              <w:rPr>
                <w:szCs w:val="21"/>
                <w:lang w:bidi="ar"/>
              </w:rPr>
            </w:pPr>
            <w:r>
              <w:rPr>
                <w:szCs w:val="21"/>
                <w:lang w:bidi="ar"/>
              </w:rPr>
              <w:t>150</w:t>
            </w:r>
          </w:p>
        </w:tc>
        <w:tc>
          <w:tcPr>
            <w:tcW w:w="567" w:type="dxa"/>
            <w:noWrap/>
          </w:tcPr>
          <w:p w14:paraId="7B0E4CDB">
            <w:pPr>
              <w:pStyle w:val="90"/>
            </w:pPr>
            <w:r>
              <w:t>7.34</w:t>
            </w:r>
          </w:p>
        </w:tc>
        <w:tc>
          <w:tcPr>
            <w:tcW w:w="508" w:type="dxa"/>
            <w:noWrap/>
            <w:vAlign w:val="center"/>
          </w:tcPr>
          <w:p w14:paraId="4CF4FE6E">
            <w:pPr>
              <w:pStyle w:val="90"/>
              <w:rPr>
                <w:szCs w:val="21"/>
                <w:lang w:bidi="ar"/>
              </w:rPr>
            </w:pPr>
            <w:r>
              <w:rPr>
                <w:szCs w:val="21"/>
                <w:lang w:bidi="ar"/>
              </w:rPr>
              <w:t>达标</w:t>
            </w:r>
          </w:p>
        </w:tc>
      </w:tr>
      <w:tr w14:paraId="4E8EA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continue"/>
            <w:noWrap/>
            <w:vAlign w:val="center"/>
          </w:tcPr>
          <w:p w14:paraId="247EA7A7">
            <w:pPr>
              <w:pStyle w:val="90"/>
              <w:rPr>
                <w:lang w:bidi="ar"/>
              </w:rPr>
            </w:pPr>
          </w:p>
        </w:tc>
        <w:tc>
          <w:tcPr>
            <w:tcW w:w="573" w:type="dxa"/>
            <w:vMerge w:val="continue"/>
            <w:vAlign w:val="center"/>
          </w:tcPr>
          <w:p w14:paraId="7AB6B4B4">
            <w:pPr>
              <w:pStyle w:val="90"/>
              <w:rPr>
                <w:szCs w:val="21"/>
                <w:lang w:bidi="ar"/>
              </w:rPr>
            </w:pPr>
          </w:p>
        </w:tc>
        <w:tc>
          <w:tcPr>
            <w:tcW w:w="850" w:type="dxa"/>
            <w:vMerge w:val="continue"/>
            <w:noWrap/>
            <w:vAlign w:val="center"/>
          </w:tcPr>
          <w:p w14:paraId="0FBFEB6A">
            <w:pPr>
              <w:pStyle w:val="90"/>
              <w:rPr>
                <w:szCs w:val="21"/>
                <w:lang w:bidi="ar"/>
              </w:rPr>
            </w:pPr>
          </w:p>
        </w:tc>
        <w:tc>
          <w:tcPr>
            <w:tcW w:w="709" w:type="dxa"/>
            <w:vMerge w:val="continue"/>
            <w:noWrap/>
            <w:vAlign w:val="center"/>
          </w:tcPr>
          <w:p w14:paraId="597D646F">
            <w:pPr>
              <w:pStyle w:val="90"/>
              <w:rPr>
                <w:szCs w:val="21"/>
                <w:lang w:bidi="ar"/>
              </w:rPr>
            </w:pPr>
          </w:p>
        </w:tc>
        <w:tc>
          <w:tcPr>
            <w:tcW w:w="709" w:type="dxa"/>
            <w:noWrap/>
            <w:vAlign w:val="center"/>
          </w:tcPr>
          <w:p w14:paraId="343375E3">
            <w:pPr>
              <w:pStyle w:val="90"/>
              <w:rPr>
                <w:szCs w:val="21"/>
                <w:lang w:bidi="ar"/>
              </w:rPr>
            </w:pPr>
            <w:r>
              <w:rPr>
                <w:rFonts w:hint="eastAsia"/>
                <w:szCs w:val="21"/>
                <w:lang w:bidi="ar"/>
              </w:rPr>
              <w:t>年均值</w:t>
            </w:r>
          </w:p>
        </w:tc>
        <w:tc>
          <w:tcPr>
            <w:tcW w:w="850" w:type="dxa"/>
            <w:noWrap/>
          </w:tcPr>
          <w:p w14:paraId="064CF135">
            <w:pPr>
              <w:pStyle w:val="90"/>
            </w:pPr>
            <w:r>
              <w:t>0.0002</w:t>
            </w:r>
          </w:p>
        </w:tc>
        <w:tc>
          <w:tcPr>
            <w:tcW w:w="993" w:type="dxa"/>
            <w:noWrap/>
            <w:vAlign w:val="center"/>
          </w:tcPr>
          <w:p w14:paraId="7DB6B3A4">
            <w:pPr>
              <w:pStyle w:val="90"/>
              <w:rPr>
                <w:szCs w:val="21"/>
                <w:lang w:bidi="ar"/>
              </w:rPr>
            </w:pPr>
            <w:r>
              <w:rPr>
                <w:rFonts w:hint="eastAsia"/>
                <w:szCs w:val="21"/>
                <w:lang w:bidi="ar"/>
              </w:rPr>
              <w:t>平均值</w:t>
            </w:r>
          </w:p>
        </w:tc>
        <w:tc>
          <w:tcPr>
            <w:tcW w:w="850" w:type="dxa"/>
            <w:noWrap/>
          </w:tcPr>
          <w:p w14:paraId="2492E80A">
            <w:pPr>
              <w:pStyle w:val="90"/>
            </w:pPr>
            <w:r>
              <w:t>7.0000</w:t>
            </w:r>
          </w:p>
        </w:tc>
        <w:tc>
          <w:tcPr>
            <w:tcW w:w="992" w:type="dxa"/>
            <w:noWrap/>
          </w:tcPr>
          <w:p w14:paraId="4A4CDBA5">
            <w:pPr>
              <w:pStyle w:val="90"/>
            </w:pPr>
            <w:r>
              <w:t>7.0002</w:t>
            </w:r>
          </w:p>
        </w:tc>
        <w:tc>
          <w:tcPr>
            <w:tcW w:w="851" w:type="dxa"/>
            <w:noWrap/>
            <w:vAlign w:val="center"/>
          </w:tcPr>
          <w:p w14:paraId="071C91EE">
            <w:pPr>
              <w:pStyle w:val="90"/>
              <w:rPr>
                <w:szCs w:val="21"/>
                <w:lang w:bidi="ar"/>
              </w:rPr>
            </w:pPr>
            <w:r>
              <w:rPr>
                <w:rFonts w:hint="eastAsia"/>
                <w:szCs w:val="21"/>
                <w:lang w:bidi="ar"/>
              </w:rPr>
              <w:t>6</w:t>
            </w:r>
            <w:r>
              <w:rPr>
                <w:szCs w:val="21"/>
                <w:lang w:bidi="ar"/>
              </w:rPr>
              <w:t>0</w:t>
            </w:r>
          </w:p>
        </w:tc>
        <w:tc>
          <w:tcPr>
            <w:tcW w:w="567" w:type="dxa"/>
            <w:noWrap/>
          </w:tcPr>
          <w:p w14:paraId="155BEAAD">
            <w:pPr>
              <w:pStyle w:val="90"/>
            </w:pPr>
            <w:r>
              <w:t>11.67</w:t>
            </w:r>
          </w:p>
        </w:tc>
        <w:tc>
          <w:tcPr>
            <w:tcW w:w="508" w:type="dxa"/>
            <w:noWrap/>
            <w:vAlign w:val="center"/>
          </w:tcPr>
          <w:p w14:paraId="658C0EEE">
            <w:pPr>
              <w:pStyle w:val="90"/>
              <w:rPr>
                <w:szCs w:val="21"/>
                <w:lang w:bidi="ar"/>
              </w:rPr>
            </w:pPr>
            <w:r>
              <w:rPr>
                <w:szCs w:val="21"/>
                <w:lang w:bidi="ar"/>
              </w:rPr>
              <w:t>达标</w:t>
            </w:r>
          </w:p>
        </w:tc>
      </w:tr>
      <w:tr w14:paraId="36CDB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restart"/>
            <w:noWrap/>
            <w:vAlign w:val="center"/>
          </w:tcPr>
          <w:p w14:paraId="763DAC64">
            <w:pPr>
              <w:pStyle w:val="90"/>
              <w:rPr>
                <w:lang w:bidi="ar"/>
              </w:rPr>
            </w:pPr>
            <w:r>
              <w:rPr>
                <w:rFonts w:hint="eastAsia"/>
                <w:lang w:bidi="ar"/>
              </w:rPr>
              <w:t>2</w:t>
            </w:r>
          </w:p>
        </w:tc>
        <w:tc>
          <w:tcPr>
            <w:tcW w:w="573" w:type="dxa"/>
            <w:vMerge w:val="restart"/>
            <w:vAlign w:val="center"/>
          </w:tcPr>
          <w:p w14:paraId="54C94C13">
            <w:pPr>
              <w:pStyle w:val="90"/>
              <w:rPr>
                <w:szCs w:val="21"/>
                <w:lang w:bidi="ar"/>
              </w:rPr>
            </w:pPr>
            <w:r>
              <w:rPr>
                <w:szCs w:val="21"/>
                <w:lang w:bidi="ar"/>
              </w:rPr>
              <w:t>网格</w:t>
            </w:r>
          </w:p>
        </w:tc>
        <w:tc>
          <w:tcPr>
            <w:tcW w:w="850" w:type="dxa"/>
            <w:vMerge w:val="restart"/>
            <w:noWrap/>
            <w:vAlign w:val="center"/>
          </w:tcPr>
          <w:p w14:paraId="0F0F2AF1">
            <w:pPr>
              <w:pStyle w:val="90"/>
              <w:rPr>
                <w:szCs w:val="21"/>
                <w:lang w:bidi="ar"/>
              </w:rPr>
            </w:pPr>
            <w:r>
              <w:rPr>
                <w:szCs w:val="21"/>
                <w:lang w:bidi="ar"/>
              </w:rPr>
              <w:t>-357，-12</w:t>
            </w:r>
          </w:p>
        </w:tc>
        <w:tc>
          <w:tcPr>
            <w:tcW w:w="709" w:type="dxa"/>
            <w:vMerge w:val="restart"/>
            <w:noWrap/>
            <w:vAlign w:val="center"/>
          </w:tcPr>
          <w:p w14:paraId="24B3A9B4">
            <w:pPr>
              <w:pStyle w:val="90"/>
              <w:rPr>
                <w:szCs w:val="21"/>
                <w:lang w:bidi="ar"/>
              </w:rPr>
            </w:pPr>
            <w:r>
              <w:rPr>
                <w:szCs w:val="21"/>
                <w:lang w:bidi="ar"/>
              </w:rPr>
              <w:t>314.40</w:t>
            </w:r>
          </w:p>
        </w:tc>
        <w:tc>
          <w:tcPr>
            <w:tcW w:w="709" w:type="dxa"/>
            <w:noWrap/>
            <w:vAlign w:val="center"/>
          </w:tcPr>
          <w:p w14:paraId="61B1F1BD">
            <w:pPr>
              <w:pStyle w:val="90"/>
              <w:rPr>
                <w:szCs w:val="21"/>
                <w:lang w:bidi="ar"/>
              </w:rPr>
            </w:pPr>
            <w:r>
              <w:rPr>
                <w:rFonts w:hint="eastAsia"/>
                <w:szCs w:val="21"/>
                <w:lang w:bidi="ar"/>
              </w:rPr>
              <w:t>日均值</w:t>
            </w:r>
          </w:p>
        </w:tc>
        <w:tc>
          <w:tcPr>
            <w:tcW w:w="850" w:type="dxa"/>
            <w:noWrap/>
          </w:tcPr>
          <w:p w14:paraId="1676F8E0">
            <w:pPr>
              <w:pStyle w:val="90"/>
            </w:pPr>
            <w:r>
              <w:t>0.0305</w:t>
            </w:r>
          </w:p>
        </w:tc>
        <w:tc>
          <w:tcPr>
            <w:tcW w:w="993" w:type="dxa"/>
            <w:noWrap/>
            <w:vAlign w:val="center"/>
          </w:tcPr>
          <w:p w14:paraId="3D37FA92">
            <w:pPr>
              <w:pStyle w:val="90"/>
              <w:rPr>
                <w:szCs w:val="21"/>
                <w:lang w:bidi="ar"/>
              </w:rPr>
            </w:pPr>
            <w:r>
              <w:rPr>
                <w:szCs w:val="21"/>
                <w:lang w:bidi="ar"/>
              </w:rPr>
              <w:t>2206148</w:t>
            </w:r>
          </w:p>
        </w:tc>
        <w:tc>
          <w:tcPr>
            <w:tcW w:w="850" w:type="dxa"/>
            <w:noWrap/>
          </w:tcPr>
          <w:p w14:paraId="103CA0A3">
            <w:pPr>
              <w:pStyle w:val="90"/>
            </w:pPr>
            <w:r>
              <w:t>11.0000</w:t>
            </w:r>
          </w:p>
        </w:tc>
        <w:tc>
          <w:tcPr>
            <w:tcW w:w="992" w:type="dxa"/>
            <w:noWrap/>
          </w:tcPr>
          <w:p w14:paraId="1196080F">
            <w:pPr>
              <w:pStyle w:val="90"/>
            </w:pPr>
            <w:r>
              <w:t>11.0305</w:t>
            </w:r>
          </w:p>
        </w:tc>
        <w:tc>
          <w:tcPr>
            <w:tcW w:w="851" w:type="dxa"/>
            <w:noWrap/>
            <w:vAlign w:val="center"/>
          </w:tcPr>
          <w:p w14:paraId="52CDA52F">
            <w:pPr>
              <w:pStyle w:val="90"/>
              <w:rPr>
                <w:szCs w:val="21"/>
                <w:lang w:bidi="ar"/>
              </w:rPr>
            </w:pPr>
            <w:r>
              <w:rPr>
                <w:szCs w:val="21"/>
                <w:lang w:bidi="ar"/>
              </w:rPr>
              <w:t>150</w:t>
            </w:r>
          </w:p>
        </w:tc>
        <w:tc>
          <w:tcPr>
            <w:tcW w:w="567" w:type="dxa"/>
            <w:noWrap/>
          </w:tcPr>
          <w:p w14:paraId="10CF98C1">
            <w:pPr>
              <w:pStyle w:val="90"/>
            </w:pPr>
            <w:r>
              <w:t>7.34</w:t>
            </w:r>
          </w:p>
        </w:tc>
        <w:tc>
          <w:tcPr>
            <w:tcW w:w="508" w:type="dxa"/>
            <w:noWrap/>
            <w:vAlign w:val="center"/>
          </w:tcPr>
          <w:p w14:paraId="4ED3144E">
            <w:pPr>
              <w:pStyle w:val="90"/>
              <w:rPr>
                <w:szCs w:val="21"/>
                <w:lang w:bidi="ar"/>
              </w:rPr>
            </w:pPr>
            <w:r>
              <w:rPr>
                <w:szCs w:val="21"/>
                <w:lang w:bidi="ar"/>
              </w:rPr>
              <w:t>达标</w:t>
            </w:r>
          </w:p>
        </w:tc>
      </w:tr>
      <w:tr w14:paraId="2B0D8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vMerge w:val="continue"/>
            <w:noWrap/>
            <w:vAlign w:val="center"/>
          </w:tcPr>
          <w:p w14:paraId="1D2826CA">
            <w:pPr>
              <w:pStyle w:val="90"/>
              <w:rPr>
                <w:lang w:bidi="ar"/>
              </w:rPr>
            </w:pPr>
          </w:p>
        </w:tc>
        <w:tc>
          <w:tcPr>
            <w:tcW w:w="573" w:type="dxa"/>
            <w:vMerge w:val="continue"/>
            <w:vAlign w:val="center"/>
          </w:tcPr>
          <w:p w14:paraId="738AE574">
            <w:pPr>
              <w:pStyle w:val="90"/>
              <w:rPr>
                <w:szCs w:val="21"/>
                <w:lang w:bidi="ar"/>
              </w:rPr>
            </w:pPr>
          </w:p>
        </w:tc>
        <w:tc>
          <w:tcPr>
            <w:tcW w:w="850" w:type="dxa"/>
            <w:vMerge w:val="continue"/>
            <w:noWrap/>
            <w:vAlign w:val="center"/>
          </w:tcPr>
          <w:p w14:paraId="1716D5B0">
            <w:pPr>
              <w:pStyle w:val="90"/>
              <w:rPr>
                <w:szCs w:val="21"/>
                <w:lang w:bidi="ar"/>
              </w:rPr>
            </w:pPr>
          </w:p>
        </w:tc>
        <w:tc>
          <w:tcPr>
            <w:tcW w:w="709" w:type="dxa"/>
            <w:vMerge w:val="continue"/>
            <w:noWrap/>
            <w:vAlign w:val="center"/>
          </w:tcPr>
          <w:p w14:paraId="2C651ED8">
            <w:pPr>
              <w:pStyle w:val="90"/>
              <w:rPr>
                <w:szCs w:val="21"/>
                <w:lang w:bidi="ar"/>
              </w:rPr>
            </w:pPr>
          </w:p>
        </w:tc>
        <w:tc>
          <w:tcPr>
            <w:tcW w:w="709" w:type="dxa"/>
            <w:noWrap/>
            <w:vAlign w:val="center"/>
          </w:tcPr>
          <w:p w14:paraId="370F4B97">
            <w:pPr>
              <w:pStyle w:val="90"/>
              <w:rPr>
                <w:szCs w:val="21"/>
                <w:lang w:bidi="ar"/>
              </w:rPr>
            </w:pPr>
            <w:r>
              <w:rPr>
                <w:rFonts w:hint="eastAsia"/>
                <w:szCs w:val="21"/>
                <w:lang w:bidi="ar"/>
              </w:rPr>
              <w:t>年均值</w:t>
            </w:r>
          </w:p>
        </w:tc>
        <w:tc>
          <w:tcPr>
            <w:tcW w:w="850" w:type="dxa"/>
            <w:noWrap/>
          </w:tcPr>
          <w:p w14:paraId="14235D45">
            <w:pPr>
              <w:pStyle w:val="90"/>
            </w:pPr>
            <w:r>
              <w:t>0.0046</w:t>
            </w:r>
          </w:p>
        </w:tc>
        <w:tc>
          <w:tcPr>
            <w:tcW w:w="993" w:type="dxa"/>
            <w:noWrap/>
            <w:vAlign w:val="center"/>
          </w:tcPr>
          <w:p w14:paraId="7F46245C">
            <w:pPr>
              <w:pStyle w:val="90"/>
              <w:rPr>
                <w:szCs w:val="21"/>
                <w:lang w:bidi="ar"/>
              </w:rPr>
            </w:pPr>
            <w:r>
              <w:rPr>
                <w:rFonts w:hint="eastAsia"/>
                <w:szCs w:val="21"/>
                <w:lang w:bidi="ar"/>
              </w:rPr>
              <w:t>平均值</w:t>
            </w:r>
          </w:p>
        </w:tc>
        <w:tc>
          <w:tcPr>
            <w:tcW w:w="850" w:type="dxa"/>
            <w:noWrap/>
          </w:tcPr>
          <w:p w14:paraId="12CB6421">
            <w:pPr>
              <w:pStyle w:val="90"/>
            </w:pPr>
            <w:r>
              <w:t>7.0000</w:t>
            </w:r>
          </w:p>
        </w:tc>
        <w:tc>
          <w:tcPr>
            <w:tcW w:w="992" w:type="dxa"/>
            <w:noWrap/>
          </w:tcPr>
          <w:p w14:paraId="68E0AAA7">
            <w:pPr>
              <w:pStyle w:val="90"/>
            </w:pPr>
            <w:r>
              <w:t>7.0046</w:t>
            </w:r>
          </w:p>
        </w:tc>
        <w:tc>
          <w:tcPr>
            <w:tcW w:w="851" w:type="dxa"/>
            <w:noWrap/>
            <w:vAlign w:val="center"/>
          </w:tcPr>
          <w:p w14:paraId="3064007E">
            <w:pPr>
              <w:pStyle w:val="90"/>
              <w:rPr>
                <w:szCs w:val="21"/>
                <w:lang w:bidi="ar"/>
              </w:rPr>
            </w:pPr>
            <w:r>
              <w:rPr>
                <w:rFonts w:hint="eastAsia"/>
                <w:szCs w:val="21"/>
                <w:lang w:bidi="ar"/>
              </w:rPr>
              <w:t>6</w:t>
            </w:r>
            <w:r>
              <w:rPr>
                <w:szCs w:val="21"/>
                <w:lang w:bidi="ar"/>
              </w:rPr>
              <w:t>0</w:t>
            </w:r>
          </w:p>
        </w:tc>
        <w:tc>
          <w:tcPr>
            <w:tcW w:w="567" w:type="dxa"/>
            <w:noWrap/>
          </w:tcPr>
          <w:p w14:paraId="1C45972C">
            <w:pPr>
              <w:pStyle w:val="90"/>
            </w:pPr>
            <w:r>
              <w:t>11.67</w:t>
            </w:r>
          </w:p>
        </w:tc>
        <w:tc>
          <w:tcPr>
            <w:tcW w:w="508" w:type="dxa"/>
            <w:noWrap/>
            <w:vAlign w:val="center"/>
          </w:tcPr>
          <w:p w14:paraId="7251EC63">
            <w:pPr>
              <w:pStyle w:val="90"/>
              <w:rPr>
                <w:szCs w:val="21"/>
                <w:lang w:bidi="ar"/>
              </w:rPr>
            </w:pPr>
            <w:r>
              <w:rPr>
                <w:szCs w:val="21"/>
                <w:lang w:bidi="ar"/>
              </w:rPr>
              <w:t>达标</w:t>
            </w:r>
          </w:p>
        </w:tc>
      </w:tr>
    </w:tbl>
    <w:p w14:paraId="6527F4EF">
      <w:pPr>
        <w:pStyle w:val="47"/>
        <w:spacing w:before="65"/>
        <w:rPr>
          <w:lang w:bidi="en-US"/>
        </w:rPr>
      </w:pPr>
    </w:p>
    <w:p w14:paraId="0DE04DFD">
      <w:pPr>
        <w:spacing w:line="240" w:lineRule="auto"/>
        <w:ind w:firstLine="0" w:firstLineChars="0"/>
        <w:jc w:val="center"/>
        <w:rPr>
          <w:lang w:val="zh-CN" w:bidi="en-US"/>
        </w:rPr>
      </w:pP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8"/>
        <w:gridCol w:w="573"/>
        <w:gridCol w:w="850"/>
        <w:gridCol w:w="709"/>
        <w:gridCol w:w="709"/>
        <w:gridCol w:w="850"/>
        <w:gridCol w:w="993"/>
        <w:gridCol w:w="850"/>
        <w:gridCol w:w="992"/>
        <w:gridCol w:w="851"/>
        <w:gridCol w:w="567"/>
        <w:gridCol w:w="508"/>
      </w:tblGrid>
      <w:tr w14:paraId="078D6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32B91600">
            <w:pPr>
              <w:pStyle w:val="90"/>
              <w:jc w:val="center"/>
              <w:rPr>
                <w:lang w:bidi="ar"/>
              </w:rPr>
            </w:pPr>
            <w:r>
              <w:rPr>
                <w:lang w:bidi="ar"/>
              </w:rPr>
              <w:t>序号</w:t>
            </w:r>
          </w:p>
        </w:tc>
        <w:tc>
          <w:tcPr>
            <w:tcW w:w="573" w:type="dxa"/>
            <w:vAlign w:val="center"/>
          </w:tcPr>
          <w:p w14:paraId="4E9AB52F">
            <w:pPr>
              <w:pStyle w:val="90"/>
              <w:jc w:val="center"/>
              <w:rPr>
                <w:lang w:bidi="ar"/>
              </w:rPr>
            </w:pPr>
            <w:r>
              <w:rPr>
                <w:lang w:bidi="ar"/>
              </w:rPr>
              <w:t>点名称</w:t>
            </w:r>
          </w:p>
        </w:tc>
        <w:tc>
          <w:tcPr>
            <w:tcW w:w="850" w:type="dxa"/>
            <w:noWrap/>
            <w:vAlign w:val="center"/>
          </w:tcPr>
          <w:p w14:paraId="6FC2267A">
            <w:pPr>
              <w:pStyle w:val="90"/>
              <w:jc w:val="center"/>
              <w:rPr>
                <w:lang w:bidi="ar"/>
              </w:rPr>
            </w:pPr>
            <w:r>
              <w:rPr>
                <w:lang w:bidi="ar"/>
              </w:rPr>
              <w:t>点坐标（x，y）</w:t>
            </w:r>
          </w:p>
        </w:tc>
        <w:tc>
          <w:tcPr>
            <w:tcW w:w="709" w:type="dxa"/>
            <w:noWrap/>
            <w:vAlign w:val="center"/>
          </w:tcPr>
          <w:p w14:paraId="0B7BEC52">
            <w:pPr>
              <w:pStyle w:val="90"/>
              <w:jc w:val="center"/>
              <w:rPr>
                <w:lang w:bidi="ar"/>
              </w:rPr>
            </w:pPr>
            <w:r>
              <w:rPr>
                <w:lang w:bidi="ar"/>
              </w:rPr>
              <w:t>地面高程（m）</w:t>
            </w:r>
          </w:p>
        </w:tc>
        <w:tc>
          <w:tcPr>
            <w:tcW w:w="709" w:type="dxa"/>
            <w:noWrap/>
            <w:vAlign w:val="center"/>
          </w:tcPr>
          <w:p w14:paraId="46C75737">
            <w:pPr>
              <w:pStyle w:val="90"/>
              <w:jc w:val="center"/>
              <w:rPr>
                <w:lang w:bidi="ar"/>
              </w:rPr>
            </w:pPr>
            <w:r>
              <w:rPr>
                <w:lang w:bidi="ar"/>
              </w:rPr>
              <w:t>浓度类型</w:t>
            </w:r>
          </w:p>
        </w:tc>
        <w:tc>
          <w:tcPr>
            <w:tcW w:w="850" w:type="dxa"/>
            <w:noWrap/>
            <w:vAlign w:val="center"/>
          </w:tcPr>
          <w:p w14:paraId="6D3436FB">
            <w:pPr>
              <w:pStyle w:val="90"/>
              <w:jc w:val="center"/>
              <w:rPr>
                <w:lang w:bidi="ar"/>
              </w:rPr>
            </w:pPr>
            <w:r>
              <w:rPr>
                <w:lang w:bidi="ar"/>
              </w:rPr>
              <w:t>浓度增量（μg/m</w:t>
            </w:r>
            <w:r>
              <w:rPr>
                <w:vertAlign w:val="superscript"/>
                <w:lang w:bidi="ar"/>
              </w:rPr>
              <w:t>3</w:t>
            </w:r>
            <w:r>
              <w:rPr>
                <w:lang w:bidi="ar"/>
              </w:rPr>
              <w:t>）</w:t>
            </w:r>
          </w:p>
        </w:tc>
        <w:tc>
          <w:tcPr>
            <w:tcW w:w="993" w:type="dxa"/>
            <w:noWrap/>
            <w:vAlign w:val="center"/>
          </w:tcPr>
          <w:p w14:paraId="6C96D885">
            <w:pPr>
              <w:pStyle w:val="90"/>
              <w:jc w:val="center"/>
              <w:rPr>
                <w:lang w:bidi="ar"/>
              </w:rPr>
            </w:pPr>
            <w:r>
              <w:rPr>
                <w:lang w:bidi="ar"/>
              </w:rPr>
              <w:t>出现时间</w:t>
            </w:r>
          </w:p>
          <w:p w14:paraId="2D406C68">
            <w:pPr>
              <w:pStyle w:val="90"/>
              <w:jc w:val="center"/>
              <w:rPr>
                <w:lang w:bidi="ar"/>
              </w:rPr>
            </w:pPr>
            <w:r>
              <w:rPr>
                <w:lang w:bidi="ar"/>
              </w:rPr>
              <w:t>（YYMMDDHH）</w:t>
            </w:r>
          </w:p>
        </w:tc>
        <w:tc>
          <w:tcPr>
            <w:tcW w:w="850" w:type="dxa"/>
            <w:noWrap/>
            <w:vAlign w:val="center"/>
          </w:tcPr>
          <w:p w14:paraId="001AA440">
            <w:pPr>
              <w:pStyle w:val="90"/>
              <w:jc w:val="center"/>
              <w:rPr>
                <w:lang w:bidi="ar"/>
              </w:rPr>
            </w:pPr>
            <w:r>
              <w:rPr>
                <w:lang w:bidi="ar"/>
              </w:rPr>
              <w:t>背景浓度（μg/m</w:t>
            </w:r>
            <w:r>
              <w:rPr>
                <w:vertAlign w:val="superscript"/>
                <w:lang w:bidi="ar"/>
              </w:rPr>
              <w:t>3</w:t>
            </w:r>
            <w:r>
              <w:rPr>
                <w:lang w:bidi="ar"/>
              </w:rPr>
              <w:t>）</w:t>
            </w:r>
          </w:p>
        </w:tc>
        <w:tc>
          <w:tcPr>
            <w:tcW w:w="992" w:type="dxa"/>
            <w:noWrap/>
            <w:vAlign w:val="center"/>
          </w:tcPr>
          <w:p w14:paraId="10F1E2C5">
            <w:pPr>
              <w:pStyle w:val="90"/>
              <w:jc w:val="center"/>
              <w:rPr>
                <w:lang w:bidi="ar"/>
              </w:rPr>
            </w:pPr>
            <w:r>
              <w:rPr>
                <w:lang w:bidi="ar"/>
              </w:rPr>
              <w:t>叠加背景后的浓度（μg/m</w:t>
            </w:r>
            <w:r>
              <w:rPr>
                <w:vertAlign w:val="superscript"/>
                <w:lang w:bidi="ar"/>
              </w:rPr>
              <w:t>3</w:t>
            </w:r>
            <w:r>
              <w:rPr>
                <w:lang w:bidi="ar"/>
              </w:rPr>
              <w:t>）</w:t>
            </w:r>
          </w:p>
        </w:tc>
        <w:tc>
          <w:tcPr>
            <w:tcW w:w="851" w:type="dxa"/>
            <w:noWrap/>
            <w:vAlign w:val="center"/>
          </w:tcPr>
          <w:p w14:paraId="4CE26031">
            <w:pPr>
              <w:pStyle w:val="90"/>
              <w:jc w:val="center"/>
              <w:rPr>
                <w:lang w:bidi="ar"/>
              </w:rPr>
            </w:pPr>
            <w:r>
              <w:rPr>
                <w:lang w:bidi="ar"/>
              </w:rPr>
              <w:t>评价标准（μg/m</w:t>
            </w:r>
            <w:r>
              <w:rPr>
                <w:vertAlign w:val="superscript"/>
                <w:lang w:bidi="ar"/>
              </w:rPr>
              <w:t>3</w:t>
            </w:r>
            <w:r>
              <w:rPr>
                <w:lang w:bidi="ar"/>
              </w:rPr>
              <w:t>）</w:t>
            </w:r>
          </w:p>
        </w:tc>
        <w:tc>
          <w:tcPr>
            <w:tcW w:w="567" w:type="dxa"/>
            <w:noWrap/>
            <w:vAlign w:val="center"/>
          </w:tcPr>
          <w:p w14:paraId="3580C2BF">
            <w:pPr>
              <w:pStyle w:val="90"/>
              <w:jc w:val="center"/>
              <w:rPr>
                <w:lang w:bidi="ar"/>
              </w:rPr>
            </w:pPr>
            <w:r>
              <w:rPr>
                <w:lang w:bidi="ar"/>
              </w:rPr>
              <w:t>占标率%</w:t>
            </w:r>
          </w:p>
        </w:tc>
        <w:tc>
          <w:tcPr>
            <w:tcW w:w="508" w:type="dxa"/>
            <w:noWrap/>
            <w:vAlign w:val="center"/>
          </w:tcPr>
          <w:p w14:paraId="6774813C">
            <w:pPr>
              <w:pStyle w:val="90"/>
              <w:jc w:val="center"/>
              <w:rPr>
                <w:lang w:bidi="ar"/>
              </w:rPr>
            </w:pPr>
            <w:r>
              <w:rPr>
                <w:lang w:bidi="ar"/>
              </w:rPr>
              <w:t>是否</w:t>
            </w:r>
          </w:p>
          <w:p w14:paraId="5AD6A7E5">
            <w:pPr>
              <w:pStyle w:val="90"/>
              <w:jc w:val="center"/>
              <w:rPr>
                <w:lang w:bidi="ar"/>
              </w:rPr>
            </w:pPr>
            <w:r>
              <w:rPr>
                <w:lang w:bidi="ar"/>
              </w:rPr>
              <w:t>达标</w:t>
            </w:r>
          </w:p>
        </w:tc>
      </w:tr>
      <w:tr w14:paraId="25D1D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3C9BEAF6">
            <w:pPr>
              <w:pStyle w:val="90"/>
              <w:jc w:val="center"/>
              <w:rPr>
                <w:lang w:bidi="ar"/>
              </w:rPr>
            </w:pPr>
            <w:r>
              <w:rPr>
                <w:rFonts w:hint="eastAsia"/>
                <w:lang w:bidi="ar"/>
              </w:rPr>
              <w:t>1</w:t>
            </w:r>
          </w:p>
        </w:tc>
        <w:tc>
          <w:tcPr>
            <w:tcW w:w="573" w:type="dxa"/>
            <w:vAlign w:val="center"/>
          </w:tcPr>
          <w:p w14:paraId="751F3A31">
            <w:pPr>
              <w:pStyle w:val="90"/>
              <w:jc w:val="center"/>
              <w:rPr>
                <w:szCs w:val="21"/>
                <w:lang w:bidi="ar"/>
              </w:rPr>
            </w:pPr>
            <w:r>
              <w:rPr>
                <w:rFonts w:hint="eastAsia"/>
                <w:szCs w:val="21"/>
                <w:lang w:bidi="ar"/>
              </w:rPr>
              <w:t>130团22连</w:t>
            </w:r>
          </w:p>
        </w:tc>
        <w:tc>
          <w:tcPr>
            <w:tcW w:w="850" w:type="dxa"/>
            <w:noWrap/>
            <w:vAlign w:val="center"/>
          </w:tcPr>
          <w:p w14:paraId="0F05B33B">
            <w:pPr>
              <w:pStyle w:val="90"/>
              <w:jc w:val="center"/>
              <w:rPr>
                <w:szCs w:val="21"/>
                <w:lang w:bidi="ar"/>
              </w:rPr>
            </w:pPr>
            <w:r>
              <w:rPr>
                <w:szCs w:val="21"/>
                <w:lang w:bidi="ar"/>
              </w:rPr>
              <w:t>-1998，-1133</w:t>
            </w:r>
          </w:p>
        </w:tc>
        <w:tc>
          <w:tcPr>
            <w:tcW w:w="709" w:type="dxa"/>
            <w:noWrap/>
            <w:vAlign w:val="center"/>
          </w:tcPr>
          <w:p w14:paraId="1A1D7981">
            <w:pPr>
              <w:pStyle w:val="90"/>
              <w:jc w:val="center"/>
              <w:rPr>
                <w:szCs w:val="21"/>
                <w:lang w:bidi="ar"/>
              </w:rPr>
            </w:pPr>
            <w:r>
              <w:rPr>
                <w:szCs w:val="21"/>
                <w:lang w:bidi="ar"/>
              </w:rPr>
              <w:t>316.34</w:t>
            </w:r>
          </w:p>
        </w:tc>
        <w:tc>
          <w:tcPr>
            <w:tcW w:w="709" w:type="dxa"/>
            <w:noWrap/>
            <w:vAlign w:val="center"/>
          </w:tcPr>
          <w:p w14:paraId="64D9024E">
            <w:pPr>
              <w:pStyle w:val="90"/>
              <w:jc w:val="center"/>
              <w:rPr>
                <w:szCs w:val="21"/>
                <w:lang w:bidi="ar"/>
              </w:rPr>
            </w:pPr>
            <w:r>
              <w:rPr>
                <w:rFonts w:hint="eastAsia"/>
                <w:szCs w:val="21"/>
                <w:lang w:bidi="ar"/>
              </w:rPr>
              <w:t>日均值</w:t>
            </w:r>
          </w:p>
        </w:tc>
        <w:tc>
          <w:tcPr>
            <w:tcW w:w="850" w:type="dxa"/>
            <w:noWrap/>
            <w:vAlign w:val="center"/>
          </w:tcPr>
          <w:p w14:paraId="131BFFF8">
            <w:pPr>
              <w:pStyle w:val="90"/>
              <w:jc w:val="center"/>
              <w:rPr>
                <w:rFonts w:hint="default" w:eastAsia="宋体"/>
                <w:lang w:val="en-US" w:eastAsia="zh-CN"/>
              </w:rPr>
            </w:pPr>
            <w:r>
              <w:rPr>
                <w:rFonts w:hint="eastAsia"/>
                <w:lang w:val="en-US" w:eastAsia="zh-CN"/>
              </w:rPr>
              <w:t>0.0089</w:t>
            </w:r>
          </w:p>
        </w:tc>
        <w:tc>
          <w:tcPr>
            <w:tcW w:w="993" w:type="dxa"/>
            <w:noWrap/>
            <w:vAlign w:val="center"/>
          </w:tcPr>
          <w:p w14:paraId="1C72B623">
            <w:pPr>
              <w:pStyle w:val="90"/>
              <w:jc w:val="center"/>
              <w:rPr>
                <w:rFonts w:hint="default" w:eastAsia="宋体"/>
                <w:szCs w:val="21"/>
                <w:lang w:val="en-US" w:eastAsia="zh-CN" w:bidi="ar"/>
              </w:rPr>
            </w:pPr>
            <w:r>
              <w:rPr>
                <w:rFonts w:hint="eastAsia"/>
                <w:szCs w:val="21"/>
                <w:lang w:val="en-US" w:eastAsia="zh-CN" w:bidi="ar"/>
              </w:rPr>
              <w:t>220828</w:t>
            </w:r>
          </w:p>
        </w:tc>
        <w:tc>
          <w:tcPr>
            <w:tcW w:w="850" w:type="dxa"/>
            <w:noWrap/>
            <w:vAlign w:val="center"/>
          </w:tcPr>
          <w:p w14:paraId="11EC12AA">
            <w:pPr>
              <w:pStyle w:val="90"/>
              <w:jc w:val="center"/>
              <w:rPr>
                <w:rFonts w:hint="default" w:eastAsia="宋体"/>
                <w:lang w:val="en-US" w:eastAsia="zh-CN"/>
              </w:rPr>
            </w:pPr>
            <w:r>
              <w:rPr>
                <w:rFonts w:hint="eastAsia"/>
                <w:lang w:val="en-US" w:eastAsia="zh-CN"/>
              </w:rPr>
              <w:t>14.00</w:t>
            </w:r>
          </w:p>
        </w:tc>
        <w:tc>
          <w:tcPr>
            <w:tcW w:w="992" w:type="dxa"/>
            <w:noWrap/>
            <w:vAlign w:val="center"/>
          </w:tcPr>
          <w:p w14:paraId="02BD4F2F">
            <w:pPr>
              <w:pStyle w:val="90"/>
              <w:jc w:val="center"/>
              <w:rPr>
                <w:rFonts w:hint="default" w:eastAsia="宋体"/>
                <w:lang w:val="en-US" w:eastAsia="zh-CN"/>
              </w:rPr>
            </w:pPr>
            <w:r>
              <w:rPr>
                <w:rFonts w:hint="eastAsia"/>
                <w:lang w:val="en-US" w:eastAsia="zh-CN"/>
              </w:rPr>
              <w:t>14.0089</w:t>
            </w:r>
          </w:p>
        </w:tc>
        <w:tc>
          <w:tcPr>
            <w:tcW w:w="851" w:type="dxa"/>
            <w:noWrap/>
            <w:vAlign w:val="center"/>
          </w:tcPr>
          <w:p w14:paraId="7BB73670">
            <w:pPr>
              <w:pStyle w:val="90"/>
              <w:jc w:val="center"/>
              <w:rPr>
                <w:rFonts w:hint="default" w:eastAsia="宋体"/>
                <w:szCs w:val="21"/>
                <w:lang w:val="en-US" w:eastAsia="zh-CN" w:bidi="ar"/>
              </w:rPr>
            </w:pPr>
            <w:r>
              <w:rPr>
                <w:rFonts w:hint="eastAsia"/>
                <w:szCs w:val="21"/>
                <w:lang w:val="en-US" w:eastAsia="zh-CN" w:bidi="ar"/>
              </w:rPr>
              <w:t>100</w:t>
            </w:r>
          </w:p>
        </w:tc>
        <w:tc>
          <w:tcPr>
            <w:tcW w:w="567" w:type="dxa"/>
            <w:noWrap/>
            <w:vAlign w:val="center"/>
          </w:tcPr>
          <w:p w14:paraId="4CDBD431">
            <w:pPr>
              <w:pStyle w:val="90"/>
              <w:jc w:val="center"/>
              <w:rPr>
                <w:rFonts w:hint="default" w:eastAsia="宋体"/>
                <w:lang w:val="en-US" w:eastAsia="zh-CN"/>
              </w:rPr>
            </w:pPr>
            <w:r>
              <w:rPr>
                <w:rFonts w:hint="eastAsia"/>
                <w:lang w:val="en-US" w:eastAsia="zh-CN"/>
              </w:rPr>
              <w:t>14.01</w:t>
            </w:r>
          </w:p>
        </w:tc>
        <w:tc>
          <w:tcPr>
            <w:tcW w:w="508" w:type="dxa"/>
            <w:noWrap/>
            <w:vAlign w:val="center"/>
          </w:tcPr>
          <w:p w14:paraId="77D5F6E2">
            <w:pPr>
              <w:pStyle w:val="90"/>
              <w:jc w:val="center"/>
              <w:rPr>
                <w:szCs w:val="21"/>
                <w:lang w:bidi="ar"/>
              </w:rPr>
            </w:pPr>
            <w:r>
              <w:rPr>
                <w:szCs w:val="21"/>
                <w:lang w:bidi="ar"/>
              </w:rPr>
              <w:t>达标</w:t>
            </w:r>
          </w:p>
        </w:tc>
      </w:tr>
      <w:tr w14:paraId="4ED63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725758F3">
            <w:pPr>
              <w:pStyle w:val="90"/>
              <w:jc w:val="center"/>
              <w:rPr>
                <w:lang w:bidi="ar"/>
              </w:rPr>
            </w:pPr>
            <w:r>
              <w:rPr>
                <w:rFonts w:hint="eastAsia"/>
                <w:lang w:bidi="ar"/>
              </w:rPr>
              <w:t>2</w:t>
            </w:r>
          </w:p>
        </w:tc>
        <w:tc>
          <w:tcPr>
            <w:tcW w:w="573" w:type="dxa"/>
            <w:vAlign w:val="center"/>
          </w:tcPr>
          <w:p w14:paraId="7D63A4B3">
            <w:pPr>
              <w:pStyle w:val="90"/>
              <w:jc w:val="center"/>
              <w:rPr>
                <w:szCs w:val="21"/>
                <w:lang w:bidi="ar"/>
              </w:rPr>
            </w:pPr>
            <w:r>
              <w:rPr>
                <w:szCs w:val="21"/>
                <w:lang w:bidi="ar"/>
              </w:rPr>
              <w:t>网格</w:t>
            </w:r>
          </w:p>
        </w:tc>
        <w:tc>
          <w:tcPr>
            <w:tcW w:w="850" w:type="dxa"/>
            <w:noWrap/>
            <w:vAlign w:val="center"/>
          </w:tcPr>
          <w:p w14:paraId="2A0C1719">
            <w:pPr>
              <w:pStyle w:val="90"/>
              <w:jc w:val="center"/>
              <w:rPr>
                <w:szCs w:val="21"/>
                <w:lang w:bidi="ar"/>
              </w:rPr>
            </w:pPr>
            <w:r>
              <w:rPr>
                <w:szCs w:val="21"/>
                <w:lang w:bidi="ar"/>
              </w:rPr>
              <w:t>-</w:t>
            </w:r>
            <w:r>
              <w:rPr>
                <w:rFonts w:hint="eastAsia"/>
                <w:szCs w:val="21"/>
                <w:lang w:val="en-US" w:eastAsia="zh-CN" w:bidi="ar"/>
              </w:rPr>
              <w:t>657.88</w:t>
            </w:r>
            <w:r>
              <w:rPr>
                <w:szCs w:val="21"/>
                <w:lang w:bidi="ar"/>
              </w:rPr>
              <w:t>，-3</w:t>
            </w:r>
            <w:r>
              <w:rPr>
                <w:rFonts w:hint="eastAsia"/>
                <w:szCs w:val="21"/>
                <w:lang w:val="en-US" w:eastAsia="zh-CN" w:bidi="ar"/>
              </w:rPr>
              <w:t>15.30</w:t>
            </w:r>
          </w:p>
        </w:tc>
        <w:tc>
          <w:tcPr>
            <w:tcW w:w="709" w:type="dxa"/>
            <w:noWrap/>
            <w:vAlign w:val="center"/>
          </w:tcPr>
          <w:p w14:paraId="24F9D7E7">
            <w:pPr>
              <w:pStyle w:val="90"/>
              <w:jc w:val="center"/>
              <w:rPr>
                <w:szCs w:val="21"/>
                <w:lang w:bidi="ar"/>
              </w:rPr>
            </w:pPr>
            <w:r>
              <w:rPr>
                <w:szCs w:val="21"/>
                <w:lang w:bidi="ar"/>
              </w:rPr>
              <w:t>31</w:t>
            </w:r>
            <w:r>
              <w:rPr>
                <w:rFonts w:hint="eastAsia"/>
                <w:szCs w:val="21"/>
                <w:lang w:val="en-US" w:eastAsia="zh-CN" w:bidi="ar"/>
              </w:rPr>
              <w:t>5</w:t>
            </w:r>
            <w:r>
              <w:rPr>
                <w:szCs w:val="21"/>
                <w:lang w:bidi="ar"/>
              </w:rPr>
              <w:t>.</w:t>
            </w:r>
            <w:r>
              <w:rPr>
                <w:rFonts w:hint="eastAsia"/>
                <w:szCs w:val="21"/>
                <w:lang w:val="en-US" w:eastAsia="zh-CN" w:bidi="ar"/>
              </w:rPr>
              <w:t>3</w:t>
            </w:r>
            <w:r>
              <w:rPr>
                <w:szCs w:val="21"/>
                <w:lang w:bidi="ar"/>
              </w:rPr>
              <w:t>0</w:t>
            </w:r>
          </w:p>
        </w:tc>
        <w:tc>
          <w:tcPr>
            <w:tcW w:w="709" w:type="dxa"/>
            <w:noWrap/>
            <w:vAlign w:val="center"/>
          </w:tcPr>
          <w:p w14:paraId="25060B98">
            <w:pPr>
              <w:pStyle w:val="90"/>
              <w:jc w:val="center"/>
              <w:rPr>
                <w:szCs w:val="21"/>
                <w:lang w:bidi="ar"/>
              </w:rPr>
            </w:pPr>
            <w:r>
              <w:rPr>
                <w:rFonts w:hint="eastAsia"/>
                <w:szCs w:val="21"/>
                <w:lang w:bidi="ar"/>
              </w:rPr>
              <w:t>日均值</w:t>
            </w:r>
          </w:p>
        </w:tc>
        <w:tc>
          <w:tcPr>
            <w:tcW w:w="850" w:type="dxa"/>
            <w:noWrap/>
            <w:vAlign w:val="center"/>
          </w:tcPr>
          <w:p w14:paraId="1D6C579B">
            <w:pPr>
              <w:pStyle w:val="90"/>
              <w:jc w:val="center"/>
              <w:rPr>
                <w:rFonts w:hint="default" w:eastAsia="宋体"/>
                <w:lang w:val="en-US" w:eastAsia="zh-CN"/>
              </w:rPr>
            </w:pPr>
            <w:r>
              <w:rPr>
                <w:rFonts w:hint="eastAsia"/>
                <w:lang w:val="en-US" w:eastAsia="zh-CN"/>
              </w:rPr>
              <w:t>0.1164</w:t>
            </w:r>
          </w:p>
        </w:tc>
        <w:tc>
          <w:tcPr>
            <w:tcW w:w="993" w:type="dxa"/>
            <w:noWrap/>
            <w:vAlign w:val="center"/>
          </w:tcPr>
          <w:p w14:paraId="4D6DA41D">
            <w:pPr>
              <w:pStyle w:val="90"/>
              <w:jc w:val="center"/>
              <w:rPr>
                <w:rFonts w:hint="default" w:eastAsia="宋体"/>
                <w:szCs w:val="21"/>
                <w:lang w:val="en-US" w:eastAsia="zh-CN" w:bidi="ar"/>
              </w:rPr>
            </w:pPr>
            <w:r>
              <w:rPr>
                <w:rFonts w:hint="eastAsia"/>
                <w:szCs w:val="21"/>
                <w:lang w:val="en-US" w:eastAsia="zh-CN" w:bidi="ar"/>
              </w:rPr>
              <w:t>220614</w:t>
            </w:r>
          </w:p>
        </w:tc>
        <w:tc>
          <w:tcPr>
            <w:tcW w:w="850" w:type="dxa"/>
            <w:noWrap/>
            <w:vAlign w:val="center"/>
          </w:tcPr>
          <w:p w14:paraId="6506A1AE">
            <w:pPr>
              <w:pStyle w:val="90"/>
              <w:jc w:val="center"/>
              <w:rPr>
                <w:rFonts w:hint="default" w:eastAsia="宋体"/>
                <w:lang w:val="en-US" w:eastAsia="zh-CN"/>
              </w:rPr>
            </w:pPr>
            <w:r>
              <w:rPr>
                <w:rFonts w:hint="eastAsia"/>
                <w:lang w:val="en-US" w:eastAsia="zh-CN"/>
              </w:rPr>
              <w:t>14.00</w:t>
            </w:r>
          </w:p>
        </w:tc>
        <w:tc>
          <w:tcPr>
            <w:tcW w:w="992" w:type="dxa"/>
            <w:noWrap/>
            <w:vAlign w:val="center"/>
          </w:tcPr>
          <w:p w14:paraId="6A75B119">
            <w:pPr>
              <w:pStyle w:val="90"/>
              <w:jc w:val="center"/>
              <w:rPr>
                <w:rFonts w:hint="default" w:eastAsia="宋体"/>
                <w:lang w:val="en-US" w:eastAsia="zh-CN"/>
              </w:rPr>
            </w:pPr>
            <w:r>
              <w:rPr>
                <w:rFonts w:hint="eastAsia"/>
                <w:lang w:val="en-US" w:eastAsia="zh-CN"/>
              </w:rPr>
              <w:t>14.1164</w:t>
            </w:r>
          </w:p>
        </w:tc>
        <w:tc>
          <w:tcPr>
            <w:tcW w:w="851" w:type="dxa"/>
            <w:noWrap/>
            <w:vAlign w:val="center"/>
          </w:tcPr>
          <w:p w14:paraId="4697EDF9">
            <w:pPr>
              <w:pStyle w:val="90"/>
              <w:jc w:val="center"/>
              <w:rPr>
                <w:rFonts w:hint="default" w:eastAsia="宋体"/>
                <w:szCs w:val="21"/>
                <w:lang w:val="en-US" w:eastAsia="zh-CN" w:bidi="ar"/>
              </w:rPr>
            </w:pPr>
            <w:r>
              <w:rPr>
                <w:rFonts w:hint="eastAsia"/>
                <w:szCs w:val="21"/>
                <w:lang w:val="en-US" w:eastAsia="zh-CN" w:bidi="ar"/>
              </w:rPr>
              <w:t>100</w:t>
            </w:r>
          </w:p>
        </w:tc>
        <w:tc>
          <w:tcPr>
            <w:tcW w:w="567" w:type="dxa"/>
            <w:noWrap/>
            <w:vAlign w:val="center"/>
          </w:tcPr>
          <w:p w14:paraId="12A227AD">
            <w:pPr>
              <w:pStyle w:val="90"/>
              <w:jc w:val="center"/>
              <w:rPr>
                <w:rFonts w:hint="default" w:eastAsia="宋体"/>
                <w:lang w:val="en-US" w:eastAsia="zh-CN"/>
              </w:rPr>
            </w:pPr>
            <w:r>
              <w:rPr>
                <w:rFonts w:hint="eastAsia"/>
                <w:lang w:val="en-US" w:eastAsia="zh-CN"/>
              </w:rPr>
              <w:t>14.12</w:t>
            </w:r>
          </w:p>
        </w:tc>
        <w:tc>
          <w:tcPr>
            <w:tcW w:w="508" w:type="dxa"/>
            <w:noWrap/>
            <w:vAlign w:val="center"/>
          </w:tcPr>
          <w:p w14:paraId="410D50A5">
            <w:pPr>
              <w:pStyle w:val="90"/>
              <w:jc w:val="center"/>
              <w:rPr>
                <w:szCs w:val="21"/>
                <w:lang w:bidi="ar"/>
              </w:rPr>
            </w:pPr>
            <w:r>
              <w:rPr>
                <w:szCs w:val="21"/>
                <w:lang w:bidi="ar"/>
              </w:rPr>
              <w:t>达标</w:t>
            </w:r>
          </w:p>
        </w:tc>
      </w:tr>
      <w:tr w14:paraId="32A0C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44487717">
            <w:pPr>
              <w:pStyle w:val="91"/>
              <w:spacing w:line="240" w:lineRule="auto"/>
              <w:rPr>
                <w:bCs/>
                <w:lang w:bidi="ar"/>
              </w:rPr>
            </w:pPr>
            <w:r>
              <w:rPr>
                <w:rFonts w:hAnsi="宋体"/>
                <w:bCs/>
                <w:lang w:bidi="ar"/>
              </w:rPr>
              <w:t>序号</w:t>
            </w:r>
          </w:p>
        </w:tc>
        <w:tc>
          <w:tcPr>
            <w:tcW w:w="573" w:type="dxa"/>
            <w:vAlign w:val="center"/>
          </w:tcPr>
          <w:p w14:paraId="4B1C215B">
            <w:pPr>
              <w:pStyle w:val="91"/>
              <w:spacing w:line="240" w:lineRule="auto"/>
              <w:rPr>
                <w:bCs/>
                <w:lang w:bidi="ar"/>
              </w:rPr>
            </w:pPr>
            <w:r>
              <w:rPr>
                <w:rFonts w:hAnsi="宋体"/>
                <w:bCs/>
                <w:lang w:bidi="ar"/>
              </w:rPr>
              <w:t>点名称</w:t>
            </w:r>
          </w:p>
        </w:tc>
        <w:tc>
          <w:tcPr>
            <w:tcW w:w="850" w:type="dxa"/>
            <w:noWrap/>
            <w:vAlign w:val="center"/>
          </w:tcPr>
          <w:p w14:paraId="71EEB4D7">
            <w:pPr>
              <w:pStyle w:val="91"/>
              <w:spacing w:line="240" w:lineRule="auto"/>
              <w:rPr>
                <w:bCs/>
                <w:lang w:bidi="ar"/>
              </w:rPr>
            </w:pPr>
            <w:r>
              <w:rPr>
                <w:rFonts w:hAnsi="宋体"/>
                <w:bCs/>
                <w:lang w:bidi="ar"/>
              </w:rPr>
              <w:t>点坐标</w:t>
            </w:r>
            <w:r>
              <w:rPr>
                <w:bCs/>
                <w:lang w:bidi="ar"/>
              </w:rPr>
              <w:t>（x，y）</w:t>
            </w:r>
          </w:p>
        </w:tc>
        <w:tc>
          <w:tcPr>
            <w:tcW w:w="709" w:type="dxa"/>
            <w:noWrap/>
            <w:vAlign w:val="center"/>
          </w:tcPr>
          <w:p w14:paraId="46AAA568">
            <w:pPr>
              <w:pStyle w:val="91"/>
              <w:spacing w:line="240" w:lineRule="auto"/>
              <w:rPr>
                <w:bCs/>
                <w:lang w:bidi="ar"/>
              </w:rPr>
            </w:pPr>
            <w:r>
              <w:rPr>
                <w:rFonts w:hAnsi="宋体"/>
                <w:bCs/>
                <w:lang w:bidi="ar"/>
              </w:rPr>
              <w:t>地面高程</w:t>
            </w:r>
            <w:r>
              <w:rPr>
                <w:bCs/>
                <w:lang w:bidi="ar"/>
              </w:rPr>
              <w:t>（m）</w:t>
            </w:r>
          </w:p>
        </w:tc>
        <w:tc>
          <w:tcPr>
            <w:tcW w:w="709" w:type="dxa"/>
            <w:noWrap/>
            <w:vAlign w:val="center"/>
          </w:tcPr>
          <w:p w14:paraId="74AAC791">
            <w:pPr>
              <w:pStyle w:val="91"/>
              <w:spacing w:line="240" w:lineRule="auto"/>
              <w:rPr>
                <w:bCs/>
                <w:lang w:bidi="ar"/>
              </w:rPr>
            </w:pPr>
            <w:r>
              <w:rPr>
                <w:rFonts w:hAnsi="宋体"/>
                <w:bCs/>
                <w:lang w:bidi="ar"/>
              </w:rPr>
              <w:t>浓度类型</w:t>
            </w:r>
          </w:p>
        </w:tc>
        <w:tc>
          <w:tcPr>
            <w:tcW w:w="850" w:type="dxa"/>
            <w:noWrap/>
            <w:vAlign w:val="center"/>
          </w:tcPr>
          <w:p w14:paraId="106BE0F6">
            <w:pPr>
              <w:pStyle w:val="91"/>
              <w:spacing w:line="240" w:lineRule="auto"/>
              <w:rPr>
                <w:bCs/>
                <w:lang w:bidi="ar"/>
              </w:rPr>
            </w:pPr>
            <w:r>
              <w:rPr>
                <w:rFonts w:hAnsi="宋体"/>
                <w:bCs/>
                <w:lang w:bidi="ar"/>
              </w:rPr>
              <w:t>浓度增量</w:t>
            </w:r>
            <w:r>
              <w:rPr>
                <w:bCs/>
                <w:lang w:bidi="ar"/>
              </w:rPr>
              <w:t>（mg/m</w:t>
            </w:r>
            <w:r>
              <w:rPr>
                <w:bCs/>
                <w:vertAlign w:val="superscript"/>
                <w:lang w:bidi="ar"/>
              </w:rPr>
              <w:t>3</w:t>
            </w:r>
            <w:r>
              <w:rPr>
                <w:bCs/>
                <w:lang w:bidi="ar"/>
              </w:rPr>
              <w:t>）</w:t>
            </w:r>
          </w:p>
        </w:tc>
        <w:tc>
          <w:tcPr>
            <w:tcW w:w="993" w:type="dxa"/>
            <w:noWrap/>
            <w:vAlign w:val="center"/>
          </w:tcPr>
          <w:p w14:paraId="44576327">
            <w:pPr>
              <w:pStyle w:val="91"/>
              <w:spacing w:line="240" w:lineRule="auto"/>
              <w:rPr>
                <w:bCs/>
                <w:lang w:bidi="ar"/>
              </w:rPr>
            </w:pPr>
            <w:r>
              <w:rPr>
                <w:rFonts w:hAnsi="宋体"/>
                <w:bCs/>
                <w:lang w:bidi="ar"/>
              </w:rPr>
              <w:t>出现时间</w:t>
            </w:r>
          </w:p>
          <w:p w14:paraId="7582ECD6">
            <w:pPr>
              <w:pStyle w:val="91"/>
              <w:spacing w:line="240" w:lineRule="auto"/>
              <w:rPr>
                <w:bCs/>
                <w:lang w:bidi="ar"/>
              </w:rPr>
            </w:pPr>
            <w:r>
              <w:rPr>
                <w:bCs/>
                <w:lang w:bidi="ar"/>
              </w:rPr>
              <w:t>（YYMMDDHH）</w:t>
            </w:r>
          </w:p>
        </w:tc>
        <w:tc>
          <w:tcPr>
            <w:tcW w:w="850" w:type="dxa"/>
            <w:noWrap/>
            <w:vAlign w:val="center"/>
          </w:tcPr>
          <w:p w14:paraId="723326BC">
            <w:pPr>
              <w:pStyle w:val="91"/>
              <w:spacing w:line="240" w:lineRule="auto"/>
              <w:rPr>
                <w:bCs/>
                <w:lang w:bidi="ar"/>
              </w:rPr>
            </w:pPr>
            <w:r>
              <w:rPr>
                <w:rFonts w:hAnsi="宋体"/>
                <w:bCs/>
                <w:lang w:bidi="ar"/>
              </w:rPr>
              <w:t>背景浓度</w:t>
            </w:r>
            <w:r>
              <w:rPr>
                <w:bCs/>
                <w:lang w:bidi="ar"/>
              </w:rPr>
              <w:t>（mg/m</w:t>
            </w:r>
            <w:r>
              <w:rPr>
                <w:bCs/>
                <w:vertAlign w:val="superscript"/>
                <w:lang w:bidi="ar"/>
              </w:rPr>
              <w:t>3</w:t>
            </w:r>
            <w:r>
              <w:rPr>
                <w:bCs/>
                <w:lang w:bidi="ar"/>
              </w:rPr>
              <w:t>）</w:t>
            </w:r>
          </w:p>
        </w:tc>
        <w:tc>
          <w:tcPr>
            <w:tcW w:w="992" w:type="dxa"/>
            <w:noWrap/>
            <w:vAlign w:val="center"/>
          </w:tcPr>
          <w:p w14:paraId="7C9401F2">
            <w:pPr>
              <w:pStyle w:val="91"/>
              <w:spacing w:line="240" w:lineRule="auto"/>
              <w:rPr>
                <w:bCs/>
                <w:lang w:bidi="ar"/>
              </w:rPr>
            </w:pPr>
            <w:r>
              <w:rPr>
                <w:rFonts w:hAnsi="宋体"/>
                <w:bCs/>
                <w:lang w:bidi="ar"/>
              </w:rPr>
              <w:t>叠加背景后的浓度</w:t>
            </w:r>
            <w:r>
              <w:rPr>
                <w:bCs/>
                <w:lang w:bidi="ar"/>
              </w:rPr>
              <w:t>（mg/m</w:t>
            </w:r>
            <w:r>
              <w:rPr>
                <w:bCs/>
                <w:vertAlign w:val="superscript"/>
                <w:lang w:bidi="ar"/>
              </w:rPr>
              <w:t>3</w:t>
            </w:r>
            <w:r>
              <w:rPr>
                <w:bCs/>
                <w:lang w:bidi="ar"/>
              </w:rPr>
              <w:t>）</w:t>
            </w:r>
          </w:p>
        </w:tc>
        <w:tc>
          <w:tcPr>
            <w:tcW w:w="851" w:type="dxa"/>
            <w:noWrap/>
            <w:vAlign w:val="center"/>
          </w:tcPr>
          <w:p w14:paraId="234F6BF4">
            <w:pPr>
              <w:pStyle w:val="91"/>
              <w:spacing w:line="240" w:lineRule="auto"/>
              <w:rPr>
                <w:bCs/>
                <w:lang w:bidi="ar"/>
              </w:rPr>
            </w:pPr>
            <w:r>
              <w:rPr>
                <w:rFonts w:hAnsi="宋体"/>
                <w:bCs/>
                <w:lang w:bidi="ar"/>
              </w:rPr>
              <w:t>评价标准</w:t>
            </w:r>
            <w:r>
              <w:rPr>
                <w:bCs/>
                <w:lang w:bidi="ar"/>
              </w:rPr>
              <w:t>（mg/m</w:t>
            </w:r>
            <w:r>
              <w:rPr>
                <w:bCs/>
                <w:vertAlign w:val="superscript"/>
                <w:lang w:bidi="ar"/>
              </w:rPr>
              <w:t>3</w:t>
            </w:r>
            <w:r>
              <w:rPr>
                <w:bCs/>
                <w:lang w:bidi="ar"/>
              </w:rPr>
              <w:t>）</w:t>
            </w:r>
          </w:p>
        </w:tc>
        <w:tc>
          <w:tcPr>
            <w:tcW w:w="567" w:type="dxa"/>
            <w:noWrap/>
            <w:vAlign w:val="center"/>
          </w:tcPr>
          <w:p w14:paraId="1DCAC335">
            <w:pPr>
              <w:pStyle w:val="91"/>
              <w:spacing w:line="240" w:lineRule="auto"/>
              <w:rPr>
                <w:bCs/>
                <w:lang w:bidi="ar"/>
              </w:rPr>
            </w:pPr>
            <w:r>
              <w:rPr>
                <w:rFonts w:hAnsi="宋体"/>
                <w:bCs/>
                <w:lang w:bidi="ar"/>
              </w:rPr>
              <w:t>占标率</w:t>
            </w:r>
            <w:r>
              <w:rPr>
                <w:bCs/>
                <w:lang w:bidi="ar"/>
              </w:rPr>
              <w:t>%</w:t>
            </w:r>
          </w:p>
        </w:tc>
        <w:tc>
          <w:tcPr>
            <w:tcW w:w="508" w:type="dxa"/>
            <w:noWrap/>
            <w:vAlign w:val="center"/>
          </w:tcPr>
          <w:p w14:paraId="6F56823A">
            <w:pPr>
              <w:pStyle w:val="91"/>
              <w:spacing w:line="240" w:lineRule="auto"/>
              <w:rPr>
                <w:bCs/>
                <w:lang w:bidi="ar"/>
              </w:rPr>
            </w:pPr>
            <w:r>
              <w:rPr>
                <w:rFonts w:hAnsi="宋体"/>
                <w:bCs/>
                <w:lang w:bidi="ar"/>
              </w:rPr>
              <w:t>是否</w:t>
            </w:r>
          </w:p>
          <w:p w14:paraId="63D2E305">
            <w:pPr>
              <w:pStyle w:val="91"/>
              <w:spacing w:line="240" w:lineRule="auto"/>
              <w:rPr>
                <w:bCs/>
                <w:lang w:bidi="ar"/>
              </w:rPr>
            </w:pPr>
            <w:r>
              <w:rPr>
                <w:rFonts w:hAnsi="宋体"/>
                <w:bCs/>
                <w:lang w:bidi="ar"/>
              </w:rPr>
              <w:t>达标</w:t>
            </w:r>
          </w:p>
        </w:tc>
      </w:tr>
      <w:tr w14:paraId="5B0A3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4DFA563A">
            <w:pPr>
              <w:pStyle w:val="91"/>
              <w:spacing w:line="240" w:lineRule="auto"/>
              <w:rPr>
                <w:lang w:bidi="ar"/>
              </w:rPr>
            </w:pPr>
            <w:r>
              <w:rPr>
                <w:rFonts w:hint="eastAsia"/>
                <w:lang w:bidi="ar"/>
              </w:rPr>
              <w:t>1</w:t>
            </w:r>
          </w:p>
        </w:tc>
        <w:tc>
          <w:tcPr>
            <w:tcW w:w="573" w:type="dxa"/>
            <w:vAlign w:val="center"/>
          </w:tcPr>
          <w:p w14:paraId="00F84A0D">
            <w:pPr>
              <w:adjustRightInd w:val="0"/>
              <w:snapToGrid w:val="0"/>
              <w:spacing w:line="240" w:lineRule="auto"/>
              <w:ind w:firstLine="0" w:firstLineChars="0"/>
              <w:jc w:val="center"/>
              <w:textAlignment w:val="center"/>
              <w:rPr>
                <w:sz w:val="21"/>
                <w:szCs w:val="21"/>
                <w:lang w:bidi="ar"/>
              </w:rPr>
            </w:pPr>
            <w:r>
              <w:rPr>
                <w:rFonts w:hint="eastAsia"/>
                <w:sz w:val="21"/>
                <w:szCs w:val="21"/>
                <w:lang w:bidi="ar"/>
              </w:rPr>
              <w:t>130团22连</w:t>
            </w:r>
          </w:p>
        </w:tc>
        <w:tc>
          <w:tcPr>
            <w:tcW w:w="850" w:type="dxa"/>
            <w:noWrap/>
            <w:vAlign w:val="center"/>
          </w:tcPr>
          <w:p w14:paraId="6E924F20">
            <w:pPr>
              <w:adjustRightInd w:val="0"/>
              <w:snapToGrid w:val="0"/>
              <w:spacing w:line="240" w:lineRule="auto"/>
              <w:ind w:firstLine="0" w:firstLineChars="0"/>
              <w:jc w:val="center"/>
              <w:textAlignment w:val="center"/>
              <w:rPr>
                <w:sz w:val="21"/>
                <w:szCs w:val="21"/>
                <w:lang w:bidi="ar"/>
              </w:rPr>
            </w:pPr>
            <w:r>
              <w:rPr>
                <w:sz w:val="21"/>
                <w:szCs w:val="21"/>
                <w:lang w:bidi="ar"/>
              </w:rPr>
              <w:t>-1998，-1133</w:t>
            </w:r>
          </w:p>
        </w:tc>
        <w:tc>
          <w:tcPr>
            <w:tcW w:w="709" w:type="dxa"/>
            <w:noWrap/>
            <w:vAlign w:val="center"/>
          </w:tcPr>
          <w:p w14:paraId="2AB4AFF4">
            <w:pPr>
              <w:adjustRightInd w:val="0"/>
              <w:snapToGrid w:val="0"/>
              <w:spacing w:line="240" w:lineRule="auto"/>
              <w:ind w:firstLine="0" w:firstLineChars="0"/>
              <w:jc w:val="center"/>
              <w:textAlignment w:val="center"/>
              <w:rPr>
                <w:sz w:val="21"/>
                <w:szCs w:val="21"/>
                <w:lang w:bidi="ar"/>
              </w:rPr>
            </w:pPr>
            <w:r>
              <w:rPr>
                <w:sz w:val="21"/>
                <w:szCs w:val="21"/>
                <w:lang w:bidi="ar"/>
              </w:rPr>
              <w:t>316.34</w:t>
            </w:r>
          </w:p>
        </w:tc>
        <w:tc>
          <w:tcPr>
            <w:tcW w:w="709" w:type="dxa"/>
            <w:noWrap/>
            <w:vAlign w:val="center"/>
          </w:tcPr>
          <w:p w14:paraId="6A090609">
            <w:pPr>
              <w:adjustRightInd w:val="0"/>
              <w:snapToGrid w:val="0"/>
              <w:spacing w:line="240" w:lineRule="auto"/>
              <w:ind w:firstLine="0" w:firstLineChars="0"/>
              <w:jc w:val="center"/>
              <w:textAlignment w:val="center"/>
              <w:rPr>
                <w:sz w:val="21"/>
                <w:szCs w:val="21"/>
                <w:lang w:bidi="ar"/>
              </w:rPr>
            </w:pPr>
            <w:r>
              <w:rPr>
                <w:sz w:val="21"/>
                <w:szCs w:val="21"/>
                <w:lang w:bidi="ar"/>
              </w:rPr>
              <w:t>1</w:t>
            </w:r>
            <w:r>
              <w:rPr>
                <w:rFonts w:hAnsi="宋体"/>
                <w:sz w:val="21"/>
                <w:szCs w:val="21"/>
                <w:lang w:bidi="ar"/>
              </w:rPr>
              <w:t>小时</w:t>
            </w:r>
          </w:p>
        </w:tc>
        <w:tc>
          <w:tcPr>
            <w:tcW w:w="850" w:type="dxa"/>
            <w:noWrap/>
            <w:vAlign w:val="center"/>
          </w:tcPr>
          <w:p w14:paraId="1940DDCC">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.0274</w:t>
            </w:r>
          </w:p>
        </w:tc>
        <w:tc>
          <w:tcPr>
            <w:tcW w:w="993" w:type="dxa"/>
            <w:noWrap/>
            <w:vAlign w:val="center"/>
          </w:tcPr>
          <w:p w14:paraId="24F62867">
            <w:pPr>
              <w:adjustRightInd w:val="0"/>
              <w:snapToGrid w:val="0"/>
              <w:spacing w:line="240" w:lineRule="auto"/>
              <w:ind w:firstLine="0" w:firstLineChars="0"/>
              <w:jc w:val="center"/>
              <w:textAlignment w:val="center"/>
              <w:rPr>
                <w:sz w:val="21"/>
                <w:szCs w:val="21"/>
                <w:lang w:bidi="ar"/>
              </w:rPr>
            </w:pPr>
            <w:r>
              <w:rPr>
                <w:sz w:val="21"/>
                <w:szCs w:val="21"/>
                <w:lang w:bidi="ar"/>
              </w:rPr>
              <w:t>22011606</w:t>
            </w:r>
          </w:p>
        </w:tc>
        <w:tc>
          <w:tcPr>
            <w:tcW w:w="850" w:type="dxa"/>
            <w:noWrap/>
            <w:vAlign w:val="center"/>
          </w:tcPr>
          <w:p w14:paraId="222FB01E">
            <w:pPr>
              <w:adjustRightInd w:val="0"/>
              <w:snapToGrid w:val="0"/>
              <w:spacing w:line="240" w:lineRule="auto"/>
              <w:ind w:firstLine="0" w:firstLineChars="0"/>
              <w:jc w:val="center"/>
              <w:textAlignment w:val="center"/>
              <w:rPr>
                <w:sz w:val="21"/>
                <w:szCs w:val="21"/>
                <w:lang w:bidi="ar"/>
              </w:rPr>
            </w:pPr>
            <w:r>
              <w:rPr>
                <w:sz w:val="21"/>
                <w:szCs w:val="21"/>
                <w:lang w:bidi="ar"/>
              </w:rPr>
              <w:t>1.39</w:t>
            </w:r>
          </w:p>
        </w:tc>
        <w:tc>
          <w:tcPr>
            <w:tcW w:w="992" w:type="dxa"/>
            <w:noWrap/>
            <w:vAlign w:val="center"/>
          </w:tcPr>
          <w:p w14:paraId="76D20C05">
            <w:pPr>
              <w:adjustRightInd w:val="0"/>
              <w:snapToGrid w:val="0"/>
              <w:spacing w:line="240" w:lineRule="auto"/>
              <w:ind w:firstLine="0" w:firstLineChars="0"/>
              <w:jc w:val="center"/>
              <w:textAlignment w:val="center"/>
              <w:rPr>
                <w:sz w:val="21"/>
                <w:szCs w:val="21"/>
              </w:rPr>
            </w:pPr>
            <w:r>
              <w:rPr>
                <w:sz w:val="21"/>
                <w:szCs w:val="21"/>
              </w:rPr>
              <w:t>1.4174</w:t>
            </w:r>
          </w:p>
        </w:tc>
        <w:tc>
          <w:tcPr>
            <w:tcW w:w="851" w:type="dxa"/>
            <w:noWrap/>
            <w:vAlign w:val="center"/>
          </w:tcPr>
          <w:p w14:paraId="3190872B">
            <w:pPr>
              <w:adjustRightInd w:val="0"/>
              <w:snapToGrid w:val="0"/>
              <w:spacing w:line="240" w:lineRule="auto"/>
              <w:ind w:firstLine="0" w:firstLineChars="0"/>
              <w:jc w:val="center"/>
              <w:textAlignment w:val="center"/>
              <w:rPr>
                <w:sz w:val="21"/>
                <w:szCs w:val="21"/>
                <w:lang w:bidi="ar"/>
              </w:rPr>
            </w:pPr>
            <w:r>
              <w:rPr>
                <w:sz w:val="21"/>
                <w:szCs w:val="21"/>
                <w:lang w:bidi="ar"/>
              </w:rPr>
              <w:t>2.0</w:t>
            </w:r>
          </w:p>
        </w:tc>
        <w:tc>
          <w:tcPr>
            <w:tcW w:w="567" w:type="dxa"/>
            <w:noWrap/>
            <w:vAlign w:val="center"/>
          </w:tcPr>
          <w:p w14:paraId="40D9914A">
            <w:pPr>
              <w:adjustRightInd w:val="0"/>
              <w:snapToGrid w:val="0"/>
              <w:spacing w:line="240" w:lineRule="auto"/>
              <w:ind w:firstLine="0" w:firstLineChars="0"/>
              <w:jc w:val="center"/>
              <w:textAlignment w:val="center"/>
              <w:rPr>
                <w:sz w:val="21"/>
                <w:szCs w:val="21"/>
                <w:lang w:bidi="ar"/>
              </w:rPr>
            </w:pPr>
            <w:r>
              <w:rPr>
                <w:rFonts w:hint="eastAsia"/>
                <w:sz w:val="21"/>
                <w:szCs w:val="21"/>
                <w:lang w:bidi="ar"/>
              </w:rPr>
              <w:t>7</w:t>
            </w:r>
            <w:r>
              <w:rPr>
                <w:sz w:val="21"/>
                <w:szCs w:val="21"/>
                <w:lang w:bidi="ar"/>
              </w:rPr>
              <w:t>0.87</w:t>
            </w:r>
          </w:p>
        </w:tc>
        <w:tc>
          <w:tcPr>
            <w:tcW w:w="508" w:type="dxa"/>
            <w:noWrap/>
            <w:vAlign w:val="center"/>
          </w:tcPr>
          <w:p w14:paraId="13DE394A">
            <w:pPr>
              <w:adjustRightInd w:val="0"/>
              <w:snapToGrid w:val="0"/>
              <w:spacing w:line="240" w:lineRule="auto"/>
              <w:ind w:firstLine="0" w:firstLineChars="0"/>
              <w:jc w:val="center"/>
              <w:textAlignment w:val="center"/>
              <w:rPr>
                <w:sz w:val="21"/>
                <w:szCs w:val="21"/>
                <w:lang w:bidi="ar"/>
              </w:rPr>
            </w:pPr>
            <w:r>
              <w:rPr>
                <w:rFonts w:hAnsi="宋体"/>
                <w:sz w:val="21"/>
                <w:szCs w:val="21"/>
                <w:lang w:bidi="ar"/>
              </w:rPr>
              <w:t>达标</w:t>
            </w:r>
          </w:p>
        </w:tc>
      </w:tr>
      <w:tr w14:paraId="21AF0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278" w:type="dxa"/>
            <w:noWrap/>
            <w:vAlign w:val="center"/>
          </w:tcPr>
          <w:p w14:paraId="5B3BBBDD">
            <w:pPr>
              <w:pStyle w:val="91"/>
              <w:spacing w:line="240" w:lineRule="auto"/>
              <w:rPr>
                <w:lang w:bidi="ar"/>
              </w:rPr>
            </w:pPr>
            <w:r>
              <w:rPr>
                <w:rFonts w:hint="eastAsia"/>
                <w:lang w:bidi="ar"/>
              </w:rPr>
              <w:t>2</w:t>
            </w:r>
          </w:p>
        </w:tc>
        <w:tc>
          <w:tcPr>
            <w:tcW w:w="573" w:type="dxa"/>
            <w:vAlign w:val="center"/>
          </w:tcPr>
          <w:p w14:paraId="25828EDA">
            <w:pPr>
              <w:adjustRightInd w:val="0"/>
              <w:snapToGrid w:val="0"/>
              <w:spacing w:line="240" w:lineRule="auto"/>
              <w:ind w:firstLine="0" w:firstLineChars="0"/>
              <w:jc w:val="center"/>
              <w:textAlignment w:val="center"/>
              <w:rPr>
                <w:sz w:val="21"/>
                <w:szCs w:val="21"/>
                <w:lang w:bidi="ar"/>
              </w:rPr>
            </w:pPr>
            <w:r>
              <w:rPr>
                <w:rFonts w:hAnsi="宋体"/>
                <w:sz w:val="21"/>
                <w:szCs w:val="21"/>
                <w:lang w:bidi="ar"/>
              </w:rPr>
              <w:t>网格</w:t>
            </w:r>
          </w:p>
        </w:tc>
        <w:tc>
          <w:tcPr>
            <w:tcW w:w="850" w:type="dxa"/>
            <w:noWrap/>
            <w:vAlign w:val="center"/>
          </w:tcPr>
          <w:p w14:paraId="0BD7A279">
            <w:pPr>
              <w:adjustRightInd w:val="0"/>
              <w:snapToGrid w:val="0"/>
              <w:spacing w:line="240" w:lineRule="auto"/>
              <w:ind w:firstLine="0" w:firstLineChars="0"/>
              <w:jc w:val="center"/>
              <w:textAlignment w:val="center"/>
              <w:rPr>
                <w:sz w:val="21"/>
                <w:szCs w:val="21"/>
                <w:lang w:bidi="ar"/>
              </w:rPr>
            </w:pPr>
            <w:r>
              <w:rPr>
                <w:sz w:val="21"/>
                <w:szCs w:val="21"/>
                <w:lang w:bidi="ar"/>
              </w:rPr>
              <w:t>-357，-12</w:t>
            </w:r>
          </w:p>
        </w:tc>
        <w:tc>
          <w:tcPr>
            <w:tcW w:w="709" w:type="dxa"/>
            <w:noWrap/>
            <w:vAlign w:val="center"/>
          </w:tcPr>
          <w:p w14:paraId="2DF6996B">
            <w:pPr>
              <w:adjustRightInd w:val="0"/>
              <w:snapToGrid w:val="0"/>
              <w:spacing w:line="240" w:lineRule="auto"/>
              <w:ind w:firstLine="0" w:firstLineChars="0"/>
              <w:jc w:val="center"/>
              <w:textAlignment w:val="center"/>
              <w:rPr>
                <w:sz w:val="21"/>
                <w:szCs w:val="21"/>
                <w:lang w:bidi="ar"/>
              </w:rPr>
            </w:pPr>
            <w:r>
              <w:rPr>
                <w:sz w:val="21"/>
                <w:szCs w:val="21"/>
                <w:lang w:bidi="ar"/>
              </w:rPr>
              <w:t>314.40</w:t>
            </w:r>
          </w:p>
        </w:tc>
        <w:tc>
          <w:tcPr>
            <w:tcW w:w="709" w:type="dxa"/>
            <w:noWrap/>
            <w:vAlign w:val="center"/>
          </w:tcPr>
          <w:p w14:paraId="1095DABD">
            <w:pPr>
              <w:adjustRightInd w:val="0"/>
              <w:snapToGrid w:val="0"/>
              <w:spacing w:line="240" w:lineRule="auto"/>
              <w:ind w:firstLine="0" w:firstLineChars="0"/>
              <w:jc w:val="center"/>
              <w:textAlignment w:val="center"/>
              <w:rPr>
                <w:sz w:val="21"/>
                <w:szCs w:val="21"/>
                <w:lang w:bidi="ar"/>
              </w:rPr>
            </w:pPr>
            <w:r>
              <w:rPr>
                <w:sz w:val="21"/>
                <w:szCs w:val="21"/>
                <w:lang w:bidi="ar"/>
              </w:rPr>
              <w:t>1</w:t>
            </w:r>
            <w:r>
              <w:rPr>
                <w:rFonts w:hAnsi="宋体"/>
                <w:sz w:val="21"/>
                <w:szCs w:val="21"/>
                <w:lang w:bidi="ar"/>
              </w:rPr>
              <w:t>小时</w:t>
            </w:r>
          </w:p>
        </w:tc>
        <w:tc>
          <w:tcPr>
            <w:tcW w:w="850" w:type="dxa"/>
            <w:noWrap/>
            <w:vAlign w:val="center"/>
          </w:tcPr>
          <w:p w14:paraId="06A44019">
            <w:pPr>
              <w:adjustRightInd w:val="0"/>
              <w:snapToGrid w:val="0"/>
              <w:spacing w:line="240" w:lineRule="auto"/>
              <w:ind w:firstLine="0" w:firstLineChars="0"/>
              <w:jc w:val="center"/>
              <w:textAlignment w:val="center"/>
              <w:rPr>
                <w:sz w:val="21"/>
                <w:szCs w:val="21"/>
              </w:rPr>
            </w:pPr>
            <w:r>
              <w:rPr>
                <w:rFonts w:hint="eastAsia"/>
                <w:sz w:val="21"/>
                <w:szCs w:val="21"/>
              </w:rPr>
              <w:t>0</w:t>
            </w:r>
            <w:r>
              <w:rPr>
                <w:sz w:val="21"/>
                <w:szCs w:val="21"/>
              </w:rPr>
              <w:t>.1964</w:t>
            </w:r>
          </w:p>
        </w:tc>
        <w:tc>
          <w:tcPr>
            <w:tcW w:w="993" w:type="dxa"/>
            <w:noWrap/>
            <w:vAlign w:val="center"/>
          </w:tcPr>
          <w:p w14:paraId="74287CA9">
            <w:pPr>
              <w:adjustRightInd w:val="0"/>
              <w:snapToGrid w:val="0"/>
              <w:spacing w:line="240" w:lineRule="auto"/>
              <w:ind w:firstLine="0" w:firstLineChars="0"/>
              <w:jc w:val="center"/>
              <w:textAlignment w:val="center"/>
              <w:rPr>
                <w:sz w:val="21"/>
                <w:szCs w:val="21"/>
                <w:lang w:bidi="ar"/>
              </w:rPr>
            </w:pPr>
            <w:r>
              <w:rPr>
                <w:sz w:val="21"/>
                <w:szCs w:val="21"/>
                <w:lang w:bidi="ar"/>
              </w:rPr>
              <w:t>22010608</w:t>
            </w:r>
          </w:p>
        </w:tc>
        <w:tc>
          <w:tcPr>
            <w:tcW w:w="850" w:type="dxa"/>
            <w:noWrap/>
            <w:vAlign w:val="center"/>
          </w:tcPr>
          <w:p w14:paraId="12B324DC">
            <w:pPr>
              <w:adjustRightInd w:val="0"/>
              <w:snapToGrid w:val="0"/>
              <w:spacing w:line="240" w:lineRule="auto"/>
              <w:ind w:firstLine="0" w:firstLineChars="0"/>
              <w:jc w:val="center"/>
              <w:textAlignment w:val="center"/>
              <w:rPr>
                <w:sz w:val="21"/>
                <w:szCs w:val="21"/>
                <w:lang w:bidi="ar"/>
              </w:rPr>
            </w:pPr>
            <w:r>
              <w:rPr>
                <w:sz w:val="21"/>
                <w:szCs w:val="21"/>
                <w:lang w:bidi="ar"/>
              </w:rPr>
              <w:t>1.39</w:t>
            </w:r>
          </w:p>
        </w:tc>
        <w:tc>
          <w:tcPr>
            <w:tcW w:w="992" w:type="dxa"/>
            <w:noWrap/>
            <w:vAlign w:val="center"/>
          </w:tcPr>
          <w:p w14:paraId="6A2FC50B">
            <w:pPr>
              <w:adjustRightInd w:val="0"/>
              <w:snapToGrid w:val="0"/>
              <w:spacing w:line="240" w:lineRule="auto"/>
              <w:ind w:firstLine="0" w:firstLineChars="0"/>
              <w:jc w:val="center"/>
              <w:textAlignment w:val="center"/>
              <w:rPr>
                <w:sz w:val="21"/>
                <w:szCs w:val="21"/>
              </w:rPr>
            </w:pPr>
            <w:r>
              <w:rPr>
                <w:sz w:val="21"/>
                <w:szCs w:val="21"/>
              </w:rPr>
              <w:t>1.5864</w:t>
            </w:r>
          </w:p>
        </w:tc>
        <w:tc>
          <w:tcPr>
            <w:tcW w:w="851" w:type="dxa"/>
            <w:noWrap/>
            <w:vAlign w:val="center"/>
          </w:tcPr>
          <w:p w14:paraId="297B36F4">
            <w:pPr>
              <w:adjustRightInd w:val="0"/>
              <w:snapToGrid w:val="0"/>
              <w:spacing w:line="240" w:lineRule="auto"/>
              <w:ind w:firstLine="0" w:firstLineChars="0"/>
              <w:jc w:val="center"/>
              <w:textAlignment w:val="center"/>
              <w:rPr>
                <w:sz w:val="21"/>
                <w:szCs w:val="21"/>
                <w:lang w:bidi="ar"/>
              </w:rPr>
            </w:pPr>
            <w:r>
              <w:rPr>
                <w:sz w:val="21"/>
                <w:szCs w:val="21"/>
                <w:lang w:bidi="ar"/>
              </w:rPr>
              <w:t>2.0</w:t>
            </w:r>
          </w:p>
        </w:tc>
        <w:tc>
          <w:tcPr>
            <w:tcW w:w="567" w:type="dxa"/>
            <w:noWrap/>
            <w:vAlign w:val="center"/>
          </w:tcPr>
          <w:p w14:paraId="6863946C">
            <w:pPr>
              <w:adjustRightInd w:val="0"/>
              <w:snapToGrid w:val="0"/>
              <w:spacing w:line="240" w:lineRule="auto"/>
              <w:ind w:firstLine="0" w:firstLineChars="0"/>
              <w:jc w:val="center"/>
              <w:textAlignment w:val="center"/>
              <w:rPr>
                <w:sz w:val="21"/>
                <w:szCs w:val="21"/>
                <w:lang w:bidi="ar"/>
              </w:rPr>
            </w:pPr>
            <w:r>
              <w:rPr>
                <w:rFonts w:hint="eastAsia"/>
                <w:sz w:val="21"/>
                <w:szCs w:val="21"/>
                <w:lang w:bidi="ar"/>
              </w:rPr>
              <w:t>7</w:t>
            </w:r>
            <w:r>
              <w:rPr>
                <w:sz w:val="21"/>
                <w:szCs w:val="21"/>
                <w:lang w:bidi="ar"/>
              </w:rPr>
              <w:t>9.32</w:t>
            </w:r>
          </w:p>
        </w:tc>
        <w:tc>
          <w:tcPr>
            <w:tcW w:w="508" w:type="dxa"/>
            <w:noWrap/>
            <w:vAlign w:val="center"/>
          </w:tcPr>
          <w:p w14:paraId="7702451F">
            <w:pPr>
              <w:adjustRightInd w:val="0"/>
              <w:snapToGrid w:val="0"/>
              <w:spacing w:line="240" w:lineRule="auto"/>
              <w:ind w:firstLine="0" w:firstLineChars="0"/>
              <w:jc w:val="center"/>
              <w:textAlignment w:val="center"/>
              <w:rPr>
                <w:sz w:val="21"/>
                <w:szCs w:val="21"/>
                <w:lang w:bidi="ar"/>
              </w:rPr>
            </w:pPr>
            <w:r>
              <w:rPr>
                <w:rFonts w:hAnsi="宋体"/>
                <w:sz w:val="21"/>
                <w:szCs w:val="21"/>
                <w:lang w:bidi="ar"/>
              </w:rPr>
              <w:t>达标</w:t>
            </w:r>
          </w:p>
        </w:tc>
      </w:tr>
    </w:tbl>
    <w:p w14:paraId="2FA36F71">
      <w:pPr>
        <w:ind w:firstLine="480"/>
      </w:pPr>
      <w:r>
        <w:rPr>
          <w:rFonts w:hint="eastAsia"/>
          <w:lang w:bidi="en-US"/>
        </w:rPr>
        <w:t>综上所述，本项目排放的污染物非甲烷总烃贡献值叠加区域背景值后的小时浓度最大占标率为</w:t>
      </w:r>
      <w:r>
        <w:rPr>
          <w:lang w:bidi="en-US"/>
        </w:rPr>
        <w:t>79.32</w:t>
      </w:r>
      <w:r>
        <w:rPr>
          <w:rFonts w:hint="eastAsia"/>
          <w:lang w:bidi="en-US"/>
        </w:rPr>
        <w:t>%，满足《大气污染物综合排放详解》中的浓度限值（2</w:t>
      </w:r>
      <w:r>
        <w:rPr>
          <w:lang w:bidi="en-US"/>
        </w:rPr>
        <w:t>.0</w:t>
      </w:r>
      <w:r>
        <w:rPr>
          <w:rFonts w:hint="eastAsia"/>
          <w:lang w:bidi="en-US"/>
        </w:rPr>
        <w:t>mg</w:t>
      </w:r>
      <w:r>
        <w:rPr>
          <w:lang w:bidi="en-US"/>
        </w:rPr>
        <w:t>/</w:t>
      </w:r>
      <w:r>
        <w:rPr>
          <w:rFonts w:hint="eastAsia"/>
          <w:lang w:bidi="en-US"/>
        </w:rPr>
        <w:t>m</w:t>
      </w:r>
      <w:r>
        <w:rPr>
          <w:vertAlign w:val="superscript"/>
          <w:lang w:bidi="en-US"/>
        </w:rPr>
        <w:t>3</w:t>
      </w:r>
      <w:r>
        <w:rPr>
          <w:rFonts w:hint="eastAsia"/>
          <w:lang w:bidi="en-US"/>
        </w:rPr>
        <w:t>），对周围大气环境影响较小；敏感点叠加拟建项目污染源强后，氯化氢浓度预测值满足《大气污染物综合排放详解》中的浓度限值（2</w:t>
      </w:r>
      <w:r>
        <w:rPr>
          <w:lang w:bidi="en-US"/>
        </w:rPr>
        <w:t>.0</w:t>
      </w:r>
      <w:r>
        <w:rPr>
          <w:rFonts w:hint="eastAsia"/>
          <w:lang w:bidi="en-US"/>
        </w:rPr>
        <w:t>mg</w:t>
      </w:r>
      <w:r>
        <w:rPr>
          <w:lang w:bidi="en-US"/>
        </w:rPr>
        <w:t>/</w:t>
      </w:r>
      <w:r>
        <w:rPr>
          <w:rFonts w:hint="eastAsia"/>
          <w:lang w:bidi="en-US"/>
        </w:rPr>
        <w:t>m</w:t>
      </w:r>
      <w:r>
        <w:rPr>
          <w:vertAlign w:val="superscript"/>
          <w:lang w:bidi="en-US"/>
        </w:rPr>
        <w:t>3</w:t>
      </w:r>
      <w:r>
        <w:rPr>
          <w:rFonts w:hint="eastAsia"/>
          <w:lang w:bidi="en-US"/>
        </w:rPr>
        <w:t>）。</w:t>
      </w:r>
    </w:p>
    <w:p w14:paraId="75BC64A9">
      <w:pPr>
        <w:adjustRightInd w:val="0"/>
        <w:snapToGrid w:val="0"/>
        <w:spacing w:line="240" w:lineRule="auto"/>
        <w:ind w:firstLine="0" w:firstLineChars="0"/>
        <w:jc w:val="center"/>
        <w:rPr>
          <w:bCs/>
          <w:lang w:bidi="en-US"/>
        </w:rPr>
      </w:pPr>
    </w:p>
    <w:p w14:paraId="6F5200FD">
      <w:pPr>
        <w:pStyle w:val="45"/>
        <w:spacing w:before="65" w:after="65"/>
        <w:rPr>
          <w:lang w:bidi="en-US"/>
        </w:rPr>
      </w:pPr>
      <w:r>
        <w:rPr>
          <w:lang w:bidi="en-US"/>
        </w:rPr>
        <w:t>非正常工况排放影响预测</w:t>
      </w:r>
    </w:p>
    <w:p w14:paraId="1C46D7DF">
      <w:pPr>
        <w:ind w:firstLine="480"/>
        <w:rPr>
          <w:lang w:bidi="en-US"/>
        </w:rPr>
      </w:pPr>
      <w:r>
        <w:rPr>
          <w:rFonts w:hint="eastAsia"/>
          <w:lang w:bidi="en-US"/>
        </w:rPr>
        <w:t>本项目非正常工况排放主要是油气回收装置环保设施发生故障，导致有机废气去除效率低至0%的情况。非正常工况下非甲烷总烃最大小时落地浓度预测结果见下表。</w:t>
      </w:r>
    </w:p>
    <w:p w14:paraId="68BD6D88">
      <w:pPr>
        <w:pStyle w:val="47"/>
        <w:spacing w:before="65"/>
        <w:rPr>
          <w:lang w:bidi="en-US"/>
        </w:rPr>
      </w:pPr>
      <w:r>
        <w:rPr>
          <w:rFonts w:hint="eastAsia"/>
        </w:rPr>
        <w:t>表5</w:t>
      </w:r>
      <w:r>
        <w:t>.1-22</w:t>
      </w:r>
      <w:r>
        <w:rPr>
          <w:rFonts w:hint="eastAsia"/>
          <w:lang w:bidi="en-US"/>
        </w:rPr>
        <w:t xml:space="preserve">   非正常工况非甲烷总烃小时落地浓度预测结果一览表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0"/>
        <w:gridCol w:w="1276"/>
        <w:gridCol w:w="850"/>
        <w:gridCol w:w="992"/>
        <w:gridCol w:w="1559"/>
        <w:gridCol w:w="1056"/>
        <w:gridCol w:w="787"/>
        <w:gridCol w:w="650"/>
      </w:tblGrid>
      <w:tr w14:paraId="641D9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893" w:type="pct"/>
            <w:noWrap/>
            <w:vAlign w:val="center"/>
          </w:tcPr>
          <w:p w14:paraId="21760F4B">
            <w:pPr>
              <w:pStyle w:val="85"/>
              <w:rPr>
                <w:rFonts w:ascii="Times New Roman" w:hAnsi="Times New Roman" w:eastAsia="宋体"/>
                <w:lang w:val="en-US" w:eastAsia="en-US"/>
              </w:rPr>
            </w:pPr>
            <w:r>
              <w:rPr>
                <w:rFonts w:ascii="Times New Roman" w:hAnsi="宋体" w:eastAsia="宋体"/>
                <w:lang w:val="en-US" w:eastAsia="en-US"/>
              </w:rPr>
              <w:t>点名称</w:t>
            </w:r>
          </w:p>
        </w:tc>
        <w:tc>
          <w:tcPr>
            <w:tcW w:w="731" w:type="pct"/>
            <w:noWrap/>
            <w:vAlign w:val="center"/>
          </w:tcPr>
          <w:p w14:paraId="366F9E99">
            <w:pPr>
              <w:pStyle w:val="85"/>
              <w:rPr>
                <w:rFonts w:ascii="Times New Roman" w:hAnsi="Times New Roman" w:eastAsia="宋体"/>
                <w:lang w:val="en-US" w:eastAsia="en-US"/>
              </w:rPr>
            </w:pPr>
            <w:r>
              <w:rPr>
                <w:rFonts w:ascii="Times New Roman" w:hAnsi="宋体" w:eastAsia="宋体"/>
                <w:lang w:val="en-US" w:eastAsia="en-US"/>
              </w:rPr>
              <w:t>点坐标</w:t>
            </w:r>
          </w:p>
          <w:p w14:paraId="6AE64E1D">
            <w:pPr>
              <w:pStyle w:val="85"/>
              <w:rPr>
                <w:rFonts w:ascii="Times New Roman" w:hAnsi="Times New Roman" w:eastAsia="宋体"/>
                <w:lang w:val="en-US" w:eastAsia="en-US"/>
              </w:rPr>
            </w:pPr>
            <w:r>
              <w:rPr>
                <w:rFonts w:ascii="Times New Roman" w:hAnsi="Times New Roman" w:eastAsia="宋体"/>
                <w:lang w:val="en-US" w:eastAsia="en-US"/>
              </w:rPr>
              <w:t>（x，y）</w:t>
            </w:r>
          </w:p>
        </w:tc>
        <w:tc>
          <w:tcPr>
            <w:tcW w:w="487" w:type="pct"/>
            <w:noWrap/>
            <w:vAlign w:val="center"/>
          </w:tcPr>
          <w:p w14:paraId="57AC64C5">
            <w:pPr>
              <w:pStyle w:val="85"/>
              <w:rPr>
                <w:rFonts w:ascii="Times New Roman" w:hAnsi="Times New Roman" w:eastAsia="宋体"/>
                <w:lang w:val="en-US" w:eastAsia="en-US"/>
              </w:rPr>
            </w:pPr>
            <w:r>
              <w:rPr>
                <w:rFonts w:ascii="Times New Roman" w:hAnsi="宋体" w:eastAsia="宋体"/>
                <w:lang w:val="en-US" w:eastAsia="en-US"/>
              </w:rPr>
              <w:t>浓度类型</w:t>
            </w:r>
          </w:p>
        </w:tc>
        <w:tc>
          <w:tcPr>
            <w:tcW w:w="568" w:type="pct"/>
            <w:noWrap/>
            <w:vAlign w:val="center"/>
          </w:tcPr>
          <w:p w14:paraId="23AAE42C">
            <w:pPr>
              <w:pStyle w:val="85"/>
              <w:rPr>
                <w:rFonts w:ascii="Times New Roman" w:hAnsi="Times New Roman" w:eastAsia="宋体"/>
                <w:lang w:val="en-US" w:eastAsia="en-US"/>
              </w:rPr>
            </w:pPr>
            <w:r>
              <w:rPr>
                <w:rFonts w:ascii="Times New Roman" w:hAnsi="宋体" w:eastAsia="宋体"/>
                <w:lang w:val="en-US" w:eastAsia="en-US"/>
              </w:rPr>
              <w:t>浓度增量</w:t>
            </w:r>
            <w:r>
              <w:rPr>
                <w:rFonts w:ascii="Times New Roman" w:hAnsi="Times New Roman" w:eastAsia="宋体"/>
                <w:lang w:val="en-US" w:eastAsia="en-US"/>
              </w:rPr>
              <w:t>（</w:t>
            </w:r>
            <w:r>
              <w:rPr>
                <w:rFonts w:ascii="Times New Roman" w:hAnsi="Times New Roman" w:eastAsia="宋体"/>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893" w:type="pct"/>
            <w:noWrap/>
            <w:vAlign w:val="center"/>
          </w:tcPr>
          <w:p w14:paraId="02CDB9C9">
            <w:pPr>
              <w:pStyle w:val="85"/>
              <w:rPr>
                <w:rFonts w:ascii="Times New Roman" w:hAnsi="Times New Roman" w:eastAsia="宋体"/>
                <w:lang w:val="en-US"/>
              </w:rPr>
            </w:pPr>
            <w:r>
              <w:rPr>
                <w:rFonts w:ascii="Times New Roman" w:hAnsi="宋体" w:eastAsia="宋体"/>
                <w:lang w:val="en-US"/>
              </w:rPr>
              <w:t>出现时间</w:t>
            </w:r>
            <w:r>
              <w:rPr>
                <w:rFonts w:ascii="Times New Roman" w:hAnsi="Times New Roman" w:eastAsia="宋体"/>
                <w:lang w:val="en-US"/>
              </w:rPr>
              <w:t>（YYMMDDHH）</w:t>
            </w:r>
          </w:p>
        </w:tc>
        <w:tc>
          <w:tcPr>
            <w:tcW w:w="605" w:type="pct"/>
            <w:noWrap/>
            <w:vAlign w:val="center"/>
          </w:tcPr>
          <w:p w14:paraId="362A5843">
            <w:pPr>
              <w:pStyle w:val="85"/>
              <w:rPr>
                <w:rFonts w:ascii="Times New Roman" w:hAnsi="Times New Roman" w:eastAsia="宋体"/>
                <w:lang w:val="en-US" w:eastAsia="en-US"/>
              </w:rPr>
            </w:pPr>
            <w:r>
              <w:rPr>
                <w:rFonts w:ascii="Times New Roman" w:hAnsi="宋体" w:eastAsia="宋体"/>
                <w:lang w:val="en-US" w:eastAsia="en-US"/>
              </w:rPr>
              <w:t>评价标准</w:t>
            </w:r>
            <w:r>
              <w:rPr>
                <w:rFonts w:ascii="Times New Roman" w:hAnsi="Times New Roman" w:eastAsia="宋体"/>
                <w:lang w:val="en-US" w:eastAsia="en-US"/>
              </w:rPr>
              <w:t>（</w:t>
            </w:r>
            <w:r>
              <w:rPr>
                <w:rFonts w:ascii="Times New Roman" w:hAnsi="Times New Roman" w:eastAsia="宋体"/>
                <w:lang w:val="en-US"/>
              </w:rPr>
              <w:t>μ</w:t>
            </w:r>
            <w:r>
              <w:rPr>
                <w:rFonts w:ascii="Times New Roman" w:hAnsi="Times New Roman" w:eastAsia="宋体"/>
                <w:lang w:val="en-US" w:eastAsia="en-US"/>
              </w:rPr>
              <w:t>g/m</w:t>
            </w:r>
            <w:r>
              <w:rPr>
                <w:rFonts w:ascii="Times New Roman" w:hAnsi="Times New Roman" w:eastAsia="宋体"/>
                <w:vertAlign w:val="superscript"/>
                <w:lang w:val="en-US" w:eastAsia="en-US"/>
              </w:rPr>
              <w:t>3</w:t>
            </w:r>
            <w:r>
              <w:rPr>
                <w:rFonts w:ascii="Times New Roman" w:hAnsi="Times New Roman" w:eastAsia="宋体"/>
                <w:lang w:val="en-US" w:eastAsia="en-US"/>
              </w:rPr>
              <w:t>）</w:t>
            </w:r>
          </w:p>
        </w:tc>
        <w:tc>
          <w:tcPr>
            <w:tcW w:w="451" w:type="pct"/>
            <w:noWrap/>
            <w:vAlign w:val="center"/>
          </w:tcPr>
          <w:p w14:paraId="57277ADB">
            <w:pPr>
              <w:pStyle w:val="85"/>
              <w:rPr>
                <w:rFonts w:ascii="Times New Roman" w:hAnsi="Times New Roman" w:eastAsia="宋体"/>
                <w:lang w:val="en-US" w:eastAsia="en-US"/>
              </w:rPr>
            </w:pPr>
            <w:r>
              <w:rPr>
                <w:rFonts w:ascii="Times New Roman" w:hAnsi="宋体" w:eastAsia="宋体"/>
                <w:lang w:val="en-US" w:eastAsia="en-US"/>
              </w:rPr>
              <w:t>占标率（</w:t>
            </w:r>
            <w:r>
              <w:rPr>
                <w:rFonts w:ascii="Times New Roman" w:hAnsi="Times New Roman" w:eastAsia="宋体"/>
                <w:lang w:val="en-US" w:eastAsia="en-US"/>
              </w:rPr>
              <w:t>%</w:t>
            </w:r>
            <w:r>
              <w:rPr>
                <w:rFonts w:ascii="Times New Roman" w:hAnsi="宋体" w:eastAsia="宋体"/>
                <w:lang w:val="en-US" w:eastAsia="en-US"/>
              </w:rPr>
              <w:t>）</w:t>
            </w:r>
          </w:p>
        </w:tc>
        <w:tc>
          <w:tcPr>
            <w:tcW w:w="372" w:type="pct"/>
            <w:noWrap/>
            <w:vAlign w:val="center"/>
          </w:tcPr>
          <w:p w14:paraId="565E75DA">
            <w:pPr>
              <w:pStyle w:val="85"/>
              <w:rPr>
                <w:rFonts w:ascii="Times New Roman" w:hAnsi="Times New Roman" w:eastAsia="宋体"/>
                <w:lang w:val="en-US" w:eastAsia="en-US"/>
              </w:rPr>
            </w:pPr>
            <w:r>
              <w:rPr>
                <w:rFonts w:ascii="Times New Roman" w:hAnsi="宋体" w:eastAsia="宋体"/>
                <w:lang w:val="en-US" w:eastAsia="en-US"/>
              </w:rPr>
              <w:t>是否</w:t>
            </w:r>
          </w:p>
          <w:p w14:paraId="4E57F1DC">
            <w:pPr>
              <w:pStyle w:val="85"/>
              <w:rPr>
                <w:rFonts w:ascii="Times New Roman" w:hAnsi="Times New Roman" w:eastAsia="宋体"/>
                <w:lang w:val="en-US" w:eastAsia="en-US"/>
              </w:rPr>
            </w:pPr>
            <w:r>
              <w:rPr>
                <w:rFonts w:ascii="Times New Roman" w:hAnsi="宋体" w:eastAsia="宋体"/>
                <w:lang w:val="en-US" w:eastAsia="en-US"/>
              </w:rPr>
              <w:t>超标</w:t>
            </w:r>
          </w:p>
        </w:tc>
      </w:tr>
      <w:tr w14:paraId="4B3E0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893" w:type="pct"/>
            <w:noWrap/>
            <w:vAlign w:val="center"/>
          </w:tcPr>
          <w:p w14:paraId="51B6BC05">
            <w:pPr>
              <w:pStyle w:val="85"/>
              <w:rPr>
                <w:rFonts w:ascii="Times New Roman" w:hAnsi="Times New Roman" w:eastAsia="宋体"/>
                <w:lang w:val="en-US"/>
              </w:rPr>
            </w:pPr>
            <w:r>
              <w:rPr>
                <w:rFonts w:hint="eastAsia" w:ascii="Times New Roman" w:hAnsi="Times New Roman" w:eastAsia="宋体"/>
                <w:lang w:val="en-US"/>
              </w:rPr>
              <w:t>130团22连</w:t>
            </w:r>
          </w:p>
        </w:tc>
        <w:tc>
          <w:tcPr>
            <w:tcW w:w="731" w:type="pct"/>
            <w:noWrap/>
            <w:vAlign w:val="center"/>
          </w:tcPr>
          <w:p w14:paraId="0BD50CB8">
            <w:pPr>
              <w:pStyle w:val="85"/>
              <w:rPr>
                <w:rFonts w:ascii="Times New Roman" w:hAnsi="Times New Roman" w:eastAsia="宋体"/>
                <w:lang w:val="en-US" w:eastAsia="en-US"/>
              </w:rPr>
            </w:pPr>
            <w:r>
              <w:rPr>
                <w:rFonts w:ascii="Times New Roman" w:hAnsi="Times New Roman" w:eastAsia="宋体"/>
                <w:color w:val="000000"/>
                <w:lang w:val="en-US" w:bidi="ar"/>
              </w:rPr>
              <w:t>-1998，-1133</w:t>
            </w:r>
          </w:p>
        </w:tc>
        <w:tc>
          <w:tcPr>
            <w:tcW w:w="487" w:type="pct"/>
            <w:noWrap/>
            <w:vAlign w:val="center"/>
          </w:tcPr>
          <w:p w14:paraId="53F991F1">
            <w:pPr>
              <w:pStyle w:val="85"/>
              <w:rPr>
                <w:rFonts w:ascii="Times New Roman" w:hAnsi="Times New Roman" w:eastAsia="宋体"/>
                <w:lang w:val="en-US" w:eastAsia="en-US"/>
              </w:rPr>
            </w:pPr>
            <w:r>
              <w:rPr>
                <w:rFonts w:ascii="Times New Roman" w:hAnsi="Times New Roman" w:eastAsia="宋体"/>
                <w:lang w:val="en-US" w:eastAsia="en-US"/>
              </w:rPr>
              <w:t>1</w:t>
            </w:r>
            <w:r>
              <w:rPr>
                <w:rFonts w:ascii="Times New Roman" w:hAnsi="宋体" w:eastAsia="宋体"/>
                <w:lang w:val="en-US" w:eastAsia="en-US"/>
              </w:rPr>
              <w:t>小时</w:t>
            </w:r>
          </w:p>
        </w:tc>
        <w:tc>
          <w:tcPr>
            <w:tcW w:w="568" w:type="pct"/>
            <w:noWrap/>
            <w:vAlign w:val="center"/>
          </w:tcPr>
          <w:p w14:paraId="7577FAD8">
            <w:pPr>
              <w:adjustRightInd w:val="0"/>
              <w:snapToGrid w:val="0"/>
              <w:spacing w:line="240" w:lineRule="auto"/>
              <w:ind w:firstLine="0" w:firstLineChars="0"/>
              <w:jc w:val="center"/>
              <w:textAlignment w:val="center"/>
              <w:rPr>
                <w:sz w:val="21"/>
                <w:szCs w:val="21"/>
              </w:rPr>
            </w:pPr>
            <w:r>
              <w:rPr>
                <w:sz w:val="21"/>
                <w:szCs w:val="21"/>
              </w:rPr>
              <w:t>3.8555</w:t>
            </w:r>
          </w:p>
        </w:tc>
        <w:tc>
          <w:tcPr>
            <w:tcW w:w="893" w:type="pct"/>
            <w:noWrap/>
            <w:vAlign w:val="center"/>
          </w:tcPr>
          <w:p w14:paraId="198326CF">
            <w:pPr>
              <w:adjustRightInd w:val="0"/>
              <w:snapToGrid w:val="0"/>
              <w:spacing w:line="240" w:lineRule="auto"/>
              <w:ind w:firstLine="0" w:firstLineChars="0"/>
              <w:jc w:val="center"/>
              <w:textAlignment w:val="center"/>
              <w:rPr>
                <w:sz w:val="21"/>
                <w:szCs w:val="21"/>
              </w:rPr>
            </w:pPr>
            <w:r>
              <w:rPr>
                <w:sz w:val="21"/>
                <w:szCs w:val="21"/>
              </w:rPr>
              <w:t>22082821</w:t>
            </w:r>
          </w:p>
        </w:tc>
        <w:tc>
          <w:tcPr>
            <w:tcW w:w="605" w:type="pct"/>
            <w:noWrap/>
            <w:vAlign w:val="center"/>
          </w:tcPr>
          <w:p w14:paraId="610F119E">
            <w:pPr>
              <w:adjustRightInd w:val="0"/>
              <w:snapToGrid w:val="0"/>
              <w:spacing w:line="240" w:lineRule="auto"/>
              <w:ind w:firstLine="0" w:firstLineChars="0"/>
              <w:jc w:val="center"/>
              <w:textAlignment w:val="center"/>
              <w:rPr>
                <w:sz w:val="21"/>
                <w:szCs w:val="21"/>
              </w:rPr>
            </w:pPr>
            <w:r>
              <w:rPr>
                <w:sz w:val="21"/>
                <w:szCs w:val="21"/>
              </w:rPr>
              <w:t>2000</w:t>
            </w:r>
          </w:p>
        </w:tc>
        <w:tc>
          <w:tcPr>
            <w:tcW w:w="451" w:type="pct"/>
            <w:noWrap/>
            <w:vAlign w:val="center"/>
          </w:tcPr>
          <w:p w14:paraId="08B08CFB">
            <w:pPr>
              <w:adjustRightInd w:val="0"/>
              <w:snapToGrid w:val="0"/>
              <w:spacing w:line="240" w:lineRule="auto"/>
              <w:ind w:firstLine="0" w:firstLineChars="0"/>
              <w:jc w:val="center"/>
              <w:textAlignment w:val="center"/>
              <w:rPr>
                <w:sz w:val="21"/>
                <w:szCs w:val="21"/>
              </w:rPr>
            </w:pPr>
            <w:r>
              <w:rPr>
                <w:sz w:val="21"/>
                <w:szCs w:val="21"/>
              </w:rPr>
              <w:t>0.19</w:t>
            </w:r>
          </w:p>
        </w:tc>
        <w:tc>
          <w:tcPr>
            <w:tcW w:w="372" w:type="pct"/>
            <w:noWrap/>
            <w:vAlign w:val="center"/>
          </w:tcPr>
          <w:p w14:paraId="5003F96D">
            <w:pPr>
              <w:adjustRightInd w:val="0"/>
              <w:snapToGrid w:val="0"/>
              <w:spacing w:line="240" w:lineRule="auto"/>
              <w:ind w:firstLine="0" w:firstLineChars="0"/>
              <w:jc w:val="center"/>
              <w:textAlignment w:val="center"/>
              <w:rPr>
                <w:sz w:val="21"/>
                <w:szCs w:val="21"/>
              </w:rPr>
            </w:pPr>
            <w:r>
              <w:rPr>
                <w:rFonts w:hAnsi="宋体"/>
                <w:sz w:val="21"/>
                <w:szCs w:val="21"/>
              </w:rPr>
              <w:t>达标</w:t>
            </w:r>
          </w:p>
        </w:tc>
      </w:tr>
      <w:tr w14:paraId="35748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893" w:type="pct"/>
            <w:noWrap/>
            <w:vAlign w:val="center"/>
          </w:tcPr>
          <w:p w14:paraId="0D59CBB8">
            <w:pPr>
              <w:pStyle w:val="85"/>
              <w:rPr>
                <w:rFonts w:ascii="Times New Roman" w:hAnsi="Times New Roman" w:eastAsia="宋体"/>
                <w:lang w:val="en-US" w:eastAsia="en-US"/>
              </w:rPr>
            </w:pPr>
            <w:r>
              <w:rPr>
                <w:rFonts w:ascii="Times New Roman" w:hAnsi="宋体" w:eastAsia="宋体"/>
                <w:color w:val="000000"/>
                <w:lang w:val="en-US" w:bidi="ar"/>
              </w:rPr>
              <w:t>网格</w:t>
            </w:r>
          </w:p>
        </w:tc>
        <w:tc>
          <w:tcPr>
            <w:tcW w:w="731" w:type="pct"/>
            <w:noWrap/>
            <w:vAlign w:val="center"/>
          </w:tcPr>
          <w:p w14:paraId="2E610927">
            <w:pPr>
              <w:pStyle w:val="85"/>
              <w:rPr>
                <w:rFonts w:ascii="Times New Roman" w:hAnsi="Times New Roman" w:eastAsia="宋体"/>
                <w:lang w:val="en-US" w:eastAsia="en-US"/>
              </w:rPr>
            </w:pPr>
            <w:r>
              <w:rPr>
                <w:rFonts w:ascii="Times New Roman" w:hAnsi="Times New Roman" w:eastAsia="宋体"/>
                <w:color w:val="000000"/>
                <w:lang w:val="en-US" w:bidi="ar"/>
              </w:rPr>
              <w:t>-557，188</w:t>
            </w:r>
          </w:p>
        </w:tc>
        <w:tc>
          <w:tcPr>
            <w:tcW w:w="487" w:type="pct"/>
            <w:noWrap/>
            <w:vAlign w:val="center"/>
          </w:tcPr>
          <w:p w14:paraId="4580F0FB">
            <w:pPr>
              <w:pStyle w:val="85"/>
              <w:rPr>
                <w:rFonts w:ascii="Times New Roman" w:hAnsi="Times New Roman" w:eastAsia="宋体"/>
                <w:lang w:val="en-US" w:eastAsia="en-US"/>
              </w:rPr>
            </w:pPr>
            <w:r>
              <w:rPr>
                <w:rFonts w:ascii="Times New Roman" w:hAnsi="Times New Roman" w:eastAsia="宋体"/>
                <w:lang w:val="en-US" w:eastAsia="en-US"/>
              </w:rPr>
              <w:t>1</w:t>
            </w:r>
            <w:r>
              <w:rPr>
                <w:rFonts w:ascii="Times New Roman" w:hAnsi="宋体" w:eastAsia="宋体"/>
                <w:lang w:val="en-US" w:eastAsia="en-US"/>
              </w:rPr>
              <w:t>小时</w:t>
            </w:r>
          </w:p>
        </w:tc>
        <w:tc>
          <w:tcPr>
            <w:tcW w:w="568" w:type="pct"/>
            <w:noWrap/>
            <w:vAlign w:val="center"/>
          </w:tcPr>
          <w:p w14:paraId="6ACF728D">
            <w:pPr>
              <w:adjustRightInd w:val="0"/>
              <w:snapToGrid w:val="0"/>
              <w:spacing w:line="240" w:lineRule="auto"/>
              <w:ind w:firstLine="0" w:firstLineChars="0"/>
              <w:jc w:val="center"/>
              <w:textAlignment w:val="center"/>
              <w:rPr>
                <w:sz w:val="21"/>
                <w:szCs w:val="21"/>
              </w:rPr>
            </w:pPr>
            <w:r>
              <w:rPr>
                <w:sz w:val="21"/>
                <w:szCs w:val="21"/>
              </w:rPr>
              <w:t>19.7245</w:t>
            </w:r>
          </w:p>
        </w:tc>
        <w:tc>
          <w:tcPr>
            <w:tcW w:w="893" w:type="pct"/>
            <w:noWrap/>
            <w:vAlign w:val="center"/>
          </w:tcPr>
          <w:p w14:paraId="1C580663">
            <w:pPr>
              <w:adjustRightInd w:val="0"/>
              <w:snapToGrid w:val="0"/>
              <w:spacing w:line="240" w:lineRule="auto"/>
              <w:ind w:firstLine="0" w:firstLineChars="0"/>
              <w:jc w:val="center"/>
              <w:textAlignment w:val="center"/>
              <w:rPr>
                <w:sz w:val="21"/>
                <w:szCs w:val="21"/>
              </w:rPr>
            </w:pPr>
            <w:r>
              <w:rPr>
                <w:sz w:val="21"/>
                <w:szCs w:val="21"/>
              </w:rPr>
              <w:t>22092418</w:t>
            </w:r>
          </w:p>
        </w:tc>
        <w:tc>
          <w:tcPr>
            <w:tcW w:w="605" w:type="pct"/>
            <w:noWrap/>
            <w:vAlign w:val="center"/>
          </w:tcPr>
          <w:p w14:paraId="78E2447D">
            <w:pPr>
              <w:adjustRightInd w:val="0"/>
              <w:snapToGrid w:val="0"/>
              <w:spacing w:line="240" w:lineRule="auto"/>
              <w:ind w:firstLine="0" w:firstLineChars="0"/>
              <w:jc w:val="center"/>
              <w:textAlignment w:val="center"/>
              <w:rPr>
                <w:sz w:val="21"/>
                <w:szCs w:val="21"/>
              </w:rPr>
            </w:pPr>
            <w:r>
              <w:rPr>
                <w:sz w:val="21"/>
                <w:szCs w:val="21"/>
              </w:rPr>
              <w:t>2000</w:t>
            </w:r>
          </w:p>
        </w:tc>
        <w:tc>
          <w:tcPr>
            <w:tcW w:w="451" w:type="pct"/>
            <w:noWrap/>
            <w:vAlign w:val="center"/>
          </w:tcPr>
          <w:p w14:paraId="2E3DF6B1">
            <w:pPr>
              <w:adjustRightInd w:val="0"/>
              <w:snapToGrid w:val="0"/>
              <w:spacing w:line="240" w:lineRule="auto"/>
              <w:ind w:firstLine="0" w:firstLineChars="0"/>
              <w:jc w:val="center"/>
              <w:textAlignment w:val="center"/>
              <w:rPr>
                <w:sz w:val="21"/>
                <w:szCs w:val="21"/>
              </w:rPr>
            </w:pPr>
            <w:r>
              <w:rPr>
                <w:sz w:val="21"/>
                <w:szCs w:val="21"/>
              </w:rPr>
              <w:t>0.99</w:t>
            </w:r>
          </w:p>
        </w:tc>
        <w:tc>
          <w:tcPr>
            <w:tcW w:w="372" w:type="pct"/>
            <w:noWrap/>
            <w:vAlign w:val="center"/>
          </w:tcPr>
          <w:p w14:paraId="1550B599">
            <w:pPr>
              <w:adjustRightInd w:val="0"/>
              <w:snapToGrid w:val="0"/>
              <w:spacing w:line="240" w:lineRule="auto"/>
              <w:ind w:firstLine="0" w:firstLineChars="0"/>
              <w:jc w:val="center"/>
              <w:textAlignment w:val="center"/>
              <w:rPr>
                <w:sz w:val="21"/>
                <w:szCs w:val="21"/>
              </w:rPr>
            </w:pPr>
            <w:r>
              <w:rPr>
                <w:rFonts w:hAnsi="宋体"/>
                <w:sz w:val="21"/>
                <w:szCs w:val="21"/>
              </w:rPr>
              <w:t>达标</w:t>
            </w:r>
          </w:p>
        </w:tc>
      </w:tr>
    </w:tbl>
    <w:p w14:paraId="6621CE23">
      <w:pPr>
        <w:ind w:firstLine="480"/>
        <w:rPr>
          <w:lang w:bidi="en-US"/>
        </w:rPr>
      </w:pPr>
      <w:r>
        <w:rPr>
          <w:lang w:bidi="en-US"/>
        </w:rPr>
        <w:t>根据EIAProA2018软件进一步预测模型预测结果可知：非正常工况下有组织</w:t>
      </w:r>
      <w:r>
        <w:rPr>
          <w:rFonts w:hint="eastAsia"/>
          <w:lang w:bidi="en-US"/>
        </w:rPr>
        <w:t>非甲烷总烃</w:t>
      </w:r>
      <w:r>
        <w:rPr>
          <w:lang w:bidi="en-US"/>
        </w:rPr>
        <w:t>最大落地浓度增量为</w:t>
      </w:r>
      <w:r>
        <w:t>19.7245</w:t>
      </w:r>
      <w:r>
        <w:rPr>
          <w:lang w:bidi="en-US"/>
        </w:rPr>
        <w:t>μ</w:t>
      </w:r>
      <w:r>
        <w:t>g/m³</w:t>
      </w:r>
      <w:r>
        <w:rPr>
          <w:lang w:bidi="en-US"/>
        </w:rPr>
        <w:t>，</w:t>
      </w:r>
      <w:r>
        <w:rPr>
          <w:rFonts w:hint="eastAsia"/>
          <w:lang w:bidi="en-US"/>
        </w:rPr>
        <w:t>占标率为0</w:t>
      </w:r>
      <w:r>
        <w:rPr>
          <w:lang w:bidi="en-US"/>
        </w:rPr>
        <w:t>.99%</w:t>
      </w:r>
      <w:r>
        <w:rPr>
          <w:rFonts w:hint="eastAsia"/>
          <w:lang w:bidi="en-US"/>
        </w:rPr>
        <w:t>；</w:t>
      </w:r>
      <w:r>
        <w:rPr>
          <w:lang w:bidi="en-US"/>
        </w:rPr>
        <w:t>叠加背景值后，</w:t>
      </w:r>
      <w:r>
        <w:rPr>
          <w:rFonts w:hint="eastAsia"/>
          <w:lang w:bidi="en-US"/>
        </w:rPr>
        <w:t>氯化氢</w:t>
      </w:r>
      <w:r>
        <w:rPr>
          <w:lang w:bidi="en-US"/>
        </w:rPr>
        <w:t>最大浓度值为1409.7240μg/m³，</w:t>
      </w:r>
      <w:r>
        <w:rPr>
          <w:rFonts w:hint="eastAsia"/>
          <w:lang w:bidi="en-US"/>
        </w:rPr>
        <w:t>占标率为7</w:t>
      </w:r>
      <w:r>
        <w:rPr>
          <w:lang w:bidi="en-US"/>
        </w:rPr>
        <w:t>0.49%</w:t>
      </w:r>
      <w:r>
        <w:rPr>
          <w:rFonts w:hint="eastAsia"/>
          <w:lang w:bidi="en-US"/>
        </w:rPr>
        <w:t>，</w:t>
      </w:r>
      <w:r>
        <w:rPr>
          <w:lang w:bidi="en-US"/>
        </w:rPr>
        <w:t>各敏感点</w:t>
      </w:r>
      <w:r>
        <w:rPr>
          <w:rFonts w:hint="eastAsia"/>
          <w:lang w:bidi="en-US"/>
        </w:rPr>
        <w:t>非甲烷总烃</w:t>
      </w:r>
      <w:r>
        <w:rPr>
          <w:lang w:bidi="en-US"/>
        </w:rPr>
        <w:t>浓度均满足</w:t>
      </w:r>
      <w:r>
        <w:rPr>
          <w:rFonts w:hint="eastAsia"/>
          <w:lang w:bidi="en-US"/>
        </w:rPr>
        <w:t>《大气污染物综合排放详解》中的浓度限值（2</w:t>
      </w:r>
      <w:r>
        <w:rPr>
          <w:lang w:bidi="en-US"/>
        </w:rPr>
        <w:t>.0</w:t>
      </w:r>
      <w:r>
        <w:rPr>
          <w:rFonts w:hint="eastAsia"/>
          <w:lang w:bidi="en-US"/>
        </w:rPr>
        <w:t>mg</w:t>
      </w:r>
      <w:r>
        <w:rPr>
          <w:lang w:bidi="en-US"/>
        </w:rPr>
        <w:t>/</w:t>
      </w:r>
      <w:r>
        <w:rPr>
          <w:rFonts w:hint="eastAsia"/>
          <w:lang w:bidi="en-US"/>
        </w:rPr>
        <w:t>m</w:t>
      </w:r>
      <w:r>
        <w:rPr>
          <w:vertAlign w:val="superscript"/>
          <w:lang w:bidi="en-US"/>
        </w:rPr>
        <w:t>3</w:t>
      </w:r>
      <w:r>
        <w:rPr>
          <w:rFonts w:hint="eastAsia"/>
          <w:lang w:bidi="en-US"/>
        </w:rPr>
        <w:t>）</w:t>
      </w:r>
      <w:r>
        <w:rPr>
          <w:rFonts w:hint="eastAsia"/>
          <w:bCs/>
          <w:lang w:bidi="en-US"/>
        </w:rPr>
        <w:t>。</w:t>
      </w:r>
    </w:p>
    <w:p w14:paraId="00BCF5AE">
      <w:pPr>
        <w:pStyle w:val="45"/>
        <w:spacing w:before="65" w:after="65"/>
        <w:rPr>
          <w:lang w:bidi="en-US"/>
        </w:rPr>
      </w:pPr>
      <w:r>
        <w:rPr>
          <w:rFonts w:hint="eastAsia"/>
          <w:lang w:bidi="en-US"/>
        </w:rPr>
        <w:t>大气环境防护距离</w:t>
      </w:r>
    </w:p>
    <w:p w14:paraId="43CCBD04">
      <w:pPr>
        <w:adjustRightInd w:val="0"/>
        <w:snapToGrid w:val="0"/>
        <w:ind w:firstLine="480"/>
        <w:rPr>
          <w:bCs/>
          <w:szCs w:val="24"/>
        </w:rPr>
      </w:pPr>
      <w:r>
        <w:rPr>
          <w:rFonts w:hint="eastAsia"/>
          <w:bCs/>
          <w:szCs w:val="24"/>
        </w:rPr>
        <w:t>大气环境防护距离即为保护人群健康，减少正常排放条件下大气污染物对居住区的环境影响，在项目厂界以外设置的环境防护距离。在大气环境防护距离内不应有长期居住的人群。</w:t>
      </w:r>
    </w:p>
    <w:p w14:paraId="482940B6">
      <w:pPr>
        <w:adjustRightInd w:val="0"/>
        <w:snapToGrid w:val="0"/>
        <w:ind w:firstLine="480"/>
        <w:rPr>
          <w:bCs/>
          <w:szCs w:val="24"/>
        </w:rPr>
      </w:pPr>
      <w:r>
        <w:rPr>
          <w:rFonts w:hint="eastAsia"/>
          <w:bCs/>
          <w:szCs w:val="24"/>
        </w:rPr>
        <w:t>本项目采用推荐模式中的大气环境防护距离模式计算各无组织源的大气环境防护距离。计算出的距离是以污染源中心点为起点的控制距离，并结合厂区平面布置图，确定控制距离范围，超出厂界以外的范围，即为项目大气环境防护区域。计算结果显示本项目运营期间主要废气排放源在正常工况下均无超标点，故本项目无需设置大气环境防护距离。</w:t>
      </w:r>
    </w:p>
    <w:p w14:paraId="7B735E36">
      <w:pPr>
        <w:pStyle w:val="45"/>
        <w:spacing w:before="65" w:after="65"/>
      </w:pPr>
      <w:r>
        <w:rPr>
          <w:rFonts w:hint="eastAsia"/>
        </w:rPr>
        <w:t>卫生防护距离</w:t>
      </w:r>
    </w:p>
    <w:p w14:paraId="53EDA660">
      <w:pPr>
        <w:adjustRightInd w:val="0"/>
        <w:snapToGrid w:val="0"/>
        <w:ind w:firstLine="480"/>
        <w:rPr>
          <w:bCs/>
          <w:szCs w:val="24"/>
        </w:rPr>
      </w:pPr>
      <w:r>
        <w:rPr>
          <w:rFonts w:hint="eastAsia"/>
          <w:bCs/>
          <w:szCs w:val="24"/>
        </w:rPr>
        <w:t>根据《大气有害物质无组织排放卫生防护距离推导技术导则》（GB/T39499-2020）中的行业卫生防护距离初值计算公式计算本项目的卫生防护距离，计算公式如下：</w:t>
      </w:r>
    </w:p>
    <w:p w14:paraId="752BE402">
      <w:pPr>
        <w:adjustRightInd w:val="0"/>
        <w:snapToGrid w:val="0"/>
        <w:ind w:firstLine="480"/>
        <w:jc w:val="center"/>
        <w:rPr>
          <w:bCs/>
          <w:szCs w:val="24"/>
        </w:rPr>
      </w:pPr>
      <w:r>
        <w:rPr>
          <w:bCs/>
          <w:position w:val="-30"/>
          <w:szCs w:val="24"/>
        </w:rPr>
        <w:object>
          <v:shape id="_x0000_i1028" o:spt="75" type="#_x0000_t75" style="height:36pt;width:144pt;" o:ole="t" filled="f" o:preferrelative="t" stroked="f" coordsize="21600,21600">
            <v:path/>
            <v:fill on="f" focussize="0,0"/>
            <v:stroke on="f" joinstyle="miter"/>
            <v:imagedata r:id="rId80" o:title=""/>
            <o:lock v:ext="edit" aspectratio="t"/>
            <w10:wrap type="none"/>
            <w10:anchorlock/>
          </v:shape>
          <o:OLEObject Type="Embed" ProgID="Equation.3" ShapeID="_x0000_i1028" DrawAspect="Content" ObjectID="_1468075728" r:id="rId79">
            <o:LockedField>false</o:LockedField>
          </o:OLEObject>
        </w:object>
      </w:r>
    </w:p>
    <w:p w14:paraId="3A41F676">
      <w:pPr>
        <w:ind w:firstLine="480"/>
      </w:pPr>
      <w:r>
        <w:rPr>
          <w:rFonts w:hint="eastAsia"/>
        </w:rPr>
        <w:t>式中：</w:t>
      </w:r>
    </w:p>
    <w:p w14:paraId="77CD0BE1">
      <w:pPr>
        <w:ind w:firstLine="480"/>
      </w:pPr>
      <w:r>
        <w:rPr>
          <w:rFonts w:hint="eastAsia"/>
        </w:rPr>
        <w:t>Q</w:t>
      </w:r>
      <w:r>
        <w:rPr>
          <w:rFonts w:hint="eastAsia"/>
          <w:vertAlign w:val="subscript"/>
        </w:rPr>
        <w:t>c</w:t>
      </w:r>
      <w:r>
        <w:rPr>
          <w:rFonts w:hint="eastAsia"/>
        </w:rPr>
        <w:t>——大气有害物质的无组织排放量，单位为千克每小时（kg</w:t>
      </w:r>
      <w:r>
        <w:t>/</w:t>
      </w:r>
      <w:r>
        <w:rPr>
          <w:rFonts w:hint="eastAsia"/>
        </w:rPr>
        <w:t>h）；</w:t>
      </w:r>
    </w:p>
    <w:p w14:paraId="24F9FAEC">
      <w:pPr>
        <w:ind w:firstLine="480"/>
      </w:pPr>
      <w:r>
        <w:rPr>
          <w:rFonts w:hint="eastAsia"/>
        </w:rPr>
        <w:t>c</w:t>
      </w:r>
      <w:r>
        <w:rPr>
          <w:rFonts w:hint="eastAsia"/>
          <w:vertAlign w:val="subscript"/>
        </w:rPr>
        <w:t>m</w:t>
      </w:r>
      <w:r>
        <w:rPr>
          <w:rFonts w:hint="eastAsia"/>
        </w:rPr>
        <w:t>——大气有害物质环境空气质量的标准限值，单位为毫克每立方米（mg</w:t>
      </w:r>
      <w:r>
        <w:t>/</w:t>
      </w:r>
      <w:r>
        <w:rPr>
          <w:rFonts w:hint="eastAsia"/>
        </w:rPr>
        <w:t>m</w:t>
      </w:r>
      <w:r>
        <w:rPr>
          <w:vertAlign w:val="superscript"/>
        </w:rPr>
        <w:t>3</w:t>
      </w:r>
      <w:r>
        <w:rPr>
          <w:rFonts w:hint="eastAsia"/>
        </w:rPr>
        <w:t>）；</w:t>
      </w:r>
    </w:p>
    <w:p w14:paraId="2E2A9CEA">
      <w:pPr>
        <w:ind w:firstLine="480"/>
      </w:pPr>
      <w:r>
        <w:rPr>
          <w:rFonts w:hint="eastAsia"/>
        </w:rPr>
        <w:t>L——大气有害物质卫生防护距离初值，单位为米（m）；</w:t>
      </w:r>
    </w:p>
    <w:p w14:paraId="7A3C5428">
      <w:pPr>
        <w:ind w:firstLine="480"/>
      </w:pPr>
      <w:r>
        <w:rPr>
          <w:rFonts w:hint="eastAsia"/>
        </w:rPr>
        <w:t>r——大气有害物质无组织排放源所在生产单元的等效半径，单位为米（m）；</w:t>
      </w:r>
    </w:p>
    <w:p w14:paraId="72DE6421">
      <w:pPr>
        <w:ind w:firstLine="480"/>
      </w:pPr>
      <w:r>
        <w:rPr>
          <w:rFonts w:hint="eastAsia"/>
        </w:rPr>
        <w:t>A、B、C、D——卫生防护距离初值计算系数，无因次，根据工业企业所在地区近5年平均风速及大气污染源构成类别从表1查取。</w:t>
      </w:r>
    </w:p>
    <w:p w14:paraId="57C03E46">
      <w:pPr>
        <w:ind w:firstLine="480"/>
      </w:pPr>
      <w:r>
        <w:rPr>
          <w:rFonts w:hint="eastAsia"/>
        </w:rPr>
        <w:t>根据上述计算公式的得到的值为1</w:t>
      </w:r>
      <w:r>
        <w:t>3.49</w:t>
      </w:r>
      <w:r>
        <w:rPr>
          <w:rFonts w:hint="eastAsia"/>
        </w:rPr>
        <w:t>m，则卫生防护距离L</w:t>
      </w:r>
      <w:r>
        <w:t>=50</w:t>
      </w:r>
      <w:r>
        <w:rPr>
          <w:rFonts w:hint="eastAsia"/>
        </w:rPr>
        <w:t>m，经现场调查，本项目厂界外扩L距离的范围内目前没有居住区、学校、医院、商超、机关及企事业单位、风景区、保护区等环境敏感目标分布，该防护距离范围内不应规划学校、医院、居民区等。</w:t>
      </w:r>
    </w:p>
    <w:p w14:paraId="4826A5B8">
      <w:pPr>
        <w:pStyle w:val="43"/>
      </w:pPr>
      <w:r>
        <w:rPr>
          <w:rFonts w:hint="eastAsia"/>
        </w:rPr>
        <w:t>大气污染物排放量核算</w:t>
      </w:r>
    </w:p>
    <w:p w14:paraId="48ABDAF0">
      <w:pPr>
        <w:ind w:firstLine="480"/>
      </w:pPr>
      <w:r>
        <w:rPr>
          <w:rFonts w:hint="eastAsia"/>
        </w:rPr>
        <w:t>污染物排放量核算见表</w:t>
      </w:r>
      <w:r>
        <w:t>5.1-23</w:t>
      </w:r>
      <w:r>
        <w:rPr>
          <w:rFonts w:hint="eastAsia"/>
        </w:rPr>
        <w:t>～</w:t>
      </w:r>
      <w:r>
        <w:t>5.1-25</w:t>
      </w:r>
      <w:r>
        <w:rPr>
          <w:rFonts w:hint="eastAsia"/>
        </w:rPr>
        <w:t>。</w:t>
      </w:r>
    </w:p>
    <w:p w14:paraId="2063A2D0">
      <w:pPr>
        <w:adjustRightInd w:val="0"/>
        <w:snapToGrid w:val="0"/>
        <w:spacing w:before="65" w:beforeLines="20" w:after="60" w:line="240" w:lineRule="auto"/>
        <w:ind w:firstLine="0" w:firstLineChars="0"/>
        <w:jc w:val="center"/>
        <w:rPr>
          <w:rFonts w:eastAsia="黑体"/>
        </w:rPr>
      </w:pPr>
      <w:r>
        <w:rPr>
          <w:rFonts w:hint="eastAsia" w:eastAsia="黑体"/>
        </w:rPr>
        <w:t>表</w:t>
      </w:r>
      <w:r>
        <w:rPr>
          <w:rFonts w:eastAsia="黑体"/>
        </w:rPr>
        <w:t xml:space="preserve">5.1-23   </w:t>
      </w:r>
      <w:r>
        <w:rPr>
          <w:rFonts w:hint="eastAsia" w:eastAsia="黑体"/>
        </w:rPr>
        <w:t>大气污染物有组织排放量核算表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3"/>
        <w:gridCol w:w="1456"/>
        <w:gridCol w:w="1453"/>
        <w:gridCol w:w="1453"/>
        <w:gridCol w:w="1460"/>
        <w:gridCol w:w="1455"/>
      </w:tblGrid>
      <w:tr w14:paraId="41866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32" w:type="pct"/>
            <w:shd w:val="clear" w:color="auto" w:fill="auto"/>
            <w:vAlign w:val="center"/>
          </w:tcPr>
          <w:p w14:paraId="5DFABE53">
            <w:pPr>
              <w:adjustRightInd w:val="0"/>
              <w:snapToGrid w:val="0"/>
              <w:spacing w:line="240" w:lineRule="auto"/>
              <w:ind w:firstLine="0" w:firstLineChars="0"/>
              <w:jc w:val="center"/>
              <w:rPr>
                <w:sz w:val="21"/>
                <w:szCs w:val="20"/>
              </w:rPr>
            </w:pPr>
            <w:r>
              <w:rPr>
                <w:rFonts w:hint="eastAsia"/>
                <w:sz w:val="21"/>
                <w:szCs w:val="20"/>
              </w:rPr>
              <w:t>序号</w:t>
            </w:r>
          </w:p>
        </w:tc>
        <w:tc>
          <w:tcPr>
            <w:tcW w:w="833" w:type="pct"/>
            <w:shd w:val="clear" w:color="auto" w:fill="auto"/>
            <w:vAlign w:val="center"/>
          </w:tcPr>
          <w:p w14:paraId="548D181C">
            <w:pPr>
              <w:adjustRightInd w:val="0"/>
              <w:snapToGrid w:val="0"/>
              <w:spacing w:line="240" w:lineRule="auto"/>
              <w:ind w:firstLine="0" w:firstLineChars="0"/>
              <w:jc w:val="center"/>
              <w:rPr>
                <w:sz w:val="21"/>
                <w:szCs w:val="20"/>
              </w:rPr>
            </w:pPr>
            <w:r>
              <w:rPr>
                <w:rFonts w:hint="eastAsia"/>
                <w:sz w:val="21"/>
                <w:szCs w:val="20"/>
              </w:rPr>
              <w:t>排放口编号</w:t>
            </w:r>
          </w:p>
        </w:tc>
        <w:tc>
          <w:tcPr>
            <w:tcW w:w="832" w:type="pct"/>
            <w:shd w:val="clear" w:color="auto" w:fill="auto"/>
            <w:vAlign w:val="center"/>
          </w:tcPr>
          <w:p w14:paraId="673B0122">
            <w:pPr>
              <w:adjustRightInd w:val="0"/>
              <w:snapToGrid w:val="0"/>
              <w:spacing w:line="240" w:lineRule="auto"/>
              <w:ind w:firstLine="0" w:firstLineChars="0"/>
              <w:jc w:val="center"/>
              <w:rPr>
                <w:sz w:val="21"/>
                <w:szCs w:val="20"/>
              </w:rPr>
            </w:pPr>
            <w:r>
              <w:rPr>
                <w:rFonts w:hint="eastAsia"/>
                <w:sz w:val="21"/>
                <w:szCs w:val="20"/>
              </w:rPr>
              <w:t>污染物</w:t>
            </w:r>
          </w:p>
        </w:tc>
        <w:tc>
          <w:tcPr>
            <w:tcW w:w="832" w:type="pct"/>
            <w:shd w:val="clear" w:color="auto" w:fill="auto"/>
            <w:vAlign w:val="center"/>
          </w:tcPr>
          <w:p w14:paraId="7E65C456">
            <w:pPr>
              <w:adjustRightInd w:val="0"/>
              <w:snapToGrid w:val="0"/>
              <w:spacing w:line="240" w:lineRule="auto"/>
              <w:ind w:firstLine="0" w:firstLineChars="0"/>
              <w:jc w:val="center"/>
              <w:rPr>
                <w:sz w:val="21"/>
                <w:szCs w:val="20"/>
              </w:rPr>
            </w:pPr>
            <w:r>
              <w:rPr>
                <w:rFonts w:hint="eastAsia"/>
                <w:sz w:val="21"/>
                <w:szCs w:val="20"/>
              </w:rPr>
              <w:t>核算排放浓度/（mg</w:t>
            </w:r>
            <w:r>
              <w:rPr>
                <w:sz w:val="21"/>
                <w:szCs w:val="20"/>
              </w:rPr>
              <w:t>/</w:t>
            </w:r>
            <w:r>
              <w:rPr>
                <w:rFonts w:hint="eastAsia"/>
                <w:sz w:val="21"/>
                <w:szCs w:val="20"/>
              </w:rPr>
              <w:t>m</w:t>
            </w:r>
            <w:r>
              <w:rPr>
                <w:sz w:val="21"/>
                <w:szCs w:val="20"/>
                <w:vertAlign w:val="superscript"/>
              </w:rPr>
              <w:t>3</w:t>
            </w:r>
            <w:r>
              <w:rPr>
                <w:rFonts w:hint="eastAsia"/>
                <w:sz w:val="21"/>
                <w:szCs w:val="20"/>
              </w:rPr>
              <w:t>）</w:t>
            </w:r>
          </w:p>
        </w:tc>
        <w:tc>
          <w:tcPr>
            <w:tcW w:w="836" w:type="pct"/>
            <w:shd w:val="clear" w:color="auto" w:fill="auto"/>
            <w:vAlign w:val="center"/>
          </w:tcPr>
          <w:p w14:paraId="03550B0D">
            <w:pPr>
              <w:adjustRightInd w:val="0"/>
              <w:snapToGrid w:val="0"/>
              <w:spacing w:line="240" w:lineRule="auto"/>
              <w:ind w:firstLine="0" w:firstLineChars="0"/>
              <w:jc w:val="center"/>
              <w:rPr>
                <w:sz w:val="21"/>
                <w:szCs w:val="20"/>
              </w:rPr>
            </w:pPr>
            <w:r>
              <w:rPr>
                <w:rFonts w:hint="eastAsia"/>
                <w:sz w:val="21"/>
                <w:szCs w:val="20"/>
              </w:rPr>
              <w:t>核算排放速率/（kg</w:t>
            </w:r>
            <w:r>
              <w:rPr>
                <w:sz w:val="21"/>
                <w:szCs w:val="20"/>
              </w:rPr>
              <w:t>/h</w:t>
            </w:r>
            <w:r>
              <w:rPr>
                <w:rFonts w:hint="eastAsia"/>
                <w:sz w:val="21"/>
                <w:szCs w:val="20"/>
              </w:rPr>
              <w:t>）</w:t>
            </w:r>
          </w:p>
        </w:tc>
        <w:tc>
          <w:tcPr>
            <w:tcW w:w="833" w:type="pct"/>
            <w:shd w:val="clear" w:color="auto" w:fill="auto"/>
            <w:vAlign w:val="center"/>
          </w:tcPr>
          <w:p w14:paraId="4E6D1CFF">
            <w:pPr>
              <w:adjustRightInd w:val="0"/>
              <w:snapToGrid w:val="0"/>
              <w:spacing w:line="240" w:lineRule="auto"/>
              <w:ind w:firstLine="0" w:firstLineChars="0"/>
              <w:jc w:val="center"/>
              <w:rPr>
                <w:sz w:val="21"/>
                <w:szCs w:val="20"/>
              </w:rPr>
            </w:pPr>
            <w:r>
              <w:rPr>
                <w:rFonts w:hint="eastAsia"/>
                <w:sz w:val="21"/>
                <w:szCs w:val="20"/>
              </w:rPr>
              <w:t>核算年排放量/（t</w:t>
            </w:r>
            <w:r>
              <w:rPr>
                <w:sz w:val="21"/>
                <w:szCs w:val="20"/>
              </w:rPr>
              <w:t>/a</w:t>
            </w:r>
            <w:r>
              <w:rPr>
                <w:rFonts w:hint="eastAsia"/>
                <w:sz w:val="21"/>
                <w:szCs w:val="20"/>
              </w:rPr>
              <w:t>）</w:t>
            </w:r>
          </w:p>
        </w:tc>
      </w:tr>
      <w:tr w14:paraId="42D2C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shd w:val="clear" w:color="auto" w:fill="auto"/>
            <w:vAlign w:val="center"/>
          </w:tcPr>
          <w:p w14:paraId="56C5796C">
            <w:pPr>
              <w:adjustRightInd w:val="0"/>
              <w:snapToGrid w:val="0"/>
              <w:spacing w:line="240" w:lineRule="auto"/>
              <w:ind w:firstLine="0" w:firstLineChars="0"/>
              <w:jc w:val="center"/>
              <w:rPr>
                <w:sz w:val="21"/>
                <w:szCs w:val="20"/>
              </w:rPr>
            </w:pPr>
            <w:r>
              <w:rPr>
                <w:rFonts w:hint="eastAsia"/>
                <w:sz w:val="21"/>
                <w:szCs w:val="20"/>
              </w:rPr>
              <w:t>1</w:t>
            </w:r>
          </w:p>
        </w:tc>
        <w:tc>
          <w:tcPr>
            <w:tcW w:w="833" w:type="pct"/>
            <w:shd w:val="clear" w:color="auto" w:fill="auto"/>
            <w:vAlign w:val="center"/>
          </w:tcPr>
          <w:p w14:paraId="4184C441">
            <w:pPr>
              <w:adjustRightInd w:val="0"/>
              <w:snapToGrid w:val="0"/>
              <w:spacing w:line="240" w:lineRule="auto"/>
              <w:ind w:firstLine="0" w:firstLineChars="0"/>
              <w:jc w:val="center"/>
              <w:rPr>
                <w:sz w:val="21"/>
                <w:szCs w:val="20"/>
              </w:rPr>
            </w:pPr>
            <w:r>
              <w:rPr>
                <w:rFonts w:hint="eastAsia"/>
                <w:sz w:val="21"/>
                <w:szCs w:val="20"/>
              </w:rPr>
              <w:t>DA</w:t>
            </w:r>
            <w:r>
              <w:rPr>
                <w:sz w:val="21"/>
                <w:szCs w:val="20"/>
              </w:rPr>
              <w:t>001</w:t>
            </w:r>
          </w:p>
        </w:tc>
        <w:tc>
          <w:tcPr>
            <w:tcW w:w="832" w:type="pct"/>
            <w:shd w:val="clear" w:color="auto" w:fill="auto"/>
            <w:vAlign w:val="center"/>
          </w:tcPr>
          <w:p w14:paraId="3FFEF5BC">
            <w:pPr>
              <w:adjustRightInd w:val="0"/>
              <w:snapToGrid w:val="0"/>
              <w:spacing w:line="240" w:lineRule="auto"/>
              <w:ind w:firstLine="0" w:firstLineChars="0"/>
              <w:jc w:val="center"/>
              <w:rPr>
                <w:sz w:val="21"/>
                <w:szCs w:val="20"/>
                <w:vertAlign w:val="subscript"/>
              </w:rPr>
            </w:pPr>
            <w:r>
              <w:rPr>
                <w:rFonts w:hint="eastAsia"/>
                <w:sz w:val="21"/>
                <w:szCs w:val="20"/>
              </w:rPr>
              <w:t>非甲烷总烃</w:t>
            </w:r>
          </w:p>
        </w:tc>
        <w:tc>
          <w:tcPr>
            <w:tcW w:w="832" w:type="pct"/>
            <w:shd w:val="clear" w:color="auto" w:fill="auto"/>
            <w:vAlign w:val="center"/>
          </w:tcPr>
          <w:p w14:paraId="2E393906">
            <w:pPr>
              <w:adjustRightInd w:val="0"/>
              <w:snapToGrid w:val="0"/>
              <w:spacing w:line="240" w:lineRule="auto"/>
              <w:ind w:firstLine="0" w:firstLineChars="0"/>
              <w:jc w:val="center"/>
              <w:rPr>
                <w:sz w:val="21"/>
                <w:szCs w:val="20"/>
              </w:rPr>
            </w:pPr>
            <w:r>
              <w:rPr>
                <w:rFonts w:hint="eastAsia"/>
                <w:sz w:val="21"/>
                <w:szCs w:val="20"/>
              </w:rPr>
              <w:t>2</w:t>
            </w:r>
            <w:r>
              <w:rPr>
                <w:sz w:val="21"/>
                <w:szCs w:val="20"/>
              </w:rPr>
              <w:t>.403</w:t>
            </w:r>
          </w:p>
        </w:tc>
        <w:tc>
          <w:tcPr>
            <w:tcW w:w="836" w:type="pct"/>
            <w:shd w:val="clear" w:color="auto" w:fill="auto"/>
            <w:vAlign w:val="center"/>
          </w:tcPr>
          <w:p w14:paraId="6EE87F6E">
            <w:pPr>
              <w:adjustRightInd w:val="0"/>
              <w:snapToGrid w:val="0"/>
              <w:spacing w:line="240" w:lineRule="auto"/>
              <w:ind w:firstLine="0" w:firstLineChars="0"/>
              <w:jc w:val="center"/>
              <w:rPr>
                <w:sz w:val="21"/>
                <w:szCs w:val="20"/>
              </w:rPr>
            </w:pPr>
            <w:r>
              <w:rPr>
                <w:rFonts w:hint="eastAsia"/>
                <w:sz w:val="21"/>
                <w:szCs w:val="20"/>
              </w:rPr>
              <w:t>0</w:t>
            </w:r>
            <w:r>
              <w:rPr>
                <w:sz w:val="21"/>
                <w:szCs w:val="20"/>
              </w:rPr>
              <w:t>.0069</w:t>
            </w:r>
          </w:p>
        </w:tc>
        <w:tc>
          <w:tcPr>
            <w:tcW w:w="833" w:type="pct"/>
            <w:shd w:val="clear" w:color="auto" w:fill="auto"/>
            <w:vAlign w:val="center"/>
          </w:tcPr>
          <w:p w14:paraId="2FE7D2B2">
            <w:pPr>
              <w:adjustRightInd w:val="0"/>
              <w:snapToGrid w:val="0"/>
              <w:spacing w:line="240" w:lineRule="auto"/>
              <w:ind w:firstLine="0" w:firstLineChars="0"/>
              <w:jc w:val="center"/>
              <w:rPr>
                <w:sz w:val="21"/>
                <w:szCs w:val="20"/>
              </w:rPr>
            </w:pPr>
            <w:r>
              <w:rPr>
                <w:sz w:val="21"/>
                <w:szCs w:val="20"/>
              </w:rPr>
              <w:t>1.22</w:t>
            </w:r>
          </w:p>
        </w:tc>
      </w:tr>
      <w:tr w14:paraId="19CC2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restart"/>
            <w:shd w:val="clear" w:color="auto" w:fill="auto"/>
            <w:vAlign w:val="center"/>
          </w:tcPr>
          <w:p w14:paraId="64EF270B">
            <w:pPr>
              <w:adjustRightInd w:val="0"/>
              <w:snapToGrid w:val="0"/>
              <w:spacing w:line="240" w:lineRule="auto"/>
              <w:ind w:firstLine="0" w:firstLineChars="0"/>
              <w:jc w:val="center"/>
              <w:rPr>
                <w:sz w:val="21"/>
                <w:szCs w:val="20"/>
              </w:rPr>
            </w:pPr>
            <w:r>
              <w:rPr>
                <w:rFonts w:hint="eastAsia"/>
                <w:sz w:val="21"/>
                <w:szCs w:val="20"/>
              </w:rPr>
              <w:t>2</w:t>
            </w:r>
          </w:p>
        </w:tc>
        <w:tc>
          <w:tcPr>
            <w:tcW w:w="833" w:type="pct"/>
            <w:vMerge w:val="restart"/>
            <w:shd w:val="clear" w:color="auto" w:fill="auto"/>
            <w:vAlign w:val="center"/>
          </w:tcPr>
          <w:p w14:paraId="01CD1DB5">
            <w:pPr>
              <w:adjustRightInd w:val="0"/>
              <w:snapToGrid w:val="0"/>
              <w:spacing w:line="240" w:lineRule="auto"/>
              <w:ind w:firstLine="0" w:firstLineChars="0"/>
              <w:jc w:val="center"/>
              <w:rPr>
                <w:sz w:val="21"/>
                <w:szCs w:val="20"/>
              </w:rPr>
            </w:pPr>
            <w:r>
              <w:rPr>
                <w:rFonts w:hint="eastAsia"/>
                <w:sz w:val="21"/>
                <w:szCs w:val="20"/>
              </w:rPr>
              <w:t>DA</w:t>
            </w:r>
            <w:r>
              <w:rPr>
                <w:sz w:val="21"/>
                <w:szCs w:val="20"/>
              </w:rPr>
              <w:t>002</w:t>
            </w:r>
          </w:p>
        </w:tc>
        <w:tc>
          <w:tcPr>
            <w:tcW w:w="832" w:type="pct"/>
            <w:shd w:val="clear" w:color="auto" w:fill="auto"/>
            <w:vAlign w:val="center"/>
          </w:tcPr>
          <w:p w14:paraId="17FAFCD0">
            <w:pPr>
              <w:adjustRightInd w:val="0"/>
              <w:snapToGrid w:val="0"/>
              <w:spacing w:line="240" w:lineRule="auto"/>
              <w:ind w:firstLine="0" w:firstLineChars="0"/>
              <w:jc w:val="center"/>
              <w:rPr>
                <w:bCs/>
                <w:sz w:val="21"/>
                <w:lang w:val="zh-CN"/>
              </w:rPr>
            </w:pPr>
            <w:r>
              <w:rPr>
                <w:bCs/>
                <w:sz w:val="21"/>
                <w:lang w:val="zh-CN"/>
              </w:rPr>
              <w:t>SO</w:t>
            </w:r>
            <w:r>
              <w:rPr>
                <w:bCs/>
                <w:sz w:val="21"/>
                <w:vertAlign w:val="subscript"/>
                <w:lang w:val="zh-CN"/>
              </w:rPr>
              <w:t>2</w:t>
            </w:r>
          </w:p>
        </w:tc>
        <w:tc>
          <w:tcPr>
            <w:tcW w:w="832" w:type="pct"/>
            <w:shd w:val="clear" w:color="auto" w:fill="auto"/>
            <w:vAlign w:val="center"/>
          </w:tcPr>
          <w:p w14:paraId="22A7D19F">
            <w:pPr>
              <w:adjustRightInd w:val="0"/>
              <w:snapToGrid w:val="0"/>
              <w:spacing w:line="240" w:lineRule="auto"/>
              <w:ind w:firstLine="0" w:firstLineChars="0"/>
              <w:jc w:val="center"/>
              <w:rPr>
                <w:bCs/>
                <w:sz w:val="21"/>
                <w:lang w:val="zh-CN"/>
              </w:rPr>
            </w:pPr>
            <w:r>
              <w:rPr>
                <w:bCs/>
                <w:sz w:val="21"/>
                <w:lang w:val="zh-CN"/>
              </w:rPr>
              <w:t>0.742</w:t>
            </w:r>
          </w:p>
        </w:tc>
        <w:tc>
          <w:tcPr>
            <w:tcW w:w="836" w:type="pct"/>
            <w:shd w:val="clear" w:color="auto" w:fill="auto"/>
            <w:vAlign w:val="center"/>
          </w:tcPr>
          <w:p w14:paraId="3B5EAB49">
            <w:pPr>
              <w:adjustRightInd w:val="0"/>
              <w:snapToGrid w:val="0"/>
              <w:spacing w:line="240" w:lineRule="auto"/>
              <w:ind w:firstLine="0" w:firstLineChars="0"/>
              <w:jc w:val="center"/>
              <w:rPr>
                <w:sz w:val="21"/>
                <w:szCs w:val="20"/>
              </w:rPr>
            </w:pPr>
            <w:r>
              <w:rPr>
                <w:rFonts w:hint="eastAsia"/>
                <w:sz w:val="21"/>
                <w:szCs w:val="20"/>
              </w:rPr>
              <w:t>0</w:t>
            </w:r>
            <w:r>
              <w:rPr>
                <w:sz w:val="21"/>
                <w:szCs w:val="20"/>
              </w:rPr>
              <w:t>.0025</w:t>
            </w:r>
          </w:p>
        </w:tc>
        <w:tc>
          <w:tcPr>
            <w:tcW w:w="833" w:type="pct"/>
            <w:shd w:val="clear" w:color="auto" w:fill="auto"/>
            <w:vAlign w:val="center"/>
          </w:tcPr>
          <w:p w14:paraId="22ECA236">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.018</w:t>
            </w:r>
          </w:p>
        </w:tc>
      </w:tr>
      <w:tr w14:paraId="18DA4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shd w:val="clear" w:color="auto" w:fill="auto"/>
            <w:vAlign w:val="center"/>
          </w:tcPr>
          <w:p w14:paraId="4132CC03">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5FD6C6F1">
            <w:pPr>
              <w:adjustRightInd w:val="0"/>
              <w:snapToGrid w:val="0"/>
              <w:spacing w:line="240" w:lineRule="auto"/>
              <w:ind w:firstLine="0" w:firstLineChars="0"/>
              <w:jc w:val="center"/>
              <w:rPr>
                <w:sz w:val="21"/>
                <w:szCs w:val="20"/>
              </w:rPr>
            </w:pPr>
          </w:p>
        </w:tc>
        <w:tc>
          <w:tcPr>
            <w:tcW w:w="832" w:type="pct"/>
            <w:shd w:val="clear" w:color="auto" w:fill="auto"/>
            <w:vAlign w:val="center"/>
          </w:tcPr>
          <w:p w14:paraId="20C83D51">
            <w:pPr>
              <w:adjustRightInd w:val="0"/>
              <w:snapToGrid w:val="0"/>
              <w:spacing w:line="240" w:lineRule="auto"/>
              <w:ind w:firstLine="0" w:firstLineChars="0"/>
              <w:jc w:val="center"/>
              <w:rPr>
                <w:bCs/>
                <w:sz w:val="21"/>
                <w:lang w:val="zh-CN"/>
              </w:rPr>
            </w:pPr>
            <w:r>
              <w:rPr>
                <w:bCs/>
                <w:sz w:val="21"/>
                <w:lang w:val="zh-CN"/>
              </w:rPr>
              <w:t>NO</w:t>
            </w:r>
            <w:r>
              <w:rPr>
                <w:bCs/>
                <w:sz w:val="21"/>
                <w:vertAlign w:val="subscript"/>
                <w:lang w:val="zh-CN"/>
              </w:rPr>
              <w:t>x</w:t>
            </w:r>
          </w:p>
        </w:tc>
        <w:tc>
          <w:tcPr>
            <w:tcW w:w="832" w:type="pct"/>
            <w:shd w:val="clear" w:color="auto" w:fill="auto"/>
            <w:vAlign w:val="center"/>
          </w:tcPr>
          <w:p w14:paraId="09D40D8D">
            <w:pPr>
              <w:adjustRightInd w:val="0"/>
              <w:snapToGrid w:val="0"/>
              <w:spacing w:line="240" w:lineRule="auto"/>
              <w:ind w:firstLine="0" w:firstLineChars="0"/>
              <w:jc w:val="center"/>
              <w:rPr>
                <w:bCs/>
                <w:sz w:val="21"/>
                <w:lang w:val="zh-CN"/>
              </w:rPr>
            </w:pPr>
            <w:r>
              <w:rPr>
                <w:rFonts w:hint="eastAsia"/>
                <w:bCs/>
                <w:sz w:val="21"/>
                <w:lang w:val="zh-CN"/>
              </w:rPr>
              <w:t>5</w:t>
            </w:r>
            <w:r>
              <w:rPr>
                <w:bCs/>
                <w:sz w:val="21"/>
                <w:lang w:val="zh-CN"/>
              </w:rPr>
              <w:t>.643</w:t>
            </w:r>
          </w:p>
        </w:tc>
        <w:tc>
          <w:tcPr>
            <w:tcW w:w="836" w:type="pct"/>
            <w:shd w:val="clear" w:color="auto" w:fill="auto"/>
            <w:vAlign w:val="center"/>
          </w:tcPr>
          <w:p w14:paraId="597FCE4F">
            <w:pPr>
              <w:adjustRightInd w:val="0"/>
              <w:snapToGrid w:val="0"/>
              <w:spacing w:line="240" w:lineRule="auto"/>
              <w:ind w:firstLine="0" w:firstLineChars="0"/>
              <w:jc w:val="center"/>
              <w:rPr>
                <w:sz w:val="21"/>
                <w:szCs w:val="20"/>
              </w:rPr>
            </w:pPr>
            <w:r>
              <w:rPr>
                <w:rFonts w:hint="eastAsia"/>
                <w:sz w:val="21"/>
                <w:szCs w:val="20"/>
              </w:rPr>
              <w:t>0</w:t>
            </w:r>
            <w:r>
              <w:rPr>
                <w:sz w:val="21"/>
                <w:szCs w:val="20"/>
              </w:rPr>
              <w:t>.019</w:t>
            </w:r>
          </w:p>
        </w:tc>
        <w:tc>
          <w:tcPr>
            <w:tcW w:w="833" w:type="pct"/>
            <w:shd w:val="clear" w:color="auto" w:fill="auto"/>
            <w:vAlign w:val="center"/>
          </w:tcPr>
          <w:p w14:paraId="2C6BF839">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.136</w:t>
            </w:r>
          </w:p>
        </w:tc>
      </w:tr>
      <w:tr w14:paraId="7D170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shd w:val="clear" w:color="auto" w:fill="auto"/>
            <w:vAlign w:val="center"/>
          </w:tcPr>
          <w:p w14:paraId="4881B547">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5AB50CBE">
            <w:pPr>
              <w:adjustRightInd w:val="0"/>
              <w:snapToGrid w:val="0"/>
              <w:spacing w:line="240" w:lineRule="auto"/>
              <w:ind w:firstLine="0" w:firstLineChars="0"/>
              <w:jc w:val="center"/>
              <w:rPr>
                <w:sz w:val="21"/>
                <w:szCs w:val="20"/>
              </w:rPr>
            </w:pPr>
          </w:p>
        </w:tc>
        <w:tc>
          <w:tcPr>
            <w:tcW w:w="832" w:type="pct"/>
            <w:shd w:val="clear" w:color="auto" w:fill="auto"/>
            <w:vAlign w:val="center"/>
          </w:tcPr>
          <w:p w14:paraId="52077C9E">
            <w:pPr>
              <w:adjustRightInd w:val="0"/>
              <w:snapToGrid w:val="0"/>
              <w:spacing w:line="240" w:lineRule="auto"/>
              <w:ind w:firstLine="0" w:firstLineChars="0"/>
              <w:jc w:val="center"/>
              <w:rPr>
                <w:bCs/>
                <w:sz w:val="21"/>
                <w:lang w:val="zh-CN"/>
              </w:rPr>
            </w:pPr>
            <w:r>
              <w:rPr>
                <w:rFonts w:hint="eastAsia"/>
                <w:bCs/>
                <w:sz w:val="21"/>
                <w:lang w:val="zh-CN"/>
              </w:rPr>
              <w:t>颗粒物</w:t>
            </w:r>
          </w:p>
        </w:tc>
        <w:tc>
          <w:tcPr>
            <w:tcW w:w="832" w:type="pct"/>
            <w:shd w:val="clear" w:color="auto" w:fill="auto"/>
            <w:vAlign w:val="center"/>
          </w:tcPr>
          <w:p w14:paraId="39C8BDFF">
            <w:pPr>
              <w:adjustRightInd w:val="0"/>
              <w:snapToGrid w:val="0"/>
              <w:spacing w:line="240" w:lineRule="auto"/>
              <w:ind w:firstLine="0" w:firstLineChars="0"/>
              <w:jc w:val="center"/>
              <w:rPr>
                <w:bCs/>
                <w:sz w:val="21"/>
                <w:lang w:val="zh-CN"/>
              </w:rPr>
            </w:pPr>
            <w:r>
              <w:rPr>
                <w:rFonts w:hint="eastAsia"/>
                <w:bCs/>
                <w:sz w:val="21"/>
                <w:lang w:val="zh-CN"/>
              </w:rPr>
              <w:t>4</w:t>
            </w:r>
            <w:r>
              <w:rPr>
                <w:bCs/>
                <w:sz w:val="21"/>
                <w:lang w:val="zh-CN"/>
              </w:rPr>
              <w:t>.455</w:t>
            </w:r>
          </w:p>
        </w:tc>
        <w:tc>
          <w:tcPr>
            <w:tcW w:w="836" w:type="pct"/>
            <w:shd w:val="clear" w:color="auto" w:fill="auto"/>
            <w:vAlign w:val="center"/>
          </w:tcPr>
          <w:p w14:paraId="71E7195B">
            <w:pPr>
              <w:adjustRightInd w:val="0"/>
              <w:snapToGrid w:val="0"/>
              <w:spacing w:line="240" w:lineRule="auto"/>
              <w:ind w:firstLine="0" w:firstLineChars="0"/>
              <w:jc w:val="center"/>
              <w:rPr>
                <w:sz w:val="21"/>
                <w:szCs w:val="20"/>
              </w:rPr>
            </w:pPr>
            <w:r>
              <w:rPr>
                <w:rFonts w:hint="eastAsia"/>
                <w:sz w:val="21"/>
                <w:szCs w:val="20"/>
              </w:rPr>
              <w:t>0</w:t>
            </w:r>
            <w:r>
              <w:rPr>
                <w:sz w:val="21"/>
                <w:szCs w:val="20"/>
              </w:rPr>
              <w:t>.015</w:t>
            </w:r>
          </w:p>
        </w:tc>
        <w:tc>
          <w:tcPr>
            <w:tcW w:w="833" w:type="pct"/>
            <w:shd w:val="clear" w:color="auto" w:fill="auto"/>
            <w:vAlign w:val="center"/>
          </w:tcPr>
          <w:p w14:paraId="4E229F8B">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.015</w:t>
            </w:r>
          </w:p>
        </w:tc>
      </w:tr>
      <w:tr w14:paraId="07FF6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restart"/>
            <w:shd w:val="clear" w:color="auto" w:fill="auto"/>
            <w:vAlign w:val="center"/>
          </w:tcPr>
          <w:p w14:paraId="595C9F09">
            <w:pPr>
              <w:adjustRightInd w:val="0"/>
              <w:snapToGrid w:val="0"/>
              <w:spacing w:line="240" w:lineRule="auto"/>
              <w:ind w:firstLine="0" w:firstLineChars="0"/>
              <w:jc w:val="center"/>
              <w:rPr>
                <w:rFonts w:hint="eastAsia" w:eastAsia="宋体"/>
                <w:sz w:val="21"/>
                <w:szCs w:val="20"/>
                <w:lang w:val="en-US" w:eastAsia="zh-CN"/>
              </w:rPr>
            </w:pPr>
            <w:r>
              <w:rPr>
                <w:rFonts w:hint="eastAsia"/>
                <w:sz w:val="21"/>
                <w:szCs w:val="20"/>
                <w:lang w:val="en-US" w:eastAsia="zh-CN"/>
              </w:rPr>
              <w:t>3</w:t>
            </w:r>
          </w:p>
        </w:tc>
        <w:tc>
          <w:tcPr>
            <w:tcW w:w="833" w:type="pct"/>
            <w:vMerge w:val="restart"/>
            <w:shd w:val="clear" w:color="auto" w:fill="auto"/>
            <w:vAlign w:val="center"/>
          </w:tcPr>
          <w:p w14:paraId="55083270">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DA003</w:t>
            </w:r>
          </w:p>
        </w:tc>
        <w:tc>
          <w:tcPr>
            <w:tcW w:w="832" w:type="pct"/>
            <w:shd w:val="clear" w:color="auto" w:fill="auto"/>
            <w:vAlign w:val="center"/>
          </w:tcPr>
          <w:p w14:paraId="6B965B8F">
            <w:pPr>
              <w:adjustRightInd w:val="0"/>
              <w:snapToGrid w:val="0"/>
              <w:spacing w:line="240" w:lineRule="auto"/>
              <w:ind w:firstLine="0" w:firstLineChars="0"/>
              <w:jc w:val="center"/>
              <w:rPr>
                <w:rFonts w:hint="eastAsia"/>
                <w:bCs/>
                <w:sz w:val="21"/>
                <w:lang w:val="zh-CN"/>
              </w:rPr>
            </w:pPr>
            <w:r>
              <w:rPr>
                <w:rFonts w:hint="eastAsia"/>
                <w:sz w:val="21"/>
                <w:szCs w:val="20"/>
              </w:rPr>
              <w:t>非甲烷总烃</w:t>
            </w:r>
          </w:p>
        </w:tc>
        <w:tc>
          <w:tcPr>
            <w:tcW w:w="832" w:type="pct"/>
            <w:shd w:val="clear" w:color="auto" w:fill="auto"/>
            <w:vAlign w:val="center"/>
          </w:tcPr>
          <w:p w14:paraId="0D3B32C1">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10.2</w:t>
            </w:r>
          </w:p>
        </w:tc>
        <w:tc>
          <w:tcPr>
            <w:tcW w:w="836" w:type="pct"/>
            <w:shd w:val="clear" w:color="auto" w:fill="auto"/>
            <w:vAlign w:val="center"/>
          </w:tcPr>
          <w:p w14:paraId="6E0A0706">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0.714</w:t>
            </w:r>
          </w:p>
        </w:tc>
        <w:tc>
          <w:tcPr>
            <w:tcW w:w="833" w:type="pct"/>
            <w:shd w:val="clear" w:color="auto" w:fill="auto"/>
            <w:vAlign w:val="center"/>
          </w:tcPr>
          <w:p w14:paraId="40736F2A">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5.141</w:t>
            </w:r>
          </w:p>
        </w:tc>
      </w:tr>
      <w:tr w14:paraId="0D253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shd w:val="clear" w:color="auto" w:fill="auto"/>
            <w:vAlign w:val="center"/>
          </w:tcPr>
          <w:p w14:paraId="152FF5F3">
            <w:pPr>
              <w:adjustRightInd w:val="0"/>
              <w:snapToGrid w:val="0"/>
              <w:spacing w:line="240" w:lineRule="auto"/>
              <w:ind w:firstLine="0" w:firstLineChars="0"/>
              <w:jc w:val="center"/>
              <w:rPr>
                <w:sz w:val="21"/>
                <w:szCs w:val="20"/>
              </w:rPr>
            </w:pPr>
          </w:p>
        </w:tc>
        <w:tc>
          <w:tcPr>
            <w:tcW w:w="833" w:type="pct"/>
            <w:vMerge w:val="continue"/>
            <w:shd w:val="clear" w:color="auto" w:fill="auto"/>
            <w:vAlign w:val="center"/>
          </w:tcPr>
          <w:p w14:paraId="213FEBF8">
            <w:pPr>
              <w:adjustRightInd w:val="0"/>
              <w:snapToGrid w:val="0"/>
              <w:spacing w:line="240" w:lineRule="auto"/>
              <w:ind w:firstLine="0" w:firstLineChars="0"/>
              <w:jc w:val="center"/>
              <w:rPr>
                <w:sz w:val="21"/>
                <w:szCs w:val="20"/>
              </w:rPr>
            </w:pPr>
          </w:p>
        </w:tc>
        <w:tc>
          <w:tcPr>
            <w:tcW w:w="832" w:type="pct"/>
            <w:shd w:val="clear" w:color="auto" w:fill="auto"/>
            <w:vAlign w:val="center"/>
          </w:tcPr>
          <w:p w14:paraId="4C810B2F">
            <w:pPr>
              <w:adjustRightInd w:val="0"/>
              <w:snapToGrid w:val="0"/>
              <w:spacing w:line="240" w:lineRule="auto"/>
              <w:ind w:firstLine="0" w:firstLineChars="0"/>
              <w:jc w:val="center"/>
              <w:rPr>
                <w:rFonts w:hint="eastAsia" w:eastAsia="宋体"/>
                <w:bCs/>
                <w:sz w:val="21"/>
                <w:lang w:val="en-US" w:eastAsia="zh-CN"/>
              </w:rPr>
            </w:pPr>
            <w:r>
              <w:rPr>
                <w:rFonts w:hint="eastAsia"/>
                <w:bCs/>
                <w:sz w:val="21"/>
                <w:lang w:val="en-US" w:eastAsia="zh-CN"/>
              </w:rPr>
              <w:t>硫酸雾</w:t>
            </w:r>
          </w:p>
        </w:tc>
        <w:tc>
          <w:tcPr>
            <w:tcW w:w="832" w:type="pct"/>
            <w:shd w:val="clear" w:color="auto" w:fill="auto"/>
            <w:vAlign w:val="center"/>
          </w:tcPr>
          <w:p w14:paraId="1AE6954D">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0.18</w:t>
            </w:r>
          </w:p>
        </w:tc>
        <w:tc>
          <w:tcPr>
            <w:tcW w:w="836" w:type="pct"/>
            <w:shd w:val="clear" w:color="auto" w:fill="auto"/>
            <w:vAlign w:val="center"/>
          </w:tcPr>
          <w:p w14:paraId="298AC704">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0.013</w:t>
            </w:r>
          </w:p>
        </w:tc>
        <w:tc>
          <w:tcPr>
            <w:tcW w:w="833" w:type="pct"/>
            <w:shd w:val="clear" w:color="auto" w:fill="auto"/>
            <w:vAlign w:val="center"/>
          </w:tcPr>
          <w:p w14:paraId="3AA3CD2F">
            <w:pPr>
              <w:adjustRightInd w:val="0"/>
              <w:snapToGrid w:val="0"/>
              <w:spacing w:line="240" w:lineRule="auto"/>
              <w:ind w:firstLine="0" w:firstLineChars="0"/>
              <w:jc w:val="center"/>
              <w:rPr>
                <w:rFonts w:hint="default"/>
                <w:bCs/>
                <w:sz w:val="21"/>
                <w:lang w:val="en-US" w:eastAsia="zh-CN"/>
              </w:rPr>
            </w:pPr>
            <w:r>
              <w:rPr>
                <w:rFonts w:hint="eastAsia"/>
                <w:bCs/>
                <w:sz w:val="21"/>
                <w:lang w:val="en-US" w:eastAsia="zh-CN"/>
              </w:rPr>
              <w:t>0.093</w:t>
            </w:r>
          </w:p>
        </w:tc>
      </w:tr>
      <w:tr w14:paraId="37A01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restart"/>
            <w:shd w:val="clear" w:color="auto" w:fill="auto"/>
            <w:vAlign w:val="center"/>
          </w:tcPr>
          <w:p w14:paraId="79BB5488">
            <w:pPr>
              <w:adjustRightInd w:val="0"/>
              <w:snapToGrid w:val="0"/>
              <w:spacing w:line="240" w:lineRule="auto"/>
              <w:ind w:firstLine="0" w:firstLineChars="0"/>
              <w:jc w:val="center"/>
              <w:rPr>
                <w:sz w:val="21"/>
                <w:szCs w:val="20"/>
              </w:rPr>
            </w:pPr>
            <w:r>
              <w:rPr>
                <w:rFonts w:hint="eastAsia"/>
                <w:sz w:val="21"/>
                <w:szCs w:val="20"/>
              </w:rPr>
              <w:t>一般排放口合计</w:t>
            </w:r>
          </w:p>
        </w:tc>
        <w:tc>
          <w:tcPr>
            <w:tcW w:w="2500" w:type="pct"/>
            <w:gridSpan w:val="3"/>
            <w:shd w:val="clear" w:color="auto" w:fill="auto"/>
            <w:vAlign w:val="center"/>
          </w:tcPr>
          <w:p w14:paraId="39703F11">
            <w:pPr>
              <w:adjustRightInd w:val="0"/>
              <w:snapToGrid w:val="0"/>
              <w:spacing w:line="240" w:lineRule="auto"/>
              <w:ind w:firstLine="0" w:firstLineChars="0"/>
              <w:jc w:val="center"/>
              <w:rPr>
                <w:sz w:val="21"/>
                <w:szCs w:val="20"/>
                <w:vertAlign w:val="subscript"/>
              </w:rPr>
            </w:pPr>
            <w:r>
              <w:rPr>
                <w:rFonts w:hint="eastAsia"/>
                <w:sz w:val="21"/>
                <w:szCs w:val="20"/>
              </w:rPr>
              <w:t>非甲烷总烃</w:t>
            </w:r>
          </w:p>
        </w:tc>
        <w:tc>
          <w:tcPr>
            <w:tcW w:w="833" w:type="pct"/>
            <w:shd w:val="clear" w:color="auto" w:fill="auto"/>
            <w:vAlign w:val="center"/>
          </w:tcPr>
          <w:p w14:paraId="20ABED30">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6.361</w:t>
            </w:r>
          </w:p>
        </w:tc>
      </w:tr>
      <w:tr w14:paraId="5AE25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20F8F6AF">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68B0C4F9">
            <w:pPr>
              <w:adjustRightInd w:val="0"/>
              <w:snapToGrid w:val="0"/>
              <w:spacing w:line="240" w:lineRule="auto"/>
              <w:ind w:firstLine="0" w:firstLineChars="0"/>
              <w:jc w:val="center"/>
              <w:rPr>
                <w:bCs/>
                <w:sz w:val="21"/>
                <w:lang w:val="zh-CN"/>
              </w:rPr>
            </w:pPr>
            <w:r>
              <w:rPr>
                <w:bCs/>
                <w:sz w:val="21"/>
                <w:lang w:val="zh-CN"/>
              </w:rPr>
              <w:t>SO</w:t>
            </w:r>
            <w:r>
              <w:rPr>
                <w:bCs/>
                <w:sz w:val="21"/>
                <w:vertAlign w:val="subscript"/>
                <w:lang w:val="zh-CN"/>
              </w:rPr>
              <w:t>2</w:t>
            </w:r>
          </w:p>
        </w:tc>
        <w:tc>
          <w:tcPr>
            <w:tcW w:w="833" w:type="pct"/>
            <w:shd w:val="clear" w:color="auto" w:fill="auto"/>
            <w:vAlign w:val="center"/>
          </w:tcPr>
          <w:p w14:paraId="7D29DA49">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.018</w:t>
            </w:r>
          </w:p>
        </w:tc>
      </w:tr>
      <w:tr w14:paraId="00AFB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321A840B">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626FA55B">
            <w:pPr>
              <w:adjustRightInd w:val="0"/>
              <w:snapToGrid w:val="0"/>
              <w:spacing w:line="240" w:lineRule="auto"/>
              <w:ind w:firstLine="0" w:firstLineChars="0"/>
              <w:jc w:val="center"/>
              <w:rPr>
                <w:bCs/>
                <w:sz w:val="21"/>
                <w:lang w:val="zh-CN"/>
              </w:rPr>
            </w:pPr>
            <w:r>
              <w:rPr>
                <w:bCs/>
                <w:sz w:val="21"/>
                <w:lang w:val="zh-CN"/>
              </w:rPr>
              <w:t>NO</w:t>
            </w:r>
            <w:r>
              <w:rPr>
                <w:bCs/>
                <w:sz w:val="21"/>
                <w:vertAlign w:val="subscript"/>
                <w:lang w:val="zh-CN"/>
              </w:rPr>
              <w:t>x</w:t>
            </w:r>
          </w:p>
        </w:tc>
        <w:tc>
          <w:tcPr>
            <w:tcW w:w="833" w:type="pct"/>
            <w:shd w:val="clear" w:color="auto" w:fill="auto"/>
            <w:vAlign w:val="center"/>
          </w:tcPr>
          <w:p w14:paraId="736AB233">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.136</w:t>
            </w:r>
          </w:p>
        </w:tc>
      </w:tr>
      <w:tr w14:paraId="1BF96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71925B9C">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0E291934">
            <w:pPr>
              <w:adjustRightInd w:val="0"/>
              <w:snapToGrid w:val="0"/>
              <w:spacing w:line="240" w:lineRule="auto"/>
              <w:ind w:firstLine="0" w:firstLineChars="0"/>
              <w:jc w:val="center"/>
              <w:rPr>
                <w:bCs/>
                <w:sz w:val="21"/>
                <w:lang w:val="zh-CN"/>
              </w:rPr>
            </w:pPr>
            <w:r>
              <w:rPr>
                <w:rFonts w:hint="eastAsia"/>
                <w:bCs/>
                <w:sz w:val="21"/>
                <w:lang w:val="zh-CN"/>
              </w:rPr>
              <w:t>颗粒物</w:t>
            </w:r>
          </w:p>
        </w:tc>
        <w:tc>
          <w:tcPr>
            <w:tcW w:w="833" w:type="pct"/>
            <w:shd w:val="clear" w:color="auto" w:fill="auto"/>
            <w:vAlign w:val="center"/>
          </w:tcPr>
          <w:p w14:paraId="3E6E104B">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.015</w:t>
            </w:r>
          </w:p>
        </w:tc>
      </w:tr>
      <w:tr w14:paraId="1E65C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6" w:type="pct"/>
            <w:gridSpan w:val="2"/>
            <w:vMerge w:val="continue"/>
            <w:shd w:val="clear" w:color="auto" w:fill="auto"/>
            <w:vAlign w:val="center"/>
          </w:tcPr>
          <w:p w14:paraId="2736B333">
            <w:pPr>
              <w:adjustRightInd w:val="0"/>
              <w:snapToGrid w:val="0"/>
              <w:spacing w:line="240" w:lineRule="auto"/>
              <w:ind w:firstLine="0" w:firstLineChars="0"/>
              <w:jc w:val="center"/>
              <w:rPr>
                <w:sz w:val="21"/>
                <w:szCs w:val="20"/>
              </w:rPr>
            </w:pPr>
          </w:p>
        </w:tc>
        <w:tc>
          <w:tcPr>
            <w:tcW w:w="2500" w:type="pct"/>
            <w:gridSpan w:val="3"/>
            <w:shd w:val="clear" w:color="auto" w:fill="auto"/>
            <w:vAlign w:val="center"/>
          </w:tcPr>
          <w:p w14:paraId="33BF4124">
            <w:pPr>
              <w:adjustRightInd w:val="0"/>
              <w:snapToGrid w:val="0"/>
              <w:spacing w:line="240" w:lineRule="auto"/>
              <w:ind w:firstLine="0" w:firstLineChars="0"/>
              <w:jc w:val="center"/>
              <w:rPr>
                <w:rFonts w:hint="eastAsia" w:eastAsia="宋体"/>
                <w:bCs/>
                <w:sz w:val="21"/>
                <w:lang w:val="en-US" w:eastAsia="zh-CN"/>
              </w:rPr>
            </w:pPr>
            <w:r>
              <w:rPr>
                <w:rFonts w:hint="eastAsia"/>
                <w:bCs/>
                <w:sz w:val="21"/>
                <w:lang w:val="en-US" w:eastAsia="zh-CN"/>
              </w:rPr>
              <w:t>硫酸雾</w:t>
            </w:r>
          </w:p>
        </w:tc>
        <w:tc>
          <w:tcPr>
            <w:tcW w:w="833" w:type="pct"/>
            <w:shd w:val="clear" w:color="auto" w:fill="auto"/>
            <w:vAlign w:val="center"/>
          </w:tcPr>
          <w:p w14:paraId="22A2995A">
            <w:pPr>
              <w:adjustRightInd w:val="0"/>
              <w:snapToGrid w:val="0"/>
              <w:spacing w:line="240" w:lineRule="auto"/>
              <w:ind w:firstLine="0" w:firstLineChars="0"/>
              <w:jc w:val="center"/>
              <w:rPr>
                <w:rFonts w:hint="default" w:eastAsia="宋体"/>
                <w:bCs/>
                <w:sz w:val="21"/>
                <w:lang w:val="en-US" w:eastAsia="zh-CN"/>
              </w:rPr>
            </w:pPr>
            <w:r>
              <w:rPr>
                <w:rFonts w:hint="eastAsia"/>
                <w:bCs/>
                <w:sz w:val="21"/>
                <w:lang w:val="en-US" w:eastAsia="zh-CN"/>
              </w:rPr>
              <w:t>0.093</w:t>
            </w:r>
          </w:p>
        </w:tc>
      </w:tr>
    </w:tbl>
    <w:p w14:paraId="018C5D48">
      <w:pPr>
        <w:ind w:firstLine="400"/>
        <w:rPr>
          <w:rFonts w:hint="eastAsia" w:ascii="黑体" w:hAnsi="黑体" w:eastAsia="黑体"/>
          <w:sz w:val="20"/>
          <w:szCs w:val="21"/>
        </w:rPr>
      </w:pPr>
      <w:r>
        <w:rPr>
          <w:rFonts w:hint="eastAsia" w:ascii="黑体" w:hAnsi="黑体" w:eastAsia="黑体"/>
          <w:sz w:val="20"/>
          <w:szCs w:val="21"/>
        </w:rPr>
        <w:t>注：本项目排气筒属于一般排放口。</w:t>
      </w:r>
    </w:p>
    <w:p w14:paraId="45E599FC">
      <w:pPr>
        <w:adjustRightInd w:val="0"/>
        <w:snapToGrid w:val="0"/>
        <w:spacing w:before="65" w:beforeLines="20" w:after="60" w:line="240" w:lineRule="auto"/>
        <w:ind w:firstLine="0" w:firstLineChars="0"/>
        <w:jc w:val="center"/>
        <w:rPr>
          <w:rFonts w:eastAsia="黑体"/>
        </w:rPr>
      </w:pPr>
      <w:r>
        <w:rPr>
          <w:rFonts w:hint="eastAsia" w:eastAsia="黑体"/>
        </w:rPr>
        <w:t>表</w:t>
      </w:r>
      <w:r>
        <w:rPr>
          <w:rFonts w:eastAsia="黑体"/>
        </w:rPr>
        <w:t xml:space="preserve">5.1-24   </w:t>
      </w:r>
      <w:r>
        <w:rPr>
          <w:rFonts w:hint="eastAsia" w:eastAsia="黑体"/>
        </w:rPr>
        <w:t>大气污染物无组织排放量核算表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1"/>
        <w:gridCol w:w="1028"/>
        <w:gridCol w:w="1028"/>
        <w:gridCol w:w="1028"/>
        <w:gridCol w:w="1028"/>
        <w:gridCol w:w="1737"/>
        <w:gridCol w:w="1475"/>
        <w:gridCol w:w="825"/>
      </w:tblGrid>
      <w:tr w14:paraId="0170A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341" w:type="pct"/>
            <w:vMerge w:val="restart"/>
            <w:shd w:val="clear" w:color="auto" w:fill="auto"/>
            <w:vAlign w:val="center"/>
          </w:tcPr>
          <w:p w14:paraId="2CFD7EEF">
            <w:pPr>
              <w:adjustRightInd w:val="0"/>
              <w:snapToGrid w:val="0"/>
              <w:spacing w:line="240" w:lineRule="auto"/>
              <w:ind w:firstLine="0" w:firstLineChars="0"/>
              <w:jc w:val="center"/>
              <w:rPr>
                <w:sz w:val="21"/>
                <w:szCs w:val="20"/>
              </w:rPr>
            </w:pPr>
            <w:r>
              <w:rPr>
                <w:rFonts w:hint="eastAsia"/>
                <w:sz w:val="21"/>
                <w:szCs w:val="20"/>
              </w:rPr>
              <w:t>序号</w:t>
            </w:r>
          </w:p>
        </w:tc>
        <w:tc>
          <w:tcPr>
            <w:tcW w:w="597" w:type="pct"/>
            <w:vMerge w:val="restart"/>
            <w:shd w:val="clear" w:color="auto" w:fill="auto"/>
            <w:vAlign w:val="center"/>
          </w:tcPr>
          <w:p w14:paraId="0A084070">
            <w:pPr>
              <w:adjustRightInd w:val="0"/>
              <w:snapToGrid w:val="0"/>
              <w:spacing w:line="240" w:lineRule="auto"/>
              <w:ind w:firstLine="0" w:firstLineChars="0"/>
              <w:jc w:val="center"/>
              <w:rPr>
                <w:sz w:val="21"/>
                <w:szCs w:val="20"/>
              </w:rPr>
            </w:pPr>
            <w:r>
              <w:rPr>
                <w:rFonts w:hint="eastAsia"/>
                <w:sz w:val="21"/>
                <w:szCs w:val="20"/>
              </w:rPr>
              <w:t>排放口编号</w:t>
            </w:r>
          </w:p>
        </w:tc>
        <w:tc>
          <w:tcPr>
            <w:tcW w:w="597" w:type="pct"/>
            <w:vMerge w:val="restart"/>
            <w:shd w:val="clear" w:color="auto" w:fill="auto"/>
            <w:vAlign w:val="center"/>
          </w:tcPr>
          <w:p w14:paraId="3AA1DC39">
            <w:pPr>
              <w:adjustRightInd w:val="0"/>
              <w:snapToGrid w:val="0"/>
              <w:spacing w:line="240" w:lineRule="auto"/>
              <w:ind w:firstLine="0" w:firstLineChars="0"/>
              <w:jc w:val="center"/>
              <w:rPr>
                <w:sz w:val="21"/>
                <w:szCs w:val="20"/>
              </w:rPr>
            </w:pPr>
            <w:r>
              <w:rPr>
                <w:rFonts w:hint="eastAsia"/>
                <w:sz w:val="21"/>
                <w:szCs w:val="20"/>
              </w:rPr>
              <w:t>产污环节</w:t>
            </w:r>
          </w:p>
        </w:tc>
        <w:tc>
          <w:tcPr>
            <w:tcW w:w="597" w:type="pct"/>
            <w:vMerge w:val="restart"/>
            <w:shd w:val="clear" w:color="auto" w:fill="auto"/>
            <w:vAlign w:val="center"/>
          </w:tcPr>
          <w:p w14:paraId="4A83CF1D">
            <w:pPr>
              <w:adjustRightInd w:val="0"/>
              <w:snapToGrid w:val="0"/>
              <w:spacing w:line="240" w:lineRule="auto"/>
              <w:ind w:firstLine="0" w:firstLineChars="0"/>
              <w:jc w:val="center"/>
              <w:rPr>
                <w:sz w:val="21"/>
                <w:szCs w:val="20"/>
              </w:rPr>
            </w:pPr>
            <w:r>
              <w:rPr>
                <w:rFonts w:hint="eastAsia"/>
                <w:sz w:val="21"/>
                <w:szCs w:val="20"/>
              </w:rPr>
              <w:t>污染物</w:t>
            </w:r>
          </w:p>
        </w:tc>
        <w:tc>
          <w:tcPr>
            <w:tcW w:w="597" w:type="pct"/>
            <w:vMerge w:val="restart"/>
            <w:shd w:val="clear" w:color="auto" w:fill="auto"/>
            <w:vAlign w:val="center"/>
          </w:tcPr>
          <w:p w14:paraId="42AABC8D">
            <w:pPr>
              <w:adjustRightInd w:val="0"/>
              <w:snapToGrid w:val="0"/>
              <w:spacing w:line="240" w:lineRule="auto"/>
              <w:ind w:firstLine="0" w:firstLineChars="0"/>
              <w:jc w:val="center"/>
              <w:rPr>
                <w:sz w:val="21"/>
                <w:szCs w:val="20"/>
              </w:rPr>
            </w:pPr>
            <w:r>
              <w:rPr>
                <w:rFonts w:hint="eastAsia"/>
                <w:sz w:val="21"/>
                <w:szCs w:val="20"/>
              </w:rPr>
              <w:t>主要污染防治措施</w:t>
            </w:r>
          </w:p>
        </w:tc>
        <w:tc>
          <w:tcPr>
            <w:tcW w:w="1791" w:type="pct"/>
            <w:gridSpan w:val="2"/>
            <w:shd w:val="clear" w:color="auto" w:fill="auto"/>
            <w:vAlign w:val="center"/>
          </w:tcPr>
          <w:p w14:paraId="664520F7">
            <w:pPr>
              <w:adjustRightInd w:val="0"/>
              <w:snapToGrid w:val="0"/>
              <w:spacing w:line="240" w:lineRule="auto"/>
              <w:ind w:firstLine="0" w:firstLineChars="0"/>
              <w:jc w:val="center"/>
              <w:rPr>
                <w:sz w:val="21"/>
                <w:szCs w:val="20"/>
              </w:rPr>
            </w:pPr>
            <w:r>
              <w:rPr>
                <w:rFonts w:hint="eastAsia"/>
                <w:sz w:val="21"/>
                <w:szCs w:val="20"/>
              </w:rPr>
              <w:t>国家或地方污染物排放标注</w:t>
            </w:r>
          </w:p>
        </w:tc>
        <w:tc>
          <w:tcPr>
            <w:tcW w:w="480" w:type="pct"/>
            <w:vMerge w:val="restart"/>
            <w:shd w:val="clear" w:color="auto" w:fill="auto"/>
            <w:vAlign w:val="center"/>
          </w:tcPr>
          <w:p w14:paraId="4DC1ADE3">
            <w:pPr>
              <w:adjustRightInd w:val="0"/>
              <w:snapToGrid w:val="0"/>
              <w:spacing w:line="240" w:lineRule="auto"/>
              <w:ind w:firstLine="0" w:firstLineChars="0"/>
              <w:jc w:val="center"/>
              <w:rPr>
                <w:sz w:val="21"/>
                <w:szCs w:val="20"/>
              </w:rPr>
            </w:pPr>
            <w:r>
              <w:rPr>
                <w:rFonts w:hint="eastAsia"/>
                <w:sz w:val="21"/>
                <w:szCs w:val="20"/>
              </w:rPr>
              <w:t>年排放量/（t</w:t>
            </w:r>
            <w:r>
              <w:rPr>
                <w:sz w:val="21"/>
                <w:szCs w:val="20"/>
              </w:rPr>
              <w:t>/a</w:t>
            </w:r>
            <w:r>
              <w:rPr>
                <w:rFonts w:hint="eastAsia"/>
                <w:sz w:val="21"/>
                <w:szCs w:val="20"/>
              </w:rPr>
              <w:t>）</w:t>
            </w:r>
          </w:p>
        </w:tc>
      </w:tr>
      <w:tr w14:paraId="3754F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341" w:type="pct"/>
            <w:vMerge w:val="continue"/>
            <w:shd w:val="clear" w:color="auto" w:fill="auto"/>
            <w:vAlign w:val="center"/>
          </w:tcPr>
          <w:p w14:paraId="7C70912C">
            <w:pPr>
              <w:adjustRightInd w:val="0"/>
              <w:snapToGrid w:val="0"/>
              <w:spacing w:line="240" w:lineRule="auto"/>
              <w:ind w:firstLine="0" w:firstLineChars="0"/>
              <w:jc w:val="center"/>
              <w:rPr>
                <w:sz w:val="21"/>
                <w:szCs w:val="20"/>
              </w:rPr>
            </w:pPr>
          </w:p>
        </w:tc>
        <w:tc>
          <w:tcPr>
            <w:tcW w:w="597" w:type="pct"/>
            <w:vMerge w:val="continue"/>
            <w:shd w:val="clear" w:color="auto" w:fill="auto"/>
            <w:vAlign w:val="center"/>
          </w:tcPr>
          <w:p w14:paraId="72C3FE16">
            <w:pPr>
              <w:adjustRightInd w:val="0"/>
              <w:snapToGrid w:val="0"/>
              <w:spacing w:line="240" w:lineRule="auto"/>
              <w:ind w:firstLine="0" w:firstLineChars="0"/>
              <w:jc w:val="center"/>
              <w:rPr>
                <w:sz w:val="21"/>
                <w:szCs w:val="20"/>
              </w:rPr>
            </w:pPr>
          </w:p>
        </w:tc>
        <w:tc>
          <w:tcPr>
            <w:tcW w:w="597" w:type="pct"/>
            <w:vMerge w:val="continue"/>
            <w:shd w:val="clear" w:color="auto" w:fill="auto"/>
            <w:vAlign w:val="center"/>
          </w:tcPr>
          <w:p w14:paraId="144B22FD">
            <w:pPr>
              <w:adjustRightInd w:val="0"/>
              <w:snapToGrid w:val="0"/>
              <w:spacing w:line="240" w:lineRule="auto"/>
              <w:ind w:firstLine="0" w:firstLineChars="0"/>
              <w:jc w:val="center"/>
              <w:rPr>
                <w:sz w:val="21"/>
                <w:szCs w:val="20"/>
              </w:rPr>
            </w:pPr>
          </w:p>
        </w:tc>
        <w:tc>
          <w:tcPr>
            <w:tcW w:w="597" w:type="pct"/>
            <w:vMerge w:val="continue"/>
            <w:shd w:val="clear" w:color="auto" w:fill="auto"/>
            <w:vAlign w:val="center"/>
          </w:tcPr>
          <w:p w14:paraId="03FC8866">
            <w:pPr>
              <w:adjustRightInd w:val="0"/>
              <w:snapToGrid w:val="0"/>
              <w:spacing w:line="240" w:lineRule="auto"/>
              <w:ind w:firstLine="0" w:firstLineChars="0"/>
              <w:jc w:val="center"/>
              <w:rPr>
                <w:sz w:val="21"/>
                <w:szCs w:val="20"/>
              </w:rPr>
            </w:pPr>
          </w:p>
        </w:tc>
        <w:tc>
          <w:tcPr>
            <w:tcW w:w="597" w:type="pct"/>
            <w:vMerge w:val="continue"/>
            <w:shd w:val="clear" w:color="auto" w:fill="auto"/>
            <w:vAlign w:val="center"/>
          </w:tcPr>
          <w:p w14:paraId="29864BAF">
            <w:pPr>
              <w:adjustRightInd w:val="0"/>
              <w:snapToGrid w:val="0"/>
              <w:spacing w:line="240" w:lineRule="auto"/>
              <w:ind w:firstLine="0" w:firstLineChars="0"/>
              <w:jc w:val="center"/>
              <w:rPr>
                <w:sz w:val="21"/>
                <w:szCs w:val="20"/>
              </w:rPr>
            </w:pPr>
          </w:p>
        </w:tc>
        <w:tc>
          <w:tcPr>
            <w:tcW w:w="938" w:type="pct"/>
            <w:shd w:val="clear" w:color="auto" w:fill="auto"/>
            <w:vAlign w:val="center"/>
          </w:tcPr>
          <w:p w14:paraId="1C0F5927">
            <w:pPr>
              <w:adjustRightInd w:val="0"/>
              <w:snapToGrid w:val="0"/>
              <w:spacing w:line="240" w:lineRule="auto"/>
              <w:ind w:firstLine="0" w:firstLineChars="0"/>
              <w:jc w:val="center"/>
              <w:rPr>
                <w:sz w:val="21"/>
                <w:szCs w:val="20"/>
              </w:rPr>
            </w:pPr>
            <w:r>
              <w:rPr>
                <w:rFonts w:hint="eastAsia"/>
                <w:sz w:val="21"/>
                <w:szCs w:val="20"/>
              </w:rPr>
              <w:t>标准名称</w:t>
            </w:r>
          </w:p>
        </w:tc>
        <w:tc>
          <w:tcPr>
            <w:tcW w:w="853" w:type="pct"/>
            <w:shd w:val="clear" w:color="auto" w:fill="auto"/>
            <w:vAlign w:val="center"/>
          </w:tcPr>
          <w:p w14:paraId="6626CCA0">
            <w:pPr>
              <w:adjustRightInd w:val="0"/>
              <w:snapToGrid w:val="0"/>
              <w:spacing w:line="240" w:lineRule="auto"/>
              <w:ind w:firstLine="0" w:firstLineChars="0"/>
              <w:jc w:val="center"/>
              <w:rPr>
                <w:sz w:val="21"/>
                <w:szCs w:val="20"/>
              </w:rPr>
            </w:pPr>
            <w:r>
              <w:rPr>
                <w:rFonts w:hint="eastAsia"/>
                <w:sz w:val="21"/>
                <w:szCs w:val="20"/>
              </w:rPr>
              <w:t>浓度限值/（m</w:t>
            </w:r>
            <w:r>
              <w:rPr>
                <w:sz w:val="21"/>
                <w:szCs w:val="20"/>
              </w:rPr>
              <w:t>g/m</w:t>
            </w:r>
            <w:r>
              <w:rPr>
                <w:sz w:val="21"/>
                <w:szCs w:val="20"/>
                <w:vertAlign w:val="superscript"/>
              </w:rPr>
              <w:t>3</w:t>
            </w:r>
            <w:r>
              <w:rPr>
                <w:rFonts w:hint="eastAsia"/>
                <w:sz w:val="21"/>
                <w:szCs w:val="20"/>
              </w:rPr>
              <w:t>）</w:t>
            </w:r>
          </w:p>
        </w:tc>
        <w:tc>
          <w:tcPr>
            <w:tcW w:w="480" w:type="pct"/>
            <w:vMerge w:val="continue"/>
            <w:shd w:val="clear" w:color="auto" w:fill="auto"/>
            <w:vAlign w:val="center"/>
          </w:tcPr>
          <w:p w14:paraId="3EEDEEAE">
            <w:pPr>
              <w:adjustRightInd w:val="0"/>
              <w:snapToGrid w:val="0"/>
              <w:spacing w:line="240" w:lineRule="auto"/>
              <w:ind w:firstLine="0" w:firstLineChars="0"/>
              <w:jc w:val="center"/>
              <w:rPr>
                <w:sz w:val="21"/>
                <w:szCs w:val="20"/>
              </w:rPr>
            </w:pPr>
          </w:p>
        </w:tc>
      </w:tr>
      <w:tr w14:paraId="2DAC7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9" w:hRule="atLeast"/>
        </w:trPr>
        <w:tc>
          <w:tcPr>
            <w:tcW w:w="341" w:type="pct"/>
            <w:shd w:val="clear" w:color="auto" w:fill="auto"/>
            <w:vAlign w:val="center"/>
          </w:tcPr>
          <w:p w14:paraId="0BACFA66">
            <w:pPr>
              <w:adjustRightInd w:val="0"/>
              <w:snapToGrid w:val="0"/>
              <w:spacing w:line="240" w:lineRule="auto"/>
              <w:ind w:firstLine="0" w:firstLineChars="0"/>
              <w:jc w:val="center"/>
              <w:rPr>
                <w:sz w:val="21"/>
                <w:szCs w:val="20"/>
              </w:rPr>
            </w:pPr>
            <w:r>
              <w:rPr>
                <w:rFonts w:hint="eastAsia"/>
                <w:sz w:val="21"/>
                <w:szCs w:val="20"/>
              </w:rPr>
              <w:t>1</w:t>
            </w:r>
          </w:p>
        </w:tc>
        <w:tc>
          <w:tcPr>
            <w:tcW w:w="597" w:type="pct"/>
            <w:shd w:val="clear" w:color="auto" w:fill="auto"/>
            <w:vAlign w:val="center"/>
          </w:tcPr>
          <w:p w14:paraId="3FB93A01">
            <w:pPr>
              <w:adjustRightInd w:val="0"/>
              <w:snapToGrid w:val="0"/>
              <w:spacing w:line="240" w:lineRule="auto"/>
              <w:ind w:firstLine="0" w:firstLineChars="0"/>
              <w:jc w:val="center"/>
              <w:rPr>
                <w:sz w:val="21"/>
                <w:szCs w:val="20"/>
              </w:rPr>
            </w:pPr>
            <w:r>
              <w:rPr>
                <w:sz w:val="21"/>
                <w:szCs w:val="20"/>
              </w:rPr>
              <w:t>/</w:t>
            </w:r>
          </w:p>
        </w:tc>
        <w:tc>
          <w:tcPr>
            <w:tcW w:w="597" w:type="pct"/>
            <w:shd w:val="clear" w:color="auto" w:fill="auto"/>
            <w:vAlign w:val="center"/>
          </w:tcPr>
          <w:p w14:paraId="0121F70F">
            <w:pPr>
              <w:adjustRightInd w:val="0"/>
              <w:snapToGrid w:val="0"/>
              <w:spacing w:line="240" w:lineRule="auto"/>
              <w:ind w:firstLine="0" w:firstLineChars="0"/>
              <w:jc w:val="center"/>
              <w:rPr>
                <w:sz w:val="21"/>
                <w:szCs w:val="20"/>
              </w:rPr>
            </w:pPr>
            <w:r>
              <w:rPr>
                <w:rFonts w:hint="eastAsia"/>
                <w:sz w:val="21"/>
                <w:szCs w:val="20"/>
              </w:rPr>
              <w:t>无组织</w:t>
            </w:r>
          </w:p>
        </w:tc>
        <w:tc>
          <w:tcPr>
            <w:tcW w:w="597" w:type="pct"/>
            <w:shd w:val="clear" w:color="auto" w:fill="auto"/>
            <w:vAlign w:val="center"/>
          </w:tcPr>
          <w:p w14:paraId="6ED3C980">
            <w:pPr>
              <w:adjustRightInd w:val="0"/>
              <w:snapToGrid w:val="0"/>
              <w:spacing w:line="240" w:lineRule="auto"/>
              <w:ind w:firstLine="0" w:firstLineChars="0"/>
              <w:jc w:val="center"/>
              <w:rPr>
                <w:sz w:val="21"/>
                <w:szCs w:val="20"/>
              </w:rPr>
            </w:pPr>
            <w:r>
              <w:rPr>
                <w:rFonts w:hint="eastAsia"/>
                <w:sz w:val="21"/>
                <w:szCs w:val="20"/>
              </w:rPr>
              <w:t>非甲烷总烃</w:t>
            </w:r>
          </w:p>
        </w:tc>
        <w:tc>
          <w:tcPr>
            <w:tcW w:w="597" w:type="pct"/>
            <w:shd w:val="clear" w:color="auto" w:fill="auto"/>
            <w:vAlign w:val="center"/>
          </w:tcPr>
          <w:p w14:paraId="71825E29">
            <w:pPr>
              <w:adjustRightInd w:val="0"/>
              <w:snapToGrid w:val="0"/>
              <w:spacing w:line="240" w:lineRule="auto"/>
              <w:ind w:firstLine="0" w:firstLineChars="0"/>
              <w:jc w:val="center"/>
              <w:rPr>
                <w:sz w:val="21"/>
                <w:szCs w:val="20"/>
              </w:rPr>
            </w:pPr>
            <w:r>
              <w:rPr>
                <w:rFonts w:hint="eastAsia"/>
                <w:sz w:val="21"/>
                <w:szCs w:val="20"/>
              </w:rPr>
              <w:t>厂房密闭</w:t>
            </w:r>
          </w:p>
        </w:tc>
        <w:tc>
          <w:tcPr>
            <w:tcW w:w="938" w:type="pct"/>
            <w:shd w:val="clear" w:color="auto" w:fill="auto"/>
            <w:vAlign w:val="center"/>
          </w:tcPr>
          <w:p w14:paraId="34B7D8DD">
            <w:pPr>
              <w:adjustRightInd w:val="0"/>
              <w:snapToGrid w:val="0"/>
              <w:spacing w:line="240" w:lineRule="auto"/>
              <w:ind w:firstLine="0" w:firstLineChars="0"/>
              <w:jc w:val="center"/>
              <w:rPr>
                <w:sz w:val="21"/>
                <w:szCs w:val="20"/>
              </w:rPr>
            </w:pPr>
            <w:r>
              <w:rPr>
                <w:rFonts w:hint="eastAsia"/>
                <w:sz w:val="21"/>
                <w:szCs w:val="20"/>
              </w:rPr>
              <w:t>《石油炼制工业污染物排放标准》（GB31570-2015）</w:t>
            </w:r>
          </w:p>
        </w:tc>
        <w:tc>
          <w:tcPr>
            <w:tcW w:w="853" w:type="pct"/>
            <w:shd w:val="clear" w:color="auto" w:fill="auto"/>
            <w:vAlign w:val="center"/>
          </w:tcPr>
          <w:p w14:paraId="36EC4967">
            <w:pPr>
              <w:adjustRightInd w:val="0"/>
              <w:snapToGrid w:val="0"/>
              <w:spacing w:line="240" w:lineRule="auto"/>
              <w:ind w:firstLine="0" w:firstLineChars="0"/>
              <w:jc w:val="center"/>
              <w:rPr>
                <w:sz w:val="21"/>
                <w:szCs w:val="20"/>
              </w:rPr>
            </w:pPr>
            <w:r>
              <w:rPr>
                <w:sz w:val="21"/>
                <w:szCs w:val="20"/>
              </w:rPr>
              <w:t>4.0</w:t>
            </w:r>
          </w:p>
        </w:tc>
        <w:tc>
          <w:tcPr>
            <w:tcW w:w="480" w:type="pct"/>
            <w:shd w:val="clear" w:color="auto" w:fill="auto"/>
            <w:vAlign w:val="center"/>
          </w:tcPr>
          <w:p w14:paraId="279C0A74">
            <w:pPr>
              <w:adjustRightInd w:val="0"/>
              <w:snapToGrid w:val="0"/>
              <w:spacing w:line="240" w:lineRule="auto"/>
              <w:ind w:firstLine="0" w:firstLineChars="0"/>
              <w:jc w:val="center"/>
              <w:rPr>
                <w:sz w:val="21"/>
                <w:szCs w:val="20"/>
              </w:rPr>
            </w:pPr>
            <w:r>
              <w:rPr>
                <w:rFonts w:hint="eastAsia"/>
                <w:sz w:val="21"/>
                <w:szCs w:val="20"/>
              </w:rPr>
              <w:t>0</w:t>
            </w:r>
            <w:r>
              <w:rPr>
                <w:sz w:val="21"/>
                <w:szCs w:val="20"/>
              </w:rPr>
              <w:t>.4435</w:t>
            </w:r>
          </w:p>
        </w:tc>
      </w:tr>
      <w:tr w14:paraId="2B8D2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3" w:hRule="atLeast"/>
        </w:trPr>
        <w:tc>
          <w:tcPr>
            <w:tcW w:w="2132" w:type="pct"/>
            <w:gridSpan w:val="4"/>
            <w:shd w:val="clear" w:color="auto" w:fill="auto"/>
            <w:vAlign w:val="center"/>
          </w:tcPr>
          <w:p w14:paraId="0230133B">
            <w:pPr>
              <w:adjustRightInd w:val="0"/>
              <w:snapToGrid w:val="0"/>
              <w:spacing w:line="240" w:lineRule="auto"/>
              <w:ind w:firstLine="0" w:firstLineChars="0"/>
              <w:jc w:val="center"/>
              <w:rPr>
                <w:sz w:val="21"/>
                <w:szCs w:val="20"/>
              </w:rPr>
            </w:pPr>
            <w:r>
              <w:rPr>
                <w:rFonts w:hint="eastAsia"/>
                <w:sz w:val="21"/>
                <w:szCs w:val="20"/>
              </w:rPr>
              <w:t>无组织排放总计</w:t>
            </w:r>
          </w:p>
        </w:tc>
        <w:tc>
          <w:tcPr>
            <w:tcW w:w="1535" w:type="pct"/>
            <w:gridSpan w:val="2"/>
            <w:shd w:val="clear" w:color="auto" w:fill="auto"/>
            <w:vAlign w:val="center"/>
          </w:tcPr>
          <w:p w14:paraId="34E26A58">
            <w:pPr>
              <w:adjustRightInd w:val="0"/>
              <w:snapToGrid w:val="0"/>
              <w:spacing w:line="240" w:lineRule="auto"/>
              <w:ind w:firstLine="0" w:firstLineChars="0"/>
              <w:jc w:val="center"/>
              <w:rPr>
                <w:sz w:val="21"/>
                <w:szCs w:val="20"/>
              </w:rPr>
            </w:pPr>
            <w:r>
              <w:rPr>
                <w:rFonts w:hint="eastAsia"/>
                <w:sz w:val="21"/>
                <w:szCs w:val="20"/>
              </w:rPr>
              <w:t>非甲烷总烃</w:t>
            </w:r>
          </w:p>
        </w:tc>
        <w:tc>
          <w:tcPr>
            <w:tcW w:w="1333" w:type="pct"/>
            <w:gridSpan w:val="2"/>
            <w:shd w:val="clear" w:color="auto" w:fill="auto"/>
            <w:vAlign w:val="center"/>
          </w:tcPr>
          <w:p w14:paraId="72272D7D">
            <w:pPr>
              <w:adjustRightInd w:val="0"/>
              <w:snapToGrid w:val="0"/>
              <w:spacing w:line="240" w:lineRule="auto"/>
              <w:ind w:firstLine="0" w:firstLineChars="0"/>
              <w:jc w:val="center"/>
              <w:rPr>
                <w:sz w:val="21"/>
                <w:szCs w:val="20"/>
              </w:rPr>
            </w:pPr>
            <w:r>
              <w:rPr>
                <w:rFonts w:hint="eastAsia"/>
                <w:sz w:val="21"/>
                <w:szCs w:val="20"/>
              </w:rPr>
              <w:t>0</w:t>
            </w:r>
            <w:r>
              <w:rPr>
                <w:sz w:val="21"/>
                <w:szCs w:val="20"/>
              </w:rPr>
              <w:t>.4435</w:t>
            </w:r>
          </w:p>
        </w:tc>
      </w:tr>
    </w:tbl>
    <w:p w14:paraId="278519FF">
      <w:pPr>
        <w:adjustRightInd w:val="0"/>
        <w:snapToGrid w:val="0"/>
        <w:spacing w:before="65" w:beforeLines="20" w:after="60" w:line="240" w:lineRule="auto"/>
        <w:ind w:firstLine="0" w:firstLineChars="0"/>
        <w:jc w:val="center"/>
        <w:rPr>
          <w:rFonts w:eastAsia="黑体"/>
        </w:rPr>
      </w:pPr>
      <w:r>
        <w:rPr>
          <w:rFonts w:hint="eastAsia" w:eastAsia="黑体"/>
        </w:rPr>
        <w:t>表</w:t>
      </w:r>
      <w:r>
        <w:rPr>
          <w:rFonts w:eastAsia="黑体"/>
        </w:rPr>
        <w:t xml:space="preserve">5.1-25   </w:t>
      </w:r>
      <w:r>
        <w:rPr>
          <w:rFonts w:hint="eastAsia" w:eastAsia="黑体"/>
        </w:rPr>
        <w:t>大气污染物年排放量核算表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08"/>
        <w:gridCol w:w="2911"/>
        <w:gridCol w:w="2911"/>
      </w:tblGrid>
      <w:tr w14:paraId="2A4A6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0A85D56B">
            <w:pPr>
              <w:adjustRightInd w:val="0"/>
              <w:snapToGrid w:val="0"/>
              <w:spacing w:line="240" w:lineRule="auto"/>
              <w:ind w:firstLine="0" w:firstLineChars="0"/>
              <w:jc w:val="center"/>
              <w:rPr>
                <w:sz w:val="21"/>
                <w:szCs w:val="20"/>
              </w:rPr>
            </w:pPr>
            <w:r>
              <w:rPr>
                <w:rFonts w:hint="eastAsia"/>
                <w:sz w:val="21"/>
                <w:szCs w:val="20"/>
              </w:rPr>
              <w:t>序号</w:t>
            </w:r>
          </w:p>
        </w:tc>
        <w:tc>
          <w:tcPr>
            <w:tcW w:w="1667" w:type="pct"/>
            <w:shd w:val="clear" w:color="auto" w:fill="auto"/>
            <w:vAlign w:val="center"/>
          </w:tcPr>
          <w:p w14:paraId="2AC096B0">
            <w:pPr>
              <w:adjustRightInd w:val="0"/>
              <w:snapToGrid w:val="0"/>
              <w:spacing w:line="240" w:lineRule="auto"/>
              <w:ind w:firstLine="0" w:firstLineChars="0"/>
              <w:jc w:val="center"/>
              <w:rPr>
                <w:sz w:val="21"/>
                <w:szCs w:val="20"/>
              </w:rPr>
            </w:pPr>
            <w:r>
              <w:rPr>
                <w:rFonts w:hint="eastAsia"/>
                <w:sz w:val="21"/>
                <w:szCs w:val="20"/>
              </w:rPr>
              <w:t>污染物</w:t>
            </w:r>
          </w:p>
        </w:tc>
        <w:tc>
          <w:tcPr>
            <w:tcW w:w="1667" w:type="pct"/>
            <w:shd w:val="clear" w:color="auto" w:fill="auto"/>
            <w:vAlign w:val="center"/>
          </w:tcPr>
          <w:p w14:paraId="0A9FAE6C">
            <w:pPr>
              <w:adjustRightInd w:val="0"/>
              <w:snapToGrid w:val="0"/>
              <w:spacing w:line="240" w:lineRule="auto"/>
              <w:ind w:firstLine="0" w:firstLineChars="0"/>
              <w:jc w:val="center"/>
              <w:rPr>
                <w:sz w:val="21"/>
                <w:szCs w:val="20"/>
              </w:rPr>
            </w:pPr>
            <w:r>
              <w:rPr>
                <w:rFonts w:hint="eastAsia"/>
                <w:sz w:val="21"/>
                <w:szCs w:val="20"/>
              </w:rPr>
              <w:t>年排放量/（t</w:t>
            </w:r>
            <w:r>
              <w:rPr>
                <w:sz w:val="21"/>
                <w:szCs w:val="20"/>
              </w:rPr>
              <w:t>/a</w:t>
            </w:r>
            <w:r>
              <w:rPr>
                <w:rFonts w:hint="eastAsia"/>
                <w:sz w:val="21"/>
                <w:szCs w:val="20"/>
              </w:rPr>
              <w:t>）</w:t>
            </w:r>
          </w:p>
        </w:tc>
      </w:tr>
      <w:tr w14:paraId="7138E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70107C28">
            <w:pPr>
              <w:adjustRightInd w:val="0"/>
              <w:snapToGrid w:val="0"/>
              <w:spacing w:line="240" w:lineRule="auto"/>
              <w:ind w:firstLine="0" w:firstLineChars="0"/>
              <w:jc w:val="center"/>
              <w:rPr>
                <w:sz w:val="21"/>
                <w:szCs w:val="20"/>
              </w:rPr>
            </w:pPr>
            <w:r>
              <w:rPr>
                <w:rFonts w:hint="eastAsia"/>
                <w:sz w:val="21"/>
                <w:szCs w:val="20"/>
              </w:rPr>
              <w:t>1</w:t>
            </w:r>
          </w:p>
        </w:tc>
        <w:tc>
          <w:tcPr>
            <w:tcW w:w="1667" w:type="pct"/>
            <w:shd w:val="clear" w:color="auto" w:fill="auto"/>
            <w:vAlign w:val="center"/>
          </w:tcPr>
          <w:p w14:paraId="7233DAFD">
            <w:pPr>
              <w:adjustRightInd w:val="0"/>
              <w:snapToGrid w:val="0"/>
              <w:spacing w:line="240" w:lineRule="auto"/>
              <w:ind w:firstLine="0" w:firstLineChars="0"/>
              <w:jc w:val="center"/>
              <w:rPr>
                <w:sz w:val="21"/>
                <w:szCs w:val="20"/>
                <w:vertAlign w:val="subscript"/>
              </w:rPr>
            </w:pPr>
            <w:r>
              <w:rPr>
                <w:rFonts w:hint="eastAsia"/>
                <w:sz w:val="21"/>
                <w:szCs w:val="20"/>
              </w:rPr>
              <w:t>非甲烷总烃</w:t>
            </w:r>
          </w:p>
        </w:tc>
        <w:tc>
          <w:tcPr>
            <w:tcW w:w="1667" w:type="pct"/>
            <w:shd w:val="clear" w:color="auto" w:fill="auto"/>
            <w:vAlign w:val="center"/>
          </w:tcPr>
          <w:p w14:paraId="61FED680">
            <w:pPr>
              <w:adjustRightInd w:val="0"/>
              <w:snapToGrid w:val="0"/>
              <w:spacing w:line="240" w:lineRule="auto"/>
              <w:ind w:firstLine="0" w:firstLineChars="0"/>
              <w:jc w:val="center"/>
              <w:rPr>
                <w:rFonts w:hint="default" w:eastAsia="宋体"/>
                <w:sz w:val="21"/>
                <w:szCs w:val="20"/>
                <w:lang w:val="en-US" w:eastAsia="zh-CN"/>
              </w:rPr>
            </w:pPr>
            <w:r>
              <w:rPr>
                <w:rFonts w:hint="eastAsia"/>
                <w:sz w:val="21"/>
                <w:szCs w:val="20"/>
                <w:lang w:val="en-US" w:eastAsia="zh-CN"/>
              </w:rPr>
              <w:t>6.8045</w:t>
            </w:r>
          </w:p>
        </w:tc>
      </w:tr>
      <w:tr w14:paraId="12079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70BDD3CB">
            <w:pPr>
              <w:adjustRightInd w:val="0"/>
              <w:snapToGrid w:val="0"/>
              <w:spacing w:line="240" w:lineRule="auto"/>
              <w:ind w:firstLine="0" w:firstLineChars="0"/>
              <w:jc w:val="center"/>
              <w:rPr>
                <w:sz w:val="21"/>
                <w:szCs w:val="20"/>
              </w:rPr>
            </w:pPr>
            <w:r>
              <w:rPr>
                <w:rFonts w:hint="eastAsia"/>
                <w:sz w:val="21"/>
                <w:szCs w:val="20"/>
              </w:rPr>
              <w:t>2</w:t>
            </w:r>
          </w:p>
        </w:tc>
        <w:tc>
          <w:tcPr>
            <w:tcW w:w="1667" w:type="pct"/>
            <w:shd w:val="clear" w:color="auto" w:fill="auto"/>
            <w:vAlign w:val="center"/>
          </w:tcPr>
          <w:p w14:paraId="539948C2">
            <w:pPr>
              <w:adjustRightInd w:val="0"/>
              <w:snapToGrid w:val="0"/>
              <w:spacing w:line="240" w:lineRule="auto"/>
              <w:ind w:firstLine="0" w:firstLineChars="0"/>
              <w:jc w:val="center"/>
              <w:rPr>
                <w:bCs/>
                <w:sz w:val="21"/>
                <w:lang w:val="zh-CN"/>
              </w:rPr>
            </w:pPr>
            <w:r>
              <w:rPr>
                <w:bCs/>
                <w:sz w:val="21"/>
                <w:lang w:val="zh-CN"/>
              </w:rPr>
              <w:t>SO</w:t>
            </w:r>
            <w:r>
              <w:rPr>
                <w:bCs/>
                <w:sz w:val="21"/>
                <w:vertAlign w:val="subscript"/>
                <w:lang w:val="zh-CN"/>
              </w:rPr>
              <w:t>2</w:t>
            </w:r>
          </w:p>
        </w:tc>
        <w:tc>
          <w:tcPr>
            <w:tcW w:w="1667" w:type="pct"/>
            <w:shd w:val="clear" w:color="auto" w:fill="auto"/>
            <w:vAlign w:val="center"/>
          </w:tcPr>
          <w:p w14:paraId="1F54EEC4">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.018</w:t>
            </w:r>
          </w:p>
        </w:tc>
      </w:tr>
      <w:tr w14:paraId="39E1F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270E3097">
            <w:pPr>
              <w:adjustRightInd w:val="0"/>
              <w:snapToGrid w:val="0"/>
              <w:spacing w:line="240" w:lineRule="auto"/>
              <w:ind w:firstLine="0" w:firstLineChars="0"/>
              <w:jc w:val="center"/>
              <w:rPr>
                <w:sz w:val="21"/>
                <w:szCs w:val="20"/>
              </w:rPr>
            </w:pPr>
            <w:r>
              <w:rPr>
                <w:rFonts w:hint="eastAsia"/>
                <w:sz w:val="21"/>
                <w:szCs w:val="20"/>
              </w:rPr>
              <w:t>3</w:t>
            </w:r>
          </w:p>
        </w:tc>
        <w:tc>
          <w:tcPr>
            <w:tcW w:w="1667" w:type="pct"/>
            <w:shd w:val="clear" w:color="auto" w:fill="auto"/>
            <w:vAlign w:val="center"/>
          </w:tcPr>
          <w:p w14:paraId="3168DB3E">
            <w:pPr>
              <w:adjustRightInd w:val="0"/>
              <w:snapToGrid w:val="0"/>
              <w:spacing w:line="240" w:lineRule="auto"/>
              <w:ind w:firstLine="0" w:firstLineChars="0"/>
              <w:jc w:val="center"/>
              <w:rPr>
                <w:bCs/>
                <w:sz w:val="21"/>
                <w:lang w:val="zh-CN"/>
              </w:rPr>
            </w:pPr>
            <w:r>
              <w:rPr>
                <w:bCs/>
                <w:sz w:val="21"/>
                <w:lang w:val="zh-CN"/>
              </w:rPr>
              <w:t>NO</w:t>
            </w:r>
            <w:r>
              <w:rPr>
                <w:bCs/>
                <w:sz w:val="21"/>
                <w:vertAlign w:val="subscript"/>
                <w:lang w:val="zh-CN"/>
              </w:rPr>
              <w:t>x</w:t>
            </w:r>
          </w:p>
        </w:tc>
        <w:tc>
          <w:tcPr>
            <w:tcW w:w="1667" w:type="pct"/>
            <w:shd w:val="clear" w:color="auto" w:fill="auto"/>
            <w:vAlign w:val="center"/>
          </w:tcPr>
          <w:p w14:paraId="4F964591">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.136</w:t>
            </w:r>
          </w:p>
        </w:tc>
      </w:tr>
      <w:tr w14:paraId="4D0DA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1E9BB864">
            <w:pPr>
              <w:adjustRightInd w:val="0"/>
              <w:snapToGrid w:val="0"/>
              <w:spacing w:line="240" w:lineRule="auto"/>
              <w:ind w:firstLine="0" w:firstLineChars="0"/>
              <w:jc w:val="center"/>
              <w:rPr>
                <w:sz w:val="21"/>
                <w:szCs w:val="20"/>
              </w:rPr>
            </w:pPr>
            <w:r>
              <w:rPr>
                <w:sz w:val="21"/>
                <w:szCs w:val="20"/>
              </w:rPr>
              <w:t>4</w:t>
            </w:r>
          </w:p>
        </w:tc>
        <w:tc>
          <w:tcPr>
            <w:tcW w:w="1667" w:type="pct"/>
            <w:shd w:val="clear" w:color="auto" w:fill="auto"/>
            <w:vAlign w:val="center"/>
          </w:tcPr>
          <w:p w14:paraId="107E7A31">
            <w:pPr>
              <w:adjustRightInd w:val="0"/>
              <w:snapToGrid w:val="0"/>
              <w:spacing w:line="240" w:lineRule="auto"/>
              <w:ind w:firstLine="0" w:firstLineChars="0"/>
              <w:jc w:val="center"/>
              <w:rPr>
                <w:bCs/>
                <w:sz w:val="21"/>
                <w:lang w:val="zh-CN"/>
              </w:rPr>
            </w:pPr>
            <w:r>
              <w:rPr>
                <w:rFonts w:hint="eastAsia"/>
                <w:bCs/>
                <w:sz w:val="21"/>
                <w:lang w:val="zh-CN"/>
              </w:rPr>
              <w:t>颗粒物</w:t>
            </w:r>
          </w:p>
        </w:tc>
        <w:tc>
          <w:tcPr>
            <w:tcW w:w="1667" w:type="pct"/>
            <w:shd w:val="clear" w:color="auto" w:fill="auto"/>
            <w:vAlign w:val="center"/>
          </w:tcPr>
          <w:p w14:paraId="7C460F85">
            <w:pPr>
              <w:adjustRightInd w:val="0"/>
              <w:snapToGrid w:val="0"/>
              <w:spacing w:line="240" w:lineRule="auto"/>
              <w:ind w:firstLine="0" w:firstLineChars="0"/>
              <w:jc w:val="center"/>
              <w:rPr>
                <w:bCs/>
                <w:sz w:val="21"/>
                <w:lang w:val="zh-CN"/>
              </w:rPr>
            </w:pPr>
            <w:r>
              <w:rPr>
                <w:rFonts w:hint="eastAsia"/>
                <w:bCs/>
                <w:sz w:val="21"/>
                <w:lang w:val="zh-CN"/>
              </w:rPr>
              <w:t>0</w:t>
            </w:r>
            <w:r>
              <w:rPr>
                <w:bCs/>
                <w:sz w:val="21"/>
                <w:lang w:val="zh-CN"/>
              </w:rPr>
              <w:t>.015</w:t>
            </w:r>
          </w:p>
        </w:tc>
      </w:tr>
      <w:tr w14:paraId="64D94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665" w:type="pct"/>
            <w:shd w:val="clear" w:color="auto" w:fill="auto"/>
            <w:vAlign w:val="center"/>
          </w:tcPr>
          <w:p w14:paraId="2CAA0759">
            <w:pPr>
              <w:adjustRightInd w:val="0"/>
              <w:snapToGrid w:val="0"/>
              <w:spacing w:line="240" w:lineRule="auto"/>
              <w:ind w:firstLine="0" w:firstLineChars="0"/>
              <w:jc w:val="center"/>
              <w:rPr>
                <w:rFonts w:hint="eastAsia" w:eastAsia="宋体"/>
                <w:sz w:val="21"/>
                <w:szCs w:val="20"/>
                <w:lang w:val="en-US" w:eastAsia="zh-CN"/>
              </w:rPr>
            </w:pPr>
            <w:bookmarkStart w:id="436" w:name="_Toc80973549"/>
            <w:bookmarkStart w:id="437" w:name="_Toc81214117"/>
            <w:bookmarkStart w:id="438" w:name="_Toc82518805"/>
            <w:bookmarkStart w:id="439" w:name="_Toc79515494"/>
            <w:bookmarkStart w:id="440" w:name="_Toc152864219"/>
            <w:bookmarkStart w:id="441" w:name="_Toc80193123"/>
            <w:r>
              <w:rPr>
                <w:rFonts w:hint="eastAsia"/>
                <w:sz w:val="21"/>
                <w:szCs w:val="20"/>
                <w:lang w:val="en-US" w:eastAsia="zh-CN"/>
              </w:rPr>
              <w:t>5</w:t>
            </w:r>
          </w:p>
        </w:tc>
        <w:tc>
          <w:tcPr>
            <w:tcW w:w="1667" w:type="pct"/>
            <w:shd w:val="clear" w:color="auto" w:fill="auto"/>
            <w:vAlign w:val="center"/>
          </w:tcPr>
          <w:p w14:paraId="74F10541">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rFonts w:hint="eastAsia"/>
                <w:bCs/>
                <w:sz w:val="21"/>
                <w:lang w:val="en-US" w:eastAsia="zh-CN"/>
              </w:rPr>
              <w:t>硫酸雾</w:t>
            </w:r>
          </w:p>
        </w:tc>
        <w:tc>
          <w:tcPr>
            <w:tcW w:w="1667" w:type="pct"/>
            <w:shd w:val="clear" w:color="auto" w:fill="auto"/>
            <w:vAlign w:val="center"/>
          </w:tcPr>
          <w:p w14:paraId="05D6A398">
            <w:pPr>
              <w:adjustRightInd w:val="0"/>
              <w:snapToGrid w:val="0"/>
              <w:spacing w:line="240" w:lineRule="auto"/>
              <w:ind w:firstLine="0" w:firstLineChars="0"/>
              <w:jc w:val="center"/>
              <w:rPr>
                <w:rFonts w:hint="eastAsia" w:ascii="Times New Roman" w:hAnsi="Times New Roman" w:eastAsia="宋体" w:cs="Times New Roman"/>
                <w:bCs/>
                <w:kern w:val="2"/>
                <w:sz w:val="21"/>
                <w:szCs w:val="22"/>
                <w:lang w:val="zh-CN" w:eastAsia="zh-CN" w:bidi="ar-SA"/>
              </w:rPr>
            </w:pPr>
            <w:r>
              <w:rPr>
                <w:rFonts w:hint="eastAsia"/>
                <w:bCs/>
                <w:sz w:val="21"/>
                <w:lang w:val="en-US" w:eastAsia="zh-CN"/>
              </w:rPr>
              <w:t>0.093</w:t>
            </w:r>
          </w:p>
        </w:tc>
      </w:tr>
    </w:tbl>
    <w:p w14:paraId="0C1D399D">
      <w:pPr>
        <w:pStyle w:val="43"/>
      </w:pPr>
      <w:r>
        <w:rPr>
          <w:rFonts w:hint="eastAsia"/>
        </w:rPr>
        <w:t>大气环境影响评价结论</w:t>
      </w:r>
      <w:bookmarkEnd w:id="436"/>
      <w:bookmarkEnd w:id="437"/>
      <w:bookmarkEnd w:id="438"/>
      <w:bookmarkEnd w:id="439"/>
      <w:bookmarkEnd w:id="440"/>
      <w:bookmarkEnd w:id="441"/>
    </w:p>
    <w:p w14:paraId="3B7E2E03">
      <w:pPr>
        <w:ind w:firstLine="480"/>
      </w:pPr>
      <w:r>
        <w:rPr>
          <w:rFonts w:hint="eastAsia"/>
        </w:rPr>
        <w:t>（1）项目在运营后，大气污染源所排放的非甲烷总烃，在正常工况各污染物最大落地浓度都能满足</w:t>
      </w:r>
      <w:r>
        <w:rPr>
          <w:rFonts w:hint="eastAsia"/>
          <w:lang w:bidi="en-US"/>
        </w:rPr>
        <w:t>《大气污染物综合排放详解》中的浓度限值（2</w:t>
      </w:r>
      <w:r>
        <w:rPr>
          <w:lang w:bidi="en-US"/>
        </w:rPr>
        <w:t>.0mg/m</w:t>
      </w:r>
      <w:r>
        <w:rPr>
          <w:vertAlign w:val="superscript"/>
          <w:lang w:bidi="en-US"/>
        </w:rPr>
        <w:t>3</w:t>
      </w:r>
      <w:r>
        <w:rPr>
          <w:rFonts w:hint="eastAsia"/>
          <w:lang w:bidi="en-US"/>
        </w:rPr>
        <w:t>）</w:t>
      </w:r>
      <w:r>
        <w:rPr>
          <w:rFonts w:hint="eastAsia"/>
        </w:rPr>
        <w:t>；二氧化硫、氮氧化物和PM</w:t>
      </w:r>
      <w:r>
        <w:rPr>
          <w:vertAlign w:val="subscript"/>
        </w:rPr>
        <w:t>10</w:t>
      </w:r>
      <w:r>
        <w:rPr>
          <w:rFonts w:hint="eastAsia"/>
        </w:rPr>
        <w:t>最大落地浓度满足《环境空气质量标准》（GB</w:t>
      </w:r>
      <w:r>
        <w:t>3095-2018</w:t>
      </w:r>
      <w:r>
        <w:rPr>
          <w:rFonts w:hint="eastAsia"/>
        </w:rPr>
        <w:t>）中二级浓度限值（二氧化硫：6</w:t>
      </w:r>
      <w:r>
        <w:t>0μ</w:t>
      </w:r>
      <w:r>
        <w:rPr>
          <w:rFonts w:hint="eastAsia"/>
        </w:rPr>
        <w:t>g</w:t>
      </w:r>
      <w:r>
        <w:t>/</w:t>
      </w:r>
      <w:r>
        <w:rPr>
          <w:rFonts w:hint="eastAsia"/>
        </w:rPr>
        <w:t>m</w:t>
      </w:r>
      <w:r>
        <w:rPr>
          <w:vertAlign w:val="superscript"/>
        </w:rPr>
        <w:t>3</w:t>
      </w:r>
      <w:r>
        <w:rPr>
          <w:rFonts w:hint="eastAsia"/>
        </w:rPr>
        <w:t>、氮氧化物：2</w:t>
      </w:r>
      <w:r>
        <w:t>00μ</w:t>
      </w:r>
      <w:r>
        <w:rPr>
          <w:rFonts w:hint="eastAsia"/>
        </w:rPr>
        <w:t>g</w:t>
      </w:r>
      <w:r>
        <w:t>/</w:t>
      </w:r>
      <w:r>
        <w:rPr>
          <w:rFonts w:hint="eastAsia"/>
        </w:rPr>
        <w:t>m</w:t>
      </w:r>
      <w:r>
        <w:rPr>
          <w:vertAlign w:val="superscript"/>
        </w:rPr>
        <w:t>3</w:t>
      </w:r>
      <w:r>
        <w:rPr>
          <w:rFonts w:hint="eastAsia"/>
        </w:rPr>
        <w:t>、PM</w:t>
      </w:r>
      <w:r>
        <w:rPr>
          <w:vertAlign w:val="subscript"/>
        </w:rPr>
        <w:t>10</w:t>
      </w:r>
      <w:r>
        <w:rPr>
          <w:rFonts w:hint="eastAsia"/>
        </w:rPr>
        <w:t>（2</w:t>
      </w:r>
      <w:r>
        <w:t>4</w:t>
      </w:r>
      <w:r>
        <w:rPr>
          <w:rFonts w:hint="eastAsia"/>
        </w:rPr>
        <w:t>小时平均）：1</w:t>
      </w:r>
      <w:r>
        <w:t>50μ</w:t>
      </w:r>
      <w:r>
        <w:rPr>
          <w:rFonts w:hint="eastAsia"/>
        </w:rPr>
        <w:t>g</w:t>
      </w:r>
      <w:r>
        <w:t>/</w:t>
      </w:r>
      <w:r>
        <w:rPr>
          <w:rFonts w:hint="eastAsia"/>
        </w:rPr>
        <w:t>m</w:t>
      </w:r>
      <w:r>
        <w:rPr>
          <w:vertAlign w:val="superscript"/>
        </w:rPr>
        <w:t>3</w:t>
      </w:r>
      <w:r>
        <w:rPr>
          <w:rFonts w:hint="eastAsia"/>
        </w:rPr>
        <w:t>）；氨和硫化氢最大落地浓度满足《环境影响评价技术导则 大气环境》（HJ2.2-2018）附录D（氨：2</w:t>
      </w:r>
      <w:r>
        <w:t>00μ</w:t>
      </w:r>
      <w:r>
        <w:rPr>
          <w:rFonts w:hint="eastAsia"/>
        </w:rPr>
        <w:t>g</w:t>
      </w:r>
      <w:r>
        <w:t>/</w:t>
      </w:r>
      <w:r>
        <w:rPr>
          <w:rFonts w:hint="eastAsia"/>
        </w:rPr>
        <w:t>m</w:t>
      </w:r>
      <w:r>
        <w:rPr>
          <w:vertAlign w:val="superscript"/>
        </w:rPr>
        <w:t>3</w:t>
      </w:r>
      <w:r>
        <w:rPr>
          <w:rFonts w:hint="eastAsia"/>
        </w:rPr>
        <w:t>、硫化氢：1</w:t>
      </w:r>
      <w:r>
        <w:t>0μ</w:t>
      </w:r>
      <w:r>
        <w:rPr>
          <w:rFonts w:hint="eastAsia"/>
        </w:rPr>
        <w:t>g</w:t>
      </w:r>
      <w:r>
        <w:t>/</w:t>
      </w:r>
      <w:r>
        <w:rPr>
          <w:rFonts w:hint="eastAsia"/>
        </w:rPr>
        <w:t>m</w:t>
      </w:r>
      <w:r>
        <w:rPr>
          <w:vertAlign w:val="superscript"/>
        </w:rPr>
        <w:t>3</w:t>
      </w:r>
      <w:r>
        <w:rPr>
          <w:rFonts w:hint="eastAsia"/>
        </w:rPr>
        <w:t>），预测结果表明项目运行后对大气环境的影响在可接受范围内，不会降低区域大气环境质量级别。</w:t>
      </w:r>
    </w:p>
    <w:p w14:paraId="2ED12F45">
      <w:pPr>
        <w:ind w:firstLine="480"/>
      </w:pPr>
      <w:r>
        <w:rPr>
          <w:rFonts w:hint="eastAsia"/>
        </w:rPr>
        <w:t>（2）非正常工况下，大气污染源所排放的非甲烷总烃落地浓度和占标率有所增大，为减少废气会对周围环境产生影响，要杜绝非正常工况发生。</w:t>
      </w:r>
    </w:p>
    <w:p w14:paraId="2693BD0B">
      <w:pPr>
        <w:pStyle w:val="43"/>
        <w:rPr>
          <w:lang w:bidi="en-US"/>
        </w:rPr>
      </w:pPr>
      <w:bookmarkStart w:id="442" w:name="_Toc82518806"/>
      <w:bookmarkStart w:id="443" w:name="_Toc80193124"/>
      <w:bookmarkStart w:id="444" w:name="_Toc79515495"/>
      <w:bookmarkStart w:id="445" w:name="_Toc152864220"/>
      <w:bookmarkStart w:id="446" w:name="_Toc81214118"/>
      <w:bookmarkStart w:id="447" w:name="_Toc80973550"/>
      <w:r>
        <w:rPr>
          <w:rFonts w:hint="eastAsia"/>
          <w:lang w:bidi="en-US"/>
        </w:rPr>
        <w:t>大气环境影响评价自查表</w:t>
      </w:r>
      <w:bookmarkEnd w:id="442"/>
      <w:bookmarkEnd w:id="443"/>
      <w:bookmarkEnd w:id="444"/>
      <w:bookmarkEnd w:id="445"/>
      <w:bookmarkEnd w:id="446"/>
      <w:bookmarkEnd w:id="447"/>
    </w:p>
    <w:p w14:paraId="6E7A731B">
      <w:pPr>
        <w:pStyle w:val="47"/>
        <w:spacing w:before="65"/>
        <w:rPr>
          <w:lang w:bidi="en-US"/>
        </w:rPr>
      </w:pPr>
      <w:r>
        <w:rPr>
          <w:rFonts w:hint="eastAsia"/>
        </w:rPr>
        <w:t>表5</w:t>
      </w:r>
      <w:r>
        <w:t xml:space="preserve">.1-26   </w:t>
      </w:r>
      <w:r>
        <w:rPr>
          <w:rFonts w:hint="eastAsia"/>
          <w:lang w:bidi="en-US"/>
        </w:rPr>
        <w:t>建设项目大气环境影响评价自查表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4"/>
        <w:gridCol w:w="1068"/>
        <w:gridCol w:w="921"/>
        <w:gridCol w:w="47"/>
        <w:gridCol w:w="610"/>
        <w:gridCol w:w="170"/>
        <w:gridCol w:w="176"/>
        <w:gridCol w:w="328"/>
        <w:gridCol w:w="161"/>
        <w:gridCol w:w="211"/>
        <w:gridCol w:w="593"/>
        <w:gridCol w:w="235"/>
        <w:gridCol w:w="115"/>
        <w:gridCol w:w="181"/>
        <w:gridCol w:w="897"/>
        <w:gridCol w:w="106"/>
        <w:gridCol w:w="829"/>
        <w:gridCol w:w="117"/>
        <w:gridCol w:w="470"/>
        <w:gridCol w:w="651"/>
      </w:tblGrid>
      <w:tr w14:paraId="462F2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96" w:type="pct"/>
            <w:gridSpan w:val="2"/>
            <w:vAlign w:val="center"/>
          </w:tcPr>
          <w:p w14:paraId="5412B930">
            <w:pPr>
              <w:pStyle w:val="85"/>
              <w:rPr>
                <w:rFonts w:ascii="Times New Roman" w:hAnsi="宋体" w:eastAsia="宋体"/>
                <w:lang w:val="en-US" w:eastAsia="en-US"/>
              </w:rPr>
            </w:pPr>
            <w:r>
              <w:rPr>
                <w:rFonts w:ascii="Times New Roman" w:hAnsi="宋体" w:eastAsia="宋体"/>
                <w:lang w:val="en-US" w:eastAsia="en-US"/>
              </w:rPr>
              <w:t>工作内容</w:t>
            </w:r>
          </w:p>
        </w:tc>
        <w:tc>
          <w:tcPr>
            <w:tcW w:w="3903" w:type="pct"/>
            <w:gridSpan w:val="18"/>
            <w:vAlign w:val="center"/>
          </w:tcPr>
          <w:p w14:paraId="33C796FF">
            <w:pPr>
              <w:pStyle w:val="85"/>
              <w:rPr>
                <w:rFonts w:ascii="Times New Roman" w:hAnsi="宋体" w:eastAsia="宋体"/>
                <w:lang w:val="en-US" w:eastAsia="en-US"/>
              </w:rPr>
            </w:pPr>
            <w:r>
              <w:rPr>
                <w:rFonts w:ascii="Times New Roman" w:hAnsi="宋体" w:eastAsia="宋体"/>
                <w:lang w:val="en-US" w:eastAsia="en-US"/>
              </w:rPr>
              <w:t>自查项目</w:t>
            </w:r>
          </w:p>
        </w:tc>
      </w:tr>
      <w:tr w14:paraId="76AD9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restart"/>
            <w:vAlign w:val="center"/>
          </w:tcPr>
          <w:p w14:paraId="682A3A37">
            <w:pPr>
              <w:pStyle w:val="85"/>
              <w:rPr>
                <w:rFonts w:ascii="Times New Roman" w:hAnsi="宋体" w:eastAsia="宋体"/>
                <w:lang w:val="en-US" w:eastAsia="en-US"/>
              </w:rPr>
            </w:pPr>
            <w:r>
              <w:rPr>
                <w:rFonts w:ascii="Times New Roman" w:hAnsi="宋体" w:eastAsia="宋体"/>
                <w:lang w:val="en-US" w:eastAsia="en-US"/>
              </w:rPr>
              <w:t>评价等级与范围</w:t>
            </w:r>
          </w:p>
        </w:tc>
        <w:tc>
          <w:tcPr>
            <w:tcW w:w="611" w:type="pct"/>
            <w:vAlign w:val="center"/>
          </w:tcPr>
          <w:p w14:paraId="73EB1E3C">
            <w:pPr>
              <w:pStyle w:val="85"/>
              <w:rPr>
                <w:rFonts w:ascii="Times New Roman" w:hAnsi="宋体" w:eastAsia="宋体"/>
                <w:lang w:val="en-US" w:eastAsia="en-US"/>
              </w:rPr>
            </w:pPr>
            <w:r>
              <w:rPr>
                <w:rFonts w:ascii="Times New Roman" w:hAnsi="宋体" w:eastAsia="宋体"/>
                <w:lang w:val="en-US" w:eastAsia="en-US"/>
              </w:rPr>
              <w:t>评价等级</w:t>
            </w:r>
          </w:p>
        </w:tc>
        <w:tc>
          <w:tcPr>
            <w:tcW w:w="1289" w:type="pct"/>
            <w:gridSpan w:val="6"/>
            <w:vAlign w:val="center"/>
          </w:tcPr>
          <w:p w14:paraId="3AF0C3BD">
            <w:pPr>
              <w:pStyle w:val="85"/>
              <w:rPr>
                <w:rFonts w:ascii="Times New Roman" w:hAnsi="宋体" w:eastAsia="宋体"/>
                <w:lang w:val="en-US" w:eastAsia="en-US"/>
              </w:rPr>
            </w:pPr>
            <w:r>
              <w:rPr>
                <w:rFonts w:ascii="Times New Roman" w:hAnsi="宋体" w:eastAsia="宋体"/>
                <w:lang w:val="en-US" w:eastAsia="en-US"/>
              </w:rPr>
              <w:t>一级√</w:t>
            </w:r>
          </w:p>
        </w:tc>
        <w:tc>
          <w:tcPr>
            <w:tcW w:w="1431" w:type="pct"/>
            <w:gridSpan w:val="8"/>
            <w:vAlign w:val="center"/>
          </w:tcPr>
          <w:p w14:paraId="06CDADE4">
            <w:pPr>
              <w:pStyle w:val="85"/>
              <w:rPr>
                <w:rFonts w:ascii="Times New Roman" w:hAnsi="宋体" w:eastAsia="宋体"/>
                <w:lang w:val="en-US" w:eastAsia="en-US"/>
              </w:rPr>
            </w:pPr>
            <w:r>
              <w:rPr>
                <w:rFonts w:ascii="Times New Roman" w:hAnsi="宋体" w:eastAsia="宋体"/>
                <w:lang w:val="en-US" w:eastAsia="en-US"/>
              </w:rPr>
              <w:t>二级□</w:t>
            </w:r>
          </w:p>
        </w:tc>
        <w:tc>
          <w:tcPr>
            <w:tcW w:w="1183" w:type="pct"/>
            <w:gridSpan w:val="4"/>
            <w:vAlign w:val="center"/>
          </w:tcPr>
          <w:p w14:paraId="3BEE77DF">
            <w:pPr>
              <w:pStyle w:val="85"/>
              <w:rPr>
                <w:rFonts w:ascii="Times New Roman" w:hAnsi="宋体" w:eastAsia="宋体"/>
                <w:lang w:val="en-US" w:eastAsia="en-US"/>
              </w:rPr>
            </w:pPr>
            <w:r>
              <w:rPr>
                <w:rFonts w:ascii="Times New Roman" w:hAnsi="宋体" w:eastAsia="宋体"/>
                <w:lang w:val="en-US" w:eastAsia="en-US"/>
              </w:rPr>
              <w:t>三级□</w:t>
            </w:r>
          </w:p>
        </w:tc>
      </w:tr>
      <w:tr w14:paraId="1A3D0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48F41E92">
            <w:pPr>
              <w:pStyle w:val="85"/>
              <w:rPr>
                <w:rFonts w:ascii="Times New Roman" w:hAnsi="宋体" w:eastAsia="宋体"/>
                <w:lang w:val="en-US" w:eastAsia="en-US"/>
              </w:rPr>
            </w:pPr>
          </w:p>
        </w:tc>
        <w:tc>
          <w:tcPr>
            <w:tcW w:w="611" w:type="pct"/>
            <w:vAlign w:val="center"/>
          </w:tcPr>
          <w:p w14:paraId="74AE35F8">
            <w:pPr>
              <w:pStyle w:val="85"/>
              <w:rPr>
                <w:rFonts w:ascii="Times New Roman" w:hAnsi="宋体" w:eastAsia="宋体"/>
                <w:lang w:val="en-US" w:eastAsia="en-US"/>
              </w:rPr>
            </w:pPr>
            <w:r>
              <w:rPr>
                <w:rFonts w:ascii="Times New Roman" w:hAnsi="宋体" w:eastAsia="宋体"/>
                <w:lang w:val="en-US" w:eastAsia="en-US"/>
              </w:rPr>
              <w:t>评价范围</w:t>
            </w:r>
          </w:p>
        </w:tc>
        <w:tc>
          <w:tcPr>
            <w:tcW w:w="1289" w:type="pct"/>
            <w:gridSpan w:val="6"/>
            <w:vAlign w:val="center"/>
          </w:tcPr>
          <w:p w14:paraId="656D35F1">
            <w:pPr>
              <w:pStyle w:val="85"/>
              <w:rPr>
                <w:rFonts w:ascii="Times New Roman" w:hAnsi="宋体" w:eastAsia="宋体"/>
                <w:lang w:val="en-US" w:eastAsia="en-US"/>
              </w:rPr>
            </w:pPr>
            <w:r>
              <w:rPr>
                <w:rFonts w:ascii="Times New Roman" w:hAnsi="宋体" w:eastAsia="宋体"/>
                <w:lang w:val="en-US" w:eastAsia="en-US"/>
              </w:rPr>
              <w:t>边长=50km□</w:t>
            </w:r>
          </w:p>
        </w:tc>
        <w:tc>
          <w:tcPr>
            <w:tcW w:w="1431" w:type="pct"/>
            <w:gridSpan w:val="8"/>
            <w:vAlign w:val="center"/>
          </w:tcPr>
          <w:p w14:paraId="05E34ED9">
            <w:pPr>
              <w:pStyle w:val="85"/>
              <w:rPr>
                <w:rFonts w:ascii="Times New Roman" w:hAnsi="宋体" w:eastAsia="宋体"/>
                <w:lang w:val="en-US" w:eastAsia="en-US"/>
              </w:rPr>
            </w:pPr>
            <w:r>
              <w:rPr>
                <w:rFonts w:ascii="Times New Roman" w:hAnsi="宋体" w:eastAsia="宋体"/>
                <w:lang w:val="en-US" w:eastAsia="en-US"/>
              </w:rPr>
              <w:t>边长5~50km□</w:t>
            </w:r>
          </w:p>
        </w:tc>
        <w:tc>
          <w:tcPr>
            <w:tcW w:w="1183" w:type="pct"/>
            <w:gridSpan w:val="4"/>
            <w:vAlign w:val="center"/>
          </w:tcPr>
          <w:p w14:paraId="7297D6D2">
            <w:pPr>
              <w:pStyle w:val="85"/>
              <w:rPr>
                <w:rFonts w:ascii="Times New Roman" w:hAnsi="宋体" w:eastAsia="宋体"/>
                <w:lang w:val="en-US" w:eastAsia="en-US"/>
              </w:rPr>
            </w:pPr>
            <w:r>
              <w:rPr>
                <w:rFonts w:ascii="Times New Roman" w:hAnsi="宋体" w:eastAsia="宋体"/>
                <w:lang w:val="en-US" w:eastAsia="en-US"/>
              </w:rPr>
              <w:t>边长=5km√</w:t>
            </w:r>
          </w:p>
        </w:tc>
      </w:tr>
      <w:tr w14:paraId="0DBF2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restart"/>
            <w:vAlign w:val="center"/>
          </w:tcPr>
          <w:p w14:paraId="23E8F316">
            <w:pPr>
              <w:pStyle w:val="85"/>
              <w:rPr>
                <w:rFonts w:ascii="Times New Roman" w:hAnsi="宋体" w:eastAsia="宋体"/>
                <w:lang w:val="en-US" w:eastAsia="en-US"/>
              </w:rPr>
            </w:pPr>
            <w:r>
              <w:rPr>
                <w:rFonts w:ascii="Times New Roman" w:hAnsi="宋体" w:eastAsia="宋体"/>
                <w:lang w:val="en-US" w:eastAsia="en-US"/>
              </w:rPr>
              <w:t>评价</w:t>
            </w:r>
          </w:p>
          <w:p w14:paraId="36025137">
            <w:pPr>
              <w:pStyle w:val="85"/>
              <w:rPr>
                <w:rFonts w:ascii="Times New Roman" w:hAnsi="宋体" w:eastAsia="宋体"/>
                <w:lang w:val="en-US" w:eastAsia="en-US"/>
              </w:rPr>
            </w:pPr>
            <w:r>
              <w:rPr>
                <w:rFonts w:ascii="Times New Roman" w:hAnsi="宋体" w:eastAsia="宋体"/>
                <w:lang w:val="en-US" w:eastAsia="en-US"/>
              </w:rPr>
              <w:t>因子</w:t>
            </w:r>
          </w:p>
        </w:tc>
        <w:tc>
          <w:tcPr>
            <w:tcW w:w="611" w:type="pct"/>
            <w:vAlign w:val="center"/>
          </w:tcPr>
          <w:p w14:paraId="05F617D7">
            <w:pPr>
              <w:pStyle w:val="85"/>
              <w:rPr>
                <w:rFonts w:ascii="Times New Roman" w:hAnsi="宋体" w:eastAsia="宋体"/>
                <w:lang w:val="en-US" w:eastAsia="en-US"/>
              </w:rPr>
            </w:pP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+NO</w:t>
            </w:r>
            <w:r>
              <w:rPr>
                <w:rFonts w:ascii="Times New Roman" w:hAnsi="宋体" w:eastAsia="宋体"/>
                <w:vertAlign w:val="subscript"/>
                <w:lang w:val="en-US" w:eastAsia="en-US"/>
              </w:rPr>
              <w:t>2</w:t>
            </w:r>
          </w:p>
          <w:p w14:paraId="5E60D55D">
            <w:pPr>
              <w:pStyle w:val="85"/>
              <w:rPr>
                <w:rFonts w:ascii="Times New Roman" w:hAnsi="宋体" w:eastAsia="宋体"/>
                <w:lang w:val="en-US" w:eastAsia="en-US"/>
              </w:rPr>
            </w:pPr>
            <w:r>
              <w:rPr>
                <w:rFonts w:ascii="Times New Roman" w:hAnsi="宋体" w:eastAsia="宋体"/>
                <w:lang w:val="en-US" w:eastAsia="en-US"/>
              </w:rPr>
              <w:t>排放量</w:t>
            </w:r>
          </w:p>
        </w:tc>
        <w:tc>
          <w:tcPr>
            <w:tcW w:w="1289" w:type="pct"/>
            <w:gridSpan w:val="6"/>
            <w:vAlign w:val="center"/>
          </w:tcPr>
          <w:p w14:paraId="698084FD">
            <w:pPr>
              <w:pStyle w:val="85"/>
              <w:rPr>
                <w:rFonts w:ascii="Times New Roman" w:hAnsi="宋体" w:eastAsia="宋体"/>
                <w:lang w:val="en-US" w:eastAsia="en-US"/>
              </w:rPr>
            </w:pPr>
            <w:r>
              <w:rPr>
                <w:rFonts w:ascii="Times New Roman" w:hAnsi="宋体" w:eastAsia="宋体"/>
                <w:lang w:val="en-US" w:eastAsia="en-US"/>
              </w:rPr>
              <w:t>≥2000t/a□</w:t>
            </w:r>
          </w:p>
        </w:tc>
        <w:tc>
          <w:tcPr>
            <w:tcW w:w="1431" w:type="pct"/>
            <w:gridSpan w:val="8"/>
            <w:vAlign w:val="center"/>
          </w:tcPr>
          <w:p w14:paraId="5A97874D">
            <w:pPr>
              <w:pStyle w:val="85"/>
              <w:rPr>
                <w:rFonts w:ascii="Times New Roman" w:hAnsi="宋体" w:eastAsia="宋体"/>
                <w:lang w:val="en-US" w:eastAsia="en-US"/>
              </w:rPr>
            </w:pPr>
            <w:r>
              <w:rPr>
                <w:rFonts w:ascii="Times New Roman" w:hAnsi="宋体" w:eastAsia="宋体"/>
                <w:lang w:val="en-US" w:eastAsia="en-US"/>
              </w:rPr>
              <w:t>500~2000t/a□</w:t>
            </w:r>
          </w:p>
        </w:tc>
        <w:tc>
          <w:tcPr>
            <w:tcW w:w="1183" w:type="pct"/>
            <w:gridSpan w:val="4"/>
            <w:vAlign w:val="center"/>
          </w:tcPr>
          <w:p w14:paraId="0EA6BD81">
            <w:pPr>
              <w:pStyle w:val="85"/>
              <w:rPr>
                <w:rFonts w:ascii="Times New Roman" w:hAnsi="宋体" w:eastAsia="宋体"/>
                <w:lang w:val="en-US" w:eastAsia="en-US"/>
              </w:rPr>
            </w:pPr>
            <w:r>
              <w:rPr>
                <w:rFonts w:ascii="Times New Roman" w:hAnsi="宋体" w:eastAsia="宋体"/>
                <w:lang w:val="en-US" w:eastAsia="en-US"/>
              </w:rPr>
              <w:t>＜500t/a√</w:t>
            </w:r>
          </w:p>
        </w:tc>
      </w:tr>
      <w:tr w14:paraId="66B82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43B13EF0">
            <w:pPr>
              <w:pStyle w:val="85"/>
              <w:rPr>
                <w:rFonts w:ascii="Times New Roman" w:hAnsi="宋体" w:eastAsia="宋体"/>
                <w:lang w:val="en-US" w:eastAsia="en-US"/>
              </w:rPr>
            </w:pPr>
          </w:p>
        </w:tc>
        <w:tc>
          <w:tcPr>
            <w:tcW w:w="611" w:type="pct"/>
            <w:vAlign w:val="center"/>
          </w:tcPr>
          <w:p w14:paraId="2A2B56FB">
            <w:pPr>
              <w:pStyle w:val="85"/>
              <w:rPr>
                <w:rFonts w:ascii="Times New Roman" w:hAnsi="宋体" w:eastAsia="宋体"/>
                <w:lang w:val="en-US" w:eastAsia="en-US"/>
              </w:rPr>
            </w:pPr>
            <w:r>
              <w:rPr>
                <w:rFonts w:ascii="Times New Roman" w:hAnsi="宋体" w:eastAsia="宋体"/>
                <w:lang w:val="en-US" w:eastAsia="en-US"/>
              </w:rPr>
              <w:t>评价因子</w:t>
            </w:r>
          </w:p>
        </w:tc>
        <w:tc>
          <w:tcPr>
            <w:tcW w:w="2720" w:type="pct"/>
            <w:gridSpan w:val="14"/>
            <w:vAlign w:val="center"/>
          </w:tcPr>
          <w:p w14:paraId="201CE34B">
            <w:pPr>
              <w:pStyle w:val="85"/>
              <w:rPr>
                <w:rFonts w:ascii="Times New Roman" w:hAnsi="宋体" w:eastAsia="宋体"/>
                <w:lang w:val="en-US" w:eastAsia="en-US"/>
              </w:rPr>
            </w:pPr>
            <w:r>
              <w:rPr>
                <w:rFonts w:ascii="Times New Roman" w:hAnsi="宋体" w:eastAsia="宋体"/>
                <w:lang w:val="en-US" w:eastAsia="en-US"/>
              </w:rPr>
              <w:t>基本污染物（PM</w:t>
            </w:r>
            <w:r>
              <w:rPr>
                <w:rFonts w:ascii="Times New Roman" w:hAnsi="宋体" w:eastAsia="宋体"/>
                <w:vertAlign w:val="subscript"/>
                <w:lang w:val="en-US" w:eastAsia="en-US"/>
              </w:rPr>
              <w:t>10</w:t>
            </w:r>
            <w:r>
              <w:rPr>
                <w:rFonts w:ascii="Times New Roman" w:hAnsi="宋体" w:eastAsia="宋体"/>
                <w:lang w:val="en-US" w:eastAsia="en-US"/>
              </w:rPr>
              <w:t>、PM</w:t>
            </w:r>
            <w:r>
              <w:rPr>
                <w:rFonts w:ascii="Times New Roman" w:hAnsi="宋体" w:eastAsia="宋体"/>
                <w:vertAlign w:val="subscript"/>
                <w:lang w:val="en-US" w:eastAsia="en-US"/>
              </w:rPr>
              <w:t>2.5</w:t>
            </w: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、NO</w:t>
            </w:r>
            <w:r>
              <w:rPr>
                <w:rFonts w:ascii="Times New Roman" w:hAnsi="宋体" w:eastAsia="宋体"/>
                <w:vertAlign w:val="subscript"/>
                <w:lang w:val="en-US" w:eastAsia="en-US"/>
              </w:rPr>
              <w:t>2</w:t>
            </w:r>
            <w:r>
              <w:rPr>
                <w:rFonts w:ascii="Times New Roman" w:hAnsi="宋体" w:eastAsia="宋体"/>
                <w:lang w:val="en-US" w:eastAsia="en-US"/>
              </w:rPr>
              <w:t>、CO、O</w:t>
            </w:r>
            <w:r>
              <w:rPr>
                <w:rFonts w:ascii="Times New Roman" w:hAnsi="宋体" w:eastAsia="宋体"/>
                <w:vertAlign w:val="subscript"/>
                <w:lang w:val="en-US" w:eastAsia="en-US"/>
              </w:rPr>
              <w:t>3</w:t>
            </w:r>
            <w:r>
              <w:rPr>
                <w:rFonts w:ascii="Times New Roman" w:hAnsi="宋体" w:eastAsia="宋体"/>
                <w:lang w:val="en-US" w:eastAsia="en-US"/>
              </w:rPr>
              <w:t>）</w:t>
            </w:r>
          </w:p>
          <w:p w14:paraId="718F1629">
            <w:pPr>
              <w:pStyle w:val="85"/>
              <w:rPr>
                <w:rFonts w:ascii="Times New Roman" w:hAnsi="宋体" w:eastAsia="宋体"/>
                <w:lang w:val="en-US"/>
              </w:rPr>
            </w:pPr>
            <w:r>
              <w:rPr>
                <w:rFonts w:ascii="Times New Roman" w:hAnsi="宋体" w:eastAsia="宋体"/>
                <w:lang w:val="en-US"/>
              </w:rPr>
              <w:t>其他污染物</w:t>
            </w:r>
            <w:r>
              <w:rPr>
                <w:rFonts w:hint="eastAsia" w:ascii="Times New Roman" w:hAnsi="宋体" w:eastAsia="宋体"/>
                <w:lang w:val="en-US"/>
              </w:rPr>
              <w:t>（非甲烷总烃）</w:t>
            </w:r>
          </w:p>
        </w:tc>
        <w:tc>
          <w:tcPr>
            <w:tcW w:w="1183" w:type="pct"/>
            <w:gridSpan w:val="4"/>
            <w:vAlign w:val="center"/>
          </w:tcPr>
          <w:p w14:paraId="26749DA0">
            <w:pPr>
              <w:pStyle w:val="85"/>
              <w:rPr>
                <w:rFonts w:ascii="Times New Roman" w:hAnsi="宋体" w:eastAsia="宋体"/>
                <w:lang w:val="en-US" w:eastAsia="en-US"/>
              </w:rPr>
            </w:pPr>
            <w:r>
              <w:rPr>
                <w:rFonts w:ascii="Times New Roman" w:hAnsi="宋体" w:eastAsia="宋体"/>
                <w:lang w:val="en-US" w:eastAsia="en-US"/>
              </w:rPr>
              <w:t>包括二次PM2.5□</w:t>
            </w:r>
          </w:p>
          <w:p w14:paraId="6D79DCD6">
            <w:pPr>
              <w:pStyle w:val="85"/>
              <w:rPr>
                <w:rFonts w:ascii="Times New Roman" w:hAnsi="宋体" w:eastAsia="宋体"/>
                <w:lang w:val="en-US" w:eastAsia="en-US"/>
              </w:rPr>
            </w:pPr>
            <w:r>
              <w:rPr>
                <w:rFonts w:ascii="Times New Roman" w:hAnsi="宋体" w:eastAsia="宋体"/>
                <w:lang w:val="en-US" w:eastAsia="en-US"/>
              </w:rPr>
              <w:t>不包括二次PM2.5√</w:t>
            </w:r>
          </w:p>
        </w:tc>
      </w:tr>
      <w:tr w14:paraId="333D3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Align w:val="center"/>
          </w:tcPr>
          <w:p w14:paraId="5710F2F0">
            <w:pPr>
              <w:pStyle w:val="85"/>
              <w:rPr>
                <w:rFonts w:ascii="Times New Roman" w:hAnsi="宋体" w:eastAsia="宋体"/>
                <w:lang w:val="en-US" w:eastAsia="en-US"/>
              </w:rPr>
            </w:pPr>
            <w:r>
              <w:rPr>
                <w:rFonts w:ascii="Times New Roman" w:hAnsi="宋体" w:eastAsia="宋体"/>
                <w:lang w:val="en-US" w:eastAsia="en-US"/>
              </w:rPr>
              <w:t>评价</w:t>
            </w:r>
          </w:p>
          <w:p w14:paraId="464AE1C1">
            <w:pPr>
              <w:pStyle w:val="85"/>
              <w:rPr>
                <w:rFonts w:ascii="Times New Roman" w:hAnsi="宋体" w:eastAsia="宋体"/>
                <w:lang w:val="en-US" w:eastAsia="en-US"/>
              </w:rPr>
            </w:pPr>
            <w:r>
              <w:rPr>
                <w:rFonts w:ascii="Times New Roman" w:hAnsi="宋体" w:eastAsia="宋体"/>
                <w:lang w:val="en-US" w:eastAsia="en-US"/>
              </w:rPr>
              <w:t>标准</w:t>
            </w:r>
          </w:p>
        </w:tc>
        <w:tc>
          <w:tcPr>
            <w:tcW w:w="611" w:type="pct"/>
            <w:vAlign w:val="center"/>
          </w:tcPr>
          <w:p w14:paraId="0627EFBF">
            <w:pPr>
              <w:pStyle w:val="85"/>
              <w:rPr>
                <w:rFonts w:ascii="Times New Roman" w:hAnsi="宋体" w:eastAsia="宋体"/>
                <w:lang w:val="en-US" w:eastAsia="en-US"/>
              </w:rPr>
            </w:pPr>
            <w:r>
              <w:rPr>
                <w:rFonts w:ascii="Times New Roman" w:hAnsi="宋体" w:eastAsia="宋体"/>
                <w:lang w:val="en-US" w:eastAsia="en-US"/>
              </w:rPr>
              <w:t>评价标准</w:t>
            </w:r>
          </w:p>
        </w:tc>
        <w:tc>
          <w:tcPr>
            <w:tcW w:w="903" w:type="pct"/>
            <w:gridSpan w:val="3"/>
            <w:vAlign w:val="center"/>
          </w:tcPr>
          <w:p w14:paraId="5D953327">
            <w:pPr>
              <w:pStyle w:val="85"/>
              <w:rPr>
                <w:rFonts w:ascii="Times New Roman" w:hAnsi="宋体" w:eastAsia="宋体"/>
                <w:lang w:val="en-US" w:eastAsia="en-US"/>
              </w:rPr>
            </w:pPr>
            <w:r>
              <w:rPr>
                <w:rFonts w:ascii="Times New Roman" w:hAnsi="宋体" w:eastAsia="宋体"/>
                <w:lang w:val="en-US" w:eastAsia="en-US"/>
              </w:rPr>
              <w:t>国家标准□</w:t>
            </w:r>
          </w:p>
        </w:tc>
        <w:tc>
          <w:tcPr>
            <w:tcW w:w="1073" w:type="pct"/>
            <w:gridSpan w:val="7"/>
            <w:vAlign w:val="center"/>
          </w:tcPr>
          <w:p w14:paraId="3956CED1">
            <w:pPr>
              <w:pStyle w:val="85"/>
              <w:rPr>
                <w:rFonts w:ascii="Times New Roman" w:hAnsi="宋体" w:eastAsia="宋体"/>
                <w:lang w:val="en-US" w:eastAsia="en-US"/>
              </w:rPr>
            </w:pPr>
            <w:r>
              <w:rPr>
                <w:rFonts w:ascii="Times New Roman" w:hAnsi="宋体" w:eastAsia="宋体"/>
                <w:lang w:val="en-US" w:eastAsia="en-US"/>
              </w:rPr>
              <w:t>地方标准□</w:t>
            </w:r>
          </w:p>
        </w:tc>
        <w:tc>
          <w:tcPr>
            <w:tcW w:w="743" w:type="pct"/>
            <w:gridSpan w:val="4"/>
            <w:vAlign w:val="center"/>
          </w:tcPr>
          <w:p w14:paraId="6F5981E2">
            <w:pPr>
              <w:pStyle w:val="85"/>
              <w:rPr>
                <w:rFonts w:ascii="Times New Roman" w:hAnsi="宋体" w:eastAsia="宋体"/>
                <w:lang w:val="en-US" w:eastAsia="en-US"/>
              </w:rPr>
            </w:pPr>
            <w:r>
              <w:rPr>
                <w:rFonts w:ascii="Times New Roman" w:hAnsi="宋体" w:eastAsia="宋体"/>
                <w:lang w:val="en-US" w:eastAsia="en-US"/>
              </w:rPr>
              <w:t>附录D□</w:t>
            </w:r>
          </w:p>
        </w:tc>
        <w:tc>
          <w:tcPr>
            <w:tcW w:w="1183" w:type="pct"/>
            <w:gridSpan w:val="4"/>
            <w:vAlign w:val="center"/>
          </w:tcPr>
          <w:p w14:paraId="72D17758">
            <w:pPr>
              <w:pStyle w:val="85"/>
              <w:rPr>
                <w:rFonts w:ascii="Times New Roman" w:hAnsi="宋体" w:eastAsia="宋体"/>
                <w:lang w:val="en-US" w:eastAsia="en-US"/>
              </w:rPr>
            </w:pPr>
            <w:r>
              <w:rPr>
                <w:rFonts w:ascii="Times New Roman" w:hAnsi="宋体" w:eastAsia="宋体"/>
                <w:lang w:val="en-US" w:eastAsia="en-US"/>
              </w:rPr>
              <w:t>其他标准√</w:t>
            </w:r>
          </w:p>
        </w:tc>
      </w:tr>
      <w:tr w14:paraId="3E6AA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restart"/>
            <w:vAlign w:val="center"/>
          </w:tcPr>
          <w:p w14:paraId="57A46134">
            <w:pPr>
              <w:pStyle w:val="85"/>
              <w:rPr>
                <w:rFonts w:ascii="Times New Roman" w:hAnsi="宋体" w:eastAsia="宋体"/>
                <w:lang w:val="en-US" w:eastAsia="en-US"/>
              </w:rPr>
            </w:pPr>
            <w:r>
              <w:rPr>
                <w:rFonts w:ascii="Times New Roman" w:hAnsi="宋体" w:eastAsia="宋体"/>
                <w:lang w:val="en-US" w:eastAsia="en-US"/>
              </w:rPr>
              <w:t>现状评价</w:t>
            </w:r>
          </w:p>
        </w:tc>
        <w:tc>
          <w:tcPr>
            <w:tcW w:w="611" w:type="pct"/>
            <w:vAlign w:val="center"/>
          </w:tcPr>
          <w:p w14:paraId="43575DBD">
            <w:pPr>
              <w:pStyle w:val="85"/>
              <w:rPr>
                <w:rFonts w:ascii="Times New Roman" w:hAnsi="宋体" w:eastAsia="宋体"/>
                <w:lang w:val="en-US" w:eastAsia="en-US"/>
              </w:rPr>
            </w:pPr>
            <w:r>
              <w:rPr>
                <w:rFonts w:ascii="Times New Roman" w:hAnsi="宋体" w:eastAsia="宋体"/>
                <w:lang w:val="en-US" w:eastAsia="en-US"/>
              </w:rPr>
              <w:t>环境功能区</w:t>
            </w:r>
          </w:p>
        </w:tc>
        <w:tc>
          <w:tcPr>
            <w:tcW w:w="1289" w:type="pct"/>
            <w:gridSpan w:val="6"/>
            <w:vAlign w:val="center"/>
          </w:tcPr>
          <w:p w14:paraId="089047BF">
            <w:pPr>
              <w:pStyle w:val="85"/>
              <w:rPr>
                <w:rFonts w:ascii="Times New Roman" w:hAnsi="宋体" w:eastAsia="宋体"/>
                <w:lang w:val="en-US" w:eastAsia="en-US"/>
              </w:rPr>
            </w:pPr>
            <w:r>
              <w:rPr>
                <w:rFonts w:ascii="Times New Roman" w:hAnsi="宋体" w:eastAsia="宋体"/>
                <w:lang w:val="en-US" w:eastAsia="en-US"/>
              </w:rPr>
              <w:t>一类区□</w:t>
            </w:r>
          </w:p>
        </w:tc>
        <w:tc>
          <w:tcPr>
            <w:tcW w:w="1431" w:type="pct"/>
            <w:gridSpan w:val="8"/>
            <w:vAlign w:val="center"/>
          </w:tcPr>
          <w:p w14:paraId="12904019">
            <w:pPr>
              <w:pStyle w:val="85"/>
              <w:rPr>
                <w:rFonts w:ascii="Times New Roman" w:hAnsi="宋体" w:eastAsia="宋体"/>
                <w:lang w:val="en-US" w:eastAsia="en-US"/>
              </w:rPr>
            </w:pPr>
            <w:r>
              <w:rPr>
                <w:rFonts w:ascii="Times New Roman" w:hAnsi="宋体" w:eastAsia="宋体"/>
                <w:lang w:val="en-US" w:eastAsia="en-US"/>
              </w:rPr>
              <w:t>二类区√</w:t>
            </w:r>
          </w:p>
        </w:tc>
        <w:tc>
          <w:tcPr>
            <w:tcW w:w="1183" w:type="pct"/>
            <w:gridSpan w:val="4"/>
            <w:vAlign w:val="center"/>
          </w:tcPr>
          <w:p w14:paraId="491A81E1">
            <w:pPr>
              <w:pStyle w:val="85"/>
              <w:rPr>
                <w:rFonts w:ascii="Times New Roman" w:hAnsi="宋体" w:eastAsia="宋体"/>
                <w:lang w:val="en-US" w:eastAsia="en-US"/>
              </w:rPr>
            </w:pPr>
            <w:r>
              <w:rPr>
                <w:rFonts w:ascii="Times New Roman" w:hAnsi="宋体" w:eastAsia="宋体"/>
                <w:lang w:val="en-US" w:eastAsia="en-US"/>
              </w:rPr>
              <w:t>一类区和二类区□</w:t>
            </w:r>
          </w:p>
        </w:tc>
      </w:tr>
      <w:tr w14:paraId="7BE21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1E515EC8">
            <w:pPr>
              <w:pStyle w:val="85"/>
              <w:rPr>
                <w:rFonts w:ascii="Times New Roman" w:hAnsi="宋体" w:eastAsia="宋体"/>
                <w:lang w:val="en-US" w:eastAsia="en-US"/>
              </w:rPr>
            </w:pPr>
          </w:p>
        </w:tc>
        <w:tc>
          <w:tcPr>
            <w:tcW w:w="611" w:type="pct"/>
            <w:vAlign w:val="center"/>
          </w:tcPr>
          <w:p w14:paraId="638EB562">
            <w:pPr>
              <w:pStyle w:val="85"/>
              <w:rPr>
                <w:rFonts w:ascii="Times New Roman" w:hAnsi="宋体" w:eastAsia="宋体"/>
                <w:lang w:val="en-US" w:eastAsia="en-US"/>
              </w:rPr>
            </w:pPr>
            <w:r>
              <w:rPr>
                <w:rFonts w:ascii="Times New Roman" w:hAnsi="宋体" w:eastAsia="宋体"/>
                <w:lang w:val="en-US" w:eastAsia="en-US"/>
              </w:rPr>
              <w:t>评价基准年</w:t>
            </w:r>
          </w:p>
        </w:tc>
        <w:tc>
          <w:tcPr>
            <w:tcW w:w="3903" w:type="pct"/>
            <w:gridSpan w:val="18"/>
            <w:vAlign w:val="center"/>
          </w:tcPr>
          <w:p w14:paraId="51533963">
            <w:pPr>
              <w:pStyle w:val="85"/>
              <w:rPr>
                <w:rFonts w:ascii="Times New Roman" w:hAnsi="宋体" w:eastAsia="宋体"/>
                <w:lang w:val="en-US" w:eastAsia="en-US"/>
              </w:rPr>
            </w:pPr>
            <w:r>
              <w:rPr>
                <w:rFonts w:ascii="Times New Roman" w:hAnsi="宋体" w:eastAsia="宋体"/>
                <w:lang w:val="en-US" w:eastAsia="en-US"/>
              </w:rPr>
              <w:t>（2022）年</w:t>
            </w:r>
          </w:p>
        </w:tc>
      </w:tr>
      <w:tr w14:paraId="1DAE1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16AAA62D">
            <w:pPr>
              <w:pStyle w:val="85"/>
              <w:rPr>
                <w:rFonts w:ascii="Times New Roman" w:hAnsi="宋体" w:eastAsia="宋体"/>
                <w:lang w:val="en-US" w:eastAsia="en-US"/>
              </w:rPr>
            </w:pPr>
          </w:p>
        </w:tc>
        <w:tc>
          <w:tcPr>
            <w:tcW w:w="611" w:type="pct"/>
            <w:vAlign w:val="center"/>
          </w:tcPr>
          <w:p w14:paraId="6080766B">
            <w:pPr>
              <w:pStyle w:val="85"/>
              <w:rPr>
                <w:rFonts w:ascii="Times New Roman" w:hAnsi="宋体" w:eastAsia="宋体"/>
                <w:lang w:val="en-US"/>
              </w:rPr>
            </w:pPr>
            <w:r>
              <w:rPr>
                <w:rFonts w:ascii="Times New Roman" w:hAnsi="宋体" w:eastAsia="宋体"/>
                <w:lang w:val="en-US"/>
              </w:rPr>
              <w:t>环境空气质量现状调查数据来源</w:t>
            </w:r>
          </w:p>
        </w:tc>
        <w:tc>
          <w:tcPr>
            <w:tcW w:w="1289" w:type="pct"/>
            <w:gridSpan w:val="6"/>
            <w:vAlign w:val="center"/>
          </w:tcPr>
          <w:p w14:paraId="70AE2A22">
            <w:pPr>
              <w:pStyle w:val="85"/>
              <w:rPr>
                <w:rFonts w:ascii="Times New Roman" w:hAnsi="宋体" w:eastAsia="宋体"/>
                <w:lang w:val="en-US" w:eastAsia="en-US"/>
              </w:rPr>
            </w:pPr>
            <w:r>
              <w:rPr>
                <w:rFonts w:ascii="Times New Roman" w:hAnsi="宋体" w:eastAsia="宋体"/>
                <w:lang w:val="en-US" w:eastAsia="en-US"/>
              </w:rPr>
              <w:t>长期例行监测数据√</w:t>
            </w:r>
          </w:p>
        </w:tc>
        <w:tc>
          <w:tcPr>
            <w:tcW w:w="1431" w:type="pct"/>
            <w:gridSpan w:val="8"/>
            <w:vAlign w:val="center"/>
          </w:tcPr>
          <w:p w14:paraId="0A0A6065">
            <w:pPr>
              <w:pStyle w:val="85"/>
              <w:rPr>
                <w:rFonts w:ascii="Times New Roman" w:hAnsi="宋体" w:eastAsia="宋体"/>
                <w:lang w:val="en-US"/>
              </w:rPr>
            </w:pPr>
            <w:r>
              <w:rPr>
                <w:rFonts w:ascii="Times New Roman" w:hAnsi="宋体" w:eastAsia="宋体"/>
                <w:lang w:val="en-US"/>
              </w:rPr>
              <w:t>主管部门发布的数据□</w:t>
            </w:r>
          </w:p>
        </w:tc>
        <w:tc>
          <w:tcPr>
            <w:tcW w:w="1183" w:type="pct"/>
            <w:gridSpan w:val="4"/>
            <w:vAlign w:val="center"/>
          </w:tcPr>
          <w:p w14:paraId="1B5254FE">
            <w:pPr>
              <w:pStyle w:val="85"/>
              <w:rPr>
                <w:rFonts w:ascii="Times New Roman" w:hAnsi="宋体" w:eastAsia="宋体"/>
                <w:lang w:val="en-US" w:eastAsia="en-US"/>
              </w:rPr>
            </w:pPr>
            <w:r>
              <w:rPr>
                <w:rFonts w:ascii="Times New Roman" w:hAnsi="宋体" w:eastAsia="宋体"/>
                <w:lang w:val="en-US" w:eastAsia="en-US"/>
              </w:rPr>
              <w:t>现状补充监测√</w:t>
            </w:r>
          </w:p>
        </w:tc>
      </w:tr>
      <w:tr w14:paraId="2C929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58D393C9">
            <w:pPr>
              <w:pStyle w:val="85"/>
              <w:rPr>
                <w:rFonts w:ascii="Times New Roman" w:hAnsi="宋体" w:eastAsia="宋体"/>
                <w:lang w:val="en-US" w:eastAsia="en-US"/>
              </w:rPr>
            </w:pPr>
          </w:p>
        </w:tc>
        <w:tc>
          <w:tcPr>
            <w:tcW w:w="611" w:type="pct"/>
            <w:vAlign w:val="center"/>
          </w:tcPr>
          <w:p w14:paraId="342DC30C">
            <w:pPr>
              <w:pStyle w:val="85"/>
              <w:rPr>
                <w:rFonts w:ascii="Times New Roman" w:hAnsi="宋体" w:eastAsia="宋体"/>
                <w:lang w:val="en-US" w:eastAsia="en-US"/>
              </w:rPr>
            </w:pPr>
            <w:r>
              <w:rPr>
                <w:rFonts w:ascii="Times New Roman" w:hAnsi="宋体" w:eastAsia="宋体"/>
                <w:lang w:val="en-US" w:eastAsia="en-US"/>
              </w:rPr>
              <w:t>现状评价</w:t>
            </w:r>
          </w:p>
        </w:tc>
        <w:tc>
          <w:tcPr>
            <w:tcW w:w="2146" w:type="pct"/>
            <w:gridSpan w:val="12"/>
            <w:vAlign w:val="center"/>
          </w:tcPr>
          <w:p w14:paraId="603A1178">
            <w:pPr>
              <w:pStyle w:val="85"/>
              <w:rPr>
                <w:rFonts w:ascii="Times New Roman" w:hAnsi="宋体" w:eastAsia="宋体"/>
                <w:lang w:val="en-US" w:eastAsia="en-US"/>
              </w:rPr>
            </w:pPr>
            <w:r>
              <w:rPr>
                <w:rFonts w:ascii="Times New Roman" w:hAnsi="宋体" w:eastAsia="宋体"/>
                <w:lang w:val="en-US" w:eastAsia="en-US"/>
              </w:rPr>
              <w:t>达标区√</w:t>
            </w:r>
          </w:p>
        </w:tc>
        <w:tc>
          <w:tcPr>
            <w:tcW w:w="1757" w:type="pct"/>
            <w:gridSpan w:val="6"/>
            <w:vAlign w:val="center"/>
          </w:tcPr>
          <w:p w14:paraId="75390E62">
            <w:pPr>
              <w:pStyle w:val="85"/>
              <w:rPr>
                <w:rFonts w:ascii="Times New Roman" w:hAnsi="宋体" w:eastAsia="宋体"/>
                <w:lang w:val="en-US" w:eastAsia="en-US"/>
              </w:rPr>
            </w:pPr>
            <w:r>
              <w:rPr>
                <w:rFonts w:ascii="Times New Roman" w:hAnsi="宋体" w:eastAsia="宋体"/>
                <w:lang w:val="en-US" w:eastAsia="en-US"/>
              </w:rPr>
              <w:t>不达标区□</w:t>
            </w:r>
          </w:p>
        </w:tc>
      </w:tr>
      <w:tr w14:paraId="00BCF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Align w:val="center"/>
          </w:tcPr>
          <w:p w14:paraId="7D52A945">
            <w:pPr>
              <w:pStyle w:val="85"/>
              <w:rPr>
                <w:rFonts w:ascii="Times New Roman" w:hAnsi="宋体" w:eastAsia="宋体"/>
                <w:lang w:val="en-US" w:eastAsia="en-US"/>
              </w:rPr>
            </w:pPr>
            <w:r>
              <w:rPr>
                <w:rFonts w:ascii="Times New Roman" w:hAnsi="宋体" w:eastAsia="宋体"/>
                <w:lang w:val="en-US" w:eastAsia="en-US"/>
              </w:rPr>
              <w:t>污染源</w:t>
            </w:r>
          </w:p>
          <w:p w14:paraId="69AF098E">
            <w:pPr>
              <w:pStyle w:val="85"/>
              <w:rPr>
                <w:rFonts w:ascii="Times New Roman" w:hAnsi="宋体" w:eastAsia="宋体"/>
                <w:lang w:val="en-US" w:eastAsia="en-US"/>
              </w:rPr>
            </w:pPr>
            <w:r>
              <w:rPr>
                <w:rFonts w:ascii="Times New Roman" w:hAnsi="宋体" w:eastAsia="宋体"/>
                <w:lang w:val="en-US" w:eastAsia="en-US"/>
              </w:rPr>
              <w:t>调查</w:t>
            </w:r>
          </w:p>
        </w:tc>
        <w:tc>
          <w:tcPr>
            <w:tcW w:w="611" w:type="pct"/>
            <w:vAlign w:val="center"/>
          </w:tcPr>
          <w:p w14:paraId="34772B85">
            <w:pPr>
              <w:pStyle w:val="85"/>
              <w:rPr>
                <w:rFonts w:ascii="Times New Roman" w:hAnsi="宋体" w:eastAsia="宋体"/>
                <w:lang w:val="en-US" w:eastAsia="en-US"/>
              </w:rPr>
            </w:pPr>
            <w:r>
              <w:rPr>
                <w:rFonts w:ascii="Times New Roman" w:hAnsi="宋体" w:eastAsia="宋体"/>
                <w:lang w:val="en-US" w:eastAsia="en-US"/>
              </w:rPr>
              <w:t>调查内容</w:t>
            </w:r>
          </w:p>
        </w:tc>
        <w:tc>
          <w:tcPr>
            <w:tcW w:w="1381" w:type="pct"/>
            <w:gridSpan w:val="7"/>
            <w:vAlign w:val="center"/>
          </w:tcPr>
          <w:p w14:paraId="707CE6F8">
            <w:pPr>
              <w:pStyle w:val="85"/>
              <w:rPr>
                <w:rFonts w:ascii="Times New Roman" w:hAnsi="宋体" w:eastAsia="宋体"/>
                <w:lang w:val="en-US"/>
              </w:rPr>
            </w:pPr>
            <w:r>
              <w:rPr>
                <w:rFonts w:ascii="Times New Roman" w:hAnsi="宋体" w:eastAsia="宋体"/>
                <w:lang w:val="en-US"/>
              </w:rPr>
              <w:t>本项目正常排放源√</w:t>
            </w:r>
          </w:p>
          <w:p w14:paraId="0512E25B">
            <w:pPr>
              <w:pStyle w:val="85"/>
              <w:rPr>
                <w:rFonts w:ascii="Times New Roman" w:hAnsi="宋体" w:eastAsia="宋体"/>
                <w:lang w:val="en-US"/>
              </w:rPr>
            </w:pPr>
            <w:r>
              <w:rPr>
                <w:rFonts w:ascii="Times New Roman" w:hAnsi="宋体" w:eastAsia="宋体"/>
                <w:lang w:val="en-US"/>
              </w:rPr>
              <w:t>本项目非正常排放源√</w:t>
            </w:r>
          </w:p>
          <w:p w14:paraId="1F10A15C">
            <w:pPr>
              <w:pStyle w:val="85"/>
              <w:rPr>
                <w:rFonts w:ascii="Times New Roman" w:hAnsi="宋体" w:eastAsia="宋体"/>
                <w:lang w:val="en-US" w:eastAsia="en-US"/>
              </w:rPr>
            </w:pPr>
            <w:r>
              <w:rPr>
                <w:rFonts w:ascii="Times New Roman" w:hAnsi="宋体" w:eastAsia="宋体"/>
                <w:lang w:val="en-US" w:eastAsia="en-US"/>
              </w:rPr>
              <w:t>现有污染源</w:t>
            </w:r>
          </w:p>
        </w:tc>
        <w:tc>
          <w:tcPr>
            <w:tcW w:w="764" w:type="pct"/>
            <w:gridSpan w:val="5"/>
            <w:vAlign w:val="center"/>
          </w:tcPr>
          <w:p w14:paraId="0456D2D6">
            <w:pPr>
              <w:pStyle w:val="85"/>
              <w:rPr>
                <w:rFonts w:ascii="Times New Roman" w:hAnsi="宋体" w:eastAsia="宋体"/>
                <w:lang w:val="en-US" w:eastAsia="en-US"/>
              </w:rPr>
            </w:pPr>
            <w:r>
              <w:rPr>
                <w:rFonts w:ascii="Times New Roman" w:hAnsi="宋体" w:eastAsia="宋体"/>
                <w:lang w:val="en-US" w:eastAsia="en-US"/>
              </w:rPr>
              <w:t>拟替代的污染源□</w:t>
            </w:r>
          </w:p>
        </w:tc>
        <w:tc>
          <w:tcPr>
            <w:tcW w:w="574" w:type="pct"/>
            <w:gridSpan w:val="2"/>
            <w:vAlign w:val="center"/>
          </w:tcPr>
          <w:p w14:paraId="04803DD2">
            <w:pPr>
              <w:pStyle w:val="85"/>
              <w:rPr>
                <w:rFonts w:ascii="Times New Roman" w:hAnsi="宋体" w:eastAsia="宋体"/>
                <w:lang w:val="en-US"/>
              </w:rPr>
            </w:pPr>
            <w:r>
              <w:rPr>
                <w:rFonts w:ascii="Times New Roman" w:hAnsi="宋体" w:eastAsia="宋体"/>
                <w:lang w:val="en-US"/>
              </w:rPr>
              <w:t>其他在建、拟建项目污染源√</w:t>
            </w:r>
          </w:p>
        </w:tc>
        <w:tc>
          <w:tcPr>
            <w:tcW w:w="1183" w:type="pct"/>
            <w:gridSpan w:val="4"/>
            <w:vAlign w:val="center"/>
          </w:tcPr>
          <w:p w14:paraId="09F49618">
            <w:pPr>
              <w:pStyle w:val="85"/>
              <w:rPr>
                <w:rFonts w:ascii="Times New Roman" w:hAnsi="宋体" w:eastAsia="宋体"/>
                <w:lang w:val="en-US" w:eastAsia="en-US"/>
              </w:rPr>
            </w:pPr>
            <w:r>
              <w:rPr>
                <w:rFonts w:ascii="Times New Roman" w:hAnsi="宋体" w:eastAsia="宋体"/>
                <w:lang w:val="en-US" w:eastAsia="en-US"/>
              </w:rPr>
              <w:t>区域污染源</w:t>
            </w:r>
          </w:p>
          <w:p w14:paraId="4BDC4CFA">
            <w:pPr>
              <w:pStyle w:val="85"/>
              <w:rPr>
                <w:rFonts w:ascii="Times New Roman" w:hAnsi="宋体" w:eastAsia="宋体"/>
                <w:lang w:val="en-US" w:eastAsia="en-US"/>
              </w:rPr>
            </w:pPr>
            <w:r>
              <w:rPr>
                <w:rFonts w:ascii="Times New Roman" w:hAnsi="宋体" w:eastAsia="宋体"/>
                <w:lang w:val="en-US" w:eastAsia="en-US"/>
              </w:rPr>
              <w:t>□</w:t>
            </w:r>
          </w:p>
        </w:tc>
      </w:tr>
      <w:tr w14:paraId="6C1B0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restart"/>
            <w:vAlign w:val="center"/>
          </w:tcPr>
          <w:p w14:paraId="1FCAF7AC">
            <w:pPr>
              <w:pStyle w:val="85"/>
              <w:rPr>
                <w:rFonts w:ascii="Times New Roman" w:hAnsi="宋体" w:eastAsia="宋体"/>
                <w:lang w:val="en-US"/>
              </w:rPr>
            </w:pPr>
            <w:r>
              <w:rPr>
                <w:rFonts w:ascii="Times New Roman" w:hAnsi="宋体" w:eastAsia="宋体"/>
                <w:lang w:val="en-US"/>
              </w:rPr>
              <w:t>大气环境影响预测与评价</w:t>
            </w:r>
          </w:p>
        </w:tc>
        <w:tc>
          <w:tcPr>
            <w:tcW w:w="611" w:type="pct"/>
            <w:vAlign w:val="center"/>
          </w:tcPr>
          <w:p w14:paraId="71CBC578">
            <w:pPr>
              <w:pStyle w:val="85"/>
              <w:rPr>
                <w:rFonts w:ascii="Times New Roman" w:hAnsi="宋体" w:eastAsia="宋体"/>
                <w:lang w:val="en-US" w:eastAsia="en-US"/>
              </w:rPr>
            </w:pPr>
            <w:r>
              <w:rPr>
                <w:rFonts w:ascii="Times New Roman" w:hAnsi="宋体" w:eastAsia="宋体"/>
                <w:lang w:val="en-US" w:eastAsia="en-US"/>
              </w:rPr>
              <w:t>预测模型</w:t>
            </w:r>
          </w:p>
        </w:tc>
        <w:tc>
          <w:tcPr>
            <w:tcW w:w="527" w:type="pct"/>
            <w:vAlign w:val="center"/>
          </w:tcPr>
          <w:p w14:paraId="4FCFEEAC">
            <w:pPr>
              <w:pStyle w:val="85"/>
              <w:rPr>
                <w:rFonts w:ascii="Times New Roman" w:hAnsi="宋体" w:eastAsia="宋体"/>
                <w:lang w:val="en-US" w:eastAsia="en-US"/>
              </w:rPr>
            </w:pPr>
            <w:r>
              <w:rPr>
                <w:rFonts w:ascii="Times New Roman" w:hAnsi="宋体" w:eastAsia="宋体"/>
                <w:lang w:val="en-US" w:eastAsia="en-US"/>
              </w:rPr>
              <w:t>AERMOD</w:t>
            </w:r>
          </w:p>
          <w:p w14:paraId="05208807">
            <w:pPr>
              <w:pStyle w:val="85"/>
              <w:rPr>
                <w:rFonts w:ascii="Times New Roman" w:hAnsi="宋体" w:eastAsia="宋体"/>
                <w:lang w:val="en-US" w:eastAsia="en-US"/>
              </w:rPr>
            </w:pPr>
            <w:r>
              <w:rPr>
                <w:rFonts w:ascii="Times New Roman" w:hAnsi="宋体" w:eastAsia="宋体"/>
                <w:lang w:val="en-US" w:eastAsia="en-US"/>
              </w:rPr>
              <w:t>√</w:t>
            </w:r>
          </w:p>
        </w:tc>
        <w:tc>
          <w:tcPr>
            <w:tcW w:w="473" w:type="pct"/>
            <w:gridSpan w:val="3"/>
            <w:vAlign w:val="center"/>
          </w:tcPr>
          <w:p w14:paraId="597B2B26">
            <w:pPr>
              <w:pStyle w:val="85"/>
              <w:rPr>
                <w:rFonts w:ascii="Times New Roman" w:hAnsi="宋体" w:eastAsia="宋体"/>
                <w:lang w:val="en-US" w:eastAsia="en-US"/>
              </w:rPr>
            </w:pPr>
            <w:r>
              <w:rPr>
                <w:rFonts w:ascii="Times New Roman" w:hAnsi="宋体" w:eastAsia="宋体"/>
                <w:lang w:val="en-US" w:eastAsia="en-US"/>
              </w:rPr>
              <w:t>ADMS□</w:t>
            </w:r>
          </w:p>
        </w:tc>
        <w:tc>
          <w:tcPr>
            <w:tcW w:w="841" w:type="pct"/>
            <w:gridSpan w:val="5"/>
            <w:vAlign w:val="center"/>
          </w:tcPr>
          <w:p w14:paraId="104C3274">
            <w:pPr>
              <w:pStyle w:val="85"/>
              <w:rPr>
                <w:rFonts w:ascii="Times New Roman" w:hAnsi="宋体" w:eastAsia="宋体"/>
                <w:lang w:val="en-US" w:eastAsia="en-US"/>
              </w:rPr>
            </w:pPr>
            <w:r>
              <w:rPr>
                <w:rFonts w:ascii="Times New Roman" w:hAnsi="宋体" w:eastAsia="宋体"/>
                <w:lang w:val="en-US" w:eastAsia="en-US"/>
              </w:rPr>
              <w:t>AUSTAL2000□</w:t>
            </w:r>
          </w:p>
        </w:tc>
        <w:tc>
          <w:tcPr>
            <w:tcW w:w="817" w:type="pct"/>
            <w:gridSpan w:val="4"/>
            <w:vAlign w:val="center"/>
          </w:tcPr>
          <w:p w14:paraId="56265FB5">
            <w:pPr>
              <w:pStyle w:val="85"/>
              <w:rPr>
                <w:rFonts w:ascii="Times New Roman" w:hAnsi="宋体" w:eastAsia="宋体"/>
                <w:lang w:val="en-US" w:eastAsia="en-US"/>
              </w:rPr>
            </w:pPr>
            <w:r>
              <w:rPr>
                <w:rFonts w:ascii="Times New Roman" w:hAnsi="宋体" w:eastAsia="宋体"/>
                <w:lang w:val="en-US" w:eastAsia="en-US"/>
              </w:rPr>
              <w:t>EDMS/AEDT□</w:t>
            </w:r>
          </w:p>
        </w:tc>
        <w:tc>
          <w:tcPr>
            <w:tcW w:w="534" w:type="pct"/>
            <w:gridSpan w:val="2"/>
            <w:vAlign w:val="center"/>
          </w:tcPr>
          <w:p w14:paraId="744B2426">
            <w:pPr>
              <w:pStyle w:val="85"/>
              <w:rPr>
                <w:rFonts w:ascii="Times New Roman" w:hAnsi="宋体" w:eastAsia="宋体"/>
                <w:lang w:val="en-US" w:eastAsia="en-US"/>
              </w:rPr>
            </w:pPr>
            <w:r>
              <w:rPr>
                <w:rFonts w:ascii="Times New Roman" w:hAnsi="宋体" w:eastAsia="宋体"/>
                <w:lang w:val="en-US" w:eastAsia="en-US"/>
              </w:rPr>
              <w:t>CALPUFF</w:t>
            </w:r>
          </w:p>
          <w:p w14:paraId="469A8983">
            <w:pPr>
              <w:pStyle w:val="85"/>
              <w:rPr>
                <w:rFonts w:ascii="Times New Roman" w:hAnsi="宋体" w:eastAsia="宋体"/>
                <w:lang w:val="en-US" w:eastAsia="en-US"/>
              </w:rPr>
            </w:pPr>
            <w:r>
              <w:rPr>
                <w:rFonts w:ascii="Times New Roman" w:hAnsi="宋体" w:eastAsia="宋体"/>
                <w:lang w:val="en-US" w:eastAsia="en-US"/>
              </w:rPr>
              <w:t>□</w:t>
            </w:r>
          </w:p>
        </w:tc>
        <w:tc>
          <w:tcPr>
            <w:tcW w:w="336" w:type="pct"/>
            <w:gridSpan w:val="2"/>
            <w:vAlign w:val="center"/>
          </w:tcPr>
          <w:p w14:paraId="7998779F">
            <w:pPr>
              <w:pStyle w:val="85"/>
              <w:rPr>
                <w:rFonts w:ascii="Times New Roman" w:hAnsi="宋体" w:eastAsia="宋体"/>
                <w:lang w:val="en-US" w:eastAsia="en-US"/>
              </w:rPr>
            </w:pPr>
            <w:r>
              <w:rPr>
                <w:rFonts w:ascii="Times New Roman" w:hAnsi="宋体" w:eastAsia="宋体"/>
                <w:lang w:val="en-US" w:eastAsia="en-US"/>
              </w:rPr>
              <w:t>网络模型□</w:t>
            </w:r>
          </w:p>
        </w:tc>
        <w:tc>
          <w:tcPr>
            <w:tcW w:w="372" w:type="pct"/>
            <w:vAlign w:val="center"/>
          </w:tcPr>
          <w:p w14:paraId="6AC99F6C">
            <w:pPr>
              <w:pStyle w:val="85"/>
              <w:rPr>
                <w:rFonts w:ascii="Times New Roman" w:hAnsi="宋体" w:eastAsia="宋体"/>
                <w:lang w:val="en-US" w:eastAsia="en-US"/>
              </w:rPr>
            </w:pPr>
            <w:r>
              <w:rPr>
                <w:rFonts w:ascii="Times New Roman" w:hAnsi="宋体" w:eastAsia="宋体"/>
                <w:lang w:val="en-US" w:eastAsia="en-US"/>
              </w:rPr>
              <w:t>其他</w:t>
            </w:r>
          </w:p>
          <w:p w14:paraId="007608B0">
            <w:pPr>
              <w:pStyle w:val="85"/>
              <w:rPr>
                <w:rFonts w:ascii="Times New Roman" w:hAnsi="宋体" w:eastAsia="宋体"/>
                <w:lang w:val="en-US" w:eastAsia="en-US"/>
              </w:rPr>
            </w:pPr>
            <w:r>
              <w:rPr>
                <w:rFonts w:ascii="Times New Roman" w:hAnsi="宋体" w:eastAsia="宋体"/>
                <w:lang w:val="en-US" w:eastAsia="en-US"/>
              </w:rPr>
              <w:t>□</w:t>
            </w:r>
          </w:p>
        </w:tc>
      </w:tr>
      <w:tr w14:paraId="2A41B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05039E02">
            <w:pPr>
              <w:pStyle w:val="85"/>
              <w:rPr>
                <w:rFonts w:ascii="Times New Roman" w:hAnsi="宋体" w:eastAsia="宋体"/>
                <w:lang w:val="en-US" w:eastAsia="en-US"/>
              </w:rPr>
            </w:pPr>
          </w:p>
        </w:tc>
        <w:tc>
          <w:tcPr>
            <w:tcW w:w="611" w:type="pct"/>
            <w:vAlign w:val="center"/>
          </w:tcPr>
          <w:p w14:paraId="2FE9BB4F">
            <w:pPr>
              <w:pStyle w:val="85"/>
              <w:rPr>
                <w:rFonts w:ascii="Times New Roman" w:hAnsi="宋体" w:eastAsia="宋体"/>
                <w:lang w:val="en-US" w:eastAsia="en-US"/>
              </w:rPr>
            </w:pPr>
            <w:r>
              <w:rPr>
                <w:rFonts w:ascii="Times New Roman" w:hAnsi="宋体" w:eastAsia="宋体"/>
                <w:lang w:val="en-US" w:eastAsia="en-US"/>
              </w:rPr>
              <w:t>预测范围</w:t>
            </w:r>
          </w:p>
        </w:tc>
        <w:tc>
          <w:tcPr>
            <w:tcW w:w="1381" w:type="pct"/>
            <w:gridSpan w:val="7"/>
            <w:vAlign w:val="center"/>
          </w:tcPr>
          <w:p w14:paraId="0EE318BB">
            <w:pPr>
              <w:pStyle w:val="85"/>
              <w:rPr>
                <w:rFonts w:ascii="Times New Roman" w:hAnsi="宋体" w:eastAsia="宋体"/>
                <w:lang w:val="en-US" w:eastAsia="en-US"/>
              </w:rPr>
            </w:pPr>
            <w:r>
              <w:rPr>
                <w:rFonts w:ascii="Times New Roman" w:hAnsi="宋体" w:eastAsia="宋体"/>
                <w:lang w:val="en-US" w:eastAsia="en-US"/>
              </w:rPr>
              <w:t>边长≥50km□</w:t>
            </w:r>
          </w:p>
        </w:tc>
        <w:tc>
          <w:tcPr>
            <w:tcW w:w="1278" w:type="pct"/>
            <w:gridSpan w:val="6"/>
            <w:vAlign w:val="center"/>
          </w:tcPr>
          <w:p w14:paraId="0D198880">
            <w:pPr>
              <w:pStyle w:val="85"/>
              <w:rPr>
                <w:rFonts w:ascii="Times New Roman" w:hAnsi="宋体" w:eastAsia="宋体"/>
                <w:lang w:val="en-US" w:eastAsia="en-US"/>
              </w:rPr>
            </w:pPr>
            <w:r>
              <w:rPr>
                <w:rFonts w:ascii="Times New Roman" w:hAnsi="宋体" w:eastAsia="宋体"/>
                <w:lang w:val="en-US" w:eastAsia="en-US"/>
              </w:rPr>
              <w:t>边长5~50km□</w:t>
            </w:r>
          </w:p>
        </w:tc>
        <w:tc>
          <w:tcPr>
            <w:tcW w:w="1243" w:type="pct"/>
            <w:gridSpan w:val="5"/>
            <w:vAlign w:val="center"/>
          </w:tcPr>
          <w:p w14:paraId="6335E14E">
            <w:pPr>
              <w:pStyle w:val="85"/>
              <w:rPr>
                <w:rFonts w:ascii="Times New Roman" w:hAnsi="宋体" w:eastAsia="宋体"/>
                <w:lang w:val="en-US" w:eastAsia="en-US"/>
              </w:rPr>
            </w:pPr>
            <w:r>
              <w:rPr>
                <w:rFonts w:ascii="Times New Roman" w:hAnsi="宋体" w:eastAsia="宋体"/>
                <w:lang w:val="en-US" w:eastAsia="en-US"/>
              </w:rPr>
              <w:t>边长=5km√</w:t>
            </w:r>
          </w:p>
        </w:tc>
      </w:tr>
      <w:tr w14:paraId="67999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7D6283E5">
            <w:pPr>
              <w:pStyle w:val="85"/>
              <w:rPr>
                <w:rFonts w:ascii="Times New Roman" w:hAnsi="宋体" w:eastAsia="宋体"/>
                <w:lang w:val="en-US" w:eastAsia="en-US"/>
              </w:rPr>
            </w:pPr>
          </w:p>
        </w:tc>
        <w:tc>
          <w:tcPr>
            <w:tcW w:w="611" w:type="pct"/>
            <w:vAlign w:val="center"/>
          </w:tcPr>
          <w:p w14:paraId="1203FB92">
            <w:pPr>
              <w:pStyle w:val="85"/>
              <w:rPr>
                <w:rFonts w:ascii="Times New Roman" w:hAnsi="宋体" w:eastAsia="宋体"/>
                <w:lang w:val="en-US" w:eastAsia="en-US"/>
              </w:rPr>
            </w:pPr>
            <w:r>
              <w:rPr>
                <w:rFonts w:ascii="Times New Roman" w:hAnsi="宋体" w:eastAsia="宋体"/>
                <w:lang w:val="en-US" w:eastAsia="en-US"/>
              </w:rPr>
              <w:t>预测因子</w:t>
            </w:r>
          </w:p>
        </w:tc>
        <w:tc>
          <w:tcPr>
            <w:tcW w:w="2660" w:type="pct"/>
            <w:gridSpan w:val="13"/>
            <w:vAlign w:val="center"/>
          </w:tcPr>
          <w:p w14:paraId="16997D68">
            <w:pPr>
              <w:pStyle w:val="85"/>
              <w:rPr>
                <w:rFonts w:ascii="Times New Roman" w:hAnsi="宋体" w:eastAsia="宋体"/>
                <w:lang w:val="en-US"/>
              </w:rPr>
            </w:pPr>
            <w:r>
              <w:rPr>
                <w:rFonts w:ascii="Times New Roman" w:hAnsi="宋体" w:eastAsia="宋体"/>
                <w:lang w:val="en-US"/>
              </w:rPr>
              <w:t>预测因子（</w:t>
            </w:r>
            <w:r>
              <w:rPr>
                <w:rFonts w:hint="eastAsia" w:ascii="Times New Roman" w:hAnsi="宋体" w:eastAsia="宋体"/>
                <w:lang w:val="en-US"/>
              </w:rPr>
              <w:t>非甲烷总烃</w:t>
            </w:r>
            <w:r>
              <w:rPr>
                <w:rFonts w:ascii="Times New Roman" w:hAnsi="宋体" w:eastAsia="宋体"/>
                <w:lang w:val="en-US"/>
              </w:rPr>
              <w:t>）</w:t>
            </w:r>
          </w:p>
        </w:tc>
        <w:tc>
          <w:tcPr>
            <w:tcW w:w="1243" w:type="pct"/>
            <w:gridSpan w:val="5"/>
            <w:vAlign w:val="center"/>
          </w:tcPr>
          <w:p w14:paraId="68D4C593">
            <w:pPr>
              <w:pStyle w:val="85"/>
              <w:rPr>
                <w:rFonts w:ascii="Times New Roman" w:hAnsi="宋体" w:eastAsia="宋体"/>
                <w:lang w:val="en-US" w:eastAsia="en-US"/>
              </w:rPr>
            </w:pPr>
            <w:r>
              <w:rPr>
                <w:rFonts w:ascii="Times New Roman" w:hAnsi="宋体" w:eastAsia="宋体"/>
                <w:lang w:val="en-US" w:eastAsia="en-US"/>
              </w:rPr>
              <w:t>包括二次PM2.5□</w:t>
            </w:r>
          </w:p>
          <w:p w14:paraId="58D34060">
            <w:pPr>
              <w:pStyle w:val="85"/>
              <w:rPr>
                <w:rFonts w:ascii="Times New Roman" w:hAnsi="宋体" w:eastAsia="宋体"/>
                <w:lang w:val="en-US" w:eastAsia="en-US"/>
              </w:rPr>
            </w:pPr>
            <w:r>
              <w:rPr>
                <w:rFonts w:ascii="Times New Roman" w:hAnsi="宋体" w:eastAsia="宋体"/>
                <w:lang w:val="en-US" w:eastAsia="en-US"/>
              </w:rPr>
              <w:t>不包括二次PM2.5√</w:t>
            </w:r>
          </w:p>
        </w:tc>
      </w:tr>
      <w:tr w14:paraId="45ABD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5365DCB0">
            <w:pPr>
              <w:pStyle w:val="85"/>
              <w:rPr>
                <w:rFonts w:ascii="Times New Roman" w:hAnsi="宋体" w:eastAsia="宋体"/>
                <w:lang w:val="en-US" w:eastAsia="en-US"/>
              </w:rPr>
            </w:pPr>
          </w:p>
        </w:tc>
        <w:tc>
          <w:tcPr>
            <w:tcW w:w="611" w:type="pct"/>
            <w:vAlign w:val="center"/>
          </w:tcPr>
          <w:p w14:paraId="2ACBD536">
            <w:pPr>
              <w:pStyle w:val="85"/>
              <w:rPr>
                <w:rFonts w:ascii="Times New Roman" w:hAnsi="宋体" w:eastAsia="宋体"/>
                <w:lang w:val="en-US"/>
              </w:rPr>
            </w:pPr>
            <w:r>
              <w:rPr>
                <w:rFonts w:ascii="Times New Roman" w:hAnsi="宋体" w:eastAsia="宋体"/>
                <w:lang w:val="en-US"/>
              </w:rPr>
              <w:t>正常排放短期浓度贡献值</w:t>
            </w:r>
          </w:p>
        </w:tc>
        <w:tc>
          <w:tcPr>
            <w:tcW w:w="2660" w:type="pct"/>
            <w:gridSpan w:val="13"/>
            <w:vAlign w:val="center"/>
          </w:tcPr>
          <w:p w14:paraId="3FB41200">
            <w:pPr>
              <w:pStyle w:val="85"/>
              <w:rPr>
                <w:rFonts w:ascii="Times New Roman" w:hAnsi="宋体" w:eastAsia="宋体"/>
                <w:lang w:val="en-US"/>
              </w:rPr>
            </w:pPr>
            <w:r>
              <w:rPr>
                <w:rFonts w:ascii="Times New Roman" w:hAnsi="宋体" w:eastAsia="宋体"/>
                <w:lang w:val="en-US"/>
              </w:rPr>
              <w:t>C本项目最大占标率≤100%√</w:t>
            </w:r>
          </w:p>
        </w:tc>
        <w:tc>
          <w:tcPr>
            <w:tcW w:w="1243" w:type="pct"/>
            <w:gridSpan w:val="5"/>
            <w:vAlign w:val="center"/>
          </w:tcPr>
          <w:p w14:paraId="1A71D36C">
            <w:pPr>
              <w:pStyle w:val="85"/>
              <w:rPr>
                <w:rFonts w:ascii="Times New Roman" w:hAnsi="宋体" w:eastAsia="宋体"/>
                <w:lang w:val="en-US"/>
              </w:rPr>
            </w:pPr>
            <w:r>
              <w:rPr>
                <w:rFonts w:ascii="Times New Roman" w:hAnsi="宋体" w:eastAsia="宋体"/>
                <w:lang w:val="en-US"/>
              </w:rPr>
              <w:t>C本项目最大占标率＞100%□</w:t>
            </w:r>
          </w:p>
        </w:tc>
      </w:tr>
      <w:tr w14:paraId="540B3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25B9E2B9">
            <w:pPr>
              <w:pStyle w:val="85"/>
              <w:rPr>
                <w:rFonts w:ascii="Times New Roman" w:hAnsi="宋体" w:eastAsia="宋体"/>
                <w:lang w:val="en-US"/>
              </w:rPr>
            </w:pPr>
          </w:p>
        </w:tc>
        <w:tc>
          <w:tcPr>
            <w:tcW w:w="611" w:type="pct"/>
            <w:vMerge w:val="restart"/>
            <w:vAlign w:val="center"/>
          </w:tcPr>
          <w:p w14:paraId="435A2DB5">
            <w:pPr>
              <w:pStyle w:val="85"/>
              <w:rPr>
                <w:rFonts w:ascii="Times New Roman" w:hAnsi="宋体" w:eastAsia="宋体"/>
                <w:lang w:val="en-US"/>
              </w:rPr>
            </w:pPr>
            <w:r>
              <w:rPr>
                <w:rFonts w:ascii="Times New Roman" w:hAnsi="宋体" w:eastAsia="宋体"/>
                <w:lang w:val="en-US"/>
              </w:rPr>
              <w:t>正常排放年均浓度贡献值</w:t>
            </w:r>
          </w:p>
        </w:tc>
        <w:tc>
          <w:tcPr>
            <w:tcW w:w="554" w:type="pct"/>
            <w:gridSpan w:val="2"/>
            <w:vAlign w:val="center"/>
          </w:tcPr>
          <w:p w14:paraId="579F7E66">
            <w:pPr>
              <w:pStyle w:val="85"/>
              <w:rPr>
                <w:rFonts w:ascii="Times New Roman" w:hAnsi="宋体" w:eastAsia="宋体"/>
                <w:lang w:val="en-US" w:eastAsia="en-US"/>
              </w:rPr>
            </w:pPr>
            <w:r>
              <w:rPr>
                <w:rFonts w:ascii="Times New Roman" w:hAnsi="宋体" w:eastAsia="宋体"/>
                <w:lang w:val="en-US" w:eastAsia="en-US"/>
              </w:rPr>
              <w:t>一类区</w:t>
            </w:r>
          </w:p>
        </w:tc>
        <w:tc>
          <w:tcPr>
            <w:tcW w:w="2105" w:type="pct"/>
            <w:gridSpan w:val="11"/>
            <w:vAlign w:val="center"/>
          </w:tcPr>
          <w:p w14:paraId="49BCBB52">
            <w:pPr>
              <w:pStyle w:val="85"/>
              <w:rPr>
                <w:rFonts w:ascii="Times New Roman" w:hAnsi="宋体" w:eastAsia="宋体"/>
                <w:lang w:val="en-US"/>
              </w:rPr>
            </w:pPr>
            <w:r>
              <w:rPr>
                <w:rFonts w:ascii="Times New Roman" w:hAnsi="宋体" w:eastAsia="宋体"/>
                <w:lang w:val="en-US"/>
              </w:rPr>
              <w:t>C本项目最大占标率≤10%□</w:t>
            </w:r>
          </w:p>
        </w:tc>
        <w:tc>
          <w:tcPr>
            <w:tcW w:w="1243" w:type="pct"/>
            <w:gridSpan w:val="5"/>
            <w:vAlign w:val="center"/>
          </w:tcPr>
          <w:p w14:paraId="00405A3A">
            <w:pPr>
              <w:pStyle w:val="85"/>
              <w:rPr>
                <w:rFonts w:ascii="Times New Roman" w:hAnsi="宋体" w:eastAsia="宋体"/>
                <w:lang w:val="en-US"/>
              </w:rPr>
            </w:pPr>
            <w:r>
              <w:rPr>
                <w:rFonts w:ascii="Times New Roman" w:hAnsi="宋体" w:eastAsia="宋体"/>
                <w:lang w:val="en-US"/>
              </w:rPr>
              <w:t>C本项目最大占标率＞10%□</w:t>
            </w:r>
          </w:p>
        </w:tc>
      </w:tr>
      <w:tr w14:paraId="2FA80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440E68BD">
            <w:pPr>
              <w:pStyle w:val="85"/>
              <w:rPr>
                <w:rFonts w:ascii="Times New Roman" w:hAnsi="宋体" w:eastAsia="宋体"/>
                <w:lang w:val="en-US"/>
              </w:rPr>
            </w:pPr>
          </w:p>
        </w:tc>
        <w:tc>
          <w:tcPr>
            <w:tcW w:w="611" w:type="pct"/>
            <w:vMerge w:val="continue"/>
            <w:vAlign w:val="center"/>
          </w:tcPr>
          <w:p w14:paraId="7DCBF504">
            <w:pPr>
              <w:pStyle w:val="85"/>
              <w:rPr>
                <w:rFonts w:ascii="Times New Roman" w:hAnsi="宋体" w:eastAsia="宋体"/>
                <w:lang w:val="en-US"/>
              </w:rPr>
            </w:pPr>
          </w:p>
        </w:tc>
        <w:tc>
          <w:tcPr>
            <w:tcW w:w="554" w:type="pct"/>
            <w:gridSpan w:val="2"/>
            <w:vAlign w:val="center"/>
          </w:tcPr>
          <w:p w14:paraId="3AF86826">
            <w:pPr>
              <w:pStyle w:val="85"/>
              <w:rPr>
                <w:rFonts w:ascii="Times New Roman" w:hAnsi="宋体" w:eastAsia="宋体"/>
                <w:lang w:val="en-US" w:eastAsia="en-US"/>
              </w:rPr>
            </w:pPr>
            <w:r>
              <w:rPr>
                <w:rFonts w:ascii="Times New Roman" w:hAnsi="宋体" w:eastAsia="宋体"/>
                <w:lang w:val="en-US" w:eastAsia="en-US"/>
              </w:rPr>
              <w:t>二类区</w:t>
            </w:r>
          </w:p>
        </w:tc>
        <w:tc>
          <w:tcPr>
            <w:tcW w:w="2105" w:type="pct"/>
            <w:gridSpan w:val="11"/>
            <w:vAlign w:val="center"/>
          </w:tcPr>
          <w:p w14:paraId="3A3A24ED">
            <w:pPr>
              <w:pStyle w:val="85"/>
              <w:rPr>
                <w:rFonts w:ascii="Times New Roman" w:hAnsi="宋体" w:eastAsia="宋体"/>
                <w:lang w:val="en-US"/>
              </w:rPr>
            </w:pPr>
            <w:r>
              <w:rPr>
                <w:rFonts w:ascii="Times New Roman" w:hAnsi="宋体" w:eastAsia="宋体"/>
                <w:lang w:val="en-US"/>
              </w:rPr>
              <w:t>C本项目最大占标率≤30%√</w:t>
            </w:r>
          </w:p>
        </w:tc>
        <w:tc>
          <w:tcPr>
            <w:tcW w:w="1243" w:type="pct"/>
            <w:gridSpan w:val="5"/>
            <w:vAlign w:val="center"/>
          </w:tcPr>
          <w:p w14:paraId="3448834C">
            <w:pPr>
              <w:pStyle w:val="85"/>
              <w:rPr>
                <w:rFonts w:ascii="Times New Roman" w:hAnsi="宋体" w:eastAsia="宋体"/>
                <w:lang w:val="en-US"/>
              </w:rPr>
            </w:pPr>
            <w:r>
              <w:rPr>
                <w:rFonts w:ascii="Times New Roman" w:hAnsi="宋体" w:eastAsia="宋体"/>
                <w:lang w:val="en-US"/>
              </w:rPr>
              <w:t>C本项目最大占标率＞30%□</w:t>
            </w:r>
          </w:p>
        </w:tc>
      </w:tr>
      <w:tr w14:paraId="1C031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7E2905AA">
            <w:pPr>
              <w:pStyle w:val="85"/>
              <w:rPr>
                <w:rFonts w:ascii="Times New Roman" w:hAnsi="宋体" w:eastAsia="宋体"/>
                <w:lang w:val="en-US"/>
              </w:rPr>
            </w:pPr>
          </w:p>
        </w:tc>
        <w:tc>
          <w:tcPr>
            <w:tcW w:w="611" w:type="pct"/>
            <w:vAlign w:val="center"/>
          </w:tcPr>
          <w:p w14:paraId="4B4E196E">
            <w:pPr>
              <w:pStyle w:val="85"/>
              <w:rPr>
                <w:rFonts w:ascii="Times New Roman" w:hAnsi="宋体" w:eastAsia="宋体"/>
                <w:lang w:val="en-US"/>
              </w:rPr>
            </w:pPr>
            <w:r>
              <w:rPr>
                <w:rFonts w:ascii="Times New Roman" w:hAnsi="宋体" w:eastAsia="宋体"/>
                <w:lang w:val="en-US"/>
              </w:rPr>
              <w:t>非正常排放1h浓度贡献值</w:t>
            </w:r>
          </w:p>
        </w:tc>
        <w:tc>
          <w:tcPr>
            <w:tcW w:w="1101" w:type="pct"/>
            <w:gridSpan w:val="5"/>
            <w:vAlign w:val="center"/>
          </w:tcPr>
          <w:p w14:paraId="3438A20D">
            <w:pPr>
              <w:pStyle w:val="85"/>
              <w:rPr>
                <w:rFonts w:ascii="Times New Roman" w:hAnsi="宋体" w:eastAsia="宋体"/>
                <w:lang w:val="en-US"/>
              </w:rPr>
            </w:pPr>
            <w:r>
              <w:rPr>
                <w:rFonts w:ascii="Times New Roman" w:hAnsi="宋体" w:eastAsia="宋体"/>
                <w:lang w:val="en-US"/>
              </w:rPr>
              <w:t>非正常持续时长</w:t>
            </w:r>
          </w:p>
          <w:p w14:paraId="5B89DB7B">
            <w:pPr>
              <w:pStyle w:val="85"/>
              <w:rPr>
                <w:rFonts w:ascii="Times New Roman" w:hAnsi="宋体" w:eastAsia="宋体"/>
                <w:lang w:val="en-US"/>
              </w:rPr>
            </w:pPr>
            <w:r>
              <w:rPr>
                <w:rFonts w:ascii="Times New Roman" w:hAnsi="宋体" w:eastAsia="宋体"/>
                <w:lang w:val="en-US"/>
              </w:rPr>
              <w:t>（1）h</w:t>
            </w:r>
          </w:p>
        </w:tc>
        <w:tc>
          <w:tcPr>
            <w:tcW w:w="1558" w:type="pct"/>
            <w:gridSpan w:val="8"/>
            <w:vAlign w:val="center"/>
          </w:tcPr>
          <w:p w14:paraId="1EA705FD">
            <w:pPr>
              <w:pStyle w:val="85"/>
              <w:rPr>
                <w:rFonts w:ascii="Times New Roman" w:hAnsi="宋体" w:eastAsia="宋体"/>
                <w:lang w:val="en-US"/>
              </w:rPr>
            </w:pPr>
            <w:r>
              <w:rPr>
                <w:rFonts w:ascii="Times New Roman" w:hAnsi="宋体" w:eastAsia="宋体"/>
                <w:lang w:val="en-US"/>
              </w:rPr>
              <w:t>C非正常最大占标率≤100%√</w:t>
            </w:r>
          </w:p>
        </w:tc>
        <w:tc>
          <w:tcPr>
            <w:tcW w:w="1243" w:type="pct"/>
            <w:gridSpan w:val="5"/>
            <w:vAlign w:val="center"/>
          </w:tcPr>
          <w:p w14:paraId="43550E9D">
            <w:pPr>
              <w:pStyle w:val="85"/>
              <w:rPr>
                <w:rFonts w:ascii="Times New Roman" w:hAnsi="宋体" w:eastAsia="宋体"/>
                <w:lang w:val="en-US"/>
              </w:rPr>
            </w:pPr>
            <w:r>
              <w:rPr>
                <w:rFonts w:ascii="Times New Roman" w:hAnsi="宋体" w:eastAsia="宋体"/>
                <w:lang w:val="en-US"/>
              </w:rPr>
              <w:t>C非正常最大占标率</w:t>
            </w:r>
          </w:p>
          <w:p w14:paraId="750FC6F7">
            <w:pPr>
              <w:pStyle w:val="85"/>
              <w:rPr>
                <w:rFonts w:ascii="Times New Roman" w:hAnsi="宋体" w:eastAsia="宋体"/>
                <w:lang w:val="en-US"/>
              </w:rPr>
            </w:pPr>
            <w:r>
              <w:rPr>
                <w:rFonts w:ascii="Times New Roman" w:hAnsi="宋体" w:eastAsia="宋体"/>
                <w:lang w:val="en-US"/>
              </w:rPr>
              <w:t>＞100%</w:t>
            </w:r>
            <w:r>
              <w:rPr>
                <w:rFonts w:ascii="Times New Roman" w:hAnsi="宋体" w:eastAsia="宋体"/>
                <w:lang w:val="en-US" w:eastAsia="en-US"/>
              </w:rPr>
              <w:sym w:font="Wingdings 2" w:char="00A3"/>
            </w:r>
          </w:p>
        </w:tc>
      </w:tr>
      <w:tr w14:paraId="5C3FE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34ADC734">
            <w:pPr>
              <w:pStyle w:val="85"/>
              <w:rPr>
                <w:rFonts w:ascii="Times New Roman" w:hAnsi="宋体" w:eastAsia="宋体"/>
                <w:lang w:val="en-US"/>
              </w:rPr>
            </w:pPr>
          </w:p>
        </w:tc>
        <w:tc>
          <w:tcPr>
            <w:tcW w:w="611" w:type="pct"/>
            <w:vAlign w:val="center"/>
          </w:tcPr>
          <w:p w14:paraId="206CC85A">
            <w:pPr>
              <w:pStyle w:val="85"/>
              <w:rPr>
                <w:rFonts w:ascii="Times New Roman" w:hAnsi="宋体" w:eastAsia="宋体"/>
                <w:lang w:val="en-US"/>
              </w:rPr>
            </w:pPr>
            <w:r>
              <w:rPr>
                <w:rFonts w:ascii="Times New Roman" w:hAnsi="宋体" w:eastAsia="宋体"/>
                <w:lang w:val="en-US"/>
              </w:rPr>
              <w:t>保证率日平均浓度和年平均浓度叠加值</w:t>
            </w:r>
          </w:p>
        </w:tc>
        <w:tc>
          <w:tcPr>
            <w:tcW w:w="2042" w:type="pct"/>
            <w:gridSpan w:val="11"/>
            <w:vAlign w:val="center"/>
          </w:tcPr>
          <w:p w14:paraId="5CF5667F">
            <w:pPr>
              <w:pStyle w:val="85"/>
              <w:rPr>
                <w:rFonts w:ascii="Times New Roman" w:hAnsi="宋体" w:eastAsia="宋体"/>
                <w:lang w:val="en-US" w:eastAsia="en-US"/>
              </w:rPr>
            </w:pPr>
            <w:r>
              <w:rPr>
                <w:rFonts w:ascii="Times New Roman" w:hAnsi="宋体" w:eastAsia="宋体"/>
                <w:lang w:val="en-US" w:eastAsia="en-US"/>
              </w:rPr>
              <w:t>C叠加达标√</w:t>
            </w:r>
          </w:p>
        </w:tc>
        <w:tc>
          <w:tcPr>
            <w:tcW w:w="1860" w:type="pct"/>
            <w:gridSpan w:val="7"/>
            <w:vAlign w:val="center"/>
          </w:tcPr>
          <w:p w14:paraId="48DFF91D">
            <w:pPr>
              <w:pStyle w:val="85"/>
              <w:rPr>
                <w:rFonts w:ascii="Times New Roman" w:hAnsi="宋体" w:eastAsia="宋体"/>
                <w:lang w:val="en-US" w:eastAsia="en-US"/>
              </w:rPr>
            </w:pPr>
            <w:r>
              <w:rPr>
                <w:rFonts w:ascii="Times New Roman" w:hAnsi="宋体" w:eastAsia="宋体"/>
                <w:lang w:val="en-US" w:eastAsia="en-US"/>
              </w:rPr>
              <w:t>C叠加不达标</w:t>
            </w:r>
            <w:r>
              <w:rPr>
                <w:rFonts w:ascii="Times New Roman" w:hAnsi="宋体" w:eastAsia="宋体"/>
                <w:lang w:val="en-US" w:eastAsia="en-US"/>
              </w:rPr>
              <w:sym w:font="Wingdings 2" w:char="00A3"/>
            </w:r>
          </w:p>
        </w:tc>
      </w:tr>
      <w:tr w14:paraId="5EDA9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42BBADC7">
            <w:pPr>
              <w:pStyle w:val="85"/>
              <w:rPr>
                <w:rFonts w:ascii="Times New Roman" w:hAnsi="宋体" w:eastAsia="宋体"/>
                <w:lang w:val="en-US" w:eastAsia="en-US"/>
              </w:rPr>
            </w:pPr>
          </w:p>
        </w:tc>
        <w:tc>
          <w:tcPr>
            <w:tcW w:w="611" w:type="pct"/>
            <w:vAlign w:val="center"/>
          </w:tcPr>
          <w:p w14:paraId="7D596985">
            <w:pPr>
              <w:pStyle w:val="85"/>
              <w:rPr>
                <w:rFonts w:ascii="Times New Roman" w:hAnsi="宋体" w:eastAsia="宋体"/>
                <w:lang w:val="en-US"/>
              </w:rPr>
            </w:pPr>
            <w:r>
              <w:rPr>
                <w:rFonts w:ascii="Times New Roman" w:hAnsi="宋体" w:eastAsia="宋体"/>
                <w:lang w:val="en-US"/>
              </w:rPr>
              <w:t>区域环境质量的整体变化情况</w:t>
            </w:r>
          </w:p>
        </w:tc>
        <w:tc>
          <w:tcPr>
            <w:tcW w:w="2042" w:type="pct"/>
            <w:gridSpan w:val="11"/>
            <w:vAlign w:val="center"/>
          </w:tcPr>
          <w:p w14:paraId="77009661">
            <w:pPr>
              <w:pStyle w:val="85"/>
              <w:rPr>
                <w:rFonts w:ascii="Times New Roman" w:hAnsi="宋体" w:eastAsia="宋体"/>
                <w:lang w:val="en-US" w:eastAsia="en-US"/>
              </w:rPr>
            </w:pPr>
            <w:r>
              <w:rPr>
                <w:rFonts w:ascii="Times New Roman" w:hAnsi="宋体" w:eastAsia="宋体"/>
                <w:lang w:val="en-US" w:eastAsia="en-US"/>
              </w:rPr>
              <w:t>k≤-20%</w:t>
            </w:r>
            <w:r>
              <w:rPr>
                <w:rFonts w:ascii="Times New Roman" w:hAnsi="宋体" w:eastAsia="宋体"/>
                <w:lang w:val="en-US" w:eastAsia="en-US"/>
              </w:rPr>
              <w:sym w:font="Wingdings 2" w:char="00A3"/>
            </w:r>
          </w:p>
        </w:tc>
        <w:tc>
          <w:tcPr>
            <w:tcW w:w="1860" w:type="pct"/>
            <w:gridSpan w:val="7"/>
            <w:vAlign w:val="center"/>
          </w:tcPr>
          <w:p w14:paraId="7581E0A3">
            <w:pPr>
              <w:pStyle w:val="85"/>
              <w:rPr>
                <w:rFonts w:ascii="Times New Roman" w:hAnsi="宋体" w:eastAsia="宋体"/>
                <w:lang w:val="en-US" w:eastAsia="en-US"/>
              </w:rPr>
            </w:pPr>
            <w:r>
              <w:rPr>
                <w:rFonts w:ascii="Times New Roman" w:hAnsi="宋体" w:eastAsia="宋体"/>
                <w:lang w:val="en-US" w:eastAsia="en-US"/>
              </w:rPr>
              <w:t>k＞-20%</w:t>
            </w:r>
            <w:r>
              <w:rPr>
                <w:rFonts w:ascii="Times New Roman" w:hAnsi="宋体" w:eastAsia="宋体"/>
                <w:lang w:val="en-US" w:eastAsia="en-US"/>
              </w:rPr>
              <w:sym w:font="Wingdings 2" w:char="00A3"/>
            </w:r>
          </w:p>
        </w:tc>
      </w:tr>
      <w:tr w14:paraId="6C165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restart"/>
            <w:vAlign w:val="center"/>
          </w:tcPr>
          <w:p w14:paraId="440E2C4F">
            <w:pPr>
              <w:pStyle w:val="85"/>
              <w:rPr>
                <w:rFonts w:ascii="Times New Roman" w:hAnsi="宋体" w:eastAsia="宋体"/>
                <w:lang w:val="en-US" w:eastAsia="en-US"/>
              </w:rPr>
            </w:pPr>
            <w:r>
              <w:rPr>
                <w:rFonts w:ascii="Times New Roman" w:hAnsi="宋体" w:eastAsia="宋体"/>
                <w:lang w:val="en-US" w:eastAsia="en-US"/>
              </w:rPr>
              <w:t>环境监测计划</w:t>
            </w:r>
          </w:p>
        </w:tc>
        <w:tc>
          <w:tcPr>
            <w:tcW w:w="611" w:type="pct"/>
            <w:vAlign w:val="center"/>
          </w:tcPr>
          <w:p w14:paraId="6BF62D3F">
            <w:pPr>
              <w:pStyle w:val="85"/>
              <w:rPr>
                <w:rFonts w:ascii="Times New Roman" w:hAnsi="宋体" w:eastAsia="宋体"/>
                <w:lang w:val="en-US" w:eastAsia="en-US"/>
              </w:rPr>
            </w:pPr>
            <w:r>
              <w:rPr>
                <w:rFonts w:ascii="Times New Roman" w:hAnsi="宋体" w:eastAsia="宋体"/>
                <w:lang w:val="en-US" w:eastAsia="en-US"/>
              </w:rPr>
              <w:t>污染源监测</w:t>
            </w:r>
          </w:p>
        </w:tc>
        <w:tc>
          <w:tcPr>
            <w:tcW w:w="2042" w:type="pct"/>
            <w:gridSpan w:val="11"/>
            <w:vAlign w:val="center"/>
          </w:tcPr>
          <w:p w14:paraId="36FDB7F2">
            <w:pPr>
              <w:pStyle w:val="85"/>
              <w:rPr>
                <w:rFonts w:ascii="Times New Roman" w:hAnsi="宋体" w:eastAsia="宋体"/>
                <w:lang w:val="en-US"/>
              </w:rPr>
            </w:pPr>
            <w:r>
              <w:rPr>
                <w:rFonts w:ascii="Times New Roman" w:hAnsi="宋体" w:eastAsia="宋体"/>
                <w:lang w:val="en-US"/>
              </w:rPr>
              <w:t>监测因子（</w:t>
            </w:r>
            <w:r>
              <w:rPr>
                <w:rFonts w:hint="eastAsia" w:ascii="Times New Roman" w:hAnsi="宋体" w:eastAsia="宋体"/>
                <w:lang w:val="en-US"/>
              </w:rPr>
              <w:t>非甲烷总烃、SO</w:t>
            </w:r>
            <w:r>
              <w:rPr>
                <w:rFonts w:ascii="Times New Roman" w:hAnsi="宋体" w:eastAsia="宋体"/>
                <w:vertAlign w:val="subscript"/>
                <w:lang w:val="en-US"/>
              </w:rPr>
              <w:t>2</w:t>
            </w:r>
            <w:r>
              <w:rPr>
                <w:rFonts w:hint="eastAsia" w:ascii="Times New Roman" w:hAnsi="宋体" w:eastAsia="宋体"/>
                <w:lang w:val="en-US"/>
              </w:rPr>
              <w:t>、NO</w:t>
            </w:r>
            <w:r>
              <w:rPr>
                <w:rFonts w:hint="eastAsia" w:ascii="Times New Roman" w:hAnsi="宋体" w:eastAsia="宋体"/>
                <w:vertAlign w:val="subscript"/>
                <w:lang w:val="en-US"/>
              </w:rPr>
              <w:t>X</w:t>
            </w:r>
            <w:r>
              <w:rPr>
                <w:rFonts w:hint="eastAsia" w:ascii="Times New Roman" w:hAnsi="宋体" w:eastAsia="宋体"/>
                <w:lang w:val="en-US"/>
              </w:rPr>
              <w:t>、PM</w:t>
            </w:r>
            <w:r>
              <w:rPr>
                <w:rFonts w:ascii="Times New Roman" w:hAnsi="宋体" w:eastAsia="宋体"/>
                <w:vertAlign w:val="subscript"/>
                <w:lang w:val="en-US"/>
              </w:rPr>
              <w:t>10</w:t>
            </w:r>
            <w:r>
              <w:rPr>
                <w:rFonts w:hint="eastAsia" w:ascii="Times New Roman" w:hAnsi="宋体" w:eastAsia="宋体"/>
                <w:lang w:val="en-US"/>
              </w:rPr>
              <w:t>、氨、硫化氢</w:t>
            </w:r>
            <w:r>
              <w:rPr>
                <w:rFonts w:ascii="Times New Roman" w:hAnsi="宋体" w:eastAsia="宋体"/>
                <w:lang w:val="en-US"/>
              </w:rPr>
              <w:t>）</w:t>
            </w:r>
          </w:p>
        </w:tc>
        <w:tc>
          <w:tcPr>
            <w:tcW w:w="1219" w:type="pct"/>
            <w:gridSpan w:val="5"/>
            <w:vAlign w:val="center"/>
          </w:tcPr>
          <w:p w14:paraId="59DB3D82">
            <w:pPr>
              <w:pStyle w:val="85"/>
              <w:rPr>
                <w:rFonts w:ascii="Times New Roman" w:hAnsi="宋体" w:eastAsia="宋体"/>
                <w:lang w:val="en-US"/>
              </w:rPr>
            </w:pPr>
            <w:r>
              <w:rPr>
                <w:rFonts w:ascii="Times New Roman" w:hAnsi="宋体" w:eastAsia="宋体"/>
                <w:lang w:val="en-US"/>
              </w:rPr>
              <w:t>有组织废气监测√</w:t>
            </w:r>
          </w:p>
          <w:p w14:paraId="670D9824">
            <w:pPr>
              <w:pStyle w:val="85"/>
              <w:rPr>
                <w:rFonts w:ascii="Times New Roman" w:hAnsi="宋体" w:eastAsia="宋体"/>
                <w:lang w:val="en-US"/>
              </w:rPr>
            </w:pPr>
            <w:r>
              <w:rPr>
                <w:rFonts w:ascii="Times New Roman" w:hAnsi="宋体" w:eastAsia="宋体"/>
                <w:lang w:val="en-US"/>
              </w:rPr>
              <w:t>无组织废气监测√</w:t>
            </w:r>
          </w:p>
        </w:tc>
        <w:tc>
          <w:tcPr>
            <w:tcW w:w="640" w:type="pct"/>
            <w:gridSpan w:val="2"/>
            <w:vAlign w:val="center"/>
          </w:tcPr>
          <w:p w14:paraId="44DBD059">
            <w:pPr>
              <w:pStyle w:val="85"/>
              <w:rPr>
                <w:rFonts w:ascii="Times New Roman" w:hAnsi="宋体" w:eastAsia="宋体"/>
                <w:lang w:val="en-US" w:eastAsia="en-US"/>
              </w:rPr>
            </w:pPr>
            <w:r>
              <w:rPr>
                <w:rFonts w:ascii="Times New Roman" w:hAnsi="宋体" w:eastAsia="宋体"/>
                <w:lang w:val="en-US" w:eastAsia="en-US"/>
              </w:rPr>
              <w:t>无监测□</w:t>
            </w:r>
          </w:p>
        </w:tc>
      </w:tr>
      <w:tr w14:paraId="00282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17801560">
            <w:pPr>
              <w:pStyle w:val="85"/>
              <w:rPr>
                <w:rFonts w:ascii="Times New Roman" w:hAnsi="宋体" w:eastAsia="宋体"/>
                <w:lang w:val="en-US" w:eastAsia="en-US"/>
              </w:rPr>
            </w:pPr>
          </w:p>
        </w:tc>
        <w:tc>
          <w:tcPr>
            <w:tcW w:w="611" w:type="pct"/>
            <w:vAlign w:val="center"/>
          </w:tcPr>
          <w:p w14:paraId="206DBB81">
            <w:pPr>
              <w:pStyle w:val="85"/>
              <w:rPr>
                <w:rFonts w:ascii="Times New Roman" w:hAnsi="宋体" w:eastAsia="宋体"/>
                <w:lang w:val="en-US" w:eastAsia="en-US"/>
              </w:rPr>
            </w:pPr>
            <w:r>
              <w:rPr>
                <w:rFonts w:ascii="Times New Roman" w:hAnsi="宋体" w:eastAsia="宋体"/>
                <w:lang w:val="en-US" w:eastAsia="en-US"/>
              </w:rPr>
              <w:t>环境质量</w:t>
            </w:r>
          </w:p>
          <w:p w14:paraId="6DD53910">
            <w:pPr>
              <w:pStyle w:val="85"/>
              <w:rPr>
                <w:rFonts w:ascii="Times New Roman" w:hAnsi="宋体" w:eastAsia="宋体"/>
                <w:lang w:val="en-US" w:eastAsia="en-US"/>
              </w:rPr>
            </w:pPr>
            <w:r>
              <w:rPr>
                <w:rFonts w:ascii="Times New Roman" w:hAnsi="宋体" w:eastAsia="宋体"/>
                <w:lang w:val="en-US" w:eastAsia="en-US"/>
              </w:rPr>
              <w:t>监测</w:t>
            </w:r>
          </w:p>
        </w:tc>
        <w:tc>
          <w:tcPr>
            <w:tcW w:w="2042" w:type="pct"/>
            <w:gridSpan w:val="11"/>
            <w:vAlign w:val="center"/>
          </w:tcPr>
          <w:p w14:paraId="3C27018D">
            <w:pPr>
              <w:pStyle w:val="85"/>
              <w:rPr>
                <w:rFonts w:ascii="Times New Roman" w:hAnsi="宋体" w:eastAsia="宋体"/>
                <w:lang w:val="en-US"/>
              </w:rPr>
            </w:pPr>
            <w:r>
              <w:rPr>
                <w:rFonts w:ascii="Times New Roman" w:hAnsi="宋体" w:eastAsia="宋体"/>
                <w:lang w:val="en-US"/>
              </w:rPr>
              <w:t>监测因子（</w:t>
            </w:r>
            <w:r>
              <w:rPr>
                <w:rFonts w:hint="eastAsia" w:ascii="Times New Roman" w:hAnsi="宋体" w:eastAsia="宋体"/>
                <w:lang w:val="en-US"/>
              </w:rPr>
              <w:t>非甲烷总烃、氨、硫化氢</w:t>
            </w:r>
            <w:r>
              <w:rPr>
                <w:rFonts w:ascii="Times New Roman" w:hAnsi="宋体" w:eastAsia="宋体"/>
                <w:lang w:val="en-US"/>
              </w:rPr>
              <w:t>）</w:t>
            </w:r>
          </w:p>
        </w:tc>
        <w:tc>
          <w:tcPr>
            <w:tcW w:w="1219" w:type="pct"/>
            <w:gridSpan w:val="5"/>
            <w:vAlign w:val="center"/>
          </w:tcPr>
          <w:p w14:paraId="52B1A905">
            <w:pPr>
              <w:pStyle w:val="85"/>
              <w:rPr>
                <w:rFonts w:ascii="Times New Roman" w:hAnsi="宋体" w:eastAsia="宋体"/>
                <w:lang w:val="en-US" w:eastAsia="en-US"/>
              </w:rPr>
            </w:pPr>
            <w:r>
              <w:rPr>
                <w:rFonts w:ascii="Times New Roman" w:hAnsi="宋体" w:eastAsia="宋体"/>
                <w:lang w:val="en-US" w:eastAsia="en-US"/>
              </w:rPr>
              <w:t>监测点位数</w:t>
            </w:r>
            <w:r>
              <w:rPr>
                <w:rFonts w:hint="eastAsia" w:ascii="Times New Roman" w:hAnsi="宋体" w:eastAsia="宋体"/>
                <w:lang w:val="en-US" w:eastAsia="en-US"/>
              </w:rPr>
              <w:t>1</w:t>
            </w:r>
            <w:r>
              <w:rPr>
                <w:rFonts w:ascii="Times New Roman" w:hAnsi="宋体" w:eastAsia="宋体"/>
                <w:lang w:val="en-US" w:eastAsia="en-US"/>
              </w:rPr>
              <w:t>个</w:t>
            </w:r>
          </w:p>
        </w:tc>
        <w:tc>
          <w:tcPr>
            <w:tcW w:w="640" w:type="pct"/>
            <w:gridSpan w:val="2"/>
            <w:vAlign w:val="center"/>
          </w:tcPr>
          <w:p w14:paraId="52174485">
            <w:pPr>
              <w:pStyle w:val="85"/>
              <w:rPr>
                <w:rFonts w:ascii="Times New Roman" w:hAnsi="宋体" w:eastAsia="宋体"/>
                <w:lang w:val="en-US" w:eastAsia="en-US"/>
              </w:rPr>
            </w:pPr>
            <w:r>
              <w:rPr>
                <w:rFonts w:ascii="Times New Roman" w:hAnsi="宋体" w:eastAsia="宋体"/>
                <w:lang w:val="en-US" w:eastAsia="en-US"/>
              </w:rPr>
              <w:t>无监测□</w:t>
            </w:r>
          </w:p>
        </w:tc>
      </w:tr>
      <w:tr w14:paraId="40880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restart"/>
            <w:vAlign w:val="center"/>
          </w:tcPr>
          <w:p w14:paraId="51F3BB00">
            <w:pPr>
              <w:pStyle w:val="85"/>
              <w:rPr>
                <w:rFonts w:ascii="Times New Roman" w:hAnsi="宋体" w:eastAsia="宋体"/>
                <w:lang w:val="en-US" w:eastAsia="en-US"/>
              </w:rPr>
            </w:pPr>
            <w:r>
              <w:rPr>
                <w:rFonts w:ascii="Times New Roman" w:hAnsi="宋体" w:eastAsia="宋体"/>
                <w:lang w:val="en-US" w:eastAsia="en-US"/>
              </w:rPr>
              <w:t>评价结论</w:t>
            </w:r>
          </w:p>
        </w:tc>
        <w:tc>
          <w:tcPr>
            <w:tcW w:w="611" w:type="pct"/>
            <w:vAlign w:val="center"/>
          </w:tcPr>
          <w:p w14:paraId="5C3F364E">
            <w:pPr>
              <w:pStyle w:val="85"/>
              <w:rPr>
                <w:rFonts w:ascii="Times New Roman" w:hAnsi="宋体" w:eastAsia="宋体"/>
                <w:lang w:val="en-US" w:eastAsia="en-US"/>
              </w:rPr>
            </w:pPr>
            <w:r>
              <w:rPr>
                <w:rFonts w:ascii="Times New Roman" w:hAnsi="宋体" w:eastAsia="宋体"/>
                <w:lang w:val="en-US" w:eastAsia="en-US"/>
              </w:rPr>
              <w:t>环境影响</w:t>
            </w:r>
          </w:p>
        </w:tc>
        <w:tc>
          <w:tcPr>
            <w:tcW w:w="3903" w:type="pct"/>
            <w:gridSpan w:val="18"/>
            <w:vAlign w:val="center"/>
          </w:tcPr>
          <w:p w14:paraId="25BE87CF">
            <w:pPr>
              <w:pStyle w:val="85"/>
              <w:rPr>
                <w:rFonts w:ascii="Times New Roman" w:hAnsi="宋体" w:eastAsia="宋体"/>
                <w:lang w:val="en-US" w:eastAsia="en-US"/>
              </w:rPr>
            </w:pPr>
            <w:r>
              <w:rPr>
                <w:rFonts w:ascii="Times New Roman" w:hAnsi="宋体" w:eastAsia="宋体"/>
                <w:lang w:val="en-US" w:eastAsia="en-US"/>
              </w:rPr>
              <w:t>可以接受√        不可以接受</w:t>
            </w:r>
            <w:r>
              <w:rPr>
                <w:rFonts w:ascii="Times New Roman" w:hAnsi="宋体" w:eastAsia="宋体"/>
                <w:lang w:val="en-US" w:eastAsia="en-US"/>
              </w:rPr>
              <w:sym w:font="Wingdings 2" w:char="00A3"/>
            </w:r>
          </w:p>
        </w:tc>
      </w:tr>
      <w:tr w14:paraId="7A3FD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345B616C">
            <w:pPr>
              <w:pStyle w:val="85"/>
              <w:rPr>
                <w:rFonts w:ascii="Times New Roman" w:hAnsi="宋体" w:eastAsia="宋体"/>
                <w:lang w:val="en-US" w:eastAsia="en-US"/>
              </w:rPr>
            </w:pPr>
          </w:p>
        </w:tc>
        <w:tc>
          <w:tcPr>
            <w:tcW w:w="611" w:type="pct"/>
            <w:vAlign w:val="center"/>
          </w:tcPr>
          <w:p w14:paraId="0FAAD69E">
            <w:pPr>
              <w:pStyle w:val="85"/>
              <w:rPr>
                <w:rFonts w:ascii="Times New Roman" w:hAnsi="宋体" w:eastAsia="宋体"/>
                <w:lang w:val="en-US" w:eastAsia="en-US"/>
              </w:rPr>
            </w:pPr>
            <w:r>
              <w:rPr>
                <w:rFonts w:ascii="Times New Roman" w:hAnsi="宋体" w:eastAsia="宋体"/>
                <w:lang w:val="en-US" w:eastAsia="en-US"/>
              </w:rPr>
              <w:t>大气环境防护距离</w:t>
            </w:r>
          </w:p>
        </w:tc>
        <w:tc>
          <w:tcPr>
            <w:tcW w:w="3903" w:type="pct"/>
            <w:gridSpan w:val="18"/>
            <w:vAlign w:val="center"/>
          </w:tcPr>
          <w:p w14:paraId="343D6B17">
            <w:pPr>
              <w:pStyle w:val="85"/>
              <w:rPr>
                <w:rFonts w:ascii="Times New Roman" w:hAnsi="宋体" w:eastAsia="宋体"/>
                <w:lang w:val="en-US"/>
              </w:rPr>
            </w:pPr>
            <w:r>
              <w:rPr>
                <w:rFonts w:ascii="Times New Roman" w:hAnsi="宋体" w:eastAsia="宋体"/>
                <w:lang w:val="en-US"/>
              </w:rPr>
              <w:t>距（-）厂界最远（0）m</w:t>
            </w:r>
          </w:p>
        </w:tc>
      </w:tr>
      <w:tr w14:paraId="18197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788C3808">
            <w:pPr>
              <w:pStyle w:val="85"/>
              <w:rPr>
                <w:rFonts w:ascii="Times New Roman" w:hAnsi="宋体" w:eastAsia="宋体"/>
                <w:lang w:val="en-US"/>
              </w:rPr>
            </w:pPr>
          </w:p>
        </w:tc>
        <w:tc>
          <w:tcPr>
            <w:tcW w:w="611" w:type="pct"/>
            <w:vMerge w:val="restart"/>
            <w:vAlign w:val="center"/>
          </w:tcPr>
          <w:p w14:paraId="4350A2DB">
            <w:pPr>
              <w:pStyle w:val="85"/>
              <w:rPr>
                <w:rFonts w:ascii="Times New Roman" w:hAnsi="宋体" w:eastAsia="宋体"/>
                <w:lang w:val="en-US" w:eastAsia="en-US"/>
              </w:rPr>
            </w:pPr>
            <w:r>
              <w:rPr>
                <w:rFonts w:ascii="Times New Roman" w:hAnsi="宋体" w:eastAsia="宋体"/>
                <w:lang w:val="en-US" w:eastAsia="en-US"/>
              </w:rPr>
              <w:t>污染源年排放量</w:t>
            </w:r>
          </w:p>
        </w:tc>
        <w:tc>
          <w:tcPr>
            <w:tcW w:w="1502" w:type="pct"/>
            <w:gridSpan w:val="8"/>
            <w:vAlign w:val="center"/>
          </w:tcPr>
          <w:p w14:paraId="463B7740">
            <w:pPr>
              <w:pStyle w:val="85"/>
              <w:rPr>
                <w:rFonts w:ascii="Times New Roman" w:hAnsi="宋体" w:eastAsia="宋体"/>
                <w:lang w:val="en-US" w:eastAsia="en-US"/>
              </w:rPr>
            </w:pPr>
            <w:r>
              <w:rPr>
                <w:rFonts w:ascii="Times New Roman" w:hAnsi="宋体" w:eastAsia="宋体"/>
                <w:lang w:val="en-US" w:eastAsia="en-US"/>
              </w:rPr>
              <w:t>SO</w:t>
            </w:r>
            <w:r>
              <w:rPr>
                <w:rFonts w:ascii="Times New Roman" w:hAnsi="宋体" w:eastAsia="宋体"/>
                <w:vertAlign w:val="subscript"/>
                <w:lang w:val="en-US" w:eastAsia="en-US"/>
              </w:rPr>
              <w:t>2</w:t>
            </w:r>
            <w:r>
              <w:rPr>
                <w:rFonts w:ascii="Times New Roman" w:hAnsi="宋体" w:eastAsia="宋体"/>
                <w:lang w:val="en-US" w:eastAsia="en-US"/>
              </w:rPr>
              <w:t>（0.018）t/a</w:t>
            </w:r>
          </w:p>
        </w:tc>
        <w:tc>
          <w:tcPr>
            <w:tcW w:w="1218" w:type="pct"/>
            <w:gridSpan w:val="6"/>
            <w:vAlign w:val="center"/>
          </w:tcPr>
          <w:p w14:paraId="6F402146">
            <w:pPr>
              <w:pStyle w:val="85"/>
              <w:rPr>
                <w:rFonts w:ascii="Times New Roman" w:hAnsi="宋体" w:eastAsia="宋体"/>
                <w:lang w:val="en-US" w:eastAsia="en-US"/>
              </w:rPr>
            </w:pPr>
            <w:r>
              <w:rPr>
                <w:rFonts w:ascii="Times New Roman" w:hAnsi="宋体" w:eastAsia="宋体"/>
                <w:lang w:val="en-US" w:eastAsia="en-US"/>
              </w:rPr>
              <w:t>NO</w:t>
            </w:r>
            <w:r>
              <w:rPr>
                <w:rFonts w:ascii="Times New Roman" w:hAnsi="宋体" w:eastAsia="宋体"/>
                <w:vertAlign w:val="subscript"/>
                <w:lang w:val="en-US" w:eastAsia="en-US"/>
              </w:rPr>
              <w:t>2</w:t>
            </w:r>
            <w:r>
              <w:rPr>
                <w:rFonts w:ascii="Times New Roman" w:hAnsi="宋体" w:eastAsia="宋体"/>
                <w:lang w:val="en-US" w:eastAsia="en-US"/>
              </w:rPr>
              <w:t>：（0.136）t/a</w:t>
            </w:r>
          </w:p>
        </w:tc>
        <w:tc>
          <w:tcPr>
            <w:tcW w:w="1183" w:type="pct"/>
            <w:gridSpan w:val="4"/>
            <w:vAlign w:val="center"/>
          </w:tcPr>
          <w:p w14:paraId="49F3148A">
            <w:pPr>
              <w:pStyle w:val="85"/>
              <w:rPr>
                <w:rFonts w:ascii="Times New Roman" w:hAnsi="宋体" w:eastAsia="宋体"/>
                <w:lang w:val="en-US" w:eastAsia="en-US"/>
              </w:rPr>
            </w:pPr>
            <w:r>
              <w:rPr>
                <w:rFonts w:hint="eastAsia" w:ascii="Times New Roman" w:hAnsi="宋体" w:eastAsia="宋体"/>
                <w:lang w:val="en-US"/>
              </w:rPr>
              <w:t>氨：（0</w:t>
            </w:r>
            <w:r>
              <w:rPr>
                <w:rFonts w:ascii="Times New Roman" w:hAnsi="宋体" w:eastAsia="宋体"/>
                <w:lang w:val="en-US"/>
              </w:rPr>
              <w:t>.6</w:t>
            </w:r>
            <w:r>
              <w:rPr>
                <w:rFonts w:hint="eastAsia" w:ascii="Times New Roman" w:hAnsi="宋体" w:eastAsia="宋体"/>
                <w:lang w:val="en-US"/>
              </w:rPr>
              <w:t>）t</w:t>
            </w:r>
            <w:r>
              <w:rPr>
                <w:rFonts w:ascii="Times New Roman" w:hAnsi="宋体" w:eastAsia="宋体"/>
                <w:lang w:val="en-US"/>
              </w:rPr>
              <w:t>/a</w:t>
            </w:r>
          </w:p>
        </w:tc>
      </w:tr>
      <w:tr w14:paraId="2B450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6A5E7D3A">
            <w:pPr>
              <w:pStyle w:val="85"/>
              <w:rPr>
                <w:rFonts w:ascii="Times New Roman" w:hAnsi="宋体" w:eastAsia="宋体"/>
                <w:lang w:val="en-US" w:eastAsia="en-US"/>
              </w:rPr>
            </w:pPr>
          </w:p>
        </w:tc>
        <w:tc>
          <w:tcPr>
            <w:tcW w:w="611" w:type="pct"/>
            <w:vMerge w:val="continue"/>
            <w:vAlign w:val="center"/>
          </w:tcPr>
          <w:p w14:paraId="7A7350C0">
            <w:pPr>
              <w:pStyle w:val="85"/>
              <w:rPr>
                <w:rFonts w:ascii="Times New Roman" w:hAnsi="宋体" w:eastAsia="宋体"/>
                <w:lang w:val="en-US" w:eastAsia="en-US"/>
              </w:rPr>
            </w:pPr>
          </w:p>
        </w:tc>
        <w:tc>
          <w:tcPr>
            <w:tcW w:w="1502" w:type="pct"/>
            <w:gridSpan w:val="8"/>
            <w:vAlign w:val="center"/>
          </w:tcPr>
          <w:p w14:paraId="72E274E8">
            <w:pPr>
              <w:pStyle w:val="85"/>
              <w:rPr>
                <w:rFonts w:ascii="Times New Roman" w:hAnsi="宋体" w:eastAsia="宋体"/>
                <w:lang w:val="en-US" w:eastAsia="en-US"/>
              </w:rPr>
            </w:pPr>
            <w:r>
              <w:rPr>
                <w:rFonts w:ascii="Times New Roman" w:hAnsi="宋体" w:eastAsia="宋体"/>
                <w:lang w:val="en-US" w:eastAsia="en-US"/>
              </w:rPr>
              <w:t>颗粒物（0.1）t/a</w:t>
            </w:r>
          </w:p>
        </w:tc>
        <w:tc>
          <w:tcPr>
            <w:tcW w:w="1218" w:type="pct"/>
            <w:gridSpan w:val="6"/>
            <w:vAlign w:val="center"/>
          </w:tcPr>
          <w:p w14:paraId="59EF066A">
            <w:pPr>
              <w:pStyle w:val="85"/>
              <w:rPr>
                <w:rFonts w:ascii="Times New Roman" w:hAnsi="宋体" w:eastAsia="宋体"/>
                <w:lang w:val="en-US" w:eastAsia="en-US"/>
              </w:rPr>
            </w:pPr>
            <w:r>
              <w:rPr>
                <w:rFonts w:hint="eastAsia" w:ascii="Times New Roman" w:hAnsi="宋体" w:eastAsia="宋体"/>
                <w:lang w:val="en-US"/>
              </w:rPr>
              <w:t>非甲烷总烃</w:t>
            </w:r>
            <w:r>
              <w:rPr>
                <w:rFonts w:ascii="Times New Roman" w:hAnsi="宋体" w:eastAsia="宋体"/>
                <w:lang w:val="en-US" w:eastAsia="en-US"/>
              </w:rPr>
              <w:t>（</w:t>
            </w:r>
            <w:r>
              <w:rPr>
                <w:rFonts w:hint="eastAsia" w:ascii="Times New Roman" w:hAnsi="宋体" w:eastAsia="宋体"/>
                <w:lang w:val="en-US" w:eastAsia="zh-CN"/>
              </w:rPr>
              <w:t>6.8</w:t>
            </w:r>
            <w:r>
              <w:rPr>
                <w:rFonts w:ascii="Times New Roman" w:hAnsi="宋体" w:eastAsia="宋体"/>
                <w:lang w:val="en-US" w:eastAsia="en-US"/>
              </w:rPr>
              <w:t>t/a）</w:t>
            </w:r>
          </w:p>
        </w:tc>
        <w:tc>
          <w:tcPr>
            <w:tcW w:w="1183" w:type="pct"/>
            <w:gridSpan w:val="4"/>
            <w:vAlign w:val="center"/>
          </w:tcPr>
          <w:p w14:paraId="56C87AC7">
            <w:pPr>
              <w:pStyle w:val="85"/>
              <w:rPr>
                <w:rFonts w:ascii="Times New Roman" w:hAnsi="宋体" w:eastAsia="宋体"/>
                <w:lang w:val="en-US" w:eastAsia="en-US"/>
              </w:rPr>
            </w:pPr>
            <w:r>
              <w:rPr>
                <w:rFonts w:hint="eastAsia" w:ascii="Times New Roman" w:hAnsi="宋体" w:eastAsia="宋体"/>
                <w:lang w:val="en-US"/>
              </w:rPr>
              <w:t>硫化氢：（0</w:t>
            </w:r>
            <w:r>
              <w:rPr>
                <w:rFonts w:ascii="Times New Roman" w:hAnsi="宋体" w:eastAsia="宋体"/>
                <w:lang w:val="en-US"/>
              </w:rPr>
              <w:t>.003</w:t>
            </w:r>
            <w:r>
              <w:rPr>
                <w:rFonts w:hint="eastAsia" w:ascii="Times New Roman" w:hAnsi="宋体" w:eastAsia="宋体"/>
                <w:lang w:val="en-US"/>
              </w:rPr>
              <w:t>）t</w:t>
            </w:r>
            <w:r>
              <w:rPr>
                <w:rFonts w:ascii="Times New Roman" w:hAnsi="宋体" w:eastAsia="宋体"/>
                <w:lang w:val="en-US"/>
              </w:rPr>
              <w:t>/a</w:t>
            </w:r>
          </w:p>
        </w:tc>
      </w:tr>
      <w:tr w14:paraId="26A29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4" w:type="pct"/>
            <w:vMerge w:val="continue"/>
            <w:vAlign w:val="center"/>
          </w:tcPr>
          <w:p w14:paraId="367385ED">
            <w:pPr>
              <w:pStyle w:val="85"/>
              <w:rPr>
                <w:rFonts w:ascii="Times New Roman" w:hAnsi="宋体" w:eastAsia="宋体"/>
                <w:lang w:val="en-US" w:eastAsia="en-US"/>
              </w:rPr>
            </w:pPr>
          </w:p>
        </w:tc>
        <w:tc>
          <w:tcPr>
            <w:tcW w:w="611" w:type="pct"/>
            <w:vMerge w:val="continue"/>
            <w:vAlign w:val="center"/>
          </w:tcPr>
          <w:p w14:paraId="13E35D96">
            <w:pPr>
              <w:pStyle w:val="85"/>
              <w:rPr>
                <w:rFonts w:ascii="Times New Roman" w:hAnsi="宋体" w:eastAsia="宋体"/>
                <w:lang w:val="en-US" w:eastAsia="en-US"/>
              </w:rPr>
            </w:pPr>
          </w:p>
        </w:tc>
        <w:tc>
          <w:tcPr>
            <w:tcW w:w="1502" w:type="pct"/>
            <w:gridSpan w:val="8"/>
            <w:vAlign w:val="center"/>
          </w:tcPr>
          <w:p w14:paraId="6A03A92F">
            <w:pPr>
              <w:pStyle w:val="85"/>
              <w:rPr>
                <w:rFonts w:hint="eastAsia" w:ascii="Times New Roman" w:hAnsi="宋体" w:eastAsia="宋体"/>
                <w:lang w:val="en-US" w:eastAsia="zh-CN"/>
              </w:rPr>
            </w:pPr>
            <w:r>
              <w:rPr>
                <w:rFonts w:hint="eastAsia" w:ascii="Times New Roman" w:hAnsi="宋体" w:eastAsia="宋体"/>
                <w:lang w:val="en-US" w:eastAsia="zh-CN"/>
              </w:rPr>
              <w:t>硫酸雾（0.093t/a）</w:t>
            </w:r>
          </w:p>
        </w:tc>
        <w:tc>
          <w:tcPr>
            <w:tcW w:w="1218" w:type="pct"/>
            <w:gridSpan w:val="6"/>
            <w:vAlign w:val="center"/>
          </w:tcPr>
          <w:p w14:paraId="1E481223">
            <w:pPr>
              <w:pStyle w:val="85"/>
              <w:rPr>
                <w:rFonts w:hint="eastAsia" w:ascii="Times New Roman" w:hAnsi="宋体" w:eastAsia="宋体"/>
                <w:lang w:val="en-US" w:eastAsia="zh-CN"/>
              </w:rPr>
            </w:pPr>
            <w:r>
              <w:rPr>
                <w:rFonts w:hint="eastAsia" w:ascii="Times New Roman" w:hAnsi="宋体" w:eastAsia="宋体"/>
                <w:lang w:val="en-US" w:eastAsia="zh-CN"/>
              </w:rPr>
              <w:t>/</w:t>
            </w:r>
          </w:p>
        </w:tc>
        <w:tc>
          <w:tcPr>
            <w:tcW w:w="1183" w:type="pct"/>
            <w:gridSpan w:val="4"/>
            <w:vAlign w:val="center"/>
          </w:tcPr>
          <w:p w14:paraId="36A691CD">
            <w:pPr>
              <w:pStyle w:val="85"/>
              <w:rPr>
                <w:rFonts w:hint="eastAsia" w:ascii="Times New Roman" w:hAnsi="宋体" w:eastAsia="宋体"/>
                <w:lang w:val="en-US" w:eastAsia="zh-CN"/>
              </w:rPr>
            </w:pPr>
            <w:r>
              <w:rPr>
                <w:rFonts w:hint="eastAsia" w:ascii="Times New Roman" w:hAnsi="宋体" w:eastAsia="宋体"/>
                <w:lang w:val="en-US" w:eastAsia="zh-CN"/>
              </w:rPr>
              <w:t>/</w:t>
            </w:r>
          </w:p>
        </w:tc>
      </w:tr>
    </w:tbl>
    <w:p w14:paraId="75E52BC7">
      <w:pPr>
        <w:pStyle w:val="41"/>
        <w:numPr>
          <w:ilvl w:val="0"/>
          <w:numId w:val="0"/>
        </w:numPr>
        <w:sectPr>
          <w:footerReference r:id="rId30"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2D1A088B">
      <w:pPr>
        <w:pStyle w:val="41"/>
      </w:pPr>
      <w:bookmarkStart w:id="448" w:name="_Toc152864221"/>
      <w:r>
        <w:rPr>
          <w:rFonts w:hint="eastAsia"/>
        </w:rPr>
        <w:t>地表水环境影响分析</w:t>
      </w:r>
      <w:bookmarkEnd w:id="448"/>
    </w:p>
    <w:p w14:paraId="2EDCE528">
      <w:pPr>
        <w:ind w:firstLine="480"/>
      </w:pPr>
      <w:r>
        <w:rPr>
          <w:rFonts w:hint="eastAsia"/>
        </w:rPr>
        <w:t>根据《环境影响评价技术导则 地表水环境》（HJ2.3-2018），本项目地表水评价等级为三级B，可不进行水环境影响预测，主要调查依托污水处理设施的日处理能力、处理工艺、设计进水水质、处理后的废水稳定达标排放情况，具体见“6</w:t>
      </w:r>
      <w:r>
        <w:t>.2.2</w:t>
      </w:r>
      <w:r>
        <w:rPr>
          <w:rFonts w:hint="eastAsia"/>
        </w:rPr>
        <w:t>园区污水处理厂依托可行性分析”章节。</w:t>
      </w:r>
    </w:p>
    <w:p w14:paraId="75C2A80A">
      <w:pPr>
        <w:ind w:firstLine="480"/>
      </w:pPr>
      <w:r>
        <w:rPr>
          <w:rFonts w:hint="eastAsia"/>
        </w:rPr>
        <w:t>根据项目工程分析，本项目投运后外排废水主要生产废水、车间冲洗废水、循环水排污、生活污水，其中生产废水、地面冲洗废水、循环水排污、生活污水经厂区新建的污水处理站处理后，满足《石油炼制工业污染物排放标准》（GB31570-2015）中表</w:t>
      </w:r>
      <w:r>
        <w:t>1</w:t>
      </w:r>
      <w:r>
        <w:rPr>
          <w:rFonts w:hint="eastAsia"/>
        </w:rPr>
        <w:t>间接排放限值，依托园区污水处理厂处理。</w:t>
      </w:r>
    </w:p>
    <w:p w14:paraId="2A2D5926">
      <w:pPr>
        <w:ind w:firstLine="480"/>
      </w:pPr>
      <w:r>
        <w:rPr>
          <w:rFonts w:hint="eastAsia"/>
        </w:rPr>
        <w:t>正常工况下，本项目废水不外排；非正常工况下，本项目产生的事故废水全部排入应急事故池，不进入任何地表水体。待事故结束后，分批次将废水泵入园区下水管网，依托园区污水处理厂处理。</w:t>
      </w:r>
    </w:p>
    <w:p w14:paraId="59D831F2">
      <w:pPr>
        <w:ind w:firstLine="480"/>
      </w:pPr>
      <w:r>
        <w:rPr>
          <w:rFonts w:hint="eastAsia"/>
        </w:rPr>
        <w:t>综上，本项目产生的各类废水在正常工况及非正常工况下均能够得到有效处理，不进入任何地表水体，不会对地表水环境产生影响。</w:t>
      </w:r>
    </w:p>
    <w:p w14:paraId="1701E2D4">
      <w:pPr>
        <w:pStyle w:val="41"/>
      </w:pPr>
      <w:bookmarkStart w:id="449" w:name="_Toc152864222"/>
      <w:r>
        <w:rPr>
          <w:rFonts w:hint="eastAsia"/>
        </w:rPr>
        <w:t>地下水环境影响预测与评价</w:t>
      </w:r>
      <w:bookmarkEnd w:id="449"/>
    </w:p>
    <w:p w14:paraId="4C18E4B6">
      <w:pPr>
        <w:pStyle w:val="43"/>
      </w:pPr>
      <w:bookmarkStart w:id="450" w:name="_Toc81214121"/>
      <w:bookmarkStart w:id="451" w:name="_Toc77007825"/>
      <w:bookmarkStart w:id="452" w:name="_Toc80193127"/>
      <w:bookmarkStart w:id="453" w:name="_Toc82518809"/>
      <w:bookmarkStart w:id="454" w:name="_Toc79515498"/>
      <w:bookmarkStart w:id="455" w:name="_Toc80973553"/>
      <w:bookmarkStart w:id="456" w:name="_Toc152864223"/>
      <w:r>
        <w:rPr>
          <w:rFonts w:hint="eastAsia"/>
        </w:rPr>
        <w:t>区域</w:t>
      </w:r>
      <w:r>
        <w:t>水文地质条件</w:t>
      </w:r>
      <w:bookmarkEnd w:id="450"/>
      <w:bookmarkEnd w:id="451"/>
      <w:bookmarkEnd w:id="452"/>
      <w:bookmarkEnd w:id="453"/>
      <w:bookmarkEnd w:id="454"/>
      <w:bookmarkEnd w:id="455"/>
      <w:bookmarkEnd w:id="456"/>
    </w:p>
    <w:p w14:paraId="34A36CD8">
      <w:pPr>
        <w:ind w:firstLine="480"/>
      </w:pPr>
      <w:r>
        <w:rPr>
          <w:rFonts w:hint="eastAsia"/>
        </w:rPr>
        <w:t>本项目评价范围内的区域水文地质特征相关数据及资料主要来自第七师勘测设计研究院编制的《新疆生产建设兵团第七师五五工业园区水文地质勘查报告》。</w:t>
      </w:r>
    </w:p>
    <w:p w14:paraId="6D066E41">
      <w:pPr>
        <w:ind w:firstLine="480"/>
      </w:pPr>
      <w:r>
        <w:rPr>
          <w:rFonts w:hint="eastAsia"/>
        </w:rPr>
        <w:t>本项目评价范围地处天山北麓准噶尔盆地西南边缘、奎屯河冲积平原的中下部，区域上属于奎屯河水文地质单元，区域地形地貌具有一般山前冲洪积倾斜砾质平原及第四纪冲积细土平原共有特征，即由山前冲洪积扇区（山前冲洪积倾斜砾质平原区）、扇缘溢出带区、冲积平原区和下游排泄区组成，为一个较完整的水文地质单元，具有相对独立性，区域地下水流向为“由南向北”。</w:t>
      </w:r>
    </w:p>
    <w:p w14:paraId="7DB5E252">
      <w:pPr>
        <w:pStyle w:val="45"/>
        <w:spacing w:before="65" w:after="65"/>
      </w:pPr>
      <w:r>
        <w:rPr>
          <w:rFonts w:hint="eastAsia"/>
        </w:rPr>
        <w:t>地下水赋存条件及分布规律</w:t>
      </w:r>
    </w:p>
    <w:p w14:paraId="18642826">
      <w:pPr>
        <w:ind w:firstLine="480"/>
      </w:pPr>
      <w:r>
        <w:t>评价区地下水的赋存以平原区第四系孔隙水广泛分布为特点，受第四纪松散堆积层的控制。据1/20万《区域水文地质普查报告》，第四纪松散堆积层厚度大于300m，其岩性主要为亚粘土、粘土与中细砂</w:t>
      </w:r>
      <w:r>
        <w:rPr>
          <w:rFonts w:hint="eastAsia"/>
        </w:rPr>
        <w:t>。地下水整体流向为由南向北，由于</w:t>
      </w:r>
      <w:r>
        <w:t>上游区地下水的侧向流入及</w:t>
      </w:r>
      <w:r>
        <w:rPr>
          <w:rFonts w:hint="eastAsia"/>
        </w:rPr>
        <w:t>区域</w:t>
      </w:r>
      <w:r>
        <w:t>内水库水、渠系水、农灌水的大量垂直入渗，使</w:t>
      </w:r>
      <w:r>
        <w:rPr>
          <w:rFonts w:hint="eastAsia"/>
        </w:rPr>
        <w:t>区域</w:t>
      </w:r>
      <w:r>
        <w:t>内第四纪松散堆积层中赋存了丰富的孔隙水。</w:t>
      </w:r>
    </w:p>
    <w:p w14:paraId="6C13BCC7">
      <w:pPr>
        <w:ind w:firstLine="480"/>
      </w:pPr>
      <w:r>
        <w:t>评价区位于奎屯河冲积平原中下游的地下水径流区，地下水的径流方向由南向北，至黄沟一库处向北东向、北西向及正北方向呈散射状径流。第四纪地层具</w:t>
      </w:r>
      <w:r>
        <w:rPr>
          <w:rFonts w:hint="eastAsia"/>
        </w:rPr>
        <w:t>有</w:t>
      </w:r>
      <w:r>
        <w:t>互层结构，中浅部主要以潜水含水层和微承压水含水层两种含水层类型并存，中深部可见多组承压含水层组。各类含水层组成颗粒由南向北逐渐变细，其水动力条件、含水层富水性随之</w:t>
      </w:r>
      <w:r>
        <w:rPr>
          <w:rFonts w:hint="eastAsia"/>
        </w:rPr>
        <w:t>减</w:t>
      </w:r>
      <w:r>
        <w:t>弱。潜水位埋深在3.5～4.2m之间，并随着微地形的起伏及水文网分布的不同有一定的差异。</w:t>
      </w:r>
    </w:p>
    <w:p w14:paraId="628AD94B">
      <w:pPr>
        <w:pStyle w:val="45"/>
        <w:spacing w:before="65" w:after="65"/>
      </w:pPr>
      <w:r>
        <w:rPr>
          <w:rFonts w:hint="eastAsia"/>
        </w:rPr>
        <w:t>地下水类型及富水性</w:t>
      </w:r>
    </w:p>
    <w:p w14:paraId="7F665309">
      <w:pPr>
        <w:ind w:firstLine="480"/>
      </w:pPr>
      <w:r>
        <w:rPr>
          <w:rFonts w:hint="eastAsia"/>
        </w:rPr>
        <w:t>（1）沙丘地下水特征</w:t>
      </w:r>
    </w:p>
    <w:p w14:paraId="62D51C16">
      <w:pPr>
        <w:ind w:firstLine="480"/>
      </w:pPr>
      <w:r>
        <w:rPr>
          <w:rFonts w:hint="eastAsia"/>
        </w:rPr>
        <w:t>项目所在区域东部及北部古尔班通古特沙漠西缘的半固定沙垄和链状沙丘地带，均有沙丘潜水分布。沙丘高度一般5～10m，由细砂组成。地下水赋存于沙丘间的低洼沙地，埋藏深度数米，矿化度一般大于5g/L。沙丘地下水的形成主要与大气降水和凝结水的补给有关。</w:t>
      </w:r>
    </w:p>
    <w:p w14:paraId="61C69BD6">
      <w:pPr>
        <w:ind w:firstLine="480"/>
      </w:pPr>
      <w:r>
        <w:rPr>
          <w:rFonts w:hint="eastAsia"/>
        </w:rPr>
        <w:t>（2）平原地下水特征</w:t>
      </w:r>
    </w:p>
    <w:p w14:paraId="50299448">
      <w:pPr>
        <w:ind w:firstLine="480"/>
      </w:pPr>
      <w:r>
        <w:rPr>
          <w:rFonts w:hint="eastAsia"/>
        </w:rPr>
        <w:t>项目所在区域地处天山北麓准噶尔盆地西南边缘、奎屯河冲洪积平原的中下部，区域上属于奎屯河水文地质单元，为一个较完整的水文地质单元。地层以中粗砂、细砂层和粉砂层为主，层间夹有粉土、粉质粘土和粘土，厚度大于300m，为该区域地下水的赋存和运移提供了较好的空间。</w:t>
      </w:r>
    </w:p>
    <w:p w14:paraId="08F74CB0">
      <w:pPr>
        <w:ind w:firstLine="480"/>
      </w:pPr>
      <w:r>
        <w:rPr>
          <w:rFonts w:hint="eastAsia"/>
        </w:rPr>
        <w:t>评价区地下水属松散岩类孔隙水，径流方向大体为由南向北，潜水含水层和承压含水层两种含水层类型并存。总的来看，地下水自南向北赋存条件由好变差，含水层岩性颗粒大小、厚度均表现出由大到小的趋势。区域水文地质纵向剖面见图</w:t>
      </w:r>
      <w:r>
        <w:t>5.3-1</w:t>
      </w:r>
      <w:r>
        <w:rPr>
          <w:rFonts w:hint="eastAsia"/>
        </w:rPr>
        <w:t>。</w:t>
      </w:r>
    </w:p>
    <w:p w14:paraId="35377140">
      <w:pPr>
        <w:ind w:firstLine="480"/>
      </w:pPr>
    </w:p>
    <w:p w14:paraId="722A440A">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6E00CEB7">
      <w:pPr>
        <w:ind w:firstLine="480"/>
      </w:pPr>
      <w:r>
        <w:t>根据本</w:t>
      </w:r>
      <w:r>
        <w:rPr>
          <w:rFonts w:hint="eastAsia"/>
        </w:rPr>
        <w:t>区域</w:t>
      </w:r>
      <w:r>
        <w:t>含水层的埋藏条件、成因类型、水质情况等各项因素，在300m深度</w:t>
      </w:r>
      <w:r>
        <w:rPr>
          <w:rFonts w:hint="eastAsia"/>
        </w:rPr>
        <w:t>以内</w:t>
      </w:r>
      <w:r>
        <w:t>概化为潜水含水层和承压水含水层。</w:t>
      </w:r>
    </w:p>
    <w:p w14:paraId="1A3E4FD6">
      <w:pPr>
        <w:ind w:firstLine="480"/>
      </w:pPr>
      <w:r>
        <w:rPr>
          <w:rFonts w:hint="eastAsia" w:ascii="宋体" w:hAnsi="宋体" w:cs="宋体"/>
        </w:rPr>
        <w:t>①</w:t>
      </w:r>
      <w:r>
        <w:t>潜水含水层</w:t>
      </w:r>
    </w:p>
    <w:p w14:paraId="6EEDC90D">
      <w:pPr>
        <w:ind w:firstLine="480"/>
      </w:pPr>
      <w:r>
        <w:rPr>
          <w:rFonts w:hint="eastAsia"/>
        </w:rPr>
        <w:t>本区域</w:t>
      </w:r>
      <w:r>
        <w:t>地层地表以粉土为主，层厚20～30m，为弱透水层，潜水含水层主要分</w:t>
      </w:r>
    </w:p>
    <w:p w14:paraId="337183B1">
      <w:pPr>
        <w:ind w:firstLine="0" w:firstLineChars="0"/>
      </w:pPr>
      <w:r>
        <w:t>布在20～30m以下，含水砂层3～6层，岩性主要以粉细砂为主，总厚度约15～18m，中间夹厚度不等的粉土或粉质粘土弱透水层，底板埋深50～80m，在此之上无稳定隔水层。</w:t>
      </w:r>
    </w:p>
    <w:p w14:paraId="6C5ED057">
      <w:pPr>
        <w:ind w:firstLine="480"/>
      </w:pPr>
      <w:r>
        <w:t>根据区内水文孔换算为200mm管径，推测5m降深出水量，</w:t>
      </w:r>
      <w:r>
        <w:rPr>
          <w:rFonts w:hint="eastAsia"/>
        </w:rPr>
        <w:t>区域内</w:t>
      </w:r>
      <w:r>
        <w:t>浅层含水层在西部一带单孔出水量100～1000m</w:t>
      </w:r>
      <w:r>
        <w:rPr>
          <w:vertAlign w:val="superscript"/>
        </w:rPr>
        <w:t>3</w:t>
      </w:r>
      <w:r>
        <w:t>/d，中南部出水量较少，小于100m</w:t>
      </w:r>
      <w:r>
        <w:rPr>
          <w:vertAlign w:val="superscript"/>
        </w:rPr>
        <w:t>3</w:t>
      </w:r>
      <w:r>
        <w:t>/d。水位埋深较浅，一般5～6m，个别大于7m。矿化度除在西部129团附近小于3g/L外，其他广大地区大于3g/L。水化学类型大部分为SO</w:t>
      </w:r>
      <w:r>
        <w:rPr>
          <w:vertAlign w:val="subscript"/>
        </w:rPr>
        <w:t>4</w:t>
      </w:r>
      <w:r>
        <w:t>•Cl-Na•Ca（或 Ca•Na）型水，西部零星分布Cl•HCO</w:t>
      </w:r>
      <w:r>
        <w:rPr>
          <w:vertAlign w:val="subscript"/>
        </w:rPr>
        <w:t>3</w:t>
      </w:r>
      <w:r>
        <w:t>•SO</w:t>
      </w:r>
      <w:r>
        <w:rPr>
          <w:vertAlign w:val="subscript"/>
        </w:rPr>
        <w:t>4</w:t>
      </w:r>
      <w:r>
        <w:t>-Na或SO</w:t>
      </w:r>
      <w:r>
        <w:rPr>
          <w:vertAlign w:val="subscript"/>
        </w:rPr>
        <w:t>4</w:t>
      </w:r>
      <w:r>
        <w:t>•Cl-Na型水。根据前人潜水完整井抽水试验结果，渗透系数为0.981m/d。</w:t>
      </w:r>
    </w:p>
    <w:p w14:paraId="4493B981">
      <w:pPr>
        <w:ind w:firstLine="480"/>
      </w:pPr>
      <w:r>
        <w:rPr>
          <w:rFonts w:hint="eastAsia" w:ascii="宋体" w:hAnsi="宋体" w:cs="宋体"/>
        </w:rPr>
        <w:t>②</w:t>
      </w:r>
      <w:r>
        <w:t>承压含水层</w:t>
      </w:r>
    </w:p>
    <w:p w14:paraId="2DE7CC8E">
      <w:pPr>
        <w:ind w:firstLine="480"/>
      </w:pPr>
      <w:r>
        <w:t>300m深度内可见承压含水层组三组。第一组承压含水层的隔水顶板埋深为60～77m，含水层厚度为53～70m，岩性以粉细砂为主，底板埋深为120～139m。第一组承压含水层的隔水底板亦为第二组承压含水层的隔水顶板，含水层厚度4～22m，含水层岩性为粉细砂，隔水底板埋深为183～193m，厚度为11～6m，岩性为粉质粘土。第二组承压含水层底板以下至300m之间为第三组承压含水层，含水层岩性为细砂及中细砂。</w:t>
      </w:r>
    </w:p>
    <w:p w14:paraId="5066C963">
      <w:pPr>
        <w:ind w:firstLine="480"/>
      </w:pPr>
      <w:r>
        <w:t>根据区水文孔换算为200mm管径，推测5m降深出水量，</w:t>
      </w:r>
      <w:r>
        <w:rPr>
          <w:rFonts w:hint="eastAsia"/>
        </w:rPr>
        <w:t>区域内</w:t>
      </w:r>
      <w:r>
        <w:t>承压含水层单孔出水量为100～1000m</w:t>
      </w:r>
      <w:r>
        <w:rPr>
          <w:vertAlign w:val="superscript"/>
        </w:rPr>
        <w:t>3</w:t>
      </w:r>
      <w:r>
        <w:t>/d，单位涌水量为0.348～0.968L/m•s。水位埋深较深，一般12～15m，个别大于20m。矿化度基本小于1.0g/L，但大部分氟离子含量超标，水化学类型为HCO</w:t>
      </w:r>
      <w:r>
        <w:rPr>
          <w:vertAlign w:val="subscript"/>
        </w:rPr>
        <w:t>3</w:t>
      </w:r>
      <w:r>
        <w:t>•SO</w:t>
      </w:r>
      <w:r>
        <w:rPr>
          <w:vertAlign w:val="subscript"/>
        </w:rPr>
        <w:t>4</w:t>
      </w:r>
      <w:r>
        <w:t>-Na或HCO</w:t>
      </w:r>
      <w:r>
        <w:rPr>
          <w:vertAlign w:val="subscript"/>
        </w:rPr>
        <w:t>3</w:t>
      </w:r>
      <w:r>
        <w:t>-Na型水。据前人抽水试验结果，渗透系数为5.16～5.978m/d。</w:t>
      </w:r>
    </w:p>
    <w:p w14:paraId="533D1CAE">
      <w:pPr>
        <w:pStyle w:val="45"/>
        <w:spacing w:before="65" w:after="65"/>
      </w:pPr>
      <w:r>
        <w:rPr>
          <w:rFonts w:hint="eastAsia"/>
        </w:rPr>
        <w:t>地下水补、径、排条件</w:t>
      </w:r>
    </w:p>
    <w:p w14:paraId="6B71FD0C">
      <w:pPr>
        <w:ind w:firstLine="480"/>
      </w:pPr>
      <w:r>
        <w:rPr>
          <w:rFonts w:hint="eastAsia"/>
        </w:rPr>
        <w:t>（1）地下水的补给</w:t>
      </w:r>
    </w:p>
    <w:p w14:paraId="5972DE38">
      <w:pPr>
        <w:ind w:firstLine="480"/>
      </w:pPr>
      <w:r>
        <w:rPr>
          <w:rFonts w:hint="eastAsia"/>
        </w:rPr>
        <w:t>评价区域地下水的补给主要是侧向径流流入补给、地表水的垂向入渗补给和大气降水渗入补给，其中地表水的垂向入渗补给包括渠道水、田间灌溉水和水库水三种渗入补给。</w:t>
      </w:r>
    </w:p>
    <w:p w14:paraId="652D4549">
      <w:pPr>
        <w:ind w:firstLine="480"/>
      </w:pPr>
      <w:r>
        <w:rPr>
          <w:rFonts w:hint="eastAsia"/>
        </w:rPr>
        <w:t>①地下水侧向流入补给</w:t>
      </w:r>
    </w:p>
    <w:p w14:paraId="3471150B">
      <w:pPr>
        <w:ind w:firstLine="480"/>
      </w:pPr>
      <w:r>
        <w:rPr>
          <w:rFonts w:hint="eastAsia"/>
        </w:rPr>
        <w:t>本项目南界为地下水流入断面，断面以南在地貌上属于冲洪积倾斜平原区的扇缘溢出带区。该地貌单元地层颗粒相对较粗，地层结构较为单一，渗透性较好。地下水在接受了大量补给后，受较大的水力坡度和较粗的含水层岩性的影响，以径流形式侧向补给下游区。</w:t>
      </w:r>
    </w:p>
    <w:p w14:paraId="3D8B60F0">
      <w:pPr>
        <w:ind w:firstLine="480"/>
      </w:pPr>
      <w:r>
        <w:rPr>
          <w:rFonts w:hint="eastAsia"/>
        </w:rPr>
        <w:t>②渠道水渗入补给</w:t>
      </w:r>
    </w:p>
    <w:p w14:paraId="7C7B4B33">
      <w:pPr>
        <w:ind w:firstLine="480"/>
      </w:pPr>
      <w:r>
        <w:rPr>
          <w:rFonts w:hint="eastAsia"/>
        </w:rPr>
        <w:t>项目所在区域位于129团和第七师胡杨河市一带，周边分布有耕地，另外还有三条输至下游水库及团场的大型过境引水干渠，由此形成测区各级渠道纵横交错的水系网，过境干渠及区内使用渠道总长度为数千公里。渠道防渗完好率仅占一半，干、支渠输水线路长，各渠床及渠堤土质多为粉土，各级渠系年引水量大，使渠道渗漏成为区内潜水及中浅微承压水主要的补给源。</w:t>
      </w:r>
    </w:p>
    <w:p w14:paraId="6EEFD068">
      <w:pPr>
        <w:ind w:firstLine="480"/>
      </w:pPr>
      <w:r>
        <w:rPr>
          <w:rFonts w:hint="eastAsia"/>
        </w:rPr>
        <w:t>③田间灌溉水渗入补给</w:t>
      </w:r>
    </w:p>
    <w:p w14:paraId="7957593A">
      <w:pPr>
        <w:ind w:firstLine="480"/>
      </w:pPr>
      <w:r>
        <w:rPr>
          <w:rFonts w:hint="eastAsia"/>
        </w:rPr>
        <w:t>项目所在区域内耕作层多为粉土与粉细砂、粉质粘土交互沉积组成，渗透性较好。区域现状综合净灌溉定额相对较高，由此，与耕作层及包气带良好的渗透性相结合，使田间灌溉水渗入条件较好，渗入量较为可观，成为地下水的主要补给源之一。</w:t>
      </w:r>
    </w:p>
    <w:p w14:paraId="0A7EF5CD">
      <w:pPr>
        <w:ind w:firstLine="480"/>
      </w:pPr>
      <w:r>
        <w:rPr>
          <w:rFonts w:hint="eastAsia" w:ascii="宋体" w:hAnsi="宋体" w:cs="宋体"/>
        </w:rPr>
        <w:t>④</w:t>
      </w:r>
      <w:r>
        <w:t>水库水入渗补给</w:t>
      </w:r>
    </w:p>
    <w:p w14:paraId="60BE130A">
      <w:pPr>
        <w:ind w:firstLine="480"/>
      </w:pPr>
      <w:r>
        <w:rPr>
          <w:rFonts w:hint="eastAsia"/>
        </w:rPr>
        <w:t>项目所在区域西侧分布两座水库，分别为车排子水库和奎屯水库，车排子水库位于项目区正西面约22km，奎屯水库位于项目区西南偏西约21km，总有效库容为5700×104m</w:t>
      </w:r>
      <w:r>
        <w:rPr>
          <w:rFonts w:hint="eastAsia"/>
          <w:vertAlign w:val="superscript"/>
        </w:rPr>
        <w:t>3</w:t>
      </w:r>
      <w:r>
        <w:rPr>
          <w:rFonts w:hint="eastAsia"/>
        </w:rPr>
        <w:t>。根据前人实测，水库坝后形成的宽度200～500m等的沼泽化带，表明库区及坝体存在着渗漏，对地下水起着重要补给作用。</w:t>
      </w:r>
    </w:p>
    <w:p w14:paraId="760F20A7">
      <w:pPr>
        <w:ind w:firstLine="480"/>
      </w:pPr>
      <w:r>
        <w:rPr>
          <w:rFonts w:hint="eastAsia" w:ascii="宋体" w:hAnsi="宋体" w:cs="宋体"/>
        </w:rPr>
        <w:t>⑤</w:t>
      </w:r>
      <w:r>
        <w:t>大气降水渗入补给</w:t>
      </w:r>
    </w:p>
    <w:p w14:paraId="0C4181EB">
      <w:pPr>
        <w:ind w:firstLine="480"/>
      </w:pPr>
      <w:r>
        <w:rPr>
          <w:rFonts w:hint="eastAsia"/>
        </w:rPr>
        <w:t>本项目所在区域</w:t>
      </w:r>
      <w:r>
        <w:t>地处内陆腹地，气候干旱，降水稀少，多年平均降水量仅为204.5mm，有效降雨量为135.3mm，对地下水有一定渗入补给，但补给意义不大。</w:t>
      </w:r>
    </w:p>
    <w:p w14:paraId="0A1F542E">
      <w:pPr>
        <w:ind w:firstLine="480"/>
      </w:pPr>
      <w:r>
        <w:t>（2）地下水径流</w:t>
      </w:r>
    </w:p>
    <w:p w14:paraId="6B6CBCB9">
      <w:pPr>
        <w:ind w:firstLine="480"/>
      </w:pPr>
      <w:r>
        <w:t>地下水的径流条件主要受地形条件和含水层介质所控制。</w:t>
      </w:r>
      <w:r>
        <w:rPr>
          <w:rFonts w:hint="eastAsia"/>
        </w:rPr>
        <w:t>区域</w:t>
      </w:r>
      <w:r>
        <w:t>地形开阔，地势东南高、西北低，地形坡降1‰～2.0‰。含水介质以细砂和粉细砂为主，由南向北逐渐变细，但其总体在平面上径流条件相差不大。</w:t>
      </w:r>
      <w:r>
        <w:rPr>
          <w:rFonts w:hint="eastAsia"/>
        </w:rPr>
        <w:t>区域内</w:t>
      </w:r>
      <w:r>
        <w:t>潜水和承压水主流基本一致，均为由南向北，稍偏西，总体来说</w:t>
      </w:r>
      <w:r>
        <w:rPr>
          <w:rFonts w:hint="eastAsia"/>
        </w:rPr>
        <w:t>区域</w:t>
      </w:r>
      <w:r>
        <w:t>内地下水流场较为简单。</w:t>
      </w:r>
    </w:p>
    <w:p w14:paraId="3BA67E3F">
      <w:pPr>
        <w:ind w:firstLine="480"/>
      </w:pPr>
      <w:r>
        <w:t>潜水由区</w:t>
      </w:r>
      <w:r>
        <w:rPr>
          <w:rFonts w:hint="eastAsia"/>
        </w:rPr>
        <w:t>域</w:t>
      </w:r>
      <w:r>
        <w:t>南部边界流入测区，南部水力坡度约为1.0‰，中东部由于受渠水、田灌水入渗及人工开采影响，地下水径流相对加强，水力坡度增大到2.0‰左右，至北部径流放缓，降为1.0‰左右。承压水径流因受开采强度影响，较潜水径流较快，但较为稳定，水力坡度平均为1.6‰。</w:t>
      </w:r>
    </w:p>
    <w:p w14:paraId="18CAECEC">
      <w:pPr>
        <w:ind w:firstLine="480"/>
      </w:pPr>
      <w:r>
        <w:t>（3）地下水的排泄</w:t>
      </w:r>
    </w:p>
    <w:p w14:paraId="48B3BF39">
      <w:pPr>
        <w:ind w:firstLine="480"/>
      </w:pPr>
      <w:r>
        <w:rPr>
          <w:rFonts w:hint="eastAsia"/>
        </w:rPr>
        <w:t>区域</w:t>
      </w:r>
      <w:r>
        <w:t>内潜水的排泄方式有蒸发蒸腾、河沟排泄、排渠排泄、地下水侧向排泄及人工开采等，承压水则主要为地下水侧向排泄及人工开采。</w:t>
      </w:r>
      <w:r>
        <w:rPr>
          <w:rFonts w:hint="eastAsia"/>
        </w:rPr>
        <w:t>区域内</w:t>
      </w:r>
      <w:r>
        <w:t>水面多年蒸发量由奎屯气象站和车牌子气象站实测平均1755（E20），且有部分区域潜水位埋深小于5m，因此，蒸发、蒸腾是本区地下水主要的排泄方式之一，近年由于农田用水增加，人工开采影响比较明显，开采集中区已形成降落漏斗，下游断面还存在地下侧向径流排泄。</w:t>
      </w:r>
    </w:p>
    <w:p w14:paraId="06153977">
      <w:pPr>
        <w:ind w:firstLine="480"/>
      </w:pPr>
    </w:p>
    <w:p w14:paraId="355C2E26">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64F2834F">
      <w:pPr>
        <w:pStyle w:val="45"/>
        <w:spacing w:before="65" w:after="65"/>
      </w:pPr>
      <w:r>
        <w:rPr>
          <w:rFonts w:hint="eastAsia"/>
        </w:rPr>
        <w:t>地下水动态变化特征</w:t>
      </w:r>
    </w:p>
    <w:p w14:paraId="3C11B1B1">
      <w:pPr>
        <w:ind w:firstLine="480"/>
      </w:pPr>
      <w:r>
        <w:rPr>
          <w:rFonts w:hint="eastAsia"/>
        </w:rPr>
        <w:t>（1）年内变化特征</w:t>
      </w:r>
    </w:p>
    <w:p w14:paraId="775439B5">
      <w:pPr>
        <w:ind w:firstLine="480"/>
      </w:pPr>
      <w:r>
        <w:rPr>
          <w:rFonts w:hint="eastAsia"/>
        </w:rPr>
        <w:t>①潜水动态变化特征</w:t>
      </w:r>
    </w:p>
    <w:p w14:paraId="7FCB678F">
      <w:pPr>
        <w:ind w:firstLine="480"/>
      </w:pPr>
      <w:r>
        <w:rPr>
          <w:rFonts w:hint="eastAsia"/>
        </w:rPr>
        <w:t>自然与人为因素是影响地下水动态的两大因素，根据本区域气象、水文及人类活动有关因素的资料，区域潜水主要受奎屯河的渗漏补给及渠系渗漏补给等因素影响，水文及人工影响是制约本区域地下水动态的主要因素。</w:t>
      </w:r>
    </w:p>
    <w:p w14:paraId="665D1CEA">
      <w:pPr>
        <w:ind w:firstLine="480"/>
      </w:pPr>
      <w:r>
        <w:t>根据</w:t>
      </w:r>
      <w:r>
        <w:rPr>
          <w:rFonts w:hint="eastAsia"/>
        </w:rPr>
        <w:t>已有</w:t>
      </w:r>
      <w:r>
        <w:t>研究成果来看，</w:t>
      </w:r>
      <w:r>
        <w:rPr>
          <w:rFonts w:hint="eastAsia"/>
        </w:rPr>
        <w:t>项目区</w:t>
      </w:r>
      <w:r>
        <w:t>西部附近，潜水位主要受灌渠来水影响，高水位期一般出现在1</w:t>
      </w:r>
      <w:r>
        <w:rPr>
          <w:rFonts w:hint="eastAsia"/>
        </w:rPr>
        <w:t>～</w:t>
      </w:r>
      <w:r>
        <w:t>3月，低水位期出现在7～9月，年内水位变幅2m左右。在东部外围，潜水位比较稳定，变幅小于0.5m。</w:t>
      </w:r>
    </w:p>
    <w:p w14:paraId="1D094FFF">
      <w:pPr>
        <w:ind w:firstLine="480"/>
      </w:pPr>
      <w:r>
        <w:rPr>
          <w:rFonts w:hint="eastAsia" w:ascii="宋体" w:hAnsi="宋体" w:cs="宋体"/>
        </w:rPr>
        <w:t>②</w:t>
      </w:r>
      <w:r>
        <w:t>承压水动态变化特征</w:t>
      </w:r>
    </w:p>
    <w:p w14:paraId="5AD034D8">
      <w:pPr>
        <w:ind w:firstLine="480"/>
      </w:pPr>
      <w:r>
        <w:t>承压水的动态变化与当地气象因素关系较小，多年的缓慢变化与补给区的静水压力、气候及开采强度有关，其动态类型为径流-开采型。</w:t>
      </w:r>
      <w:r>
        <w:rPr>
          <w:rFonts w:hint="eastAsia"/>
        </w:rPr>
        <w:t>区域</w:t>
      </w:r>
      <w:r>
        <w:t>承压水处于缓慢 下降的过程，下降速率为0.3～0.5m/a。</w:t>
      </w:r>
    </w:p>
    <w:p w14:paraId="1484416F">
      <w:pPr>
        <w:ind w:firstLine="480"/>
      </w:pPr>
      <w:r>
        <w:t>（2）多年变化特征</w:t>
      </w:r>
    </w:p>
    <w:p w14:paraId="7C0A5057">
      <w:pPr>
        <w:ind w:firstLine="480"/>
      </w:pPr>
      <w:r>
        <w:rPr>
          <w:rFonts w:hint="eastAsia"/>
        </w:rPr>
        <w:t>本项目所在区域</w:t>
      </w:r>
      <w:r>
        <w:t>潜水位埋深演变可划分三个阶段，即第一期：上世纪50年代中期以前，地下水循环系统近于天然状态，为天然状态时期；第二期，50年代中期至80年代，开展了农田水利建设，兴建了大量灌渠，潜水位埋深由最初的3～4m，上升到1～3m</w:t>
      </w:r>
      <w:r>
        <w:rPr>
          <w:rFonts w:hint="eastAsia"/>
        </w:rPr>
        <w:t>并</w:t>
      </w:r>
      <w:r>
        <w:t>保持稳定；第三期，进入80年代中期，随着灌渠年久失修，缺少外来客水的灌溉入渗补给，加之井灌的实施，潜水处于缓慢下降的阶段，现状水位埋深一般5～6m，个别大于7m。</w:t>
      </w:r>
    </w:p>
    <w:p w14:paraId="63777BB6">
      <w:pPr>
        <w:ind w:firstLine="480"/>
      </w:pPr>
      <w:r>
        <w:rPr>
          <w:rFonts w:hint="eastAsia"/>
        </w:rPr>
        <w:t>本项目所在区域</w:t>
      </w:r>
      <w:r>
        <w:t>承压水开发利用始于六十年代，主要用于团部及连队生活用水，开采量很小，基本处于天然状态，水位埋深3m左右；进入21世纪，随着西部大开发的进行，作为</w:t>
      </w:r>
      <w:r>
        <w:rPr>
          <w:rFonts w:hint="eastAsia"/>
        </w:rPr>
        <w:t>区域</w:t>
      </w:r>
      <w:r>
        <w:t>内主要供水层，工业和城市的地下水集中开采，彻底改变了地下水循环系统，承压水位持续下降，下降速率0.3～0.5m/a，现状埋深为12～15m，个别大于20m。</w:t>
      </w:r>
    </w:p>
    <w:p w14:paraId="23655D26">
      <w:pPr>
        <w:pStyle w:val="43"/>
      </w:pPr>
      <w:bookmarkStart w:id="457" w:name="_Toc82518810"/>
      <w:bookmarkStart w:id="458" w:name="_Toc152864224"/>
      <w:bookmarkStart w:id="459" w:name="_Toc79515499"/>
      <w:bookmarkStart w:id="460" w:name="_Toc77007826"/>
      <w:bookmarkStart w:id="461" w:name="_Toc80193128"/>
      <w:bookmarkStart w:id="462" w:name="_Toc81214122"/>
      <w:bookmarkStart w:id="463" w:name="_Toc80973554"/>
      <w:r>
        <w:rPr>
          <w:rFonts w:hint="eastAsia"/>
        </w:rPr>
        <w:t>厂区水文地质概况</w:t>
      </w:r>
      <w:bookmarkEnd w:id="457"/>
      <w:bookmarkEnd w:id="458"/>
      <w:bookmarkEnd w:id="459"/>
      <w:bookmarkEnd w:id="460"/>
      <w:bookmarkEnd w:id="461"/>
      <w:bookmarkEnd w:id="462"/>
      <w:bookmarkEnd w:id="463"/>
    </w:p>
    <w:p w14:paraId="560E7A28">
      <w:pPr>
        <w:ind w:firstLine="480"/>
      </w:pPr>
      <w:r>
        <w:rPr>
          <w:rFonts w:hint="eastAsia"/>
        </w:rPr>
        <w:t>本项目厂区水文地质资料来自由河南省水文地质工程地质勘察院编制的《新疆邦友化工有限公司100万吨/年重油制烯烃联合装置及配套工程地下水环境影响专题报告》，新疆邦友化工有限公司位于本项目厂区东北侧4</w:t>
      </w:r>
      <w:r>
        <w:t>.3</w:t>
      </w:r>
      <w:r>
        <w:rPr>
          <w:rFonts w:hint="eastAsia"/>
        </w:rPr>
        <w:t>km处，与本项目位于同一个水文地质单元。</w:t>
      </w:r>
    </w:p>
    <w:p w14:paraId="15FD504D">
      <w:pPr>
        <w:pStyle w:val="45"/>
        <w:spacing w:before="65" w:after="65"/>
      </w:pPr>
      <w:r>
        <w:rPr>
          <w:rFonts w:hint="eastAsia"/>
        </w:rPr>
        <w:t>第四系孔隙潜水</w:t>
      </w:r>
    </w:p>
    <w:p w14:paraId="33C90518">
      <w:pPr>
        <w:ind w:firstLine="480"/>
      </w:pPr>
      <w:r>
        <w:rPr>
          <w:rFonts w:hint="eastAsia"/>
        </w:rPr>
        <w:t>广泛分布于整个厂区，含水层岩性为粉砂、细砂等，水位埋深4～7m不等，单孔涌水量（换算为200mm管径，降深5m）一般为38.66～75.77m</w:t>
      </w:r>
      <w:r>
        <w:rPr>
          <w:rFonts w:hint="eastAsia"/>
          <w:vertAlign w:val="superscript"/>
        </w:rPr>
        <w:t>3</w:t>
      </w:r>
      <w:r>
        <w:rPr>
          <w:rFonts w:hint="eastAsia"/>
        </w:rPr>
        <w:t>/d，平均为57.99m</w:t>
      </w:r>
      <w:r>
        <w:rPr>
          <w:rFonts w:hint="eastAsia"/>
          <w:vertAlign w:val="superscript"/>
        </w:rPr>
        <w:t>3</w:t>
      </w:r>
      <w:r>
        <w:rPr>
          <w:rFonts w:hint="eastAsia"/>
        </w:rPr>
        <w:t>/d，属弱富水区。水化学类型为SO</w:t>
      </w:r>
      <w:r>
        <w:rPr>
          <w:rFonts w:hint="eastAsia"/>
          <w:vertAlign w:val="subscript"/>
        </w:rPr>
        <w:t>4</w:t>
      </w:r>
      <w:r>
        <w:t>·</w:t>
      </w:r>
      <w:r>
        <w:rPr>
          <w:rFonts w:hint="eastAsia"/>
        </w:rPr>
        <w:t>Cl-Na</w:t>
      </w:r>
      <w:r>
        <w:t>·</w:t>
      </w:r>
      <w:r>
        <w:rPr>
          <w:rFonts w:hint="eastAsia"/>
        </w:rPr>
        <w:t>Ca﹑SO</w:t>
      </w:r>
      <w:r>
        <w:rPr>
          <w:rFonts w:hint="eastAsia"/>
          <w:vertAlign w:val="subscript"/>
        </w:rPr>
        <w:t>4</w:t>
      </w:r>
      <w:r>
        <w:t>·</w:t>
      </w:r>
      <w:r>
        <w:rPr>
          <w:rFonts w:hint="eastAsia"/>
        </w:rPr>
        <w:t>Cl-Ca</w:t>
      </w:r>
      <w:r>
        <w:t>·</w:t>
      </w:r>
      <w:r>
        <w:rPr>
          <w:rFonts w:hint="eastAsia"/>
        </w:rPr>
        <w:t>Na﹑Cl-Na型，pH值为7.54～9.59，矿化度3.66～28.87g/L，水质较差，不宜于生活饮用。根据抽水试验成果，渗透系数0.23～0.41m/d，平均渗透系数为0.33m/d。</w:t>
      </w:r>
    </w:p>
    <w:p w14:paraId="51E9FB76">
      <w:pPr>
        <w:pStyle w:val="45"/>
        <w:spacing w:before="65" w:after="65"/>
      </w:pPr>
      <w:r>
        <w:rPr>
          <w:rFonts w:hint="eastAsia"/>
        </w:rPr>
        <w:t>第四系孔隙承压水</w:t>
      </w:r>
    </w:p>
    <w:p w14:paraId="3B381028">
      <w:pPr>
        <w:ind w:firstLine="480"/>
      </w:pPr>
      <w:r>
        <w:rPr>
          <w:rFonts w:hint="eastAsia"/>
        </w:rPr>
        <w:t>根据勘探孔资料，只揭露地表以下第一层承压水。承压水水位埋深为14m，承压水位已下降至地面以下，主要是因为园区上游过量取水原因所致。根据邻区水井抽水试验成果资料，其承压水单井涌水量（换算为200mm管径，降深5m）一般为140～275m</w:t>
      </w:r>
      <w:r>
        <w:rPr>
          <w:rFonts w:hint="eastAsia"/>
          <w:vertAlign w:val="superscript"/>
        </w:rPr>
        <w:t>3</w:t>
      </w:r>
      <w:r>
        <w:rPr>
          <w:rFonts w:hint="eastAsia"/>
        </w:rPr>
        <w:t>/d，平均为183m</w:t>
      </w:r>
      <w:r>
        <w:rPr>
          <w:rFonts w:hint="eastAsia"/>
          <w:vertAlign w:val="superscript"/>
        </w:rPr>
        <w:t>3</w:t>
      </w:r>
      <w:r>
        <w:rPr>
          <w:rFonts w:hint="eastAsia"/>
        </w:rPr>
        <w:t>/d，属中等富水区。水化学类型为HCO</w:t>
      </w:r>
      <w:r>
        <w:rPr>
          <w:rFonts w:hint="eastAsia"/>
          <w:vertAlign w:val="subscript"/>
        </w:rPr>
        <w:t>3</w:t>
      </w:r>
      <w:r>
        <w:t>·</w:t>
      </w:r>
      <w:r>
        <w:rPr>
          <w:rFonts w:hint="eastAsia"/>
        </w:rPr>
        <w:t>SO</w:t>
      </w:r>
      <w:r>
        <w:rPr>
          <w:rFonts w:hint="eastAsia"/>
          <w:vertAlign w:val="subscript"/>
        </w:rPr>
        <w:t>4</w:t>
      </w:r>
      <w:r>
        <w:rPr>
          <w:rFonts w:hint="eastAsia"/>
        </w:rPr>
        <w:t>-Na﹑SO</w:t>
      </w:r>
      <w:r>
        <w:rPr>
          <w:rFonts w:hint="eastAsia"/>
          <w:vertAlign w:val="subscript"/>
        </w:rPr>
        <w:t>4</w:t>
      </w:r>
      <w:r>
        <w:rPr>
          <w:rFonts w:hint="eastAsia"/>
        </w:rPr>
        <w:t>-Na</w:t>
      </w:r>
      <w:r>
        <w:t>·</w:t>
      </w:r>
      <w:r>
        <w:rPr>
          <w:rFonts w:hint="eastAsia"/>
        </w:rPr>
        <w:t>Ca﹑Cl</w:t>
      </w:r>
      <w:r>
        <w:t>·</w:t>
      </w:r>
      <w:r>
        <w:rPr>
          <w:rFonts w:hint="eastAsia"/>
        </w:rPr>
        <w:t>SO</w:t>
      </w:r>
      <w:r>
        <w:rPr>
          <w:rFonts w:hint="eastAsia"/>
          <w:vertAlign w:val="subscript"/>
        </w:rPr>
        <w:t>4</w:t>
      </w:r>
      <w:r>
        <w:t>·</w:t>
      </w:r>
      <w:r>
        <w:rPr>
          <w:rFonts w:hint="eastAsia"/>
        </w:rPr>
        <w:t>HCO</w:t>
      </w:r>
      <w:r>
        <w:rPr>
          <w:rFonts w:hint="eastAsia"/>
          <w:vertAlign w:val="subscript"/>
        </w:rPr>
        <w:t>3</w:t>
      </w:r>
      <w:r>
        <w:rPr>
          <w:rFonts w:hint="eastAsia"/>
        </w:rPr>
        <w:t>-Na型，矿化度0.42～0.9g/L，pH值7.9～8.1，氟化物0.0009～0.01g/L。根据前人抽水试验成果，渗透系数为5.16～5.978m/d。</w:t>
      </w:r>
    </w:p>
    <w:p w14:paraId="4FEB02A0">
      <w:pPr>
        <w:pStyle w:val="45"/>
        <w:spacing w:before="65" w:after="65"/>
      </w:pPr>
      <w:r>
        <w:rPr>
          <w:rFonts w:hint="eastAsia"/>
        </w:rPr>
        <w:t>水文地质勘查与试验</w:t>
      </w:r>
    </w:p>
    <w:p w14:paraId="41C8D7C1">
      <w:pPr>
        <w:ind w:firstLine="480"/>
      </w:pPr>
      <w:r>
        <w:rPr>
          <w:rFonts w:hint="eastAsia"/>
        </w:rPr>
        <w:t>（1）渗水试验</w:t>
      </w:r>
    </w:p>
    <w:p w14:paraId="4A8C3355">
      <w:pPr>
        <w:ind w:firstLine="480"/>
      </w:pPr>
      <w:r>
        <w:rPr>
          <w:rFonts w:hint="eastAsia"/>
        </w:rPr>
        <w:t>污染物从地表进入浅层地下水通常都经过包气带。包气带的防污性能好坏直接影响地下水的污染类型和程度。垂向渗透系数是评价包气带防污性能的重要参数。现场渗水试验是获得表层包气带垂向渗透系数的重要手段，试验选用方法为双环法。在厂区内布置了S4﹑S5﹑S6共3组双环渗水试验，主要目的在于确定厂区上覆包气带第四系地层的垂向入渗速率。双环渗水试验采用外环直径50cm，内环直径25cm，两者安装成同心状。</w:t>
      </w:r>
    </w:p>
    <w:p w14:paraId="79C8899F">
      <w:pPr>
        <w:pStyle w:val="47"/>
        <w:spacing w:before="0" w:beforeLines="0" w:after="0"/>
      </w:pPr>
      <w:bookmarkStart w:id="464" w:name="_Ref74742072"/>
    </w:p>
    <w:bookmarkEnd w:id="464"/>
    <w:p w14:paraId="587985C4">
      <w:pPr>
        <w:pStyle w:val="47"/>
        <w:spacing w:before="65"/>
      </w:pPr>
      <w:r>
        <w:rPr>
          <w:rFonts w:hint="eastAsia"/>
        </w:rPr>
        <w:t>图5</w:t>
      </w:r>
      <w:r>
        <w:t xml:space="preserve">.3-3   </w:t>
      </w:r>
      <w:r>
        <w:rPr>
          <w:rFonts w:hint="eastAsia"/>
        </w:rPr>
        <w:t>双环渗水试验装置示意图</w:t>
      </w:r>
    </w:p>
    <w:p w14:paraId="2BAADA21">
      <w:pPr>
        <w:ind w:firstLine="480"/>
      </w:pPr>
      <w:r>
        <w:rPr>
          <w:rFonts w:hint="eastAsia"/>
        </w:rPr>
        <w:t>通过分析各测点渗透系数计算结果，厂区内表层垂向渗透系数最大值在S5测点处，为2.04×10</w:t>
      </w:r>
      <w:r>
        <w:rPr>
          <w:rFonts w:hint="eastAsia"/>
          <w:vertAlign w:val="superscript"/>
        </w:rPr>
        <w:t>-3</w:t>
      </w:r>
      <w:r>
        <w:rPr>
          <w:rFonts w:hint="eastAsia"/>
        </w:rPr>
        <w:t>cm/s，最小值在S6测点处，为6.79×10</w:t>
      </w:r>
      <w:r>
        <w:rPr>
          <w:rFonts w:hint="eastAsia"/>
          <w:vertAlign w:val="superscript"/>
        </w:rPr>
        <w:t>-4</w:t>
      </w:r>
      <w:r>
        <w:rPr>
          <w:rFonts w:hint="eastAsia"/>
        </w:rPr>
        <w:t>cm/s，平均值为1.24×10</w:t>
      </w:r>
      <w:r>
        <w:rPr>
          <w:rFonts w:hint="eastAsia"/>
          <w:vertAlign w:val="superscript"/>
        </w:rPr>
        <w:t>-3</w:t>
      </w:r>
      <w:r>
        <w:rPr>
          <w:rFonts w:hint="eastAsia"/>
        </w:rPr>
        <w:t>cm/s，厂区各试点的稳定流量及渗透系数计算结果见下表。</w:t>
      </w:r>
    </w:p>
    <w:p w14:paraId="750C2397">
      <w:pPr>
        <w:pStyle w:val="47"/>
        <w:spacing w:before="65"/>
      </w:pPr>
      <w:r>
        <w:rPr>
          <w:rFonts w:hint="eastAsia"/>
        </w:rPr>
        <w:t>表5</w:t>
      </w:r>
      <w:r>
        <w:t xml:space="preserve">.3-1   </w:t>
      </w:r>
      <w:r>
        <w:rPr>
          <w:rFonts w:hint="eastAsia"/>
        </w:rPr>
        <w:t>双环渗水试验渗透系数计算结果</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41"/>
        <w:gridCol w:w="2556"/>
        <w:gridCol w:w="2464"/>
        <w:gridCol w:w="2369"/>
      </w:tblGrid>
      <w:tr w14:paraId="4B620F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768" w:type="pct"/>
            <w:shd w:val="clear" w:color="auto" w:fill="auto"/>
            <w:vAlign w:val="center"/>
          </w:tcPr>
          <w:p w14:paraId="550A6A43">
            <w:pPr>
              <w:adjustRightInd w:val="0"/>
              <w:snapToGrid w:val="0"/>
              <w:spacing w:line="240" w:lineRule="auto"/>
              <w:ind w:firstLine="0" w:firstLineChars="0"/>
              <w:jc w:val="center"/>
              <w:rPr>
                <w:sz w:val="21"/>
                <w:szCs w:val="21"/>
                <w:lang w:eastAsia="en-US"/>
              </w:rPr>
            </w:pPr>
            <w:r>
              <w:rPr>
                <w:sz w:val="21"/>
                <w:szCs w:val="21"/>
                <w:lang w:eastAsia="en-US"/>
              </w:rPr>
              <w:t>测点编号</w:t>
            </w:r>
          </w:p>
        </w:tc>
        <w:tc>
          <w:tcPr>
            <w:tcW w:w="1464" w:type="pct"/>
            <w:shd w:val="clear" w:color="auto" w:fill="auto"/>
            <w:vAlign w:val="center"/>
          </w:tcPr>
          <w:p w14:paraId="26A97283">
            <w:pPr>
              <w:adjustRightInd w:val="0"/>
              <w:snapToGrid w:val="0"/>
              <w:spacing w:line="240" w:lineRule="auto"/>
              <w:ind w:firstLine="0" w:firstLineChars="0"/>
              <w:jc w:val="center"/>
              <w:rPr>
                <w:sz w:val="21"/>
                <w:szCs w:val="21"/>
                <w:lang w:eastAsia="en-US"/>
              </w:rPr>
            </w:pPr>
            <w:r>
              <w:rPr>
                <w:sz w:val="21"/>
                <w:szCs w:val="21"/>
                <w:lang w:eastAsia="en-US"/>
              </w:rPr>
              <w:t>稳定流量（</w:t>
            </w:r>
            <w:r>
              <w:rPr>
                <w:rFonts w:eastAsia="Times New Roman"/>
                <w:sz w:val="21"/>
                <w:szCs w:val="21"/>
                <w:lang w:eastAsia="en-US"/>
              </w:rPr>
              <w:t>cm</w:t>
            </w:r>
            <w:r>
              <w:rPr>
                <w:rFonts w:eastAsia="Times New Roman"/>
                <w:sz w:val="21"/>
                <w:szCs w:val="21"/>
                <w:vertAlign w:val="superscript"/>
                <w:lang w:eastAsia="en-US"/>
              </w:rPr>
              <w:t>3</w:t>
            </w:r>
            <w:r>
              <w:rPr>
                <w:rFonts w:eastAsia="Times New Roman"/>
                <w:sz w:val="21"/>
                <w:szCs w:val="21"/>
                <w:lang w:eastAsia="en-US"/>
              </w:rPr>
              <w:t>/s</w:t>
            </w:r>
            <w:r>
              <w:rPr>
                <w:sz w:val="21"/>
                <w:szCs w:val="21"/>
                <w:lang w:eastAsia="en-US"/>
              </w:rPr>
              <w:t>）</w:t>
            </w:r>
          </w:p>
        </w:tc>
        <w:tc>
          <w:tcPr>
            <w:tcW w:w="1411" w:type="pct"/>
            <w:shd w:val="clear" w:color="auto" w:fill="auto"/>
            <w:vAlign w:val="center"/>
          </w:tcPr>
          <w:p w14:paraId="01E21B93">
            <w:pPr>
              <w:adjustRightInd w:val="0"/>
              <w:snapToGrid w:val="0"/>
              <w:spacing w:line="240" w:lineRule="auto"/>
              <w:ind w:firstLine="0" w:firstLineChars="0"/>
              <w:jc w:val="center"/>
              <w:rPr>
                <w:sz w:val="21"/>
                <w:szCs w:val="21"/>
                <w:lang w:eastAsia="en-US"/>
              </w:rPr>
            </w:pPr>
            <w:r>
              <w:rPr>
                <w:sz w:val="21"/>
                <w:szCs w:val="21"/>
                <w:lang w:eastAsia="en-US"/>
              </w:rPr>
              <w:t>渗透系数（</w:t>
            </w:r>
            <w:r>
              <w:rPr>
                <w:rFonts w:eastAsia="Times New Roman"/>
                <w:sz w:val="21"/>
                <w:szCs w:val="21"/>
                <w:lang w:eastAsia="en-US"/>
              </w:rPr>
              <w:t>cm/s</w:t>
            </w:r>
            <w:r>
              <w:rPr>
                <w:sz w:val="21"/>
                <w:szCs w:val="21"/>
                <w:lang w:eastAsia="en-US"/>
              </w:rPr>
              <w:t>）</w:t>
            </w:r>
          </w:p>
        </w:tc>
        <w:tc>
          <w:tcPr>
            <w:tcW w:w="1357" w:type="pct"/>
            <w:shd w:val="clear" w:color="auto" w:fill="auto"/>
            <w:vAlign w:val="center"/>
          </w:tcPr>
          <w:p w14:paraId="61FE0D1F">
            <w:pPr>
              <w:adjustRightInd w:val="0"/>
              <w:snapToGrid w:val="0"/>
              <w:spacing w:line="240" w:lineRule="auto"/>
              <w:ind w:firstLine="0" w:firstLineChars="0"/>
              <w:jc w:val="center"/>
              <w:rPr>
                <w:sz w:val="21"/>
                <w:szCs w:val="21"/>
                <w:lang w:eastAsia="en-US"/>
              </w:rPr>
            </w:pPr>
            <w:r>
              <w:rPr>
                <w:sz w:val="21"/>
                <w:szCs w:val="21"/>
                <w:lang w:eastAsia="en-US"/>
              </w:rPr>
              <w:t>渗透系数（</w:t>
            </w:r>
            <w:r>
              <w:rPr>
                <w:rFonts w:eastAsia="Times New Roman"/>
                <w:sz w:val="21"/>
                <w:szCs w:val="21"/>
                <w:lang w:eastAsia="en-US"/>
              </w:rPr>
              <w:t>m/d</w:t>
            </w:r>
            <w:r>
              <w:rPr>
                <w:sz w:val="21"/>
                <w:szCs w:val="21"/>
                <w:lang w:eastAsia="en-US"/>
              </w:rPr>
              <w:t>）</w:t>
            </w:r>
          </w:p>
        </w:tc>
      </w:tr>
      <w:tr w14:paraId="2B787B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768" w:type="pct"/>
            <w:shd w:val="clear" w:color="auto" w:fill="auto"/>
            <w:vAlign w:val="center"/>
          </w:tcPr>
          <w:p w14:paraId="7DB8154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S4</w:t>
            </w:r>
          </w:p>
        </w:tc>
        <w:tc>
          <w:tcPr>
            <w:tcW w:w="1464" w:type="pct"/>
            <w:shd w:val="clear" w:color="auto" w:fill="auto"/>
            <w:vAlign w:val="center"/>
          </w:tcPr>
          <w:p w14:paraId="73BA917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0.50</w:t>
            </w:r>
          </w:p>
        </w:tc>
        <w:tc>
          <w:tcPr>
            <w:tcW w:w="1411" w:type="pct"/>
            <w:shd w:val="clear" w:color="auto" w:fill="auto"/>
            <w:vAlign w:val="center"/>
          </w:tcPr>
          <w:p w14:paraId="64EA1DB6">
            <w:pPr>
              <w:adjustRightInd w:val="0"/>
              <w:snapToGrid w:val="0"/>
              <w:spacing w:line="240" w:lineRule="auto"/>
              <w:ind w:firstLine="0" w:firstLineChars="0"/>
              <w:jc w:val="center"/>
              <w:rPr>
                <w:rFonts w:eastAsia="Times New Roman"/>
                <w:sz w:val="21"/>
                <w:szCs w:val="21"/>
                <w:vertAlign w:val="superscript"/>
                <w:lang w:eastAsia="en-US"/>
              </w:rPr>
            </w:pPr>
            <w:r>
              <w:rPr>
                <w:rFonts w:eastAsia="Times New Roman"/>
                <w:sz w:val="21"/>
                <w:szCs w:val="21"/>
                <w:lang w:eastAsia="en-US"/>
              </w:rPr>
              <w:t>1.01×10</w:t>
            </w:r>
            <w:r>
              <w:rPr>
                <w:rFonts w:eastAsia="Times New Roman"/>
                <w:sz w:val="21"/>
                <w:szCs w:val="21"/>
                <w:vertAlign w:val="superscript"/>
                <w:lang w:eastAsia="en-US"/>
              </w:rPr>
              <w:t>-3</w:t>
            </w:r>
          </w:p>
        </w:tc>
        <w:tc>
          <w:tcPr>
            <w:tcW w:w="1357" w:type="pct"/>
            <w:shd w:val="clear" w:color="auto" w:fill="auto"/>
            <w:vAlign w:val="center"/>
          </w:tcPr>
          <w:p w14:paraId="7AD19A9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0.88</w:t>
            </w:r>
          </w:p>
        </w:tc>
      </w:tr>
      <w:tr w14:paraId="795804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768" w:type="pct"/>
            <w:shd w:val="clear" w:color="auto" w:fill="auto"/>
            <w:vAlign w:val="center"/>
          </w:tcPr>
          <w:p w14:paraId="06B5706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S5</w:t>
            </w:r>
          </w:p>
        </w:tc>
        <w:tc>
          <w:tcPr>
            <w:tcW w:w="1464" w:type="pct"/>
            <w:shd w:val="clear" w:color="auto" w:fill="auto"/>
            <w:vAlign w:val="center"/>
          </w:tcPr>
          <w:p w14:paraId="345914E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w:t>
            </w:r>
          </w:p>
        </w:tc>
        <w:tc>
          <w:tcPr>
            <w:tcW w:w="1411" w:type="pct"/>
            <w:shd w:val="clear" w:color="auto" w:fill="auto"/>
            <w:vAlign w:val="center"/>
          </w:tcPr>
          <w:p w14:paraId="4AED4003">
            <w:pPr>
              <w:adjustRightInd w:val="0"/>
              <w:snapToGrid w:val="0"/>
              <w:spacing w:line="240" w:lineRule="auto"/>
              <w:ind w:firstLine="0" w:firstLineChars="0"/>
              <w:jc w:val="center"/>
              <w:rPr>
                <w:rFonts w:eastAsia="Times New Roman"/>
                <w:sz w:val="21"/>
                <w:szCs w:val="21"/>
                <w:vertAlign w:val="superscript"/>
                <w:lang w:eastAsia="en-US"/>
              </w:rPr>
            </w:pPr>
            <w:r>
              <w:rPr>
                <w:rFonts w:eastAsia="Times New Roman"/>
                <w:sz w:val="21"/>
                <w:szCs w:val="21"/>
                <w:lang w:eastAsia="en-US"/>
              </w:rPr>
              <w:t>2.04×10</w:t>
            </w:r>
            <w:r>
              <w:rPr>
                <w:rFonts w:eastAsia="Times New Roman"/>
                <w:sz w:val="21"/>
                <w:szCs w:val="21"/>
                <w:vertAlign w:val="superscript"/>
                <w:lang w:eastAsia="en-US"/>
              </w:rPr>
              <w:t>-3</w:t>
            </w:r>
          </w:p>
        </w:tc>
        <w:tc>
          <w:tcPr>
            <w:tcW w:w="1357" w:type="pct"/>
            <w:shd w:val="clear" w:color="auto" w:fill="auto"/>
            <w:vAlign w:val="center"/>
          </w:tcPr>
          <w:p w14:paraId="47E365B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1.76</w:t>
            </w:r>
          </w:p>
        </w:tc>
      </w:tr>
      <w:tr w14:paraId="7FF8FF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768" w:type="pct"/>
            <w:shd w:val="clear" w:color="auto" w:fill="auto"/>
            <w:vAlign w:val="center"/>
          </w:tcPr>
          <w:p w14:paraId="2A7B99D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S6</w:t>
            </w:r>
          </w:p>
        </w:tc>
        <w:tc>
          <w:tcPr>
            <w:tcW w:w="1464" w:type="pct"/>
            <w:shd w:val="clear" w:color="auto" w:fill="auto"/>
            <w:vAlign w:val="center"/>
          </w:tcPr>
          <w:p w14:paraId="7189E34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0.33</w:t>
            </w:r>
          </w:p>
        </w:tc>
        <w:tc>
          <w:tcPr>
            <w:tcW w:w="1411" w:type="pct"/>
            <w:shd w:val="clear" w:color="auto" w:fill="auto"/>
            <w:vAlign w:val="center"/>
          </w:tcPr>
          <w:p w14:paraId="7DF01C00">
            <w:pPr>
              <w:adjustRightInd w:val="0"/>
              <w:snapToGrid w:val="0"/>
              <w:spacing w:line="240" w:lineRule="auto"/>
              <w:ind w:firstLine="0" w:firstLineChars="0"/>
              <w:jc w:val="center"/>
              <w:rPr>
                <w:rFonts w:eastAsia="Times New Roman"/>
                <w:sz w:val="21"/>
                <w:szCs w:val="21"/>
                <w:vertAlign w:val="superscript"/>
                <w:lang w:eastAsia="en-US"/>
              </w:rPr>
            </w:pPr>
            <w:r>
              <w:rPr>
                <w:rFonts w:eastAsia="Times New Roman"/>
                <w:sz w:val="21"/>
                <w:szCs w:val="21"/>
                <w:lang w:eastAsia="en-US"/>
              </w:rPr>
              <w:t>6.79×10</w:t>
            </w:r>
            <w:r>
              <w:rPr>
                <w:rFonts w:eastAsia="Times New Roman"/>
                <w:sz w:val="21"/>
                <w:szCs w:val="21"/>
                <w:vertAlign w:val="superscript"/>
                <w:lang w:eastAsia="en-US"/>
              </w:rPr>
              <w:t>-4</w:t>
            </w:r>
          </w:p>
        </w:tc>
        <w:tc>
          <w:tcPr>
            <w:tcW w:w="1357" w:type="pct"/>
            <w:shd w:val="clear" w:color="auto" w:fill="auto"/>
            <w:vAlign w:val="center"/>
          </w:tcPr>
          <w:p w14:paraId="47C31AF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0.59</w:t>
            </w:r>
          </w:p>
        </w:tc>
      </w:tr>
    </w:tbl>
    <w:p w14:paraId="6430F8A4">
      <w:pPr>
        <w:ind w:firstLine="480"/>
      </w:pPr>
      <w:r>
        <w:t>（2）水文地质勘查</w:t>
      </w:r>
    </w:p>
    <w:p w14:paraId="44B1105D">
      <w:pPr>
        <w:ind w:firstLine="480"/>
      </w:pPr>
      <w:r>
        <w:rPr>
          <w:rFonts w:hint="eastAsia"/>
        </w:rPr>
        <w:t>根据已有勘查资料</w:t>
      </w:r>
      <w:r>
        <w:t>，厂区地层属性和钻孔柱状图</w:t>
      </w:r>
      <w:r>
        <w:rPr>
          <w:rFonts w:hint="eastAsia"/>
        </w:rPr>
        <w:t>见图5</w:t>
      </w:r>
      <w:r>
        <w:t>.3-4</w:t>
      </w:r>
      <w:r>
        <w:rPr>
          <w:rFonts w:hint="eastAsia"/>
        </w:rPr>
        <w:t>～图5</w:t>
      </w:r>
      <w:r>
        <w:t>.3-7。</w:t>
      </w:r>
    </w:p>
    <w:p w14:paraId="0B8E372B">
      <w:pPr>
        <w:adjustRightInd w:val="0"/>
        <w:snapToGrid w:val="0"/>
        <w:spacing w:line="240" w:lineRule="auto"/>
        <w:ind w:firstLine="0" w:firstLineChars="0"/>
        <w:jc w:val="center"/>
      </w:pPr>
    </w:p>
    <w:p w14:paraId="323DE2F7">
      <w:pPr>
        <w:pStyle w:val="47"/>
        <w:spacing w:before="65"/>
      </w:pPr>
      <w:r>
        <w:rPr>
          <w:rFonts w:hint="eastAsia"/>
        </w:rPr>
        <w:t>图5</w:t>
      </w:r>
      <w:r>
        <w:t>.3-4   勘探孔 ZK2 钻孔柱状图</w:t>
      </w:r>
    </w:p>
    <w:p w14:paraId="68D0B61D">
      <w:pPr>
        <w:adjustRightInd w:val="0"/>
        <w:snapToGrid w:val="0"/>
        <w:spacing w:line="240" w:lineRule="auto"/>
        <w:ind w:firstLine="0" w:firstLineChars="0"/>
        <w:jc w:val="center"/>
      </w:pPr>
    </w:p>
    <w:p w14:paraId="06D62CD4">
      <w:pPr>
        <w:pStyle w:val="47"/>
        <w:spacing w:before="0" w:beforeLines="0"/>
      </w:pPr>
      <w:r>
        <w:rPr>
          <w:rFonts w:hint="eastAsia"/>
        </w:rPr>
        <w:t>图5</w:t>
      </w:r>
      <w:r>
        <w:t>.3-5   勘探孔 ZK3 钻孔柱状图</w:t>
      </w:r>
    </w:p>
    <w:p w14:paraId="713B1FD8">
      <w:pPr>
        <w:pStyle w:val="47"/>
        <w:spacing w:before="65"/>
      </w:pPr>
      <w:r>
        <w:rPr>
          <w:rFonts w:hint="eastAsia"/>
        </w:rPr>
        <w:t>图5</w:t>
      </w:r>
      <w:r>
        <w:t xml:space="preserve">.3-6   </w:t>
      </w:r>
      <w:r>
        <w:rPr>
          <w:rFonts w:hAnsi="黑体"/>
        </w:rPr>
        <w:t>勘探孔</w:t>
      </w:r>
      <w:r>
        <w:t xml:space="preserve"> ZK4 </w:t>
      </w:r>
      <w:r>
        <w:rPr>
          <w:rFonts w:hAnsi="黑体"/>
        </w:rPr>
        <w:t>钻孔柱状图</w:t>
      </w:r>
    </w:p>
    <w:p w14:paraId="55A25144">
      <w:pPr>
        <w:pStyle w:val="47"/>
        <w:spacing w:before="65"/>
      </w:pPr>
      <w:r>
        <w:rPr>
          <w:rFonts w:hint="eastAsia"/>
        </w:rPr>
        <w:t>图5</w:t>
      </w:r>
      <w:r>
        <w:t xml:space="preserve">.3-7   </w:t>
      </w:r>
      <w:r>
        <w:rPr>
          <w:rFonts w:hAnsi="黑体"/>
        </w:rPr>
        <w:t>勘探孔</w:t>
      </w:r>
      <w:r>
        <w:t xml:space="preserve"> ZK5 </w:t>
      </w:r>
      <w:r>
        <w:rPr>
          <w:rFonts w:hAnsi="黑体"/>
        </w:rPr>
        <w:t>钻孔柱状图</w:t>
      </w:r>
    </w:p>
    <w:p w14:paraId="6A242F13">
      <w:pPr>
        <w:pStyle w:val="45"/>
        <w:spacing w:before="65" w:after="65"/>
      </w:pPr>
      <w:r>
        <w:rPr>
          <w:rFonts w:hint="eastAsia"/>
        </w:rPr>
        <w:t>水文地质参数计算过程</w:t>
      </w:r>
    </w:p>
    <w:p w14:paraId="0FB85A68">
      <w:pPr>
        <w:ind w:firstLine="480"/>
      </w:pPr>
      <w:r>
        <w:rPr>
          <w:rFonts w:hint="eastAsia"/>
        </w:rPr>
        <w:t>（1）抽水试验过程</w:t>
      </w:r>
    </w:p>
    <w:p w14:paraId="16ED2433">
      <w:pPr>
        <w:ind w:firstLine="480"/>
      </w:pPr>
      <w:r>
        <w:rPr>
          <w:rFonts w:hint="eastAsia"/>
        </w:rPr>
        <w:t>为了取得具有代表性的水文地质参数，按照《地下水资源勘查规范》（SL454- 2010）附录F抽水试验相关规定，布置了勘探孔ZK2、ZK3、ZK4、ZK5进行稳定流抽水试验，试验取得了齐全、可靠的试验数据（见下图及下表），为含水层水文地质参数计算提供基础数据资料。</w:t>
      </w:r>
    </w:p>
    <w:p w14:paraId="68ECF5C2">
      <w:pPr>
        <w:adjustRightInd w:val="0"/>
        <w:snapToGrid w:val="0"/>
        <w:spacing w:line="240" w:lineRule="auto"/>
        <w:ind w:firstLine="0" w:firstLineChars="0"/>
        <w:jc w:val="center"/>
      </w:pPr>
      <w:r>
        <w:drawing>
          <wp:inline distT="0" distB="0" distL="114300" distR="114300">
            <wp:extent cx="3667125" cy="2447925"/>
            <wp:effectExtent l="0" t="0" r="9525" b="9525"/>
            <wp:docPr id="3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8"/>
                    <pic:cNvPicPr>
                      <a:picLocks noChangeAspect="1"/>
                    </pic:cNvPicPr>
                  </pic:nvPicPr>
                  <pic:blipFill>
                    <a:blip r:embed="rId81"/>
                    <a:stretch>
                      <a:fillRect/>
                    </a:stretch>
                  </pic:blipFill>
                  <pic:spPr>
                    <a:xfrm>
                      <a:off x="0" y="0"/>
                      <a:ext cx="3667125" cy="2447925"/>
                    </a:xfrm>
                    <a:prstGeom prst="rect">
                      <a:avLst/>
                    </a:prstGeom>
                    <a:noFill/>
                    <a:ln>
                      <a:noFill/>
                    </a:ln>
                  </pic:spPr>
                </pic:pic>
              </a:graphicData>
            </a:graphic>
          </wp:inline>
        </w:drawing>
      </w:r>
    </w:p>
    <w:p w14:paraId="2123D87E">
      <w:pPr>
        <w:pStyle w:val="47"/>
        <w:spacing w:before="65"/>
      </w:pPr>
      <w:r>
        <w:rPr>
          <w:rFonts w:hint="eastAsia"/>
        </w:rPr>
        <w:t>图5</w:t>
      </w:r>
      <w:r>
        <w:t xml:space="preserve">.3-8   </w:t>
      </w:r>
      <w:r>
        <w:rPr>
          <w:rFonts w:ascii="黑体" w:hAnsi="黑体" w:cs="黑体"/>
        </w:rPr>
        <w:t>勘探孔</w:t>
      </w:r>
      <w:r>
        <w:rPr>
          <w:rFonts w:ascii="黑体" w:hAnsi="黑体" w:cs="黑体"/>
          <w:spacing w:val="-61"/>
        </w:rPr>
        <w:t xml:space="preserve"> </w:t>
      </w:r>
      <w:r>
        <w:rPr>
          <w:rFonts w:eastAsia="Times New Roman"/>
        </w:rPr>
        <w:t>ZK2</w:t>
      </w:r>
      <w:r>
        <w:rPr>
          <w:rFonts w:eastAsia="Times New Roman"/>
          <w:spacing w:val="1"/>
        </w:rPr>
        <w:t xml:space="preserve"> </w:t>
      </w:r>
      <w:r>
        <w:rPr>
          <w:rFonts w:ascii="黑体" w:hAnsi="黑体" w:cs="黑体"/>
        </w:rPr>
        <w:t>降深时间图</w:t>
      </w:r>
    </w:p>
    <w:p w14:paraId="569B80F7">
      <w:pPr>
        <w:ind w:firstLine="480"/>
      </w:pPr>
      <w:r>
        <w:t>（2）水文地质参数计算软件选择</w:t>
      </w:r>
    </w:p>
    <w:p w14:paraId="4566F683">
      <w:pPr>
        <w:ind w:firstLine="480"/>
      </w:pPr>
      <w:r>
        <w:rPr>
          <w:rFonts w:hint="eastAsia"/>
        </w:rPr>
        <w:t>该</w:t>
      </w:r>
      <w:r>
        <w:t>水文地质参数计算，采用</w:t>
      </w:r>
      <w:r>
        <w:rPr>
          <w:rFonts w:hint="eastAsia"/>
        </w:rPr>
        <w:t>当时</w:t>
      </w:r>
      <w:r>
        <w:t>国际上最为流行且被各国同行一致认可的Aquifer Test</w:t>
      </w:r>
      <w:r>
        <w:rPr>
          <w:rFonts w:hint="eastAsia"/>
        </w:rPr>
        <w:t>（</w:t>
      </w:r>
      <w:r>
        <w:t>含水层试验</w:t>
      </w:r>
      <w:r>
        <w:rPr>
          <w:rFonts w:hint="eastAsia"/>
        </w:rPr>
        <w:t>）</w:t>
      </w:r>
      <w:r>
        <w:t>软件完成。</w:t>
      </w:r>
    </w:p>
    <w:p w14:paraId="0447CC65">
      <w:pPr>
        <w:adjustRightInd w:val="0"/>
        <w:snapToGrid w:val="0"/>
        <w:spacing w:line="240" w:lineRule="auto"/>
        <w:ind w:firstLine="0" w:firstLineChars="0"/>
        <w:jc w:val="center"/>
      </w:pPr>
    </w:p>
    <w:p w14:paraId="00BF5D3D">
      <w:pPr>
        <w:pStyle w:val="47"/>
        <w:spacing w:before="65"/>
      </w:pPr>
      <w:r>
        <w:rPr>
          <w:rFonts w:hint="eastAsia"/>
        </w:rPr>
        <w:t>图5</w:t>
      </w:r>
      <w:r>
        <w:t xml:space="preserve">.3-10   </w:t>
      </w:r>
      <w:r>
        <w:rPr>
          <w:rFonts w:ascii="黑体" w:hAnsi="黑体" w:cs="黑体"/>
        </w:rPr>
        <w:t>勘探孔</w:t>
      </w:r>
      <w:r>
        <w:rPr>
          <w:rFonts w:ascii="黑体" w:hAnsi="黑体" w:cs="黑体"/>
          <w:spacing w:val="-61"/>
        </w:rPr>
        <w:t xml:space="preserve"> </w:t>
      </w:r>
      <w:r>
        <w:rPr>
          <w:rFonts w:eastAsia="Times New Roman"/>
        </w:rPr>
        <w:t>ZK4</w:t>
      </w:r>
      <w:r>
        <w:rPr>
          <w:rFonts w:eastAsia="Times New Roman"/>
          <w:spacing w:val="1"/>
        </w:rPr>
        <w:t xml:space="preserve"> </w:t>
      </w:r>
      <w:r>
        <w:rPr>
          <w:rFonts w:ascii="黑体" w:hAnsi="黑体" w:cs="黑体"/>
        </w:rPr>
        <w:t>降深时间图</w:t>
      </w:r>
    </w:p>
    <w:p w14:paraId="5ECF32BC">
      <w:pPr>
        <w:adjustRightInd w:val="0"/>
        <w:snapToGrid w:val="0"/>
        <w:spacing w:line="240" w:lineRule="auto"/>
        <w:ind w:firstLine="0" w:firstLineChars="0"/>
        <w:jc w:val="center"/>
      </w:pP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76"/>
        <w:gridCol w:w="1737"/>
        <w:gridCol w:w="1908"/>
        <w:gridCol w:w="1908"/>
        <w:gridCol w:w="1901"/>
      </w:tblGrid>
      <w:tr w14:paraId="2FF7C9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496C357C">
            <w:pPr>
              <w:adjustRightInd w:val="0"/>
              <w:snapToGrid w:val="0"/>
              <w:spacing w:line="240" w:lineRule="auto"/>
              <w:ind w:firstLine="0" w:firstLineChars="0"/>
              <w:jc w:val="center"/>
              <w:rPr>
                <w:sz w:val="21"/>
                <w:szCs w:val="21"/>
              </w:rPr>
            </w:pPr>
            <w:r>
              <w:rPr>
                <w:sz w:val="21"/>
                <w:szCs w:val="21"/>
              </w:rPr>
              <w:t>抽水累计时间</w:t>
            </w:r>
          </w:p>
          <w:p w14:paraId="27B9630D">
            <w:pPr>
              <w:adjustRightInd w:val="0"/>
              <w:snapToGrid w:val="0"/>
              <w:spacing w:line="240" w:lineRule="auto"/>
              <w:ind w:firstLine="0" w:firstLineChars="0"/>
              <w:jc w:val="center"/>
              <w:rPr>
                <w:sz w:val="21"/>
                <w:szCs w:val="21"/>
              </w:rPr>
            </w:pPr>
            <w:r>
              <w:rPr>
                <w:sz w:val="21"/>
                <w:szCs w:val="21"/>
              </w:rPr>
              <w:t>（</w:t>
            </w:r>
            <w:r>
              <w:rPr>
                <w:rFonts w:eastAsia="Times New Roman"/>
                <w:sz w:val="21"/>
                <w:szCs w:val="21"/>
              </w:rPr>
              <w:t>min</w:t>
            </w:r>
            <w:r>
              <w:rPr>
                <w:sz w:val="21"/>
                <w:szCs w:val="21"/>
              </w:rPr>
              <w:t>）</w:t>
            </w:r>
          </w:p>
        </w:tc>
        <w:tc>
          <w:tcPr>
            <w:tcW w:w="995" w:type="pct"/>
            <w:shd w:val="clear" w:color="auto" w:fill="auto"/>
            <w:vAlign w:val="center"/>
          </w:tcPr>
          <w:p w14:paraId="321808A3">
            <w:pPr>
              <w:adjustRightInd w:val="0"/>
              <w:snapToGrid w:val="0"/>
              <w:spacing w:line="240" w:lineRule="auto"/>
              <w:ind w:firstLine="0" w:firstLineChars="0"/>
              <w:jc w:val="center"/>
              <w:rPr>
                <w:sz w:val="21"/>
                <w:szCs w:val="21"/>
                <w:lang w:eastAsia="en-US"/>
              </w:rPr>
            </w:pPr>
            <w:r>
              <w:rPr>
                <w:sz w:val="21"/>
                <w:szCs w:val="21"/>
                <w:lang w:eastAsia="en-US"/>
              </w:rPr>
              <w:t>勘探孔</w:t>
            </w:r>
            <w:r>
              <w:rPr>
                <w:rFonts w:eastAsia="Times New Roman"/>
                <w:sz w:val="21"/>
                <w:szCs w:val="21"/>
                <w:lang w:eastAsia="en-US"/>
              </w:rPr>
              <w:t>ZK2</w:t>
            </w:r>
            <w:r>
              <w:rPr>
                <w:sz w:val="21"/>
                <w:szCs w:val="21"/>
                <w:lang w:eastAsia="en-US"/>
              </w:rPr>
              <w:t>水位埋深（</w:t>
            </w:r>
            <w:r>
              <w:rPr>
                <w:rFonts w:eastAsia="Times New Roman"/>
                <w:sz w:val="21"/>
                <w:szCs w:val="21"/>
                <w:lang w:eastAsia="en-US"/>
              </w:rPr>
              <w:t>m</w:t>
            </w:r>
            <w:r>
              <w:rPr>
                <w:sz w:val="21"/>
                <w:szCs w:val="21"/>
                <w:lang w:eastAsia="en-US"/>
              </w:rPr>
              <w:t>）</w:t>
            </w:r>
          </w:p>
        </w:tc>
        <w:tc>
          <w:tcPr>
            <w:tcW w:w="1093" w:type="pct"/>
            <w:shd w:val="clear" w:color="auto" w:fill="auto"/>
            <w:vAlign w:val="center"/>
          </w:tcPr>
          <w:p w14:paraId="5639E6AF">
            <w:pPr>
              <w:adjustRightInd w:val="0"/>
              <w:snapToGrid w:val="0"/>
              <w:spacing w:line="240" w:lineRule="auto"/>
              <w:ind w:firstLine="0" w:firstLineChars="0"/>
              <w:jc w:val="center"/>
              <w:rPr>
                <w:sz w:val="21"/>
                <w:szCs w:val="21"/>
                <w:lang w:eastAsia="en-US"/>
              </w:rPr>
            </w:pPr>
            <w:r>
              <w:rPr>
                <w:sz w:val="21"/>
                <w:szCs w:val="21"/>
                <w:lang w:eastAsia="en-US"/>
              </w:rPr>
              <w:t>勘探孔</w:t>
            </w:r>
            <w:r>
              <w:rPr>
                <w:rFonts w:eastAsia="Times New Roman"/>
                <w:sz w:val="21"/>
                <w:szCs w:val="21"/>
                <w:lang w:eastAsia="en-US"/>
              </w:rPr>
              <w:t>ZK3</w:t>
            </w:r>
            <w:r>
              <w:rPr>
                <w:sz w:val="21"/>
                <w:szCs w:val="21"/>
                <w:lang w:eastAsia="en-US"/>
              </w:rPr>
              <w:t>水位埋深（</w:t>
            </w:r>
            <w:r>
              <w:rPr>
                <w:rFonts w:eastAsia="Times New Roman"/>
                <w:sz w:val="21"/>
                <w:szCs w:val="21"/>
                <w:lang w:eastAsia="en-US"/>
              </w:rPr>
              <w:t>m</w:t>
            </w:r>
            <w:r>
              <w:rPr>
                <w:sz w:val="21"/>
                <w:szCs w:val="21"/>
                <w:lang w:eastAsia="en-US"/>
              </w:rPr>
              <w:t>）</w:t>
            </w:r>
          </w:p>
        </w:tc>
        <w:tc>
          <w:tcPr>
            <w:tcW w:w="1093" w:type="pct"/>
            <w:shd w:val="clear" w:color="auto" w:fill="auto"/>
            <w:vAlign w:val="center"/>
          </w:tcPr>
          <w:p w14:paraId="117B3848">
            <w:pPr>
              <w:adjustRightInd w:val="0"/>
              <w:snapToGrid w:val="0"/>
              <w:spacing w:line="240" w:lineRule="auto"/>
              <w:ind w:firstLine="0" w:firstLineChars="0"/>
              <w:jc w:val="center"/>
              <w:rPr>
                <w:sz w:val="21"/>
                <w:szCs w:val="21"/>
                <w:lang w:eastAsia="en-US"/>
              </w:rPr>
            </w:pPr>
            <w:r>
              <w:rPr>
                <w:sz w:val="21"/>
                <w:szCs w:val="21"/>
                <w:lang w:eastAsia="en-US"/>
              </w:rPr>
              <w:t>勘探孔</w:t>
            </w:r>
            <w:r>
              <w:rPr>
                <w:rFonts w:eastAsia="Times New Roman"/>
                <w:sz w:val="21"/>
                <w:szCs w:val="21"/>
                <w:lang w:eastAsia="en-US"/>
              </w:rPr>
              <w:t>ZK4</w:t>
            </w:r>
            <w:r>
              <w:rPr>
                <w:sz w:val="21"/>
                <w:szCs w:val="21"/>
                <w:lang w:eastAsia="en-US"/>
              </w:rPr>
              <w:t>水位埋深（</w:t>
            </w:r>
            <w:r>
              <w:rPr>
                <w:rFonts w:eastAsia="Times New Roman"/>
                <w:sz w:val="21"/>
                <w:szCs w:val="21"/>
                <w:lang w:eastAsia="en-US"/>
              </w:rPr>
              <w:t>m</w:t>
            </w:r>
            <w:r>
              <w:rPr>
                <w:sz w:val="21"/>
                <w:szCs w:val="21"/>
                <w:lang w:eastAsia="en-US"/>
              </w:rPr>
              <w:t>）</w:t>
            </w:r>
          </w:p>
        </w:tc>
        <w:tc>
          <w:tcPr>
            <w:tcW w:w="1088" w:type="pct"/>
            <w:shd w:val="clear" w:color="auto" w:fill="auto"/>
            <w:vAlign w:val="center"/>
          </w:tcPr>
          <w:p w14:paraId="19503334">
            <w:pPr>
              <w:adjustRightInd w:val="0"/>
              <w:snapToGrid w:val="0"/>
              <w:spacing w:line="240" w:lineRule="auto"/>
              <w:ind w:firstLine="0" w:firstLineChars="0"/>
              <w:jc w:val="center"/>
              <w:rPr>
                <w:sz w:val="21"/>
                <w:szCs w:val="21"/>
                <w:lang w:eastAsia="en-US"/>
              </w:rPr>
            </w:pPr>
            <w:r>
              <w:rPr>
                <w:sz w:val="21"/>
                <w:szCs w:val="21"/>
                <w:lang w:eastAsia="en-US"/>
              </w:rPr>
              <w:t>勘探孔</w:t>
            </w:r>
            <w:r>
              <w:rPr>
                <w:rFonts w:eastAsia="Times New Roman"/>
                <w:sz w:val="21"/>
                <w:szCs w:val="21"/>
                <w:lang w:eastAsia="en-US"/>
              </w:rPr>
              <w:t>ZK5</w:t>
            </w:r>
            <w:r>
              <w:rPr>
                <w:sz w:val="21"/>
                <w:szCs w:val="21"/>
                <w:lang w:eastAsia="en-US"/>
              </w:rPr>
              <w:t>水位埋深（</w:t>
            </w:r>
            <w:r>
              <w:rPr>
                <w:rFonts w:eastAsia="Times New Roman"/>
                <w:sz w:val="21"/>
                <w:szCs w:val="21"/>
                <w:lang w:eastAsia="en-US"/>
              </w:rPr>
              <w:t>m</w:t>
            </w:r>
            <w:r>
              <w:rPr>
                <w:sz w:val="21"/>
                <w:szCs w:val="21"/>
                <w:lang w:eastAsia="en-US"/>
              </w:rPr>
              <w:t>）</w:t>
            </w:r>
          </w:p>
        </w:tc>
      </w:tr>
      <w:tr w14:paraId="3411E3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742DC2C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0</w:t>
            </w:r>
          </w:p>
        </w:tc>
        <w:tc>
          <w:tcPr>
            <w:tcW w:w="995" w:type="pct"/>
            <w:shd w:val="clear" w:color="auto" w:fill="auto"/>
            <w:vAlign w:val="center"/>
          </w:tcPr>
          <w:p w14:paraId="7285E8F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7.15</w:t>
            </w:r>
          </w:p>
        </w:tc>
        <w:tc>
          <w:tcPr>
            <w:tcW w:w="1093" w:type="pct"/>
            <w:shd w:val="clear" w:color="auto" w:fill="auto"/>
            <w:vAlign w:val="center"/>
          </w:tcPr>
          <w:p w14:paraId="004BF71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4.91</w:t>
            </w:r>
          </w:p>
        </w:tc>
        <w:tc>
          <w:tcPr>
            <w:tcW w:w="1093" w:type="pct"/>
            <w:shd w:val="clear" w:color="auto" w:fill="auto"/>
            <w:vAlign w:val="center"/>
          </w:tcPr>
          <w:p w14:paraId="483620A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5.18</w:t>
            </w:r>
          </w:p>
        </w:tc>
        <w:tc>
          <w:tcPr>
            <w:tcW w:w="1088" w:type="pct"/>
            <w:shd w:val="clear" w:color="auto" w:fill="auto"/>
            <w:vAlign w:val="center"/>
          </w:tcPr>
          <w:p w14:paraId="7E2BDF8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4.24</w:t>
            </w:r>
          </w:p>
        </w:tc>
      </w:tr>
      <w:tr w14:paraId="421EF8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6D16909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w:t>
            </w:r>
          </w:p>
        </w:tc>
        <w:tc>
          <w:tcPr>
            <w:tcW w:w="995" w:type="pct"/>
            <w:shd w:val="clear" w:color="auto" w:fill="auto"/>
            <w:vAlign w:val="center"/>
          </w:tcPr>
          <w:p w14:paraId="5C9AFD6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9.27</w:t>
            </w:r>
          </w:p>
        </w:tc>
        <w:tc>
          <w:tcPr>
            <w:tcW w:w="1093" w:type="pct"/>
            <w:shd w:val="clear" w:color="auto" w:fill="auto"/>
            <w:vAlign w:val="center"/>
          </w:tcPr>
          <w:p w14:paraId="28ED146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6.63</w:t>
            </w:r>
          </w:p>
        </w:tc>
        <w:tc>
          <w:tcPr>
            <w:tcW w:w="1093" w:type="pct"/>
            <w:shd w:val="clear" w:color="auto" w:fill="auto"/>
            <w:vAlign w:val="center"/>
          </w:tcPr>
          <w:p w14:paraId="4661765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7.70</w:t>
            </w:r>
          </w:p>
        </w:tc>
        <w:tc>
          <w:tcPr>
            <w:tcW w:w="1088" w:type="pct"/>
            <w:shd w:val="clear" w:color="auto" w:fill="auto"/>
            <w:vAlign w:val="center"/>
          </w:tcPr>
          <w:p w14:paraId="29F6ABA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5.55</w:t>
            </w:r>
          </w:p>
        </w:tc>
      </w:tr>
      <w:tr w14:paraId="71501A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6A0077A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w:t>
            </w:r>
          </w:p>
        </w:tc>
        <w:tc>
          <w:tcPr>
            <w:tcW w:w="995" w:type="pct"/>
            <w:shd w:val="clear" w:color="auto" w:fill="auto"/>
            <w:vAlign w:val="center"/>
          </w:tcPr>
          <w:p w14:paraId="19BB031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10.94</w:t>
            </w:r>
          </w:p>
        </w:tc>
        <w:tc>
          <w:tcPr>
            <w:tcW w:w="1093" w:type="pct"/>
            <w:shd w:val="clear" w:color="auto" w:fill="auto"/>
            <w:vAlign w:val="center"/>
          </w:tcPr>
          <w:p w14:paraId="7BB0D72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7.56</w:t>
            </w:r>
          </w:p>
        </w:tc>
        <w:tc>
          <w:tcPr>
            <w:tcW w:w="1093" w:type="pct"/>
            <w:shd w:val="clear" w:color="auto" w:fill="auto"/>
            <w:vAlign w:val="center"/>
          </w:tcPr>
          <w:p w14:paraId="047BB7C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8.64</w:t>
            </w:r>
          </w:p>
        </w:tc>
        <w:tc>
          <w:tcPr>
            <w:tcW w:w="1088" w:type="pct"/>
            <w:shd w:val="clear" w:color="auto" w:fill="auto"/>
            <w:vAlign w:val="center"/>
          </w:tcPr>
          <w:p w14:paraId="393502B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6.32</w:t>
            </w:r>
          </w:p>
        </w:tc>
      </w:tr>
      <w:tr w14:paraId="71C336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A8D876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w:t>
            </w:r>
          </w:p>
        </w:tc>
        <w:tc>
          <w:tcPr>
            <w:tcW w:w="995" w:type="pct"/>
            <w:shd w:val="clear" w:color="auto" w:fill="auto"/>
            <w:vAlign w:val="center"/>
          </w:tcPr>
          <w:p w14:paraId="4D5B32C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11.36</w:t>
            </w:r>
          </w:p>
        </w:tc>
        <w:tc>
          <w:tcPr>
            <w:tcW w:w="1093" w:type="pct"/>
            <w:shd w:val="clear" w:color="auto" w:fill="auto"/>
            <w:vAlign w:val="center"/>
          </w:tcPr>
          <w:p w14:paraId="3E1C188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8.42</w:t>
            </w:r>
          </w:p>
        </w:tc>
        <w:tc>
          <w:tcPr>
            <w:tcW w:w="1093" w:type="pct"/>
            <w:shd w:val="clear" w:color="auto" w:fill="auto"/>
            <w:vAlign w:val="center"/>
          </w:tcPr>
          <w:p w14:paraId="5CEE7D4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9.62</w:t>
            </w:r>
          </w:p>
        </w:tc>
        <w:tc>
          <w:tcPr>
            <w:tcW w:w="1088" w:type="pct"/>
            <w:shd w:val="clear" w:color="auto" w:fill="auto"/>
            <w:vAlign w:val="center"/>
          </w:tcPr>
          <w:p w14:paraId="3E19871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7.15</w:t>
            </w:r>
          </w:p>
        </w:tc>
      </w:tr>
      <w:tr w14:paraId="4579C0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D30150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w:t>
            </w:r>
          </w:p>
        </w:tc>
        <w:tc>
          <w:tcPr>
            <w:tcW w:w="995" w:type="pct"/>
            <w:shd w:val="clear" w:color="auto" w:fill="auto"/>
            <w:vAlign w:val="center"/>
          </w:tcPr>
          <w:p w14:paraId="74484FB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12.42</w:t>
            </w:r>
          </w:p>
        </w:tc>
        <w:tc>
          <w:tcPr>
            <w:tcW w:w="1093" w:type="pct"/>
            <w:shd w:val="clear" w:color="auto" w:fill="auto"/>
            <w:vAlign w:val="center"/>
          </w:tcPr>
          <w:p w14:paraId="61BD197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9.36</w:t>
            </w:r>
          </w:p>
        </w:tc>
        <w:tc>
          <w:tcPr>
            <w:tcW w:w="1093" w:type="pct"/>
            <w:shd w:val="clear" w:color="auto" w:fill="auto"/>
            <w:vAlign w:val="center"/>
          </w:tcPr>
          <w:p w14:paraId="2FEFF20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10.30</w:t>
            </w:r>
          </w:p>
        </w:tc>
        <w:tc>
          <w:tcPr>
            <w:tcW w:w="1088" w:type="pct"/>
            <w:shd w:val="clear" w:color="auto" w:fill="auto"/>
            <w:vAlign w:val="center"/>
          </w:tcPr>
          <w:p w14:paraId="5A1F1ED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7.78</w:t>
            </w:r>
          </w:p>
        </w:tc>
      </w:tr>
      <w:tr w14:paraId="1A0019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6A006C0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w:t>
            </w:r>
          </w:p>
        </w:tc>
        <w:tc>
          <w:tcPr>
            <w:tcW w:w="995" w:type="pct"/>
            <w:shd w:val="clear" w:color="auto" w:fill="auto"/>
            <w:vAlign w:val="center"/>
          </w:tcPr>
          <w:p w14:paraId="20BAAC4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13.55</w:t>
            </w:r>
          </w:p>
        </w:tc>
        <w:tc>
          <w:tcPr>
            <w:tcW w:w="1093" w:type="pct"/>
            <w:shd w:val="clear" w:color="auto" w:fill="auto"/>
            <w:vAlign w:val="center"/>
          </w:tcPr>
          <w:p w14:paraId="4692032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10.24</w:t>
            </w:r>
          </w:p>
        </w:tc>
        <w:tc>
          <w:tcPr>
            <w:tcW w:w="1093" w:type="pct"/>
            <w:shd w:val="clear" w:color="auto" w:fill="auto"/>
            <w:vAlign w:val="center"/>
          </w:tcPr>
          <w:p w14:paraId="387041C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11.03</w:t>
            </w:r>
          </w:p>
        </w:tc>
        <w:tc>
          <w:tcPr>
            <w:tcW w:w="1088" w:type="pct"/>
            <w:shd w:val="clear" w:color="auto" w:fill="auto"/>
            <w:vAlign w:val="center"/>
          </w:tcPr>
          <w:p w14:paraId="5FDF6D0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8.69</w:t>
            </w:r>
          </w:p>
        </w:tc>
      </w:tr>
      <w:tr w14:paraId="3FBA13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28B0D37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w:t>
            </w:r>
          </w:p>
        </w:tc>
        <w:tc>
          <w:tcPr>
            <w:tcW w:w="995" w:type="pct"/>
            <w:shd w:val="clear" w:color="auto" w:fill="auto"/>
            <w:vAlign w:val="center"/>
          </w:tcPr>
          <w:p w14:paraId="0C06B61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14.61</w:t>
            </w:r>
          </w:p>
        </w:tc>
        <w:tc>
          <w:tcPr>
            <w:tcW w:w="1093" w:type="pct"/>
            <w:shd w:val="clear" w:color="auto" w:fill="auto"/>
            <w:vAlign w:val="center"/>
          </w:tcPr>
          <w:p w14:paraId="1603F8B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10.96</w:t>
            </w:r>
          </w:p>
        </w:tc>
        <w:tc>
          <w:tcPr>
            <w:tcW w:w="1093" w:type="pct"/>
            <w:shd w:val="clear" w:color="auto" w:fill="auto"/>
            <w:vAlign w:val="center"/>
          </w:tcPr>
          <w:p w14:paraId="2D70640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11.90</w:t>
            </w:r>
          </w:p>
        </w:tc>
        <w:tc>
          <w:tcPr>
            <w:tcW w:w="1088" w:type="pct"/>
            <w:shd w:val="clear" w:color="auto" w:fill="auto"/>
            <w:vAlign w:val="center"/>
          </w:tcPr>
          <w:p w14:paraId="1BC9519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9.25</w:t>
            </w:r>
          </w:p>
        </w:tc>
      </w:tr>
      <w:tr w14:paraId="68556C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6B87FB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w:t>
            </w:r>
          </w:p>
        </w:tc>
        <w:tc>
          <w:tcPr>
            <w:tcW w:w="995" w:type="pct"/>
            <w:shd w:val="clear" w:color="auto" w:fill="auto"/>
            <w:vAlign w:val="center"/>
          </w:tcPr>
          <w:p w14:paraId="758D04F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15.58</w:t>
            </w:r>
          </w:p>
        </w:tc>
        <w:tc>
          <w:tcPr>
            <w:tcW w:w="1093" w:type="pct"/>
            <w:shd w:val="clear" w:color="auto" w:fill="auto"/>
            <w:vAlign w:val="center"/>
          </w:tcPr>
          <w:p w14:paraId="79AFC6D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11.51</w:t>
            </w:r>
          </w:p>
        </w:tc>
        <w:tc>
          <w:tcPr>
            <w:tcW w:w="1093" w:type="pct"/>
            <w:shd w:val="clear" w:color="auto" w:fill="auto"/>
            <w:vAlign w:val="center"/>
          </w:tcPr>
          <w:p w14:paraId="2690FD5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12.68</w:t>
            </w:r>
          </w:p>
        </w:tc>
        <w:tc>
          <w:tcPr>
            <w:tcW w:w="1088" w:type="pct"/>
            <w:shd w:val="clear" w:color="auto" w:fill="auto"/>
            <w:vAlign w:val="center"/>
          </w:tcPr>
          <w:p w14:paraId="08B85EE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9.73</w:t>
            </w:r>
          </w:p>
        </w:tc>
      </w:tr>
      <w:tr w14:paraId="7EF2E8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66A68B6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w:t>
            </w:r>
          </w:p>
        </w:tc>
        <w:tc>
          <w:tcPr>
            <w:tcW w:w="995" w:type="pct"/>
            <w:shd w:val="clear" w:color="auto" w:fill="auto"/>
            <w:vAlign w:val="center"/>
          </w:tcPr>
          <w:p w14:paraId="003418A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16.43</w:t>
            </w:r>
          </w:p>
        </w:tc>
        <w:tc>
          <w:tcPr>
            <w:tcW w:w="1093" w:type="pct"/>
            <w:shd w:val="clear" w:color="auto" w:fill="auto"/>
            <w:vAlign w:val="center"/>
          </w:tcPr>
          <w:p w14:paraId="5E0FFFF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11.96</w:t>
            </w:r>
          </w:p>
        </w:tc>
        <w:tc>
          <w:tcPr>
            <w:tcW w:w="1093" w:type="pct"/>
            <w:shd w:val="clear" w:color="auto" w:fill="auto"/>
            <w:vAlign w:val="center"/>
          </w:tcPr>
          <w:p w14:paraId="63356E7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13.09</w:t>
            </w:r>
          </w:p>
        </w:tc>
        <w:tc>
          <w:tcPr>
            <w:tcW w:w="1088" w:type="pct"/>
            <w:shd w:val="clear" w:color="auto" w:fill="auto"/>
            <w:vAlign w:val="center"/>
          </w:tcPr>
          <w:p w14:paraId="1D93C3A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10.12</w:t>
            </w:r>
          </w:p>
        </w:tc>
      </w:tr>
      <w:tr w14:paraId="08AD1C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7A76D66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995" w:type="pct"/>
            <w:shd w:val="clear" w:color="auto" w:fill="auto"/>
            <w:vAlign w:val="center"/>
          </w:tcPr>
          <w:p w14:paraId="6E70E7C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17.37</w:t>
            </w:r>
          </w:p>
        </w:tc>
        <w:tc>
          <w:tcPr>
            <w:tcW w:w="1093" w:type="pct"/>
            <w:shd w:val="clear" w:color="auto" w:fill="auto"/>
            <w:vAlign w:val="center"/>
          </w:tcPr>
          <w:p w14:paraId="21BC6DA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12.31</w:t>
            </w:r>
          </w:p>
        </w:tc>
        <w:tc>
          <w:tcPr>
            <w:tcW w:w="1093" w:type="pct"/>
            <w:shd w:val="clear" w:color="auto" w:fill="auto"/>
            <w:vAlign w:val="center"/>
          </w:tcPr>
          <w:p w14:paraId="2E1D3CF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14.80</w:t>
            </w:r>
          </w:p>
        </w:tc>
        <w:tc>
          <w:tcPr>
            <w:tcW w:w="1088" w:type="pct"/>
            <w:shd w:val="clear" w:color="auto" w:fill="auto"/>
            <w:vAlign w:val="center"/>
          </w:tcPr>
          <w:p w14:paraId="5F2B9F1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10.53</w:t>
            </w:r>
          </w:p>
        </w:tc>
      </w:tr>
      <w:tr w14:paraId="49E19C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233B32F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25</w:t>
            </w:r>
          </w:p>
        </w:tc>
        <w:tc>
          <w:tcPr>
            <w:tcW w:w="995" w:type="pct"/>
            <w:shd w:val="clear" w:color="auto" w:fill="auto"/>
            <w:vAlign w:val="center"/>
          </w:tcPr>
          <w:p w14:paraId="42C39C4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18.22</w:t>
            </w:r>
          </w:p>
        </w:tc>
        <w:tc>
          <w:tcPr>
            <w:tcW w:w="1093" w:type="pct"/>
            <w:shd w:val="clear" w:color="auto" w:fill="auto"/>
            <w:vAlign w:val="center"/>
          </w:tcPr>
          <w:p w14:paraId="0AACC5D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12.56</w:t>
            </w:r>
          </w:p>
        </w:tc>
        <w:tc>
          <w:tcPr>
            <w:tcW w:w="1093" w:type="pct"/>
            <w:shd w:val="clear" w:color="auto" w:fill="auto"/>
            <w:vAlign w:val="center"/>
          </w:tcPr>
          <w:p w14:paraId="4FDB757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15.15</w:t>
            </w:r>
          </w:p>
        </w:tc>
        <w:tc>
          <w:tcPr>
            <w:tcW w:w="1088" w:type="pct"/>
            <w:shd w:val="clear" w:color="auto" w:fill="auto"/>
            <w:vAlign w:val="center"/>
          </w:tcPr>
          <w:p w14:paraId="362486C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10.91</w:t>
            </w:r>
          </w:p>
        </w:tc>
      </w:tr>
      <w:tr w14:paraId="704D97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358AD7AE">
            <w:pPr>
              <w:pStyle w:val="58"/>
              <w:spacing w:line="202" w:lineRule="exact"/>
              <w:ind w:right="5"/>
              <w:jc w:val="center"/>
              <w:rPr>
                <w:rFonts w:ascii="Times New Roman" w:hAnsi="Times New Roman" w:eastAsia="Times New Roman"/>
                <w:sz w:val="21"/>
                <w:szCs w:val="21"/>
              </w:rPr>
            </w:pPr>
            <w:r>
              <w:rPr>
                <w:rFonts w:ascii="Times New Roman"/>
                <w:sz w:val="21"/>
                <w:szCs w:val="21"/>
              </w:rPr>
              <w:t>30</w:t>
            </w:r>
          </w:p>
        </w:tc>
        <w:tc>
          <w:tcPr>
            <w:tcW w:w="995" w:type="pct"/>
            <w:shd w:val="clear" w:color="auto" w:fill="auto"/>
            <w:vAlign w:val="center"/>
          </w:tcPr>
          <w:p w14:paraId="251F3897">
            <w:pPr>
              <w:pStyle w:val="58"/>
              <w:spacing w:line="202" w:lineRule="exact"/>
              <w:jc w:val="center"/>
              <w:rPr>
                <w:rFonts w:ascii="Times New Roman" w:hAnsi="Times New Roman" w:eastAsia="Times New Roman"/>
                <w:sz w:val="21"/>
                <w:szCs w:val="21"/>
              </w:rPr>
            </w:pPr>
            <w:r>
              <w:rPr>
                <w:rFonts w:ascii="Times New Roman"/>
                <w:sz w:val="21"/>
                <w:szCs w:val="21"/>
              </w:rPr>
              <w:t>19.04</w:t>
            </w:r>
          </w:p>
        </w:tc>
        <w:tc>
          <w:tcPr>
            <w:tcW w:w="1093" w:type="pct"/>
            <w:shd w:val="clear" w:color="auto" w:fill="auto"/>
            <w:vAlign w:val="center"/>
          </w:tcPr>
          <w:p w14:paraId="4D3725AA">
            <w:pPr>
              <w:pStyle w:val="58"/>
              <w:spacing w:line="202" w:lineRule="exact"/>
              <w:jc w:val="center"/>
              <w:rPr>
                <w:rFonts w:ascii="Times New Roman" w:hAnsi="Times New Roman" w:eastAsia="Times New Roman"/>
                <w:sz w:val="21"/>
                <w:szCs w:val="21"/>
              </w:rPr>
            </w:pPr>
            <w:r>
              <w:rPr>
                <w:rFonts w:ascii="Times New Roman"/>
                <w:sz w:val="21"/>
                <w:szCs w:val="21"/>
              </w:rPr>
              <w:t>12.72</w:t>
            </w:r>
          </w:p>
        </w:tc>
        <w:tc>
          <w:tcPr>
            <w:tcW w:w="1093" w:type="pct"/>
            <w:shd w:val="clear" w:color="auto" w:fill="auto"/>
            <w:vAlign w:val="center"/>
          </w:tcPr>
          <w:p w14:paraId="44F2EF25">
            <w:pPr>
              <w:pStyle w:val="58"/>
              <w:spacing w:line="202" w:lineRule="exact"/>
              <w:jc w:val="center"/>
              <w:rPr>
                <w:rFonts w:ascii="Times New Roman" w:hAnsi="Times New Roman" w:eastAsia="Times New Roman"/>
                <w:sz w:val="21"/>
                <w:szCs w:val="21"/>
              </w:rPr>
            </w:pPr>
            <w:r>
              <w:rPr>
                <w:rFonts w:ascii="Times New Roman"/>
                <w:sz w:val="21"/>
                <w:szCs w:val="21"/>
              </w:rPr>
              <w:t>15.21</w:t>
            </w:r>
          </w:p>
        </w:tc>
        <w:tc>
          <w:tcPr>
            <w:tcW w:w="1088" w:type="pct"/>
            <w:shd w:val="clear" w:color="auto" w:fill="auto"/>
            <w:vAlign w:val="center"/>
          </w:tcPr>
          <w:p w14:paraId="5FB4EA1E">
            <w:pPr>
              <w:pStyle w:val="58"/>
              <w:spacing w:line="202" w:lineRule="exact"/>
              <w:ind w:left="8"/>
              <w:jc w:val="center"/>
              <w:rPr>
                <w:rFonts w:ascii="Times New Roman" w:hAnsi="Times New Roman" w:eastAsia="Times New Roman"/>
                <w:sz w:val="21"/>
                <w:szCs w:val="21"/>
              </w:rPr>
            </w:pPr>
            <w:r>
              <w:rPr>
                <w:rFonts w:ascii="Times New Roman"/>
                <w:sz w:val="21"/>
                <w:szCs w:val="21"/>
              </w:rPr>
              <w:t>11.32</w:t>
            </w:r>
          </w:p>
        </w:tc>
      </w:tr>
      <w:tr w14:paraId="175E91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319F6C93">
            <w:pPr>
              <w:pStyle w:val="58"/>
              <w:spacing w:line="199" w:lineRule="exact"/>
              <w:ind w:right="5"/>
              <w:jc w:val="center"/>
              <w:rPr>
                <w:rFonts w:ascii="Times New Roman" w:hAnsi="Times New Roman" w:eastAsia="Times New Roman"/>
                <w:sz w:val="21"/>
                <w:szCs w:val="21"/>
              </w:rPr>
            </w:pPr>
            <w:r>
              <w:rPr>
                <w:rFonts w:ascii="Times New Roman"/>
                <w:sz w:val="21"/>
                <w:szCs w:val="21"/>
              </w:rPr>
              <w:t>40</w:t>
            </w:r>
          </w:p>
        </w:tc>
        <w:tc>
          <w:tcPr>
            <w:tcW w:w="995" w:type="pct"/>
            <w:shd w:val="clear" w:color="auto" w:fill="auto"/>
            <w:vAlign w:val="center"/>
          </w:tcPr>
          <w:p w14:paraId="33401D54">
            <w:pPr>
              <w:pStyle w:val="58"/>
              <w:spacing w:line="199" w:lineRule="exact"/>
              <w:jc w:val="center"/>
              <w:rPr>
                <w:rFonts w:ascii="Times New Roman" w:hAnsi="Times New Roman" w:eastAsia="Times New Roman"/>
                <w:sz w:val="21"/>
                <w:szCs w:val="21"/>
              </w:rPr>
            </w:pPr>
            <w:r>
              <w:rPr>
                <w:rFonts w:ascii="Times New Roman"/>
                <w:sz w:val="21"/>
                <w:szCs w:val="21"/>
              </w:rPr>
              <w:t>19.89</w:t>
            </w:r>
          </w:p>
        </w:tc>
        <w:tc>
          <w:tcPr>
            <w:tcW w:w="1093" w:type="pct"/>
            <w:shd w:val="clear" w:color="auto" w:fill="auto"/>
            <w:vAlign w:val="center"/>
          </w:tcPr>
          <w:p w14:paraId="5DA79F4D">
            <w:pPr>
              <w:pStyle w:val="58"/>
              <w:spacing w:line="199" w:lineRule="exact"/>
              <w:jc w:val="center"/>
              <w:rPr>
                <w:rFonts w:ascii="Times New Roman" w:hAnsi="Times New Roman" w:eastAsia="Times New Roman"/>
                <w:sz w:val="21"/>
                <w:szCs w:val="21"/>
              </w:rPr>
            </w:pPr>
            <w:r>
              <w:rPr>
                <w:rFonts w:ascii="Times New Roman"/>
                <w:sz w:val="21"/>
                <w:szCs w:val="21"/>
              </w:rPr>
              <w:t>12.87</w:t>
            </w:r>
          </w:p>
        </w:tc>
        <w:tc>
          <w:tcPr>
            <w:tcW w:w="1093" w:type="pct"/>
            <w:shd w:val="clear" w:color="auto" w:fill="auto"/>
            <w:vAlign w:val="center"/>
          </w:tcPr>
          <w:p w14:paraId="4919606B">
            <w:pPr>
              <w:pStyle w:val="58"/>
              <w:spacing w:line="199" w:lineRule="exact"/>
              <w:jc w:val="center"/>
              <w:rPr>
                <w:rFonts w:ascii="Times New Roman" w:hAnsi="Times New Roman" w:eastAsia="Times New Roman"/>
                <w:sz w:val="21"/>
                <w:szCs w:val="21"/>
              </w:rPr>
            </w:pPr>
            <w:r>
              <w:rPr>
                <w:rFonts w:ascii="Times New Roman"/>
                <w:sz w:val="21"/>
                <w:szCs w:val="21"/>
              </w:rPr>
              <w:t>15.30</w:t>
            </w:r>
          </w:p>
        </w:tc>
        <w:tc>
          <w:tcPr>
            <w:tcW w:w="1088" w:type="pct"/>
            <w:shd w:val="clear" w:color="auto" w:fill="auto"/>
            <w:vAlign w:val="center"/>
          </w:tcPr>
          <w:p w14:paraId="5414A43D">
            <w:pPr>
              <w:pStyle w:val="58"/>
              <w:spacing w:line="199" w:lineRule="exact"/>
              <w:ind w:left="8"/>
              <w:jc w:val="center"/>
              <w:rPr>
                <w:rFonts w:ascii="Times New Roman" w:hAnsi="Times New Roman" w:eastAsia="Times New Roman"/>
                <w:sz w:val="21"/>
                <w:szCs w:val="21"/>
              </w:rPr>
            </w:pPr>
            <w:r>
              <w:rPr>
                <w:rFonts w:ascii="Times New Roman"/>
                <w:sz w:val="21"/>
                <w:szCs w:val="21"/>
              </w:rPr>
              <w:t>11.75</w:t>
            </w:r>
          </w:p>
        </w:tc>
      </w:tr>
      <w:tr w14:paraId="5437A0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A12A5B3">
            <w:pPr>
              <w:pStyle w:val="58"/>
              <w:spacing w:line="202" w:lineRule="exact"/>
              <w:ind w:right="5"/>
              <w:jc w:val="center"/>
              <w:rPr>
                <w:rFonts w:ascii="Times New Roman" w:hAnsi="Times New Roman" w:eastAsia="Times New Roman"/>
                <w:sz w:val="21"/>
                <w:szCs w:val="21"/>
              </w:rPr>
            </w:pPr>
            <w:r>
              <w:rPr>
                <w:rFonts w:ascii="Times New Roman"/>
                <w:sz w:val="21"/>
                <w:szCs w:val="21"/>
              </w:rPr>
              <w:t>50</w:t>
            </w:r>
          </w:p>
        </w:tc>
        <w:tc>
          <w:tcPr>
            <w:tcW w:w="995" w:type="pct"/>
            <w:shd w:val="clear" w:color="auto" w:fill="auto"/>
            <w:vAlign w:val="center"/>
          </w:tcPr>
          <w:p w14:paraId="7F86BC3B">
            <w:pPr>
              <w:pStyle w:val="58"/>
              <w:spacing w:line="202" w:lineRule="exact"/>
              <w:jc w:val="center"/>
              <w:rPr>
                <w:rFonts w:ascii="Times New Roman" w:hAnsi="Times New Roman" w:eastAsia="Times New Roman"/>
                <w:sz w:val="21"/>
                <w:szCs w:val="21"/>
              </w:rPr>
            </w:pPr>
            <w:r>
              <w:rPr>
                <w:rFonts w:ascii="Times New Roman"/>
                <w:sz w:val="21"/>
                <w:szCs w:val="21"/>
              </w:rPr>
              <w:t>20.62</w:t>
            </w:r>
          </w:p>
        </w:tc>
        <w:tc>
          <w:tcPr>
            <w:tcW w:w="1093" w:type="pct"/>
            <w:shd w:val="clear" w:color="auto" w:fill="auto"/>
            <w:vAlign w:val="center"/>
          </w:tcPr>
          <w:p w14:paraId="39227501">
            <w:pPr>
              <w:pStyle w:val="58"/>
              <w:spacing w:line="202" w:lineRule="exact"/>
              <w:jc w:val="center"/>
              <w:rPr>
                <w:rFonts w:ascii="Times New Roman" w:hAnsi="Times New Roman" w:eastAsia="Times New Roman"/>
                <w:sz w:val="21"/>
                <w:szCs w:val="21"/>
              </w:rPr>
            </w:pPr>
            <w:r>
              <w:rPr>
                <w:rFonts w:ascii="Times New Roman"/>
                <w:sz w:val="21"/>
                <w:szCs w:val="21"/>
              </w:rPr>
              <w:t>13.02</w:t>
            </w:r>
          </w:p>
        </w:tc>
        <w:tc>
          <w:tcPr>
            <w:tcW w:w="1093" w:type="pct"/>
            <w:shd w:val="clear" w:color="auto" w:fill="auto"/>
            <w:vAlign w:val="center"/>
          </w:tcPr>
          <w:p w14:paraId="06FBE125">
            <w:pPr>
              <w:pStyle w:val="58"/>
              <w:spacing w:line="202" w:lineRule="exact"/>
              <w:jc w:val="center"/>
              <w:rPr>
                <w:rFonts w:ascii="Times New Roman" w:hAnsi="Times New Roman" w:eastAsia="Times New Roman"/>
                <w:sz w:val="21"/>
                <w:szCs w:val="21"/>
              </w:rPr>
            </w:pPr>
            <w:r>
              <w:rPr>
                <w:rFonts w:ascii="Times New Roman"/>
                <w:sz w:val="21"/>
                <w:szCs w:val="21"/>
              </w:rPr>
              <w:t>15.38</w:t>
            </w:r>
          </w:p>
        </w:tc>
        <w:tc>
          <w:tcPr>
            <w:tcW w:w="1088" w:type="pct"/>
            <w:shd w:val="clear" w:color="auto" w:fill="auto"/>
            <w:vAlign w:val="center"/>
          </w:tcPr>
          <w:p w14:paraId="4E4E9CD1">
            <w:pPr>
              <w:pStyle w:val="58"/>
              <w:spacing w:line="202" w:lineRule="exact"/>
              <w:ind w:left="5"/>
              <w:jc w:val="center"/>
              <w:rPr>
                <w:rFonts w:ascii="Times New Roman" w:hAnsi="Times New Roman" w:eastAsia="Times New Roman"/>
                <w:sz w:val="21"/>
                <w:szCs w:val="21"/>
              </w:rPr>
            </w:pPr>
            <w:r>
              <w:rPr>
                <w:rFonts w:ascii="Times New Roman"/>
                <w:sz w:val="21"/>
                <w:szCs w:val="21"/>
              </w:rPr>
              <w:t>12.02</w:t>
            </w:r>
          </w:p>
        </w:tc>
      </w:tr>
      <w:tr w14:paraId="46C992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33E396E2">
            <w:pPr>
              <w:pStyle w:val="58"/>
              <w:spacing w:line="200" w:lineRule="exact"/>
              <w:ind w:right="5"/>
              <w:jc w:val="center"/>
              <w:rPr>
                <w:rFonts w:ascii="Times New Roman" w:hAnsi="Times New Roman" w:eastAsia="Times New Roman"/>
                <w:sz w:val="21"/>
                <w:szCs w:val="21"/>
              </w:rPr>
            </w:pPr>
            <w:r>
              <w:rPr>
                <w:rFonts w:ascii="Times New Roman"/>
                <w:sz w:val="21"/>
                <w:szCs w:val="21"/>
              </w:rPr>
              <w:t>60</w:t>
            </w:r>
          </w:p>
        </w:tc>
        <w:tc>
          <w:tcPr>
            <w:tcW w:w="995" w:type="pct"/>
            <w:shd w:val="clear" w:color="auto" w:fill="auto"/>
            <w:vAlign w:val="center"/>
          </w:tcPr>
          <w:p w14:paraId="0761FAAB">
            <w:pPr>
              <w:pStyle w:val="58"/>
              <w:spacing w:line="200" w:lineRule="exact"/>
              <w:jc w:val="center"/>
              <w:rPr>
                <w:rFonts w:ascii="Times New Roman" w:hAnsi="Times New Roman" w:eastAsia="Times New Roman"/>
                <w:sz w:val="21"/>
                <w:szCs w:val="21"/>
              </w:rPr>
            </w:pPr>
            <w:r>
              <w:rPr>
                <w:rFonts w:ascii="Times New Roman"/>
                <w:sz w:val="21"/>
                <w:szCs w:val="21"/>
              </w:rPr>
              <w:t>21.34</w:t>
            </w:r>
          </w:p>
        </w:tc>
        <w:tc>
          <w:tcPr>
            <w:tcW w:w="1093" w:type="pct"/>
            <w:shd w:val="clear" w:color="auto" w:fill="auto"/>
            <w:vAlign w:val="center"/>
          </w:tcPr>
          <w:p w14:paraId="6AFC4F74">
            <w:pPr>
              <w:pStyle w:val="58"/>
              <w:spacing w:line="200" w:lineRule="exact"/>
              <w:jc w:val="center"/>
              <w:rPr>
                <w:rFonts w:ascii="Times New Roman" w:hAnsi="Times New Roman" w:eastAsia="Times New Roman"/>
                <w:sz w:val="21"/>
                <w:szCs w:val="21"/>
              </w:rPr>
            </w:pPr>
            <w:r>
              <w:rPr>
                <w:rFonts w:ascii="Times New Roman"/>
                <w:sz w:val="21"/>
                <w:szCs w:val="21"/>
              </w:rPr>
              <w:t>13.15</w:t>
            </w:r>
          </w:p>
        </w:tc>
        <w:tc>
          <w:tcPr>
            <w:tcW w:w="1093" w:type="pct"/>
            <w:shd w:val="clear" w:color="auto" w:fill="auto"/>
            <w:vAlign w:val="center"/>
          </w:tcPr>
          <w:p w14:paraId="339AB332">
            <w:pPr>
              <w:pStyle w:val="58"/>
              <w:spacing w:line="200" w:lineRule="exact"/>
              <w:jc w:val="center"/>
              <w:rPr>
                <w:rFonts w:ascii="Times New Roman" w:hAnsi="Times New Roman" w:eastAsia="Times New Roman"/>
                <w:sz w:val="21"/>
                <w:szCs w:val="21"/>
              </w:rPr>
            </w:pPr>
            <w:r>
              <w:rPr>
                <w:rFonts w:ascii="Times New Roman"/>
                <w:sz w:val="21"/>
                <w:szCs w:val="21"/>
              </w:rPr>
              <w:t>15.45</w:t>
            </w:r>
          </w:p>
        </w:tc>
        <w:tc>
          <w:tcPr>
            <w:tcW w:w="1088" w:type="pct"/>
            <w:shd w:val="clear" w:color="auto" w:fill="auto"/>
            <w:vAlign w:val="center"/>
          </w:tcPr>
          <w:p w14:paraId="119212FD">
            <w:pPr>
              <w:pStyle w:val="58"/>
              <w:spacing w:line="200" w:lineRule="exact"/>
              <w:ind w:left="5"/>
              <w:jc w:val="center"/>
              <w:rPr>
                <w:rFonts w:ascii="Times New Roman" w:hAnsi="Times New Roman" w:eastAsia="Times New Roman"/>
                <w:sz w:val="21"/>
                <w:szCs w:val="21"/>
              </w:rPr>
            </w:pPr>
            <w:r>
              <w:rPr>
                <w:rFonts w:ascii="Times New Roman"/>
                <w:sz w:val="21"/>
                <w:szCs w:val="21"/>
              </w:rPr>
              <w:t>12.25</w:t>
            </w:r>
          </w:p>
        </w:tc>
      </w:tr>
      <w:tr w14:paraId="4861CE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3C699696">
            <w:pPr>
              <w:pStyle w:val="58"/>
              <w:spacing w:line="199" w:lineRule="exact"/>
              <w:ind w:right="5"/>
              <w:jc w:val="center"/>
              <w:rPr>
                <w:rFonts w:ascii="Times New Roman" w:hAnsi="Times New Roman" w:eastAsia="Times New Roman"/>
                <w:sz w:val="21"/>
                <w:szCs w:val="21"/>
              </w:rPr>
            </w:pPr>
            <w:r>
              <w:rPr>
                <w:rFonts w:ascii="Times New Roman"/>
                <w:sz w:val="21"/>
                <w:szCs w:val="21"/>
              </w:rPr>
              <w:t>80</w:t>
            </w:r>
          </w:p>
        </w:tc>
        <w:tc>
          <w:tcPr>
            <w:tcW w:w="995" w:type="pct"/>
            <w:shd w:val="clear" w:color="auto" w:fill="auto"/>
            <w:vAlign w:val="center"/>
          </w:tcPr>
          <w:p w14:paraId="5E64BB1D">
            <w:pPr>
              <w:pStyle w:val="58"/>
              <w:spacing w:line="199" w:lineRule="exact"/>
              <w:jc w:val="center"/>
              <w:rPr>
                <w:rFonts w:ascii="Times New Roman" w:hAnsi="Times New Roman" w:eastAsia="Times New Roman"/>
                <w:sz w:val="21"/>
                <w:szCs w:val="21"/>
              </w:rPr>
            </w:pPr>
            <w:r>
              <w:rPr>
                <w:rFonts w:ascii="Times New Roman"/>
                <w:sz w:val="21"/>
                <w:szCs w:val="21"/>
              </w:rPr>
              <w:t>21.97</w:t>
            </w:r>
          </w:p>
        </w:tc>
        <w:tc>
          <w:tcPr>
            <w:tcW w:w="1093" w:type="pct"/>
            <w:shd w:val="clear" w:color="auto" w:fill="auto"/>
            <w:vAlign w:val="center"/>
          </w:tcPr>
          <w:p w14:paraId="01106F44">
            <w:pPr>
              <w:pStyle w:val="58"/>
              <w:spacing w:line="199" w:lineRule="exact"/>
              <w:jc w:val="center"/>
              <w:rPr>
                <w:rFonts w:ascii="Times New Roman" w:hAnsi="Times New Roman" w:eastAsia="Times New Roman"/>
                <w:sz w:val="21"/>
                <w:szCs w:val="21"/>
              </w:rPr>
            </w:pPr>
            <w:r>
              <w:rPr>
                <w:rFonts w:ascii="Times New Roman"/>
                <w:sz w:val="21"/>
                <w:szCs w:val="21"/>
              </w:rPr>
              <w:t>13.25</w:t>
            </w:r>
          </w:p>
        </w:tc>
        <w:tc>
          <w:tcPr>
            <w:tcW w:w="1093" w:type="pct"/>
            <w:shd w:val="clear" w:color="auto" w:fill="auto"/>
            <w:vAlign w:val="center"/>
          </w:tcPr>
          <w:p w14:paraId="7FBEE89D">
            <w:pPr>
              <w:pStyle w:val="58"/>
              <w:spacing w:line="199" w:lineRule="exact"/>
              <w:jc w:val="center"/>
              <w:rPr>
                <w:rFonts w:ascii="Times New Roman" w:hAnsi="Times New Roman" w:eastAsia="Times New Roman"/>
                <w:sz w:val="21"/>
                <w:szCs w:val="21"/>
              </w:rPr>
            </w:pPr>
            <w:r>
              <w:rPr>
                <w:rFonts w:ascii="Times New Roman"/>
                <w:sz w:val="21"/>
                <w:szCs w:val="21"/>
              </w:rPr>
              <w:t>15.51</w:t>
            </w:r>
          </w:p>
        </w:tc>
        <w:tc>
          <w:tcPr>
            <w:tcW w:w="1088" w:type="pct"/>
            <w:shd w:val="clear" w:color="auto" w:fill="auto"/>
            <w:vAlign w:val="center"/>
          </w:tcPr>
          <w:p w14:paraId="6FAC2E3D">
            <w:pPr>
              <w:pStyle w:val="58"/>
              <w:spacing w:line="199" w:lineRule="exact"/>
              <w:ind w:left="5"/>
              <w:jc w:val="center"/>
              <w:rPr>
                <w:rFonts w:ascii="Times New Roman" w:hAnsi="Times New Roman" w:eastAsia="Times New Roman"/>
                <w:sz w:val="21"/>
                <w:szCs w:val="21"/>
              </w:rPr>
            </w:pPr>
            <w:r>
              <w:rPr>
                <w:rFonts w:ascii="Times New Roman"/>
                <w:sz w:val="21"/>
                <w:szCs w:val="21"/>
              </w:rPr>
              <w:t>12.32</w:t>
            </w:r>
          </w:p>
        </w:tc>
      </w:tr>
      <w:tr w14:paraId="090EFD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4E89E59">
            <w:pPr>
              <w:pStyle w:val="58"/>
              <w:spacing w:line="200" w:lineRule="exact"/>
              <w:ind w:right="5"/>
              <w:jc w:val="center"/>
              <w:rPr>
                <w:rFonts w:ascii="Times New Roman" w:hAnsi="Times New Roman" w:eastAsia="Times New Roman"/>
                <w:sz w:val="21"/>
                <w:szCs w:val="21"/>
              </w:rPr>
            </w:pPr>
            <w:r>
              <w:rPr>
                <w:rFonts w:ascii="Times New Roman"/>
                <w:sz w:val="21"/>
                <w:szCs w:val="21"/>
              </w:rPr>
              <w:t>100</w:t>
            </w:r>
          </w:p>
        </w:tc>
        <w:tc>
          <w:tcPr>
            <w:tcW w:w="995" w:type="pct"/>
            <w:shd w:val="clear" w:color="auto" w:fill="auto"/>
            <w:vAlign w:val="center"/>
          </w:tcPr>
          <w:p w14:paraId="41C53C44">
            <w:pPr>
              <w:pStyle w:val="58"/>
              <w:spacing w:line="200" w:lineRule="exact"/>
              <w:jc w:val="center"/>
              <w:rPr>
                <w:rFonts w:ascii="Times New Roman" w:hAnsi="Times New Roman" w:eastAsia="Times New Roman"/>
                <w:sz w:val="21"/>
                <w:szCs w:val="21"/>
              </w:rPr>
            </w:pPr>
            <w:r>
              <w:rPr>
                <w:rFonts w:ascii="Times New Roman"/>
                <w:sz w:val="21"/>
                <w:szCs w:val="21"/>
              </w:rPr>
              <w:t>22.53</w:t>
            </w:r>
          </w:p>
        </w:tc>
        <w:tc>
          <w:tcPr>
            <w:tcW w:w="1093" w:type="pct"/>
            <w:shd w:val="clear" w:color="auto" w:fill="auto"/>
            <w:vAlign w:val="center"/>
          </w:tcPr>
          <w:p w14:paraId="36FAA3DB">
            <w:pPr>
              <w:pStyle w:val="58"/>
              <w:spacing w:line="200" w:lineRule="exact"/>
              <w:jc w:val="center"/>
              <w:rPr>
                <w:rFonts w:ascii="Times New Roman" w:hAnsi="Times New Roman" w:eastAsia="Times New Roman"/>
                <w:sz w:val="21"/>
                <w:szCs w:val="21"/>
              </w:rPr>
            </w:pPr>
            <w:r>
              <w:rPr>
                <w:rFonts w:ascii="Times New Roman"/>
                <w:sz w:val="21"/>
                <w:szCs w:val="21"/>
              </w:rPr>
              <w:t>13.33</w:t>
            </w:r>
          </w:p>
        </w:tc>
        <w:tc>
          <w:tcPr>
            <w:tcW w:w="1093" w:type="pct"/>
            <w:shd w:val="clear" w:color="auto" w:fill="auto"/>
            <w:vAlign w:val="center"/>
          </w:tcPr>
          <w:p w14:paraId="00DB29F0">
            <w:pPr>
              <w:pStyle w:val="58"/>
              <w:spacing w:line="200" w:lineRule="exact"/>
              <w:jc w:val="center"/>
              <w:rPr>
                <w:rFonts w:ascii="Times New Roman" w:hAnsi="Times New Roman" w:eastAsia="Times New Roman"/>
                <w:sz w:val="21"/>
                <w:szCs w:val="21"/>
              </w:rPr>
            </w:pPr>
            <w:r>
              <w:rPr>
                <w:rFonts w:ascii="Times New Roman"/>
                <w:sz w:val="21"/>
                <w:szCs w:val="21"/>
              </w:rPr>
              <w:t>15.59</w:t>
            </w:r>
          </w:p>
        </w:tc>
        <w:tc>
          <w:tcPr>
            <w:tcW w:w="1088" w:type="pct"/>
            <w:shd w:val="clear" w:color="auto" w:fill="auto"/>
            <w:vAlign w:val="center"/>
          </w:tcPr>
          <w:p w14:paraId="23ED85DA">
            <w:pPr>
              <w:pStyle w:val="58"/>
              <w:spacing w:line="200" w:lineRule="exact"/>
              <w:ind w:left="5"/>
              <w:jc w:val="center"/>
              <w:rPr>
                <w:rFonts w:ascii="Times New Roman" w:hAnsi="Times New Roman" w:eastAsia="Times New Roman"/>
                <w:sz w:val="21"/>
                <w:szCs w:val="21"/>
              </w:rPr>
            </w:pPr>
            <w:r>
              <w:rPr>
                <w:rFonts w:ascii="Times New Roman"/>
                <w:sz w:val="21"/>
                <w:szCs w:val="21"/>
              </w:rPr>
              <w:t>12.40</w:t>
            </w:r>
          </w:p>
        </w:tc>
      </w:tr>
      <w:tr w14:paraId="5A6AA9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2896242E">
            <w:pPr>
              <w:pStyle w:val="58"/>
              <w:spacing w:line="199" w:lineRule="exact"/>
              <w:ind w:right="5"/>
              <w:jc w:val="center"/>
              <w:rPr>
                <w:rFonts w:ascii="Times New Roman" w:hAnsi="Times New Roman" w:eastAsia="Times New Roman"/>
                <w:sz w:val="21"/>
                <w:szCs w:val="21"/>
              </w:rPr>
            </w:pPr>
            <w:r>
              <w:rPr>
                <w:rFonts w:ascii="Times New Roman"/>
                <w:sz w:val="21"/>
                <w:szCs w:val="21"/>
              </w:rPr>
              <w:t>120</w:t>
            </w:r>
          </w:p>
        </w:tc>
        <w:tc>
          <w:tcPr>
            <w:tcW w:w="995" w:type="pct"/>
            <w:shd w:val="clear" w:color="auto" w:fill="auto"/>
            <w:vAlign w:val="center"/>
          </w:tcPr>
          <w:p w14:paraId="00D2D02A">
            <w:pPr>
              <w:pStyle w:val="58"/>
              <w:spacing w:line="199" w:lineRule="exact"/>
              <w:jc w:val="center"/>
              <w:rPr>
                <w:rFonts w:ascii="Times New Roman" w:hAnsi="Times New Roman" w:eastAsia="Times New Roman"/>
                <w:sz w:val="21"/>
                <w:szCs w:val="21"/>
              </w:rPr>
            </w:pPr>
            <w:r>
              <w:rPr>
                <w:rFonts w:ascii="Times New Roman"/>
                <w:sz w:val="21"/>
                <w:szCs w:val="21"/>
              </w:rPr>
              <w:t>22.96</w:t>
            </w:r>
          </w:p>
        </w:tc>
        <w:tc>
          <w:tcPr>
            <w:tcW w:w="1093" w:type="pct"/>
            <w:shd w:val="clear" w:color="auto" w:fill="auto"/>
            <w:vAlign w:val="center"/>
          </w:tcPr>
          <w:p w14:paraId="52AE0C8E">
            <w:pPr>
              <w:pStyle w:val="58"/>
              <w:spacing w:line="199" w:lineRule="exact"/>
              <w:jc w:val="center"/>
              <w:rPr>
                <w:rFonts w:ascii="Times New Roman" w:hAnsi="Times New Roman" w:eastAsia="Times New Roman"/>
                <w:sz w:val="21"/>
                <w:szCs w:val="21"/>
              </w:rPr>
            </w:pPr>
            <w:r>
              <w:rPr>
                <w:rFonts w:ascii="Times New Roman"/>
                <w:sz w:val="21"/>
                <w:szCs w:val="21"/>
              </w:rPr>
              <w:t>13.41</w:t>
            </w:r>
          </w:p>
        </w:tc>
        <w:tc>
          <w:tcPr>
            <w:tcW w:w="1093" w:type="pct"/>
            <w:shd w:val="clear" w:color="auto" w:fill="auto"/>
            <w:vAlign w:val="center"/>
          </w:tcPr>
          <w:p w14:paraId="142FE07F">
            <w:pPr>
              <w:pStyle w:val="58"/>
              <w:spacing w:line="199" w:lineRule="exact"/>
              <w:jc w:val="center"/>
              <w:rPr>
                <w:rFonts w:ascii="Times New Roman" w:hAnsi="Times New Roman" w:eastAsia="Times New Roman"/>
                <w:sz w:val="21"/>
                <w:szCs w:val="21"/>
              </w:rPr>
            </w:pPr>
            <w:r>
              <w:rPr>
                <w:rFonts w:ascii="Times New Roman"/>
                <w:sz w:val="21"/>
                <w:szCs w:val="21"/>
              </w:rPr>
              <w:t>15.66</w:t>
            </w:r>
          </w:p>
        </w:tc>
        <w:tc>
          <w:tcPr>
            <w:tcW w:w="1088" w:type="pct"/>
            <w:shd w:val="clear" w:color="auto" w:fill="auto"/>
            <w:vAlign w:val="center"/>
          </w:tcPr>
          <w:p w14:paraId="29BDA318">
            <w:pPr>
              <w:pStyle w:val="58"/>
              <w:spacing w:line="199" w:lineRule="exact"/>
              <w:ind w:left="5"/>
              <w:jc w:val="center"/>
              <w:rPr>
                <w:rFonts w:ascii="Times New Roman" w:hAnsi="Times New Roman" w:eastAsia="Times New Roman"/>
                <w:sz w:val="21"/>
                <w:szCs w:val="21"/>
              </w:rPr>
            </w:pPr>
            <w:r>
              <w:rPr>
                <w:rFonts w:ascii="Times New Roman"/>
                <w:sz w:val="21"/>
                <w:szCs w:val="21"/>
              </w:rPr>
              <w:t>12.47</w:t>
            </w:r>
          </w:p>
        </w:tc>
      </w:tr>
      <w:tr w14:paraId="31FD90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6092C7B">
            <w:pPr>
              <w:pStyle w:val="58"/>
              <w:spacing w:line="202" w:lineRule="exact"/>
              <w:ind w:right="5"/>
              <w:jc w:val="center"/>
              <w:rPr>
                <w:rFonts w:ascii="Times New Roman" w:hAnsi="Times New Roman" w:eastAsia="Times New Roman"/>
                <w:sz w:val="21"/>
                <w:szCs w:val="21"/>
              </w:rPr>
            </w:pPr>
            <w:r>
              <w:rPr>
                <w:rFonts w:ascii="Times New Roman"/>
                <w:sz w:val="21"/>
                <w:szCs w:val="21"/>
              </w:rPr>
              <w:t>150</w:t>
            </w:r>
          </w:p>
        </w:tc>
        <w:tc>
          <w:tcPr>
            <w:tcW w:w="995" w:type="pct"/>
            <w:shd w:val="clear" w:color="auto" w:fill="auto"/>
            <w:vAlign w:val="center"/>
          </w:tcPr>
          <w:p w14:paraId="1A156FCF">
            <w:pPr>
              <w:pStyle w:val="58"/>
              <w:spacing w:line="202" w:lineRule="exact"/>
              <w:jc w:val="center"/>
              <w:rPr>
                <w:rFonts w:ascii="Times New Roman" w:hAnsi="Times New Roman" w:eastAsia="Times New Roman"/>
                <w:sz w:val="21"/>
                <w:szCs w:val="21"/>
              </w:rPr>
            </w:pPr>
            <w:r>
              <w:rPr>
                <w:rFonts w:ascii="Times New Roman"/>
                <w:sz w:val="21"/>
                <w:szCs w:val="21"/>
              </w:rPr>
              <w:t>23.33</w:t>
            </w:r>
          </w:p>
        </w:tc>
        <w:tc>
          <w:tcPr>
            <w:tcW w:w="1093" w:type="pct"/>
            <w:shd w:val="clear" w:color="auto" w:fill="auto"/>
            <w:vAlign w:val="center"/>
          </w:tcPr>
          <w:p w14:paraId="7194ABA2">
            <w:pPr>
              <w:pStyle w:val="58"/>
              <w:spacing w:line="202" w:lineRule="exact"/>
              <w:jc w:val="center"/>
              <w:rPr>
                <w:rFonts w:ascii="Times New Roman" w:hAnsi="Times New Roman" w:eastAsia="Times New Roman"/>
                <w:sz w:val="21"/>
                <w:szCs w:val="21"/>
              </w:rPr>
            </w:pPr>
            <w:r>
              <w:rPr>
                <w:rFonts w:ascii="Times New Roman"/>
                <w:sz w:val="21"/>
                <w:szCs w:val="21"/>
              </w:rPr>
              <w:t>13.47</w:t>
            </w:r>
          </w:p>
        </w:tc>
        <w:tc>
          <w:tcPr>
            <w:tcW w:w="1093" w:type="pct"/>
            <w:shd w:val="clear" w:color="auto" w:fill="auto"/>
            <w:vAlign w:val="center"/>
          </w:tcPr>
          <w:p w14:paraId="506FB30F">
            <w:pPr>
              <w:pStyle w:val="58"/>
              <w:spacing w:line="202" w:lineRule="exact"/>
              <w:jc w:val="center"/>
              <w:rPr>
                <w:rFonts w:ascii="Times New Roman" w:hAnsi="Times New Roman" w:eastAsia="Times New Roman"/>
                <w:sz w:val="21"/>
                <w:szCs w:val="21"/>
              </w:rPr>
            </w:pPr>
            <w:r>
              <w:rPr>
                <w:rFonts w:ascii="Times New Roman"/>
                <w:sz w:val="21"/>
                <w:szCs w:val="21"/>
              </w:rPr>
              <w:t>15.74</w:t>
            </w:r>
          </w:p>
        </w:tc>
        <w:tc>
          <w:tcPr>
            <w:tcW w:w="1088" w:type="pct"/>
            <w:shd w:val="clear" w:color="auto" w:fill="auto"/>
            <w:vAlign w:val="center"/>
          </w:tcPr>
          <w:p w14:paraId="640BFE0B">
            <w:pPr>
              <w:pStyle w:val="58"/>
              <w:spacing w:line="202" w:lineRule="exact"/>
              <w:ind w:left="5"/>
              <w:jc w:val="center"/>
              <w:rPr>
                <w:rFonts w:ascii="Times New Roman" w:hAnsi="Times New Roman" w:eastAsia="Times New Roman"/>
                <w:sz w:val="21"/>
                <w:szCs w:val="21"/>
              </w:rPr>
            </w:pPr>
            <w:r>
              <w:rPr>
                <w:rFonts w:ascii="Times New Roman"/>
                <w:sz w:val="21"/>
                <w:szCs w:val="21"/>
              </w:rPr>
              <w:t>12.51</w:t>
            </w:r>
          </w:p>
        </w:tc>
      </w:tr>
      <w:tr w14:paraId="61D4AF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5E59631D">
            <w:pPr>
              <w:pStyle w:val="58"/>
              <w:spacing w:line="200" w:lineRule="exact"/>
              <w:ind w:right="5"/>
              <w:jc w:val="center"/>
              <w:rPr>
                <w:rFonts w:ascii="Times New Roman" w:hAnsi="Times New Roman" w:eastAsia="Times New Roman"/>
                <w:sz w:val="21"/>
                <w:szCs w:val="21"/>
              </w:rPr>
            </w:pPr>
            <w:r>
              <w:rPr>
                <w:rFonts w:ascii="Times New Roman"/>
                <w:sz w:val="21"/>
                <w:szCs w:val="21"/>
              </w:rPr>
              <w:t>180</w:t>
            </w:r>
          </w:p>
        </w:tc>
        <w:tc>
          <w:tcPr>
            <w:tcW w:w="995" w:type="pct"/>
            <w:shd w:val="clear" w:color="auto" w:fill="auto"/>
            <w:vAlign w:val="center"/>
          </w:tcPr>
          <w:p w14:paraId="516E7A18">
            <w:pPr>
              <w:pStyle w:val="58"/>
              <w:spacing w:line="200" w:lineRule="exact"/>
              <w:jc w:val="center"/>
              <w:rPr>
                <w:rFonts w:ascii="Times New Roman" w:hAnsi="Times New Roman" w:eastAsia="Times New Roman"/>
                <w:sz w:val="21"/>
                <w:szCs w:val="21"/>
              </w:rPr>
            </w:pPr>
            <w:r>
              <w:rPr>
                <w:rFonts w:ascii="Times New Roman"/>
                <w:sz w:val="21"/>
                <w:szCs w:val="21"/>
              </w:rPr>
              <w:t>23.48</w:t>
            </w:r>
          </w:p>
        </w:tc>
        <w:tc>
          <w:tcPr>
            <w:tcW w:w="1093" w:type="pct"/>
            <w:shd w:val="clear" w:color="auto" w:fill="auto"/>
            <w:vAlign w:val="center"/>
          </w:tcPr>
          <w:p w14:paraId="439422F0">
            <w:pPr>
              <w:pStyle w:val="58"/>
              <w:spacing w:line="200" w:lineRule="exact"/>
              <w:jc w:val="center"/>
              <w:rPr>
                <w:rFonts w:ascii="Times New Roman" w:hAnsi="Times New Roman" w:eastAsia="Times New Roman"/>
                <w:sz w:val="21"/>
                <w:szCs w:val="21"/>
              </w:rPr>
            </w:pPr>
            <w:r>
              <w:rPr>
                <w:rFonts w:ascii="Times New Roman"/>
                <w:sz w:val="21"/>
                <w:szCs w:val="21"/>
              </w:rPr>
              <w:t>13.52</w:t>
            </w:r>
          </w:p>
        </w:tc>
        <w:tc>
          <w:tcPr>
            <w:tcW w:w="1093" w:type="pct"/>
            <w:shd w:val="clear" w:color="auto" w:fill="auto"/>
            <w:vAlign w:val="center"/>
          </w:tcPr>
          <w:p w14:paraId="64993D50">
            <w:pPr>
              <w:pStyle w:val="58"/>
              <w:spacing w:line="200" w:lineRule="exact"/>
              <w:jc w:val="center"/>
              <w:rPr>
                <w:rFonts w:ascii="Times New Roman" w:hAnsi="Times New Roman" w:eastAsia="Times New Roman"/>
                <w:sz w:val="21"/>
                <w:szCs w:val="21"/>
              </w:rPr>
            </w:pPr>
            <w:r>
              <w:rPr>
                <w:rFonts w:ascii="Times New Roman"/>
                <w:sz w:val="21"/>
                <w:szCs w:val="21"/>
              </w:rPr>
              <w:t>15.76</w:t>
            </w:r>
          </w:p>
        </w:tc>
        <w:tc>
          <w:tcPr>
            <w:tcW w:w="1088" w:type="pct"/>
            <w:shd w:val="clear" w:color="auto" w:fill="auto"/>
            <w:vAlign w:val="center"/>
          </w:tcPr>
          <w:p w14:paraId="16B069A9">
            <w:pPr>
              <w:pStyle w:val="58"/>
              <w:spacing w:line="200" w:lineRule="exact"/>
              <w:ind w:left="5"/>
              <w:jc w:val="center"/>
              <w:rPr>
                <w:rFonts w:ascii="Times New Roman" w:hAnsi="Times New Roman" w:eastAsia="Times New Roman"/>
                <w:sz w:val="21"/>
                <w:szCs w:val="21"/>
              </w:rPr>
            </w:pPr>
            <w:r>
              <w:rPr>
                <w:rFonts w:ascii="Times New Roman"/>
                <w:sz w:val="21"/>
                <w:szCs w:val="21"/>
              </w:rPr>
              <w:t>12.56</w:t>
            </w:r>
          </w:p>
        </w:tc>
      </w:tr>
      <w:tr w14:paraId="7E3A1A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69A2BBA0">
            <w:pPr>
              <w:pStyle w:val="58"/>
              <w:spacing w:line="199" w:lineRule="exact"/>
              <w:ind w:right="5"/>
              <w:jc w:val="center"/>
              <w:rPr>
                <w:rFonts w:ascii="Times New Roman" w:hAnsi="Times New Roman" w:eastAsia="Times New Roman"/>
                <w:sz w:val="21"/>
                <w:szCs w:val="21"/>
              </w:rPr>
            </w:pPr>
            <w:r>
              <w:rPr>
                <w:rFonts w:ascii="Times New Roman"/>
                <w:sz w:val="21"/>
                <w:szCs w:val="21"/>
              </w:rPr>
              <w:t>210</w:t>
            </w:r>
          </w:p>
        </w:tc>
        <w:tc>
          <w:tcPr>
            <w:tcW w:w="995" w:type="pct"/>
            <w:shd w:val="clear" w:color="auto" w:fill="auto"/>
            <w:vAlign w:val="center"/>
          </w:tcPr>
          <w:p w14:paraId="1E809B01">
            <w:pPr>
              <w:pStyle w:val="58"/>
              <w:spacing w:line="199" w:lineRule="exact"/>
              <w:jc w:val="center"/>
              <w:rPr>
                <w:rFonts w:ascii="Times New Roman" w:hAnsi="Times New Roman" w:eastAsia="Times New Roman"/>
                <w:sz w:val="21"/>
                <w:szCs w:val="21"/>
              </w:rPr>
            </w:pPr>
            <w:r>
              <w:rPr>
                <w:rFonts w:ascii="Times New Roman"/>
                <w:sz w:val="21"/>
                <w:szCs w:val="21"/>
              </w:rPr>
              <w:t>23.53</w:t>
            </w:r>
          </w:p>
        </w:tc>
        <w:tc>
          <w:tcPr>
            <w:tcW w:w="1093" w:type="pct"/>
            <w:shd w:val="clear" w:color="auto" w:fill="auto"/>
            <w:vAlign w:val="center"/>
          </w:tcPr>
          <w:p w14:paraId="4DA6464D">
            <w:pPr>
              <w:pStyle w:val="58"/>
              <w:spacing w:line="199" w:lineRule="exact"/>
              <w:jc w:val="center"/>
              <w:rPr>
                <w:rFonts w:ascii="Times New Roman" w:hAnsi="Times New Roman" w:eastAsia="Times New Roman"/>
                <w:sz w:val="21"/>
                <w:szCs w:val="21"/>
              </w:rPr>
            </w:pPr>
            <w:r>
              <w:rPr>
                <w:rFonts w:ascii="Times New Roman"/>
                <w:sz w:val="21"/>
                <w:szCs w:val="21"/>
              </w:rPr>
              <w:t>13.56</w:t>
            </w:r>
          </w:p>
        </w:tc>
        <w:tc>
          <w:tcPr>
            <w:tcW w:w="1093" w:type="pct"/>
            <w:shd w:val="clear" w:color="auto" w:fill="auto"/>
            <w:vAlign w:val="center"/>
          </w:tcPr>
          <w:p w14:paraId="2BB07093">
            <w:pPr>
              <w:pStyle w:val="58"/>
              <w:spacing w:line="199" w:lineRule="exact"/>
              <w:jc w:val="center"/>
              <w:rPr>
                <w:rFonts w:ascii="Times New Roman" w:hAnsi="Times New Roman" w:eastAsia="Times New Roman"/>
                <w:sz w:val="21"/>
                <w:szCs w:val="21"/>
              </w:rPr>
            </w:pPr>
            <w:r>
              <w:rPr>
                <w:rFonts w:ascii="Times New Roman"/>
                <w:sz w:val="21"/>
                <w:szCs w:val="21"/>
              </w:rPr>
              <w:t>15.80</w:t>
            </w:r>
          </w:p>
        </w:tc>
        <w:tc>
          <w:tcPr>
            <w:tcW w:w="1088" w:type="pct"/>
            <w:shd w:val="clear" w:color="auto" w:fill="auto"/>
            <w:vAlign w:val="center"/>
          </w:tcPr>
          <w:p w14:paraId="470CC9FF">
            <w:pPr>
              <w:pStyle w:val="58"/>
              <w:spacing w:line="199" w:lineRule="exact"/>
              <w:ind w:left="5"/>
              <w:jc w:val="center"/>
              <w:rPr>
                <w:rFonts w:ascii="Times New Roman" w:hAnsi="Times New Roman" w:eastAsia="Times New Roman"/>
                <w:sz w:val="21"/>
                <w:szCs w:val="21"/>
              </w:rPr>
            </w:pPr>
            <w:r>
              <w:rPr>
                <w:rFonts w:ascii="Times New Roman"/>
                <w:sz w:val="21"/>
                <w:szCs w:val="21"/>
              </w:rPr>
              <w:t>12.58</w:t>
            </w:r>
          </w:p>
        </w:tc>
      </w:tr>
      <w:tr w14:paraId="6EAB3C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7C8B7D00">
            <w:pPr>
              <w:pStyle w:val="58"/>
              <w:spacing w:line="200" w:lineRule="exact"/>
              <w:ind w:right="5"/>
              <w:jc w:val="center"/>
              <w:rPr>
                <w:rFonts w:ascii="Times New Roman" w:hAnsi="Times New Roman" w:eastAsia="Times New Roman"/>
                <w:sz w:val="21"/>
                <w:szCs w:val="21"/>
              </w:rPr>
            </w:pPr>
            <w:r>
              <w:rPr>
                <w:rFonts w:ascii="Times New Roman"/>
                <w:sz w:val="21"/>
                <w:szCs w:val="21"/>
              </w:rPr>
              <w:t>240</w:t>
            </w:r>
          </w:p>
        </w:tc>
        <w:tc>
          <w:tcPr>
            <w:tcW w:w="995" w:type="pct"/>
            <w:shd w:val="clear" w:color="auto" w:fill="auto"/>
            <w:vAlign w:val="center"/>
          </w:tcPr>
          <w:p w14:paraId="2C037E6D">
            <w:pPr>
              <w:pStyle w:val="58"/>
              <w:spacing w:line="200" w:lineRule="exact"/>
              <w:jc w:val="center"/>
              <w:rPr>
                <w:rFonts w:ascii="Times New Roman" w:hAnsi="Times New Roman" w:eastAsia="Times New Roman"/>
                <w:sz w:val="21"/>
                <w:szCs w:val="21"/>
              </w:rPr>
            </w:pPr>
            <w:r>
              <w:rPr>
                <w:rFonts w:ascii="Times New Roman"/>
                <w:sz w:val="21"/>
                <w:szCs w:val="21"/>
              </w:rPr>
              <w:t>23.57</w:t>
            </w:r>
          </w:p>
        </w:tc>
        <w:tc>
          <w:tcPr>
            <w:tcW w:w="1093" w:type="pct"/>
            <w:shd w:val="clear" w:color="auto" w:fill="auto"/>
            <w:vAlign w:val="center"/>
          </w:tcPr>
          <w:p w14:paraId="0857F4D3">
            <w:pPr>
              <w:pStyle w:val="58"/>
              <w:spacing w:line="200" w:lineRule="exact"/>
              <w:jc w:val="center"/>
              <w:rPr>
                <w:rFonts w:ascii="Times New Roman" w:hAnsi="Times New Roman" w:eastAsia="Times New Roman"/>
                <w:sz w:val="21"/>
                <w:szCs w:val="21"/>
              </w:rPr>
            </w:pPr>
            <w:r>
              <w:rPr>
                <w:rFonts w:ascii="Times New Roman"/>
                <w:sz w:val="21"/>
                <w:szCs w:val="21"/>
              </w:rPr>
              <w:t>13.59</w:t>
            </w:r>
          </w:p>
        </w:tc>
        <w:tc>
          <w:tcPr>
            <w:tcW w:w="1093" w:type="pct"/>
            <w:shd w:val="clear" w:color="auto" w:fill="auto"/>
            <w:vAlign w:val="center"/>
          </w:tcPr>
          <w:p w14:paraId="100F0E43">
            <w:pPr>
              <w:pStyle w:val="58"/>
              <w:spacing w:line="200" w:lineRule="exact"/>
              <w:jc w:val="center"/>
              <w:rPr>
                <w:rFonts w:ascii="Times New Roman" w:hAnsi="Times New Roman" w:eastAsia="Times New Roman"/>
                <w:sz w:val="21"/>
                <w:szCs w:val="21"/>
              </w:rPr>
            </w:pPr>
            <w:r>
              <w:rPr>
                <w:rFonts w:ascii="Times New Roman"/>
                <w:sz w:val="21"/>
                <w:szCs w:val="21"/>
              </w:rPr>
              <w:t>15.83</w:t>
            </w:r>
          </w:p>
        </w:tc>
        <w:tc>
          <w:tcPr>
            <w:tcW w:w="1088" w:type="pct"/>
            <w:shd w:val="clear" w:color="auto" w:fill="auto"/>
            <w:vAlign w:val="center"/>
          </w:tcPr>
          <w:p w14:paraId="7677A6F3">
            <w:pPr>
              <w:pStyle w:val="58"/>
              <w:spacing w:line="200" w:lineRule="exact"/>
              <w:ind w:left="5"/>
              <w:jc w:val="center"/>
              <w:rPr>
                <w:rFonts w:ascii="Times New Roman" w:hAnsi="Times New Roman" w:eastAsia="Times New Roman"/>
                <w:sz w:val="21"/>
                <w:szCs w:val="21"/>
              </w:rPr>
            </w:pPr>
            <w:r>
              <w:rPr>
                <w:rFonts w:ascii="Times New Roman"/>
                <w:sz w:val="21"/>
                <w:szCs w:val="21"/>
              </w:rPr>
              <w:t>12.58</w:t>
            </w:r>
          </w:p>
        </w:tc>
      </w:tr>
      <w:tr w14:paraId="73B548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2BC7EC2E">
            <w:pPr>
              <w:pStyle w:val="58"/>
              <w:spacing w:line="199" w:lineRule="exact"/>
              <w:ind w:right="5"/>
              <w:jc w:val="center"/>
              <w:rPr>
                <w:rFonts w:ascii="Times New Roman" w:hAnsi="Times New Roman" w:eastAsia="Times New Roman"/>
                <w:sz w:val="21"/>
                <w:szCs w:val="21"/>
              </w:rPr>
            </w:pPr>
            <w:r>
              <w:rPr>
                <w:rFonts w:ascii="Times New Roman"/>
                <w:sz w:val="21"/>
                <w:szCs w:val="21"/>
              </w:rPr>
              <w:t>300</w:t>
            </w:r>
          </w:p>
        </w:tc>
        <w:tc>
          <w:tcPr>
            <w:tcW w:w="995" w:type="pct"/>
            <w:shd w:val="clear" w:color="auto" w:fill="auto"/>
            <w:vAlign w:val="center"/>
          </w:tcPr>
          <w:p w14:paraId="0145DC9A">
            <w:pPr>
              <w:pStyle w:val="58"/>
              <w:spacing w:line="199" w:lineRule="exact"/>
              <w:jc w:val="center"/>
              <w:rPr>
                <w:rFonts w:ascii="Times New Roman" w:hAnsi="Times New Roman" w:eastAsia="Times New Roman"/>
                <w:sz w:val="21"/>
                <w:szCs w:val="21"/>
              </w:rPr>
            </w:pPr>
            <w:r>
              <w:rPr>
                <w:rFonts w:ascii="Times New Roman"/>
                <w:sz w:val="21"/>
                <w:szCs w:val="21"/>
              </w:rPr>
              <w:t>23.60</w:t>
            </w:r>
          </w:p>
        </w:tc>
        <w:tc>
          <w:tcPr>
            <w:tcW w:w="1093" w:type="pct"/>
            <w:shd w:val="clear" w:color="auto" w:fill="auto"/>
            <w:vAlign w:val="center"/>
          </w:tcPr>
          <w:p w14:paraId="7577486C">
            <w:pPr>
              <w:pStyle w:val="58"/>
              <w:spacing w:line="199" w:lineRule="exact"/>
              <w:jc w:val="center"/>
              <w:rPr>
                <w:rFonts w:ascii="Times New Roman" w:hAnsi="Times New Roman" w:eastAsia="Times New Roman"/>
                <w:sz w:val="21"/>
                <w:szCs w:val="21"/>
              </w:rPr>
            </w:pPr>
            <w:r>
              <w:rPr>
                <w:rFonts w:ascii="Times New Roman"/>
                <w:sz w:val="21"/>
                <w:szCs w:val="21"/>
              </w:rPr>
              <w:t>13.62</w:t>
            </w:r>
          </w:p>
        </w:tc>
        <w:tc>
          <w:tcPr>
            <w:tcW w:w="1093" w:type="pct"/>
            <w:shd w:val="clear" w:color="auto" w:fill="auto"/>
            <w:vAlign w:val="center"/>
          </w:tcPr>
          <w:p w14:paraId="5A8C84A2">
            <w:pPr>
              <w:pStyle w:val="58"/>
              <w:spacing w:line="199" w:lineRule="exact"/>
              <w:jc w:val="center"/>
              <w:rPr>
                <w:rFonts w:ascii="Times New Roman" w:hAnsi="Times New Roman" w:eastAsia="Times New Roman"/>
                <w:sz w:val="21"/>
                <w:szCs w:val="21"/>
              </w:rPr>
            </w:pPr>
            <w:r>
              <w:rPr>
                <w:rFonts w:ascii="Times New Roman"/>
                <w:sz w:val="21"/>
                <w:szCs w:val="21"/>
              </w:rPr>
              <w:t>15.85</w:t>
            </w:r>
          </w:p>
        </w:tc>
        <w:tc>
          <w:tcPr>
            <w:tcW w:w="1088" w:type="pct"/>
            <w:shd w:val="clear" w:color="auto" w:fill="auto"/>
            <w:vAlign w:val="center"/>
          </w:tcPr>
          <w:p w14:paraId="777C8E0C">
            <w:pPr>
              <w:pStyle w:val="58"/>
              <w:spacing w:line="199" w:lineRule="exact"/>
              <w:ind w:left="5"/>
              <w:jc w:val="center"/>
              <w:rPr>
                <w:rFonts w:ascii="Times New Roman" w:hAnsi="Times New Roman" w:eastAsia="Times New Roman"/>
                <w:sz w:val="21"/>
                <w:szCs w:val="21"/>
              </w:rPr>
            </w:pPr>
            <w:r>
              <w:rPr>
                <w:rFonts w:ascii="Times New Roman"/>
                <w:sz w:val="21"/>
                <w:szCs w:val="21"/>
              </w:rPr>
              <w:t>12.60</w:t>
            </w:r>
          </w:p>
        </w:tc>
      </w:tr>
      <w:tr w14:paraId="2DD32A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266FE623">
            <w:pPr>
              <w:pStyle w:val="58"/>
              <w:spacing w:line="202" w:lineRule="exact"/>
              <w:ind w:right="5"/>
              <w:jc w:val="center"/>
              <w:rPr>
                <w:rFonts w:ascii="Times New Roman" w:hAnsi="Times New Roman" w:eastAsia="Times New Roman"/>
                <w:sz w:val="21"/>
                <w:szCs w:val="21"/>
              </w:rPr>
            </w:pPr>
            <w:r>
              <w:rPr>
                <w:rFonts w:ascii="Times New Roman"/>
                <w:sz w:val="21"/>
                <w:szCs w:val="21"/>
              </w:rPr>
              <w:t>360</w:t>
            </w:r>
          </w:p>
        </w:tc>
        <w:tc>
          <w:tcPr>
            <w:tcW w:w="995" w:type="pct"/>
            <w:shd w:val="clear" w:color="auto" w:fill="auto"/>
            <w:vAlign w:val="center"/>
          </w:tcPr>
          <w:p w14:paraId="68849FDD">
            <w:pPr>
              <w:pStyle w:val="58"/>
              <w:spacing w:line="202" w:lineRule="exact"/>
              <w:jc w:val="center"/>
              <w:rPr>
                <w:rFonts w:ascii="Times New Roman" w:hAnsi="Times New Roman" w:eastAsia="Times New Roman"/>
                <w:sz w:val="21"/>
                <w:szCs w:val="21"/>
              </w:rPr>
            </w:pPr>
            <w:r>
              <w:rPr>
                <w:rFonts w:ascii="Times New Roman"/>
                <w:sz w:val="21"/>
                <w:szCs w:val="21"/>
              </w:rPr>
              <w:t>23.60</w:t>
            </w:r>
          </w:p>
        </w:tc>
        <w:tc>
          <w:tcPr>
            <w:tcW w:w="1093" w:type="pct"/>
            <w:shd w:val="clear" w:color="auto" w:fill="auto"/>
            <w:vAlign w:val="center"/>
          </w:tcPr>
          <w:p w14:paraId="65282812">
            <w:pPr>
              <w:pStyle w:val="58"/>
              <w:spacing w:line="202" w:lineRule="exact"/>
              <w:jc w:val="center"/>
              <w:rPr>
                <w:rFonts w:ascii="Times New Roman" w:hAnsi="Times New Roman" w:eastAsia="Times New Roman"/>
                <w:sz w:val="21"/>
                <w:szCs w:val="21"/>
              </w:rPr>
            </w:pPr>
            <w:r>
              <w:rPr>
                <w:rFonts w:ascii="Times New Roman"/>
                <w:sz w:val="21"/>
                <w:szCs w:val="21"/>
              </w:rPr>
              <w:t>13.62</w:t>
            </w:r>
          </w:p>
        </w:tc>
        <w:tc>
          <w:tcPr>
            <w:tcW w:w="1093" w:type="pct"/>
            <w:shd w:val="clear" w:color="auto" w:fill="auto"/>
            <w:vAlign w:val="center"/>
          </w:tcPr>
          <w:p w14:paraId="47CA889D">
            <w:pPr>
              <w:pStyle w:val="58"/>
              <w:spacing w:line="202" w:lineRule="exact"/>
              <w:jc w:val="center"/>
              <w:rPr>
                <w:rFonts w:ascii="Times New Roman" w:hAnsi="Times New Roman" w:eastAsia="Times New Roman"/>
                <w:sz w:val="21"/>
                <w:szCs w:val="21"/>
              </w:rPr>
            </w:pPr>
            <w:r>
              <w:rPr>
                <w:rFonts w:ascii="Times New Roman"/>
                <w:sz w:val="21"/>
                <w:szCs w:val="21"/>
              </w:rPr>
              <w:t>15.86</w:t>
            </w:r>
          </w:p>
        </w:tc>
        <w:tc>
          <w:tcPr>
            <w:tcW w:w="1088" w:type="pct"/>
            <w:shd w:val="clear" w:color="auto" w:fill="auto"/>
            <w:vAlign w:val="center"/>
          </w:tcPr>
          <w:p w14:paraId="33D8819D">
            <w:pPr>
              <w:pStyle w:val="58"/>
              <w:spacing w:line="202" w:lineRule="exact"/>
              <w:ind w:left="5"/>
              <w:jc w:val="center"/>
              <w:rPr>
                <w:rFonts w:ascii="Times New Roman" w:hAnsi="Times New Roman" w:eastAsia="Times New Roman"/>
                <w:sz w:val="21"/>
                <w:szCs w:val="21"/>
              </w:rPr>
            </w:pPr>
            <w:r>
              <w:rPr>
                <w:rFonts w:ascii="Times New Roman"/>
                <w:sz w:val="21"/>
                <w:szCs w:val="21"/>
              </w:rPr>
              <w:t>12.60</w:t>
            </w:r>
          </w:p>
        </w:tc>
      </w:tr>
      <w:tr w14:paraId="3B279B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25BD8A18">
            <w:pPr>
              <w:pStyle w:val="58"/>
              <w:spacing w:line="199" w:lineRule="exact"/>
              <w:ind w:right="5"/>
              <w:jc w:val="center"/>
              <w:rPr>
                <w:rFonts w:ascii="Times New Roman" w:hAnsi="Times New Roman" w:eastAsia="Times New Roman"/>
                <w:sz w:val="21"/>
                <w:szCs w:val="21"/>
              </w:rPr>
            </w:pPr>
            <w:r>
              <w:rPr>
                <w:rFonts w:ascii="Times New Roman"/>
                <w:sz w:val="21"/>
                <w:szCs w:val="21"/>
              </w:rPr>
              <w:t>420</w:t>
            </w:r>
          </w:p>
        </w:tc>
        <w:tc>
          <w:tcPr>
            <w:tcW w:w="995" w:type="pct"/>
            <w:shd w:val="clear" w:color="auto" w:fill="auto"/>
            <w:vAlign w:val="center"/>
          </w:tcPr>
          <w:p w14:paraId="4FF8E206">
            <w:pPr>
              <w:pStyle w:val="58"/>
              <w:spacing w:line="199" w:lineRule="exact"/>
              <w:jc w:val="center"/>
              <w:rPr>
                <w:rFonts w:ascii="Times New Roman" w:hAnsi="Times New Roman" w:eastAsia="Times New Roman"/>
                <w:sz w:val="21"/>
                <w:szCs w:val="21"/>
              </w:rPr>
            </w:pPr>
            <w:r>
              <w:rPr>
                <w:rFonts w:ascii="Times New Roman"/>
                <w:sz w:val="21"/>
                <w:szCs w:val="21"/>
              </w:rPr>
              <w:t>23.60</w:t>
            </w:r>
          </w:p>
        </w:tc>
        <w:tc>
          <w:tcPr>
            <w:tcW w:w="1093" w:type="pct"/>
            <w:shd w:val="clear" w:color="auto" w:fill="auto"/>
            <w:vAlign w:val="center"/>
          </w:tcPr>
          <w:p w14:paraId="65D174AB">
            <w:pPr>
              <w:pStyle w:val="58"/>
              <w:spacing w:line="199" w:lineRule="exact"/>
              <w:jc w:val="center"/>
              <w:rPr>
                <w:rFonts w:ascii="Times New Roman" w:hAnsi="Times New Roman" w:eastAsia="Times New Roman"/>
                <w:sz w:val="21"/>
                <w:szCs w:val="21"/>
              </w:rPr>
            </w:pPr>
            <w:r>
              <w:rPr>
                <w:rFonts w:ascii="Times New Roman"/>
                <w:sz w:val="21"/>
                <w:szCs w:val="21"/>
              </w:rPr>
              <w:t>13.62</w:t>
            </w:r>
          </w:p>
        </w:tc>
        <w:tc>
          <w:tcPr>
            <w:tcW w:w="1093" w:type="pct"/>
            <w:shd w:val="clear" w:color="auto" w:fill="auto"/>
            <w:vAlign w:val="center"/>
          </w:tcPr>
          <w:p w14:paraId="270EF741">
            <w:pPr>
              <w:pStyle w:val="58"/>
              <w:spacing w:line="199" w:lineRule="exact"/>
              <w:jc w:val="center"/>
              <w:rPr>
                <w:rFonts w:ascii="Times New Roman" w:hAnsi="Times New Roman" w:eastAsia="Times New Roman"/>
                <w:sz w:val="21"/>
                <w:szCs w:val="21"/>
              </w:rPr>
            </w:pPr>
            <w:r>
              <w:rPr>
                <w:rFonts w:ascii="Times New Roman"/>
                <w:sz w:val="21"/>
                <w:szCs w:val="21"/>
              </w:rPr>
              <w:t>15.86</w:t>
            </w:r>
          </w:p>
        </w:tc>
        <w:tc>
          <w:tcPr>
            <w:tcW w:w="1088" w:type="pct"/>
            <w:shd w:val="clear" w:color="auto" w:fill="auto"/>
            <w:vAlign w:val="center"/>
          </w:tcPr>
          <w:p w14:paraId="12697055">
            <w:pPr>
              <w:pStyle w:val="58"/>
              <w:spacing w:line="199" w:lineRule="exact"/>
              <w:ind w:left="5"/>
              <w:jc w:val="center"/>
              <w:rPr>
                <w:rFonts w:ascii="Times New Roman" w:hAnsi="Times New Roman" w:eastAsia="Times New Roman"/>
                <w:sz w:val="21"/>
                <w:szCs w:val="21"/>
              </w:rPr>
            </w:pPr>
            <w:r>
              <w:rPr>
                <w:rFonts w:ascii="Times New Roman"/>
                <w:sz w:val="21"/>
                <w:szCs w:val="21"/>
              </w:rPr>
              <w:t>12.60</w:t>
            </w:r>
          </w:p>
        </w:tc>
      </w:tr>
      <w:tr w14:paraId="46F689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31" w:type="pct"/>
            <w:shd w:val="clear" w:color="auto" w:fill="auto"/>
            <w:vAlign w:val="center"/>
          </w:tcPr>
          <w:p w14:paraId="1556FA01">
            <w:pPr>
              <w:pStyle w:val="58"/>
              <w:spacing w:line="202" w:lineRule="exact"/>
              <w:ind w:right="5"/>
              <w:jc w:val="center"/>
              <w:rPr>
                <w:rFonts w:ascii="Times New Roman" w:hAnsi="Times New Roman" w:eastAsia="Times New Roman"/>
                <w:sz w:val="21"/>
                <w:szCs w:val="21"/>
              </w:rPr>
            </w:pPr>
            <w:r>
              <w:rPr>
                <w:rFonts w:ascii="Times New Roman"/>
                <w:sz w:val="21"/>
                <w:szCs w:val="21"/>
              </w:rPr>
              <w:t>480</w:t>
            </w:r>
          </w:p>
        </w:tc>
        <w:tc>
          <w:tcPr>
            <w:tcW w:w="995" w:type="pct"/>
            <w:shd w:val="clear" w:color="auto" w:fill="auto"/>
            <w:vAlign w:val="center"/>
          </w:tcPr>
          <w:p w14:paraId="41266706">
            <w:pPr>
              <w:pStyle w:val="58"/>
              <w:spacing w:line="202" w:lineRule="exact"/>
              <w:jc w:val="center"/>
              <w:rPr>
                <w:rFonts w:ascii="Times New Roman" w:hAnsi="Times New Roman" w:eastAsia="Times New Roman"/>
                <w:sz w:val="21"/>
                <w:szCs w:val="21"/>
              </w:rPr>
            </w:pPr>
            <w:r>
              <w:rPr>
                <w:rFonts w:ascii="Times New Roman"/>
                <w:sz w:val="21"/>
                <w:szCs w:val="21"/>
              </w:rPr>
              <w:t>23.60</w:t>
            </w:r>
          </w:p>
        </w:tc>
        <w:tc>
          <w:tcPr>
            <w:tcW w:w="1093" w:type="pct"/>
            <w:shd w:val="clear" w:color="auto" w:fill="auto"/>
            <w:vAlign w:val="center"/>
          </w:tcPr>
          <w:p w14:paraId="3429D6C6">
            <w:pPr>
              <w:pStyle w:val="58"/>
              <w:spacing w:line="202" w:lineRule="exact"/>
              <w:jc w:val="center"/>
              <w:rPr>
                <w:rFonts w:ascii="Times New Roman" w:hAnsi="Times New Roman" w:eastAsia="Times New Roman"/>
                <w:sz w:val="21"/>
                <w:szCs w:val="21"/>
              </w:rPr>
            </w:pPr>
            <w:r>
              <w:rPr>
                <w:rFonts w:ascii="Times New Roman"/>
                <w:sz w:val="21"/>
                <w:szCs w:val="21"/>
              </w:rPr>
              <w:t>13.62</w:t>
            </w:r>
          </w:p>
        </w:tc>
        <w:tc>
          <w:tcPr>
            <w:tcW w:w="1093" w:type="pct"/>
            <w:shd w:val="clear" w:color="auto" w:fill="auto"/>
            <w:vAlign w:val="center"/>
          </w:tcPr>
          <w:p w14:paraId="5921B821">
            <w:pPr>
              <w:pStyle w:val="58"/>
              <w:spacing w:line="202" w:lineRule="exact"/>
              <w:jc w:val="center"/>
              <w:rPr>
                <w:rFonts w:ascii="Times New Roman" w:hAnsi="Times New Roman" w:eastAsia="Times New Roman"/>
                <w:sz w:val="21"/>
                <w:szCs w:val="21"/>
              </w:rPr>
            </w:pPr>
            <w:r>
              <w:rPr>
                <w:rFonts w:ascii="Times New Roman"/>
                <w:sz w:val="21"/>
                <w:szCs w:val="21"/>
              </w:rPr>
              <w:t>15.86</w:t>
            </w:r>
          </w:p>
        </w:tc>
        <w:tc>
          <w:tcPr>
            <w:tcW w:w="1088" w:type="pct"/>
            <w:shd w:val="clear" w:color="auto" w:fill="auto"/>
            <w:vAlign w:val="center"/>
          </w:tcPr>
          <w:p w14:paraId="2C69A014">
            <w:pPr>
              <w:pStyle w:val="58"/>
              <w:spacing w:line="202" w:lineRule="exact"/>
              <w:ind w:left="5"/>
              <w:jc w:val="center"/>
              <w:rPr>
                <w:rFonts w:ascii="Times New Roman" w:hAnsi="Times New Roman" w:eastAsia="Times New Roman"/>
                <w:sz w:val="21"/>
                <w:szCs w:val="21"/>
              </w:rPr>
            </w:pPr>
            <w:r>
              <w:rPr>
                <w:rFonts w:ascii="Times New Roman"/>
                <w:sz w:val="21"/>
                <w:szCs w:val="21"/>
              </w:rPr>
              <w:t>12.60</w:t>
            </w:r>
          </w:p>
        </w:tc>
      </w:tr>
    </w:tbl>
    <w:p w14:paraId="7F9EAAC1">
      <w:pPr>
        <w:ind w:firstLine="480"/>
      </w:pPr>
      <w:r>
        <w:t>AquiferTest</w:t>
      </w:r>
      <w:r>
        <w:rPr>
          <w:rFonts w:hint="eastAsia"/>
        </w:rPr>
        <w:t>（</w:t>
      </w:r>
      <w:r>
        <w:t>含水层试验</w:t>
      </w:r>
      <w:r>
        <w:rPr>
          <w:rFonts w:hint="eastAsia"/>
        </w:rPr>
        <w:t>）</w:t>
      </w:r>
      <w:r>
        <w:t>软件由加拿大滑铁卢水文地质公司</w:t>
      </w:r>
      <w:r>
        <w:rPr>
          <w:rFonts w:hint="eastAsia"/>
        </w:rPr>
        <w:t>（</w:t>
      </w:r>
      <w:r>
        <w:t>Waterloo Hydrogeologic Inc.</w:t>
      </w:r>
      <w:r>
        <w:rPr>
          <w:rFonts w:hint="eastAsia"/>
        </w:rPr>
        <w:t>）</w:t>
      </w:r>
      <w:r>
        <w:t>开发研制的专门为水文地质学者和其他水利专家设计，用于分析含水层抽水试验结果，用户</w:t>
      </w:r>
      <w:r>
        <w:rPr>
          <w:rFonts w:hint="eastAsia"/>
        </w:rPr>
        <w:t>能</w:t>
      </w:r>
      <w:r>
        <w:t>在较短的时间里有效地处理来自含水层试验所有的信息，并且计算结果可以以图表形式输出和打印。</w:t>
      </w:r>
    </w:p>
    <w:p w14:paraId="578D403A">
      <w:pPr>
        <w:ind w:firstLine="480"/>
      </w:pPr>
      <w:r>
        <w:t>（3）水文地质参数计算结果</w:t>
      </w:r>
    </w:p>
    <w:p w14:paraId="4CEBB37E">
      <w:pPr>
        <w:ind w:firstLine="480"/>
      </w:pPr>
      <w:r>
        <w:t>根据野外抽水试验结果，运用AquiferTest3.0软件根据野外抽水试验数据，采用Neuman方法进行水文地质参数计算，计算结果（见下图及下表）。</w:t>
      </w:r>
    </w:p>
    <w:p w14:paraId="13DA1E28">
      <w:pPr>
        <w:pStyle w:val="47"/>
        <w:spacing w:before="65"/>
      </w:pPr>
      <w:r>
        <w:rPr>
          <w:rFonts w:hint="eastAsia"/>
        </w:rPr>
        <w:t>表5</w:t>
      </w:r>
      <w:r>
        <w:t>.3-3   勘探孔水文地质参数计算成果一览表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01"/>
        <w:gridCol w:w="2762"/>
        <w:gridCol w:w="2183"/>
        <w:gridCol w:w="1784"/>
      </w:tblGrid>
      <w:tr w14:paraId="6FBF4D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46" w:type="pct"/>
            <w:shd w:val="clear" w:color="auto" w:fill="auto"/>
            <w:vAlign w:val="center"/>
          </w:tcPr>
          <w:p w14:paraId="05A15738">
            <w:pPr>
              <w:pStyle w:val="58"/>
              <w:adjustRightInd w:val="0"/>
              <w:snapToGrid w:val="0"/>
              <w:jc w:val="center"/>
              <w:rPr>
                <w:rFonts w:ascii="宋体" w:hAnsi="宋体" w:cs="宋体"/>
                <w:sz w:val="21"/>
                <w:szCs w:val="21"/>
              </w:rPr>
            </w:pPr>
            <w:r>
              <w:rPr>
                <w:rFonts w:ascii="宋体" w:hAnsi="宋体" w:cs="宋体"/>
                <w:sz w:val="21"/>
                <w:szCs w:val="21"/>
              </w:rPr>
              <w:t>钻孔编号</w:t>
            </w:r>
          </w:p>
        </w:tc>
        <w:tc>
          <w:tcPr>
            <w:tcW w:w="1582" w:type="pct"/>
            <w:shd w:val="clear" w:color="auto" w:fill="auto"/>
            <w:vAlign w:val="center"/>
          </w:tcPr>
          <w:p w14:paraId="10068A30">
            <w:pPr>
              <w:pStyle w:val="58"/>
              <w:adjustRightInd w:val="0"/>
              <w:snapToGrid w:val="0"/>
              <w:jc w:val="center"/>
              <w:rPr>
                <w:rFonts w:ascii="Times New Roman" w:hAnsi="Times New Roman" w:eastAsia="Times New Roman"/>
                <w:sz w:val="21"/>
                <w:szCs w:val="21"/>
              </w:rPr>
            </w:pPr>
            <w:r>
              <w:rPr>
                <w:rFonts w:ascii="宋体" w:hAnsi="宋体" w:cs="宋体"/>
                <w:sz w:val="21"/>
                <w:szCs w:val="21"/>
              </w:rPr>
              <w:t>渗透系数</w:t>
            </w:r>
            <w:r>
              <w:rPr>
                <w:rFonts w:ascii="宋体" w:hAnsi="宋体" w:cs="宋体"/>
                <w:spacing w:val="-46"/>
                <w:sz w:val="21"/>
                <w:szCs w:val="21"/>
              </w:rPr>
              <w:t xml:space="preserve"> </w:t>
            </w:r>
            <w:r>
              <w:rPr>
                <w:rFonts w:ascii="Times New Roman" w:hAnsi="Times New Roman" w:eastAsia="Times New Roman"/>
                <w:sz w:val="21"/>
                <w:szCs w:val="21"/>
              </w:rPr>
              <w:t>K</w:t>
            </w:r>
            <w:r>
              <w:rPr>
                <w:rFonts w:hint="eastAsia" w:ascii="宋体" w:hAnsi="宋体" w:cs="宋体"/>
                <w:sz w:val="21"/>
                <w:szCs w:val="21"/>
              </w:rPr>
              <w:t>（</w:t>
            </w:r>
            <w:r>
              <w:rPr>
                <w:rFonts w:ascii="Times New Roman" w:hAnsi="Times New Roman" w:eastAsia="Times New Roman"/>
                <w:sz w:val="21"/>
                <w:szCs w:val="21"/>
              </w:rPr>
              <w:t>m/d</w:t>
            </w:r>
            <w:r>
              <w:rPr>
                <w:rFonts w:hint="eastAsia" w:ascii="宋体" w:hAnsi="宋体" w:cs="宋体"/>
                <w:sz w:val="21"/>
                <w:szCs w:val="21"/>
              </w:rPr>
              <w:t>）</w:t>
            </w:r>
          </w:p>
        </w:tc>
        <w:tc>
          <w:tcPr>
            <w:tcW w:w="1250" w:type="pct"/>
            <w:shd w:val="clear" w:color="auto" w:fill="auto"/>
            <w:vAlign w:val="center"/>
          </w:tcPr>
          <w:p w14:paraId="2C93B1E7">
            <w:pPr>
              <w:pStyle w:val="58"/>
              <w:adjustRightInd w:val="0"/>
              <w:snapToGrid w:val="0"/>
              <w:jc w:val="center"/>
              <w:rPr>
                <w:rFonts w:ascii="Times New Roman" w:hAnsi="Times New Roman" w:eastAsia="Times New Roman"/>
                <w:sz w:val="21"/>
                <w:szCs w:val="21"/>
              </w:rPr>
            </w:pPr>
            <w:r>
              <w:rPr>
                <w:rFonts w:ascii="宋体" w:hAnsi="宋体" w:cs="宋体"/>
                <w:sz w:val="21"/>
                <w:szCs w:val="21"/>
              </w:rPr>
              <w:t>导水系数</w:t>
            </w:r>
            <w:r>
              <w:rPr>
                <w:rFonts w:ascii="Times New Roman" w:hAnsi="Times New Roman" w:eastAsia="Times New Roman"/>
                <w:sz w:val="21"/>
                <w:szCs w:val="21"/>
              </w:rPr>
              <w:t>T</w:t>
            </w:r>
            <w:r>
              <w:rPr>
                <w:rFonts w:hint="eastAsia" w:ascii="宋体" w:hAnsi="宋体" w:cs="宋体"/>
                <w:sz w:val="21"/>
                <w:szCs w:val="21"/>
              </w:rPr>
              <w:t>（</w:t>
            </w:r>
            <w:r>
              <w:rPr>
                <w:rFonts w:ascii="Times New Roman" w:hAnsi="Times New Roman" w:eastAsia="Times New Roman"/>
                <w:sz w:val="21"/>
                <w:szCs w:val="21"/>
              </w:rPr>
              <w:t>m</w:t>
            </w:r>
            <w:r>
              <w:rPr>
                <w:rFonts w:ascii="Times New Roman" w:hAnsi="Times New Roman" w:eastAsia="Times New Roman"/>
                <w:sz w:val="21"/>
                <w:szCs w:val="21"/>
                <w:vertAlign w:val="superscript"/>
              </w:rPr>
              <w:t>2</w:t>
            </w:r>
            <w:r>
              <w:rPr>
                <w:rFonts w:ascii="Times New Roman" w:hAnsi="Times New Roman" w:eastAsia="Times New Roman"/>
                <w:sz w:val="21"/>
                <w:szCs w:val="21"/>
              </w:rPr>
              <w:t>/d</w:t>
            </w:r>
            <w:r>
              <w:rPr>
                <w:rFonts w:hint="eastAsia" w:ascii="宋体" w:hAnsi="宋体" w:cs="宋体"/>
                <w:sz w:val="21"/>
                <w:szCs w:val="21"/>
              </w:rPr>
              <w:t>）</w:t>
            </w:r>
          </w:p>
        </w:tc>
        <w:tc>
          <w:tcPr>
            <w:tcW w:w="1022" w:type="pct"/>
            <w:shd w:val="clear" w:color="auto" w:fill="auto"/>
            <w:vAlign w:val="center"/>
          </w:tcPr>
          <w:p w14:paraId="1D0C2CDA">
            <w:pPr>
              <w:pStyle w:val="58"/>
              <w:adjustRightInd w:val="0"/>
              <w:snapToGrid w:val="0"/>
              <w:jc w:val="center"/>
              <w:rPr>
                <w:rFonts w:ascii="Times New Roman" w:hAnsi="Times New Roman" w:eastAsia="Times New Roman"/>
                <w:sz w:val="21"/>
                <w:szCs w:val="21"/>
              </w:rPr>
            </w:pPr>
            <w:r>
              <w:rPr>
                <w:rFonts w:ascii="宋体" w:hAnsi="宋体" w:cs="宋体"/>
                <w:sz w:val="21"/>
                <w:szCs w:val="21"/>
              </w:rPr>
              <w:t>影响半径</w:t>
            </w:r>
            <w:r>
              <w:rPr>
                <w:rFonts w:ascii="宋体" w:hAnsi="宋体" w:cs="宋体"/>
                <w:spacing w:val="-47"/>
                <w:sz w:val="21"/>
                <w:szCs w:val="21"/>
              </w:rPr>
              <w:t xml:space="preserve"> </w:t>
            </w:r>
            <w:r>
              <w:rPr>
                <w:rFonts w:ascii="Times New Roman" w:hAnsi="Times New Roman" w:eastAsia="Times New Roman"/>
                <w:sz w:val="21"/>
                <w:szCs w:val="21"/>
              </w:rPr>
              <w:t>R</w:t>
            </w:r>
            <w:r>
              <w:rPr>
                <w:rFonts w:hint="eastAsia" w:ascii="宋体" w:hAnsi="宋体" w:cs="宋体"/>
                <w:sz w:val="21"/>
                <w:szCs w:val="21"/>
              </w:rPr>
              <w:t>（</w:t>
            </w:r>
            <w:r>
              <w:rPr>
                <w:rFonts w:ascii="Times New Roman" w:hAnsi="Times New Roman" w:eastAsia="Times New Roman"/>
                <w:sz w:val="21"/>
                <w:szCs w:val="21"/>
              </w:rPr>
              <w:t>m</w:t>
            </w:r>
            <w:r>
              <w:rPr>
                <w:rFonts w:hint="eastAsia" w:ascii="宋体" w:hAnsi="宋体" w:cs="宋体"/>
                <w:sz w:val="21"/>
                <w:szCs w:val="21"/>
              </w:rPr>
              <w:t>）</w:t>
            </w:r>
          </w:p>
        </w:tc>
      </w:tr>
      <w:tr w14:paraId="48EAAB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46" w:type="pct"/>
            <w:shd w:val="clear" w:color="auto" w:fill="auto"/>
            <w:vAlign w:val="center"/>
          </w:tcPr>
          <w:p w14:paraId="63C74B40">
            <w:pPr>
              <w:pStyle w:val="58"/>
              <w:adjustRightInd w:val="0"/>
              <w:snapToGrid w:val="0"/>
              <w:jc w:val="center"/>
              <w:rPr>
                <w:rFonts w:ascii="Times New Roman" w:hAnsi="Times New Roman" w:eastAsia="Times New Roman"/>
                <w:sz w:val="21"/>
                <w:szCs w:val="21"/>
              </w:rPr>
            </w:pPr>
            <w:r>
              <w:rPr>
                <w:rFonts w:ascii="Times New Roman"/>
                <w:sz w:val="21"/>
                <w:szCs w:val="21"/>
              </w:rPr>
              <w:t>ZK2</w:t>
            </w:r>
          </w:p>
        </w:tc>
        <w:tc>
          <w:tcPr>
            <w:tcW w:w="1582" w:type="pct"/>
            <w:shd w:val="clear" w:color="auto" w:fill="auto"/>
            <w:vAlign w:val="center"/>
          </w:tcPr>
          <w:p w14:paraId="79A81FE1">
            <w:pPr>
              <w:pStyle w:val="58"/>
              <w:adjustRightInd w:val="0"/>
              <w:snapToGrid w:val="0"/>
              <w:jc w:val="center"/>
              <w:rPr>
                <w:rFonts w:ascii="Times New Roman" w:hAnsi="Times New Roman" w:eastAsia="Times New Roman"/>
                <w:sz w:val="21"/>
                <w:szCs w:val="21"/>
              </w:rPr>
            </w:pPr>
            <w:r>
              <w:rPr>
                <w:rFonts w:ascii="Times New Roman"/>
                <w:sz w:val="21"/>
                <w:szCs w:val="21"/>
              </w:rPr>
              <w:t>0.23</w:t>
            </w:r>
          </w:p>
        </w:tc>
        <w:tc>
          <w:tcPr>
            <w:tcW w:w="1250" w:type="pct"/>
            <w:shd w:val="clear" w:color="auto" w:fill="auto"/>
            <w:vAlign w:val="center"/>
          </w:tcPr>
          <w:p w14:paraId="05CBF158">
            <w:pPr>
              <w:pStyle w:val="58"/>
              <w:adjustRightInd w:val="0"/>
              <w:snapToGrid w:val="0"/>
              <w:jc w:val="center"/>
              <w:rPr>
                <w:rFonts w:ascii="Times New Roman" w:hAnsi="Times New Roman" w:eastAsia="Times New Roman"/>
                <w:sz w:val="21"/>
                <w:szCs w:val="21"/>
              </w:rPr>
            </w:pPr>
            <w:r>
              <w:rPr>
                <w:rFonts w:ascii="Times New Roman"/>
                <w:sz w:val="21"/>
                <w:szCs w:val="21"/>
              </w:rPr>
              <w:t>2.81</w:t>
            </w:r>
          </w:p>
        </w:tc>
        <w:tc>
          <w:tcPr>
            <w:tcW w:w="1022" w:type="pct"/>
            <w:shd w:val="clear" w:color="auto" w:fill="auto"/>
            <w:vAlign w:val="center"/>
          </w:tcPr>
          <w:p w14:paraId="7662C45B">
            <w:pPr>
              <w:pStyle w:val="58"/>
              <w:adjustRightInd w:val="0"/>
              <w:snapToGrid w:val="0"/>
              <w:jc w:val="center"/>
              <w:rPr>
                <w:rFonts w:ascii="Times New Roman" w:hAnsi="Times New Roman" w:eastAsia="Times New Roman"/>
                <w:sz w:val="21"/>
                <w:szCs w:val="21"/>
              </w:rPr>
            </w:pPr>
            <w:r>
              <w:rPr>
                <w:rFonts w:ascii="Times New Roman"/>
                <w:sz w:val="21"/>
                <w:szCs w:val="21"/>
              </w:rPr>
              <w:t>42.19</w:t>
            </w:r>
          </w:p>
        </w:tc>
      </w:tr>
      <w:tr w14:paraId="320041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46" w:type="pct"/>
            <w:shd w:val="clear" w:color="auto" w:fill="auto"/>
            <w:vAlign w:val="center"/>
          </w:tcPr>
          <w:p w14:paraId="29F921D2">
            <w:pPr>
              <w:pStyle w:val="58"/>
              <w:adjustRightInd w:val="0"/>
              <w:snapToGrid w:val="0"/>
              <w:jc w:val="center"/>
              <w:rPr>
                <w:rFonts w:ascii="Times New Roman" w:hAnsi="Times New Roman" w:eastAsia="Times New Roman"/>
                <w:sz w:val="21"/>
                <w:szCs w:val="21"/>
              </w:rPr>
            </w:pPr>
            <w:r>
              <w:rPr>
                <w:rFonts w:ascii="Times New Roman"/>
                <w:sz w:val="21"/>
                <w:szCs w:val="21"/>
              </w:rPr>
              <w:t>ZK3</w:t>
            </w:r>
          </w:p>
        </w:tc>
        <w:tc>
          <w:tcPr>
            <w:tcW w:w="1582" w:type="pct"/>
            <w:shd w:val="clear" w:color="auto" w:fill="auto"/>
            <w:vAlign w:val="center"/>
          </w:tcPr>
          <w:p w14:paraId="1BF7C32A">
            <w:pPr>
              <w:pStyle w:val="58"/>
              <w:adjustRightInd w:val="0"/>
              <w:snapToGrid w:val="0"/>
              <w:jc w:val="center"/>
              <w:rPr>
                <w:rFonts w:ascii="Times New Roman" w:hAnsi="Times New Roman" w:eastAsia="Times New Roman"/>
                <w:sz w:val="21"/>
                <w:szCs w:val="21"/>
              </w:rPr>
            </w:pPr>
            <w:r>
              <w:rPr>
                <w:rFonts w:ascii="Times New Roman"/>
                <w:sz w:val="21"/>
                <w:szCs w:val="21"/>
              </w:rPr>
              <w:t>0.41</w:t>
            </w:r>
          </w:p>
        </w:tc>
        <w:tc>
          <w:tcPr>
            <w:tcW w:w="1250" w:type="pct"/>
            <w:shd w:val="clear" w:color="auto" w:fill="auto"/>
            <w:vAlign w:val="center"/>
          </w:tcPr>
          <w:p w14:paraId="5AAEB9D4">
            <w:pPr>
              <w:pStyle w:val="58"/>
              <w:adjustRightInd w:val="0"/>
              <w:snapToGrid w:val="0"/>
              <w:jc w:val="center"/>
              <w:rPr>
                <w:rFonts w:ascii="Times New Roman" w:hAnsi="Times New Roman" w:eastAsia="Times New Roman"/>
                <w:sz w:val="21"/>
                <w:szCs w:val="21"/>
              </w:rPr>
            </w:pPr>
            <w:r>
              <w:rPr>
                <w:rFonts w:ascii="Times New Roman"/>
                <w:sz w:val="21"/>
                <w:szCs w:val="21"/>
              </w:rPr>
              <w:t>4.87</w:t>
            </w:r>
          </w:p>
        </w:tc>
        <w:tc>
          <w:tcPr>
            <w:tcW w:w="1022" w:type="pct"/>
            <w:shd w:val="clear" w:color="auto" w:fill="auto"/>
            <w:vAlign w:val="center"/>
          </w:tcPr>
          <w:p w14:paraId="52FA27A4">
            <w:pPr>
              <w:pStyle w:val="58"/>
              <w:adjustRightInd w:val="0"/>
              <w:snapToGrid w:val="0"/>
              <w:jc w:val="center"/>
              <w:rPr>
                <w:rFonts w:ascii="Times New Roman" w:hAnsi="Times New Roman" w:eastAsia="Times New Roman"/>
                <w:sz w:val="21"/>
                <w:szCs w:val="21"/>
              </w:rPr>
            </w:pPr>
            <w:r>
              <w:rPr>
                <w:rFonts w:ascii="Times New Roman"/>
                <w:sz w:val="21"/>
                <w:szCs w:val="21"/>
              </w:rPr>
              <w:t>24.41</w:t>
            </w:r>
          </w:p>
        </w:tc>
      </w:tr>
      <w:tr w14:paraId="3A7D1E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46" w:type="pct"/>
            <w:shd w:val="clear" w:color="auto" w:fill="auto"/>
            <w:vAlign w:val="center"/>
          </w:tcPr>
          <w:p w14:paraId="6717557C">
            <w:pPr>
              <w:pStyle w:val="58"/>
              <w:adjustRightInd w:val="0"/>
              <w:snapToGrid w:val="0"/>
              <w:jc w:val="center"/>
              <w:rPr>
                <w:rFonts w:ascii="Times New Roman" w:hAnsi="Times New Roman" w:eastAsia="Times New Roman"/>
                <w:sz w:val="21"/>
                <w:szCs w:val="21"/>
              </w:rPr>
            </w:pPr>
            <w:r>
              <w:rPr>
                <w:rFonts w:ascii="Times New Roman"/>
                <w:sz w:val="21"/>
                <w:szCs w:val="21"/>
              </w:rPr>
              <w:t>ZK4</w:t>
            </w:r>
          </w:p>
        </w:tc>
        <w:tc>
          <w:tcPr>
            <w:tcW w:w="1582" w:type="pct"/>
            <w:shd w:val="clear" w:color="auto" w:fill="auto"/>
            <w:vAlign w:val="center"/>
          </w:tcPr>
          <w:p w14:paraId="05F7AD35">
            <w:pPr>
              <w:pStyle w:val="58"/>
              <w:adjustRightInd w:val="0"/>
              <w:snapToGrid w:val="0"/>
              <w:jc w:val="center"/>
              <w:rPr>
                <w:rFonts w:ascii="Times New Roman" w:hAnsi="Times New Roman" w:eastAsia="Times New Roman"/>
                <w:sz w:val="21"/>
                <w:szCs w:val="21"/>
              </w:rPr>
            </w:pPr>
            <w:r>
              <w:rPr>
                <w:rFonts w:ascii="Times New Roman"/>
                <w:sz w:val="21"/>
                <w:szCs w:val="21"/>
              </w:rPr>
              <w:t>0.35</w:t>
            </w:r>
          </w:p>
        </w:tc>
        <w:tc>
          <w:tcPr>
            <w:tcW w:w="1250" w:type="pct"/>
            <w:shd w:val="clear" w:color="auto" w:fill="auto"/>
            <w:vAlign w:val="center"/>
          </w:tcPr>
          <w:p w14:paraId="45E9B152">
            <w:pPr>
              <w:pStyle w:val="58"/>
              <w:adjustRightInd w:val="0"/>
              <w:snapToGrid w:val="0"/>
              <w:jc w:val="center"/>
              <w:rPr>
                <w:rFonts w:ascii="Times New Roman" w:hAnsi="Times New Roman" w:eastAsia="Times New Roman"/>
                <w:sz w:val="21"/>
                <w:szCs w:val="21"/>
              </w:rPr>
            </w:pPr>
            <w:r>
              <w:rPr>
                <w:rFonts w:ascii="Times New Roman"/>
                <w:sz w:val="21"/>
                <w:szCs w:val="21"/>
              </w:rPr>
              <w:t>4.18</w:t>
            </w:r>
          </w:p>
        </w:tc>
        <w:tc>
          <w:tcPr>
            <w:tcW w:w="1022" w:type="pct"/>
            <w:shd w:val="clear" w:color="auto" w:fill="auto"/>
            <w:vAlign w:val="center"/>
          </w:tcPr>
          <w:p w14:paraId="1907FBE0">
            <w:pPr>
              <w:pStyle w:val="58"/>
              <w:adjustRightInd w:val="0"/>
              <w:snapToGrid w:val="0"/>
              <w:jc w:val="center"/>
              <w:rPr>
                <w:rFonts w:ascii="Times New Roman" w:hAnsi="Times New Roman" w:eastAsia="Times New Roman"/>
                <w:sz w:val="21"/>
                <w:szCs w:val="21"/>
              </w:rPr>
            </w:pPr>
            <w:r>
              <w:rPr>
                <w:rFonts w:ascii="Times New Roman"/>
                <w:sz w:val="21"/>
                <w:szCs w:val="21"/>
              </w:rPr>
              <w:t>28.64</w:t>
            </w:r>
          </w:p>
        </w:tc>
      </w:tr>
      <w:tr w14:paraId="26920B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46" w:type="pct"/>
            <w:shd w:val="clear" w:color="auto" w:fill="auto"/>
            <w:vAlign w:val="center"/>
          </w:tcPr>
          <w:p w14:paraId="0B5F8B97">
            <w:pPr>
              <w:pStyle w:val="58"/>
              <w:adjustRightInd w:val="0"/>
              <w:snapToGrid w:val="0"/>
              <w:jc w:val="center"/>
              <w:rPr>
                <w:rFonts w:ascii="Times New Roman" w:hAnsi="Times New Roman" w:eastAsia="Times New Roman"/>
                <w:sz w:val="21"/>
                <w:szCs w:val="21"/>
              </w:rPr>
            </w:pPr>
            <w:r>
              <w:rPr>
                <w:rFonts w:ascii="Times New Roman"/>
                <w:sz w:val="21"/>
                <w:szCs w:val="21"/>
              </w:rPr>
              <w:t>ZK5</w:t>
            </w:r>
          </w:p>
        </w:tc>
        <w:tc>
          <w:tcPr>
            <w:tcW w:w="1582" w:type="pct"/>
            <w:shd w:val="clear" w:color="auto" w:fill="auto"/>
            <w:vAlign w:val="center"/>
          </w:tcPr>
          <w:p w14:paraId="7A41F058">
            <w:pPr>
              <w:pStyle w:val="58"/>
              <w:adjustRightInd w:val="0"/>
              <w:snapToGrid w:val="0"/>
              <w:jc w:val="center"/>
              <w:rPr>
                <w:rFonts w:ascii="Times New Roman" w:hAnsi="Times New Roman" w:eastAsia="Times New Roman"/>
                <w:sz w:val="21"/>
                <w:szCs w:val="21"/>
              </w:rPr>
            </w:pPr>
            <w:r>
              <w:rPr>
                <w:rFonts w:ascii="Times New Roman"/>
                <w:sz w:val="21"/>
                <w:szCs w:val="21"/>
              </w:rPr>
              <w:t>0.46</w:t>
            </w:r>
          </w:p>
        </w:tc>
        <w:tc>
          <w:tcPr>
            <w:tcW w:w="1250" w:type="pct"/>
            <w:shd w:val="clear" w:color="auto" w:fill="auto"/>
            <w:vAlign w:val="center"/>
          </w:tcPr>
          <w:p w14:paraId="1C46EE06">
            <w:pPr>
              <w:pStyle w:val="58"/>
              <w:adjustRightInd w:val="0"/>
              <w:snapToGrid w:val="0"/>
              <w:jc w:val="center"/>
              <w:rPr>
                <w:rFonts w:ascii="Times New Roman" w:hAnsi="Times New Roman" w:eastAsia="Times New Roman"/>
                <w:sz w:val="21"/>
                <w:szCs w:val="21"/>
              </w:rPr>
            </w:pPr>
            <w:r>
              <w:rPr>
                <w:rFonts w:ascii="Times New Roman"/>
                <w:sz w:val="21"/>
                <w:szCs w:val="21"/>
              </w:rPr>
              <w:t>5.46</w:t>
            </w:r>
          </w:p>
        </w:tc>
        <w:tc>
          <w:tcPr>
            <w:tcW w:w="1022" w:type="pct"/>
            <w:shd w:val="clear" w:color="auto" w:fill="auto"/>
            <w:vAlign w:val="center"/>
          </w:tcPr>
          <w:p w14:paraId="76398352">
            <w:pPr>
              <w:pStyle w:val="58"/>
              <w:adjustRightInd w:val="0"/>
              <w:snapToGrid w:val="0"/>
              <w:jc w:val="center"/>
              <w:rPr>
                <w:rFonts w:ascii="Times New Roman" w:hAnsi="Times New Roman" w:eastAsia="Times New Roman"/>
                <w:sz w:val="21"/>
                <w:szCs w:val="21"/>
              </w:rPr>
            </w:pPr>
            <w:r>
              <w:rPr>
                <w:rFonts w:ascii="Times New Roman"/>
                <w:sz w:val="21"/>
                <w:szCs w:val="21"/>
              </w:rPr>
              <w:t>23.35</w:t>
            </w:r>
          </w:p>
        </w:tc>
      </w:tr>
    </w:tbl>
    <w:p w14:paraId="1708D684">
      <w:pPr>
        <w:pStyle w:val="43"/>
      </w:pPr>
      <w:bookmarkStart w:id="465" w:name="_Toc80193129"/>
      <w:bookmarkStart w:id="466" w:name="_Toc77007827"/>
      <w:bookmarkStart w:id="467" w:name="_Toc81214123"/>
      <w:bookmarkStart w:id="468" w:name="_Toc80973555"/>
      <w:bookmarkStart w:id="469" w:name="_Toc82518811"/>
      <w:bookmarkStart w:id="470" w:name="_Toc152864225"/>
      <w:bookmarkStart w:id="471" w:name="_Toc79515500"/>
      <w:r>
        <w:rPr>
          <w:rFonts w:hint="eastAsia"/>
        </w:rPr>
        <w:t>地下水环境影响预测与评价</w:t>
      </w:r>
      <w:bookmarkEnd w:id="465"/>
      <w:bookmarkEnd w:id="466"/>
      <w:bookmarkEnd w:id="467"/>
      <w:bookmarkEnd w:id="468"/>
      <w:bookmarkEnd w:id="469"/>
      <w:bookmarkEnd w:id="470"/>
      <w:bookmarkEnd w:id="471"/>
    </w:p>
    <w:p w14:paraId="0E9D5194">
      <w:pPr>
        <w:ind w:firstLine="480"/>
      </w:pPr>
      <w:r>
        <w:rPr>
          <w:rFonts w:hint="eastAsia"/>
        </w:rPr>
        <w:t>根据《环境影响评价技术导则 地下水环境》（HJ610-2016），二级评价采用数值法或解析法进行影响预测，评价对地下水环境保护目标的影响。本项目位于第七师胡杨河经济技术开发区南园区内，评价范围内不存在地下水环境保护目标，本次评价采用解析法开展地下水影响预测。</w:t>
      </w:r>
    </w:p>
    <w:p w14:paraId="5CD46BD8">
      <w:pPr>
        <w:pStyle w:val="45"/>
        <w:spacing w:before="65" w:after="65"/>
      </w:pPr>
      <w:r>
        <w:rPr>
          <w:rFonts w:hint="eastAsia"/>
        </w:rPr>
        <w:t>预测范围</w:t>
      </w:r>
    </w:p>
    <w:p w14:paraId="5CC05F8B">
      <w:pPr>
        <w:ind w:firstLine="480"/>
      </w:pPr>
      <w:r>
        <w:rPr>
          <w:rFonts w:hint="eastAsia"/>
        </w:rPr>
        <w:t>根据《环境影响评价技术导则 地下水环境》（HJ610-2016）要求，地下水预测范围一般与调查评价范围一致，即以</w:t>
      </w:r>
      <w:r>
        <w:t>厂址中心周围3km×4km的</w:t>
      </w:r>
      <w:r>
        <w:rPr>
          <w:rFonts w:hint="eastAsia"/>
        </w:rPr>
        <w:t>矩形</w:t>
      </w:r>
      <w:r>
        <w:t>范围</w:t>
      </w:r>
      <w:r>
        <w:rPr>
          <w:rFonts w:hint="eastAsia"/>
        </w:rPr>
        <w:t>。</w:t>
      </w:r>
    </w:p>
    <w:p w14:paraId="63CFD548">
      <w:pPr>
        <w:pStyle w:val="45"/>
        <w:spacing w:before="65" w:after="65"/>
      </w:pPr>
      <w:r>
        <w:rPr>
          <w:rFonts w:hint="eastAsia"/>
        </w:rPr>
        <w:t>预测时段</w:t>
      </w:r>
    </w:p>
    <w:p w14:paraId="55719E44">
      <w:pPr>
        <w:ind w:firstLine="480"/>
      </w:pPr>
      <w:r>
        <w:rPr>
          <w:rFonts w:hint="eastAsia"/>
        </w:rPr>
        <w:t>根据《环境影响评价技术导则 地下水环境》（HJ610-2016）要求，结合本项目废水污染源强，本次预测时段选取可能产生地下水污染的关键时间节点，预测时段包括污染发生后的1</w:t>
      </w:r>
      <w:r>
        <w:t>00</w:t>
      </w:r>
      <w:r>
        <w:rPr>
          <w:rFonts w:hint="eastAsia"/>
        </w:rPr>
        <w:t>d、1</w:t>
      </w:r>
      <w:r>
        <w:t>000</w:t>
      </w:r>
      <w:r>
        <w:rPr>
          <w:rFonts w:hint="eastAsia"/>
        </w:rPr>
        <w:t>d、3650d。</w:t>
      </w:r>
    </w:p>
    <w:p w14:paraId="147ABF4D">
      <w:pPr>
        <w:pStyle w:val="45"/>
        <w:spacing w:before="65" w:after="65"/>
      </w:pPr>
      <w:r>
        <w:rPr>
          <w:rFonts w:hint="eastAsia"/>
        </w:rPr>
        <w:t>预测情景设置</w:t>
      </w:r>
    </w:p>
    <w:p w14:paraId="213EB363">
      <w:pPr>
        <w:ind w:firstLine="480"/>
      </w:pPr>
      <w:r>
        <w:rPr>
          <w:rFonts w:hint="eastAsia"/>
        </w:rPr>
        <w:t>预测情景设定分为正常工况和非正常工况两种情况。正常工况下，厂区生产装置不会发生泄漏，不会造成废水下渗污染地下水。因此，对地下水可能产生的影响仅发生在非正常工况下，基于此分析，对于工程可能对地下水产生的影响，将从非正常工况方面进行设定。</w:t>
      </w:r>
    </w:p>
    <w:p w14:paraId="4C8F617A">
      <w:pPr>
        <w:ind w:firstLine="480"/>
      </w:pPr>
      <w:r>
        <w:rPr>
          <w:rFonts w:hint="eastAsia"/>
        </w:rPr>
        <w:t>根据《建设项目环境风险评价技术导则》（HJ</w:t>
      </w:r>
      <w:r>
        <w:t>169-2018</w:t>
      </w:r>
      <w:r>
        <w:rPr>
          <w:rFonts w:hint="eastAsia"/>
        </w:rPr>
        <w:t>）中附录E泄漏频率表可知：储罐破裂泄漏是概率极低的重大事件，发生概率分别为1</w:t>
      </w:r>
      <w:r>
        <w:t>.25</w:t>
      </w:r>
      <w:r>
        <w:rPr>
          <w:rFonts w:hint="eastAsia"/>
        </w:rPr>
        <w:t>×1</w:t>
      </w:r>
      <w:r>
        <w:t>0</w:t>
      </w:r>
      <w:r>
        <w:rPr>
          <w:vertAlign w:val="superscript"/>
        </w:rPr>
        <w:t>-8</w:t>
      </w:r>
      <w:r>
        <w:t>/a</w:t>
      </w:r>
      <w:r>
        <w:rPr>
          <w:rFonts w:hint="eastAsia"/>
        </w:rPr>
        <w:t>。由于油类物质具有一定的挥发性，其泄漏后的挥发对大气环境产生一定影响。因此，本项目地下水预测情景与环境风险预测情景保持一致，为非正常工况考虑储罐出现破损，内径</w:t>
      </w:r>
      <w:r>
        <w:t>150</w:t>
      </w:r>
      <w:r>
        <w:rPr>
          <w:rFonts w:hint="eastAsia"/>
        </w:rPr>
        <w:t>mm管道全管径泄漏，泄漏的减线油、润滑油等油类物质直接进入包气带，并向下渗透进入含水层从而对地下水造成污染。</w:t>
      </w:r>
    </w:p>
    <w:p w14:paraId="0547F3CF">
      <w:pPr>
        <w:pStyle w:val="45"/>
        <w:spacing w:before="65" w:after="65"/>
      </w:pPr>
      <w:r>
        <w:rPr>
          <w:rFonts w:hint="eastAsia"/>
        </w:rPr>
        <w:t>预测因子及标准</w:t>
      </w:r>
    </w:p>
    <w:p w14:paraId="58985BA1">
      <w:pPr>
        <w:ind w:firstLine="480"/>
      </w:pPr>
      <w:r>
        <w:rPr>
          <w:rFonts w:hint="eastAsia"/>
        </w:rPr>
        <w:t>（1）预测因子</w:t>
      </w:r>
    </w:p>
    <w:p w14:paraId="6A05D307">
      <w:pPr>
        <w:ind w:firstLine="480"/>
      </w:pPr>
      <w:r>
        <w:rPr>
          <w:rFonts w:hint="eastAsia"/>
        </w:rPr>
        <w:t>本项目储存来自石化企业生产的减线油，采用储罐暂存，发生泄漏事故时，原料油、润滑油等一并进入土壤和地下水。综上所述，结合项目原料、工艺特征，并根据</w:t>
      </w:r>
      <w:r>
        <w:t>《环境影响评价技术导则 地下水环境》</w:t>
      </w:r>
      <w:r>
        <w:rPr>
          <w:rFonts w:hint="eastAsia" w:ascii="宋体" w:hAnsi="宋体"/>
        </w:rPr>
        <w:t>（</w:t>
      </w:r>
      <w:r>
        <w:t>HJ610-2016</w:t>
      </w:r>
      <w:r>
        <w:rPr>
          <w:rFonts w:hint="eastAsia" w:ascii="宋体" w:hAnsi="宋体"/>
        </w:rPr>
        <w:t>）</w:t>
      </w:r>
      <w:r>
        <w:t>要求，预测因子选取</w:t>
      </w:r>
      <w:r>
        <w:rPr>
          <w:rFonts w:hint="eastAsia"/>
        </w:rPr>
        <w:t>石油类</w:t>
      </w:r>
      <w:r>
        <w:t>。</w:t>
      </w:r>
    </w:p>
    <w:p w14:paraId="2A2DA1BE">
      <w:pPr>
        <w:ind w:firstLine="480"/>
      </w:pPr>
      <w:r>
        <w:rPr>
          <w:rFonts w:hint="eastAsia"/>
        </w:rPr>
        <w:t>（2）评价标准</w:t>
      </w:r>
    </w:p>
    <w:p w14:paraId="4F88FC05">
      <w:pPr>
        <w:ind w:firstLine="480"/>
      </w:pPr>
      <w:r>
        <w:t>本次地下水预测</w:t>
      </w:r>
      <w:r>
        <w:rPr>
          <w:rFonts w:hint="eastAsia"/>
        </w:rPr>
        <w:t>因子石油类评价标准参考</w:t>
      </w:r>
      <w:r>
        <w:t>《地</w:t>
      </w:r>
      <w:r>
        <w:rPr>
          <w:rFonts w:hint="eastAsia"/>
        </w:rPr>
        <w:t>表</w:t>
      </w:r>
      <w:r>
        <w:t>水</w:t>
      </w:r>
      <w:r>
        <w:rPr>
          <w:rFonts w:hint="eastAsia"/>
        </w:rPr>
        <w:t>环境</w:t>
      </w:r>
      <w:r>
        <w:t>质量标准》（GB3838-2002）Ⅲ类水质为标准</w:t>
      </w:r>
      <w:r>
        <w:rPr>
          <w:rFonts w:hint="eastAsia"/>
        </w:rPr>
        <w:t>，具体标准为：石油类≤0</w:t>
      </w:r>
      <w:r>
        <w:t>.05</w:t>
      </w:r>
      <w:r>
        <w:rPr>
          <w:rFonts w:hint="eastAsia"/>
        </w:rPr>
        <w:t>mg</w:t>
      </w:r>
      <w:r>
        <w:t>/</w:t>
      </w:r>
      <w:r>
        <w:rPr>
          <w:rFonts w:hint="eastAsia"/>
        </w:rPr>
        <w:t>L。</w:t>
      </w:r>
    </w:p>
    <w:p w14:paraId="2AC3C9D9">
      <w:pPr>
        <w:pStyle w:val="45"/>
        <w:spacing w:before="65" w:after="65"/>
      </w:pPr>
      <w:r>
        <w:rPr>
          <w:rFonts w:hint="eastAsia"/>
        </w:rPr>
        <w:t>预测源强</w:t>
      </w:r>
    </w:p>
    <w:p w14:paraId="18C1AB30">
      <w:pPr>
        <w:ind w:firstLine="480"/>
      </w:pPr>
      <w:r>
        <w:rPr>
          <w:rFonts w:hint="eastAsia"/>
        </w:rPr>
        <w:t>根据《建设项目环境风险评价技术导则》（HJ</w:t>
      </w:r>
      <w:r>
        <w:t>169-2018</w:t>
      </w:r>
      <w:r>
        <w:rPr>
          <w:rFonts w:hint="eastAsia"/>
        </w:rPr>
        <w:t>）中附录F物质泄漏量计算可知，本项目液体泄漏量计算公式如下：</w:t>
      </w:r>
    </w:p>
    <w:p w14:paraId="79CD8315">
      <w:pPr>
        <w:spacing w:line="240" w:lineRule="auto"/>
        <w:ind w:firstLine="0" w:firstLineChars="0"/>
        <w:jc w:val="center"/>
      </w:pPr>
    </w:p>
    <w:p w14:paraId="1C6DEF86">
      <w:pPr>
        <w:ind w:firstLine="480"/>
      </w:pPr>
      <w:r>
        <w:rPr>
          <w:rFonts w:hint="eastAsia"/>
        </w:rPr>
        <w:t>本项目所用储罐均为常压储罐，因此P</w:t>
      </w:r>
      <w:r>
        <w:t>=</w:t>
      </w:r>
      <w:r>
        <w:rPr>
          <w:rFonts w:hint="eastAsia"/>
        </w:rPr>
        <w:t>P</w:t>
      </w:r>
      <w:r>
        <w:rPr>
          <w:vertAlign w:val="subscript"/>
        </w:rPr>
        <w:t>0</w:t>
      </w:r>
      <w:r>
        <w:t>=101.31</w:t>
      </w:r>
      <w:r>
        <w:rPr>
          <w:rFonts w:hint="eastAsia"/>
        </w:rPr>
        <w:t>kPa；泄漏的润滑油等液体密度为</w:t>
      </w:r>
      <w:r>
        <w:t>850</w:t>
      </w:r>
      <w:r>
        <w:rPr>
          <w:rFonts w:hint="eastAsia"/>
        </w:rPr>
        <w:t>kg/m</w:t>
      </w:r>
      <w:r>
        <w:rPr>
          <w:vertAlign w:val="superscript"/>
        </w:rPr>
        <w:t>3</w:t>
      </w:r>
      <w:r>
        <w:rPr>
          <w:rFonts w:hint="eastAsia"/>
        </w:rPr>
        <w:t>；裂口之上液位高度为</w:t>
      </w:r>
      <w:r>
        <w:t>7.2</w:t>
      </w:r>
      <w:r>
        <w:rPr>
          <w:rFonts w:hint="eastAsia"/>
        </w:rPr>
        <w:t>m；液体泄漏系数取值0</w:t>
      </w:r>
      <w:r>
        <w:t>.65</w:t>
      </w:r>
      <w:r>
        <w:rPr>
          <w:rFonts w:hint="eastAsia"/>
        </w:rPr>
        <w:t>；裂口面积为0</w:t>
      </w:r>
      <w:r>
        <w:t>.018</w:t>
      </w:r>
      <w:r>
        <w:rPr>
          <w:rFonts w:hint="eastAsia"/>
        </w:rPr>
        <w:t>m</w:t>
      </w:r>
      <w:r>
        <w:rPr>
          <w:vertAlign w:val="superscript"/>
        </w:rPr>
        <w:t>2</w:t>
      </w:r>
      <w:r>
        <w:rPr>
          <w:rFonts w:hint="eastAsia"/>
        </w:rPr>
        <w:t>。</w:t>
      </w:r>
    </w:p>
    <w:p w14:paraId="673C9385">
      <w:pPr>
        <w:ind w:firstLine="480"/>
      </w:pPr>
      <w:r>
        <w:rPr>
          <w:rFonts w:hint="eastAsia"/>
        </w:rPr>
        <w:t>则本项目液体泄漏速率Q</w:t>
      </w:r>
      <w:r>
        <w:rPr>
          <w:rFonts w:hint="eastAsia"/>
          <w:vertAlign w:val="subscript"/>
        </w:rPr>
        <w:t>L</w:t>
      </w:r>
      <w:r>
        <w:t>=118.2</w:t>
      </w:r>
      <w:r>
        <w:rPr>
          <w:rFonts w:hint="eastAsia"/>
        </w:rPr>
        <w:t>kg</w:t>
      </w:r>
      <w:r>
        <w:t>/s</w:t>
      </w:r>
      <w:r>
        <w:rPr>
          <w:rFonts w:hint="eastAsia"/>
        </w:rPr>
        <w:t>，本项目罐区设置有泄漏报警装置和备用储罐，当某一储罐出现泄漏事故时，应急措施可立即启动，在</w:t>
      </w:r>
      <w:r>
        <w:t>3</w:t>
      </w:r>
      <w:r>
        <w:rPr>
          <w:rFonts w:hint="eastAsia"/>
        </w:rPr>
        <w:t>分钟内将泄漏储罐中的物料转移至备用罐，同时切断泄漏管道阀门。因此，泄漏事故下物料的最大泄漏量为</w:t>
      </w:r>
      <w:r>
        <w:t>21.28</w:t>
      </w:r>
      <w:r>
        <w:rPr>
          <w:rFonts w:hint="eastAsia"/>
        </w:rPr>
        <w:t>t（2</w:t>
      </w:r>
      <w:r>
        <w:t>5.03</w:t>
      </w:r>
      <w:r>
        <w:rPr>
          <w:rFonts w:hint="eastAsia"/>
        </w:rPr>
        <w:t>m</w:t>
      </w:r>
      <w:r>
        <w:rPr>
          <w:vertAlign w:val="superscript"/>
        </w:rPr>
        <w:t>3</w:t>
      </w:r>
      <w:r>
        <w:rPr>
          <w:rFonts w:hint="eastAsia"/>
        </w:rPr>
        <w:t>）。</w:t>
      </w:r>
    </w:p>
    <w:p w14:paraId="21E36CA7">
      <w:pPr>
        <w:ind w:firstLine="480"/>
      </w:pPr>
      <w:r>
        <w:rPr>
          <w:rFonts w:hint="eastAsia"/>
        </w:rPr>
        <w:t>泄漏污染物浓度按照减线油泄漏取值为</w:t>
      </w:r>
      <w:r>
        <w:t>50</w:t>
      </w:r>
      <w:r>
        <w:rPr>
          <w:rFonts w:hint="eastAsia"/>
        </w:rPr>
        <w:t>mg</w:t>
      </w:r>
      <w:r>
        <w:t>/</w:t>
      </w:r>
      <w:r>
        <w:rPr>
          <w:rFonts w:hint="eastAsia"/>
        </w:rPr>
        <w:t>L，根据上述参数计算出本项目污染物的泄漏量见下表。</w:t>
      </w:r>
    </w:p>
    <w:p w14:paraId="3DEFE0C8">
      <w:pPr>
        <w:pStyle w:val="47"/>
        <w:spacing w:before="65"/>
      </w:pPr>
      <w:r>
        <w:rPr>
          <w:rFonts w:hint="eastAsia"/>
        </w:rPr>
        <w:t>表5</w:t>
      </w:r>
      <w:r>
        <w:t>.3-4   地下水预测因子源强及环境质量标准</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autofit"/>
        <w:tblCellMar>
          <w:top w:w="0" w:type="dxa"/>
          <w:left w:w="0" w:type="dxa"/>
          <w:bottom w:w="0" w:type="dxa"/>
          <w:right w:w="0" w:type="dxa"/>
        </w:tblCellMar>
      </w:tblPr>
      <w:tblGrid>
        <w:gridCol w:w="1701"/>
        <w:gridCol w:w="993"/>
        <w:gridCol w:w="2551"/>
        <w:gridCol w:w="2191"/>
        <w:gridCol w:w="1294"/>
      </w:tblGrid>
      <w:tr w14:paraId="131F3C37">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jc w:val="center"/>
        </w:trPr>
        <w:tc>
          <w:tcPr>
            <w:tcW w:w="974" w:type="pct"/>
            <w:shd w:val="clear" w:color="auto" w:fill="auto"/>
            <w:vAlign w:val="center"/>
          </w:tcPr>
          <w:p w14:paraId="34982CB8">
            <w:pPr>
              <w:pStyle w:val="58"/>
              <w:adjustRightInd w:val="0"/>
              <w:snapToGrid w:val="0"/>
              <w:jc w:val="center"/>
              <w:rPr>
                <w:rFonts w:ascii="宋体" w:hAnsi="宋体" w:cs="宋体"/>
                <w:sz w:val="21"/>
                <w:szCs w:val="21"/>
              </w:rPr>
            </w:pPr>
            <w:r>
              <w:rPr>
                <w:rFonts w:hint="eastAsia" w:ascii="宋体" w:hAnsi="宋体" w:cs="宋体"/>
                <w:sz w:val="21"/>
                <w:szCs w:val="21"/>
                <w:lang w:eastAsia="zh-CN"/>
              </w:rPr>
              <w:t>原料</w:t>
            </w:r>
            <w:r>
              <w:rPr>
                <w:rFonts w:ascii="宋体" w:hAnsi="宋体" w:cs="宋体"/>
                <w:sz w:val="21"/>
                <w:szCs w:val="21"/>
              </w:rPr>
              <w:t>泄漏量（</w:t>
            </w:r>
            <w:r>
              <w:rPr>
                <w:rFonts w:ascii="Times New Roman" w:hAnsi="Times New Roman" w:eastAsia="Times New Roman"/>
                <w:sz w:val="21"/>
                <w:szCs w:val="21"/>
              </w:rPr>
              <w:t>m</w:t>
            </w:r>
            <w:r>
              <w:rPr>
                <w:rFonts w:ascii="Times New Roman" w:hAnsi="Times New Roman" w:eastAsia="Times New Roman"/>
                <w:sz w:val="21"/>
                <w:szCs w:val="21"/>
                <w:vertAlign w:val="superscript"/>
              </w:rPr>
              <w:t>3</w:t>
            </w:r>
            <w:r>
              <w:rPr>
                <w:rFonts w:ascii="宋体" w:hAnsi="宋体" w:cs="宋体"/>
                <w:sz w:val="21"/>
                <w:szCs w:val="21"/>
              </w:rPr>
              <w:t>）</w:t>
            </w:r>
          </w:p>
        </w:tc>
        <w:tc>
          <w:tcPr>
            <w:tcW w:w="569" w:type="pct"/>
            <w:shd w:val="clear" w:color="auto" w:fill="auto"/>
            <w:vAlign w:val="center"/>
          </w:tcPr>
          <w:p w14:paraId="0A1512BC">
            <w:pPr>
              <w:pStyle w:val="58"/>
              <w:adjustRightInd w:val="0"/>
              <w:snapToGrid w:val="0"/>
              <w:jc w:val="center"/>
              <w:rPr>
                <w:rFonts w:ascii="宋体" w:hAnsi="宋体" w:cs="宋体"/>
                <w:sz w:val="21"/>
                <w:szCs w:val="21"/>
              </w:rPr>
            </w:pPr>
            <w:r>
              <w:rPr>
                <w:rFonts w:ascii="宋体" w:hAnsi="宋体" w:cs="宋体"/>
                <w:sz w:val="21"/>
                <w:szCs w:val="21"/>
              </w:rPr>
              <w:t>污染物</w:t>
            </w:r>
          </w:p>
        </w:tc>
        <w:tc>
          <w:tcPr>
            <w:tcW w:w="1461" w:type="pct"/>
            <w:shd w:val="clear" w:color="auto" w:fill="auto"/>
            <w:vAlign w:val="center"/>
          </w:tcPr>
          <w:p w14:paraId="0C05275A">
            <w:pPr>
              <w:pStyle w:val="58"/>
              <w:adjustRightInd w:val="0"/>
              <w:snapToGrid w:val="0"/>
              <w:jc w:val="center"/>
              <w:rPr>
                <w:rFonts w:ascii="宋体" w:hAnsi="宋体" w:cs="宋体"/>
                <w:sz w:val="21"/>
                <w:szCs w:val="21"/>
                <w:lang w:eastAsia="zh-CN"/>
              </w:rPr>
            </w:pPr>
            <w:r>
              <w:rPr>
                <w:rFonts w:ascii="宋体" w:hAnsi="宋体" w:cs="宋体"/>
                <w:sz w:val="21"/>
                <w:szCs w:val="21"/>
                <w:lang w:eastAsia="zh-CN"/>
              </w:rPr>
              <w:t>污染物浓度（</w:t>
            </w:r>
            <w:r>
              <w:rPr>
                <w:rFonts w:ascii="Times New Roman" w:hAnsi="Times New Roman" w:eastAsia="Times New Roman"/>
                <w:sz w:val="21"/>
                <w:szCs w:val="21"/>
                <w:lang w:eastAsia="zh-CN"/>
              </w:rPr>
              <w:t>mg/L</w:t>
            </w:r>
            <w:r>
              <w:rPr>
                <w:rFonts w:ascii="宋体" w:hAnsi="宋体" w:cs="宋体"/>
                <w:sz w:val="21"/>
                <w:szCs w:val="21"/>
                <w:lang w:eastAsia="zh-CN"/>
              </w:rPr>
              <w:t>）</w:t>
            </w:r>
          </w:p>
        </w:tc>
        <w:tc>
          <w:tcPr>
            <w:tcW w:w="1255" w:type="pct"/>
            <w:shd w:val="clear" w:color="auto" w:fill="auto"/>
            <w:vAlign w:val="center"/>
          </w:tcPr>
          <w:p w14:paraId="23E7B097">
            <w:pPr>
              <w:pStyle w:val="58"/>
              <w:adjustRightInd w:val="0"/>
              <w:snapToGrid w:val="0"/>
              <w:jc w:val="center"/>
              <w:rPr>
                <w:rFonts w:ascii="宋体" w:hAnsi="宋体" w:cs="宋体"/>
                <w:sz w:val="21"/>
                <w:szCs w:val="21"/>
                <w:lang w:eastAsia="zh-CN"/>
              </w:rPr>
            </w:pPr>
            <w:r>
              <w:rPr>
                <w:rFonts w:ascii="宋体" w:hAnsi="宋体" w:cs="宋体"/>
                <w:sz w:val="21"/>
                <w:szCs w:val="21"/>
                <w:lang w:eastAsia="zh-CN"/>
              </w:rPr>
              <w:t>环境质量标准（</w:t>
            </w:r>
            <w:r>
              <w:rPr>
                <w:rFonts w:ascii="Times New Roman" w:hAnsi="Times New Roman" w:eastAsia="Times New Roman"/>
                <w:sz w:val="21"/>
                <w:szCs w:val="21"/>
                <w:lang w:eastAsia="zh-CN"/>
              </w:rPr>
              <w:t>mg/L</w:t>
            </w:r>
            <w:r>
              <w:rPr>
                <w:rFonts w:ascii="宋体" w:hAnsi="宋体" w:cs="宋体"/>
                <w:sz w:val="21"/>
                <w:szCs w:val="21"/>
                <w:lang w:eastAsia="zh-CN"/>
              </w:rPr>
              <w:t>）</w:t>
            </w:r>
          </w:p>
        </w:tc>
        <w:tc>
          <w:tcPr>
            <w:tcW w:w="741" w:type="pct"/>
            <w:shd w:val="clear" w:color="auto" w:fill="auto"/>
            <w:vAlign w:val="center"/>
          </w:tcPr>
          <w:p w14:paraId="6537CC50">
            <w:pPr>
              <w:pStyle w:val="58"/>
              <w:adjustRightInd w:val="0"/>
              <w:snapToGrid w:val="0"/>
              <w:jc w:val="center"/>
              <w:rPr>
                <w:rFonts w:ascii="宋体" w:hAnsi="宋体" w:cs="宋体"/>
                <w:sz w:val="21"/>
                <w:szCs w:val="21"/>
              </w:rPr>
            </w:pPr>
            <w:r>
              <w:rPr>
                <w:rFonts w:ascii="宋体" w:hAnsi="宋体" w:cs="宋体"/>
                <w:sz w:val="21"/>
                <w:szCs w:val="21"/>
              </w:rPr>
              <w:t>检出限</w:t>
            </w:r>
          </w:p>
        </w:tc>
      </w:tr>
      <w:tr w14:paraId="5C6DA91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jc w:val="center"/>
        </w:trPr>
        <w:tc>
          <w:tcPr>
            <w:tcW w:w="974" w:type="pct"/>
            <w:shd w:val="clear" w:color="auto" w:fill="auto"/>
            <w:vAlign w:val="center"/>
          </w:tcPr>
          <w:p w14:paraId="070DB2B3">
            <w:pPr>
              <w:pStyle w:val="58"/>
              <w:adjustRightInd w:val="0"/>
              <w:snapToGrid w:val="0"/>
              <w:jc w:val="center"/>
              <w:rPr>
                <w:rFonts w:ascii="Times New Roman" w:hAnsi="Times New Roman" w:eastAsia="Times New Roman"/>
                <w:sz w:val="21"/>
                <w:szCs w:val="21"/>
              </w:rPr>
            </w:pPr>
            <w:r>
              <w:rPr>
                <w:rFonts w:ascii="Times New Roman"/>
                <w:sz w:val="21"/>
                <w:szCs w:val="21"/>
              </w:rPr>
              <w:t>25.03</w:t>
            </w:r>
          </w:p>
        </w:tc>
        <w:tc>
          <w:tcPr>
            <w:tcW w:w="569" w:type="pct"/>
            <w:shd w:val="clear" w:color="auto" w:fill="auto"/>
            <w:vAlign w:val="center"/>
          </w:tcPr>
          <w:p w14:paraId="7E4E1103">
            <w:pPr>
              <w:pStyle w:val="58"/>
              <w:adjustRightInd w:val="0"/>
              <w:snapToGrid w:val="0"/>
              <w:jc w:val="center"/>
              <w:rPr>
                <w:rFonts w:ascii="宋体" w:hAnsi="宋体"/>
                <w:sz w:val="21"/>
                <w:szCs w:val="21"/>
              </w:rPr>
            </w:pPr>
            <w:r>
              <w:rPr>
                <w:rFonts w:hint="eastAsia" w:ascii="宋体" w:hAnsi="宋体"/>
                <w:sz w:val="21"/>
                <w:szCs w:val="21"/>
                <w:lang w:eastAsia="zh-CN"/>
              </w:rPr>
              <w:t>石油类</w:t>
            </w:r>
          </w:p>
        </w:tc>
        <w:tc>
          <w:tcPr>
            <w:tcW w:w="1461" w:type="pct"/>
            <w:shd w:val="clear" w:color="auto" w:fill="auto"/>
            <w:vAlign w:val="center"/>
          </w:tcPr>
          <w:p w14:paraId="1CF8BBAD">
            <w:pPr>
              <w:pStyle w:val="58"/>
              <w:adjustRightInd w:val="0"/>
              <w:snapToGrid w:val="0"/>
              <w:jc w:val="center"/>
              <w:rPr>
                <w:rFonts w:ascii="Times New Roman" w:hAnsi="Times New Roman" w:eastAsia="等线"/>
                <w:sz w:val="21"/>
                <w:szCs w:val="21"/>
                <w:lang w:eastAsia="zh-CN"/>
              </w:rPr>
            </w:pPr>
            <w:r>
              <w:rPr>
                <w:rFonts w:ascii="Times New Roman" w:hAnsi="Times New Roman" w:eastAsia="等线"/>
                <w:sz w:val="21"/>
                <w:szCs w:val="21"/>
                <w:lang w:eastAsia="zh-CN"/>
              </w:rPr>
              <w:t>50</w:t>
            </w:r>
          </w:p>
        </w:tc>
        <w:tc>
          <w:tcPr>
            <w:tcW w:w="1255" w:type="pct"/>
            <w:shd w:val="clear" w:color="auto" w:fill="auto"/>
            <w:vAlign w:val="center"/>
          </w:tcPr>
          <w:p w14:paraId="6BB42BC8">
            <w:pPr>
              <w:pStyle w:val="58"/>
              <w:adjustRightInd w:val="0"/>
              <w:snapToGrid w:val="0"/>
              <w:jc w:val="center"/>
              <w:rPr>
                <w:rFonts w:ascii="Times New Roman" w:hAnsi="Times New Roman" w:eastAsia="等线"/>
                <w:sz w:val="21"/>
                <w:szCs w:val="21"/>
                <w:lang w:eastAsia="zh-CN"/>
              </w:rPr>
            </w:pPr>
            <w:r>
              <w:rPr>
                <w:rFonts w:ascii="Times New Roman" w:hAnsi="Times New Roman" w:eastAsia="等线"/>
                <w:sz w:val="21"/>
                <w:szCs w:val="21"/>
                <w:lang w:eastAsia="zh-CN"/>
              </w:rPr>
              <w:t>0.05</w:t>
            </w:r>
          </w:p>
        </w:tc>
        <w:tc>
          <w:tcPr>
            <w:tcW w:w="741" w:type="pct"/>
            <w:shd w:val="clear" w:color="auto" w:fill="auto"/>
            <w:vAlign w:val="center"/>
          </w:tcPr>
          <w:p w14:paraId="16AAD707">
            <w:pPr>
              <w:pStyle w:val="58"/>
              <w:adjustRightInd w:val="0"/>
              <w:snapToGrid w:val="0"/>
              <w:jc w:val="center"/>
              <w:rPr>
                <w:rFonts w:ascii="Times New Roman" w:hAnsi="Times New Roman" w:eastAsia="等线"/>
                <w:sz w:val="21"/>
                <w:szCs w:val="21"/>
                <w:lang w:eastAsia="zh-CN"/>
              </w:rPr>
            </w:pPr>
            <w:r>
              <w:rPr>
                <w:rFonts w:ascii="Times New Roman" w:hAnsi="Times New Roman" w:eastAsia="等线"/>
                <w:sz w:val="21"/>
                <w:szCs w:val="21"/>
                <w:lang w:eastAsia="zh-CN"/>
              </w:rPr>
              <w:t>0.01</w:t>
            </w:r>
            <w:r>
              <w:rPr>
                <w:rFonts w:hint="eastAsia" w:ascii="Times New Roman" w:hAnsi="Times New Roman" w:eastAsia="等线"/>
                <w:sz w:val="21"/>
                <w:szCs w:val="21"/>
                <w:lang w:eastAsia="zh-CN"/>
              </w:rPr>
              <w:t>mg</w:t>
            </w:r>
            <w:r>
              <w:rPr>
                <w:rFonts w:ascii="Times New Roman" w:hAnsi="Times New Roman" w:eastAsia="等线"/>
                <w:sz w:val="21"/>
                <w:szCs w:val="21"/>
                <w:lang w:eastAsia="zh-CN"/>
              </w:rPr>
              <w:t>/</w:t>
            </w:r>
            <w:r>
              <w:rPr>
                <w:rFonts w:hint="eastAsia" w:ascii="Times New Roman" w:hAnsi="Times New Roman" w:eastAsia="等线"/>
                <w:sz w:val="21"/>
                <w:szCs w:val="21"/>
                <w:lang w:eastAsia="zh-CN"/>
              </w:rPr>
              <w:t>L</w:t>
            </w:r>
          </w:p>
        </w:tc>
      </w:tr>
    </w:tbl>
    <w:p w14:paraId="64ECAFE6">
      <w:pPr>
        <w:pStyle w:val="45"/>
        <w:spacing w:before="65" w:after="65"/>
      </w:pPr>
      <w:r>
        <w:rPr>
          <w:rFonts w:hint="eastAsia"/>
        </w:rPr>
        <w:t>预测方法</w:t>
      </w:r>
    </w:p>
    <w:p w14:paraId="5A77164C">
      <w:pPr>
        <w:ind w:firstLine="460"/>
      </w:pPr>
      <w:r>
        <w:rPr>
          <w:spacing w:val="-5"/>
        </w:rPr>
        <w:t>预测方法采用《环境影响评价技术导则</w:t>
      </w:r>
      <w:r>
        <w:rPr>
          <w:rFonts w:eastAsia="Times New Roman"/>
          <w:spacing w:val="-5"/>
        </w:rPr>
        <w:t xml:space="preserve"> </w:t>
      </w:r>
      <w:r>
        <w:rPr>
          <w:spacing w:val="-5"/>
        </w:rPr>
        <w:t>地下水环境》</w:t>
      </w:r>
      <w:r>
        <w:rPr>
          <w:rFonts w:hint="eastAsia"/>
          <w:spacing w:val="-5"/>
        </w:rPr>
        <w:t>（</w:t>
      </w:r>
      <w:r>
        <w:rPr>
          <w:rFonts w:eastAsia="Times New Roman"/>
          <w:spacing w:val="-5"/>
        </w:rPr>
        <w:t>HJ</w:t>
      </w:r>
      <w:r>
        <w:rPr>
          <w:rFonts w:eastAsia="Times New Roman"/>
        </w:rPr>
        <w:t>610-2016</w:t>
      </w:r>
      <w:r>
        <w:rPr>
          <w:rFonts w:hint="eastAsia"/>
          <w:spacing w:val="-5"/>
        </w:rPr>
        <w:t>）</w:t>
      </w:r>
      <w:r>
        <w:t>推荐的地</w:t>
      </w:r>
      <w:r>
        <w:rPr>
          <w:spacing w:val="3"/>
        </w:rPr>
        <w:t>下水溶质运移解析法</w:t>
      </w:r>
      <w:r>
        <w:rPr>
          <w:rFonts w:hint="eastAsia"/>
          <w:spacing w:val="3"/>
        </w:rPr>
        <w:t>，</w:t>
      </w:r>
      <w:r>
        <w:rPr>
          <w:spacing w:val="3"/>
        </w:rPr>
        <w:t>即</w:t>
      </w:r>
      <w:r>
        <w:rPr>
          <w:rFonts w:hint="eastAsia"/>
          <w:spacing w:val="3"/>
        </w:rPr>
        <w:t>D</w:t>
      </w:r>
      <w:r>
        <w:rPr>
          <w:spacing w:val="3"/>
        </w:rPr>
        <w:t>.1.2.1.2 一维半无限长多孔</w:t>
      </w:r>
      <w:r>
        <w:rPr>
          <w:spacing w:val="-99"/>
        </w:rPr>
        <w:t xml:space="preserve"> </w:t>
      </w:r>
      <w:r>
        <w:t>介质柱体，一端为定浓度边界。公式如下：</w:t>
      </w:r>
    </w:p>
    <w:p w14:paraId="45709AB3">
      <w:pPr>
        <w:adjustRightInd w:val="0"/>
        <w:snapToGrid w:val="0"/>
        <w:spacing w:line="240" w:lineRule="auto"/>
        <w:ind w:firstLine="0" w:firstLineChars="0"/>
        <w:jc w:val="center"/>
      </w:pPr>
      <w:r>
        <w:rPr>
          <w:position w:val="-36"/>
        </w:rPr>
        <w:object>
          <v:shape id="_x0000_i1029" o:spt="75" type="#_x0000_t75" style="height:42pt;width:210.75pt;" o:ole="t" filled="f" o:preferrelative="t" stroked="f" coordsize="21600,21600">
            <v:path/>
            <v:fill on="f" focussize="0,0"/>
            <v:stroke on="f" joinstyle="miter"/>
            <v:imagedata r:id="rId83" o:title=""/>
            <o:lock v:ext="edit" aspectratio="t"/>
            <w10:wrap type="none"/>
            <w10:anchorlock/>
          </v:shape>
          <o:OLEObject Type="Embed" ProgID="Equation.3" ShapeID="_x0000_i1029" DrawAspect="Content" ObjectID="_1468075729" r:id="rId82">
            <o:LockedField>false</o:LockedField>
          </o:OLEObject>
        </w:object>
      </w:r>
    </w:p>
    <w:p w14:paraId="7B6B8202">
      <w:pPr>
        <w:ind w:firstLine="480"/>
      </w:pPr>
      <w:r>
        <w:rPr>
          <w:rFonts w:hint="eastAsia"/>
        </w:rPr>
        <w:t>式中：</w:t>
      </w:r>
    </w:p>
    <w:p w14:paraId="35756EC6">
      <w:pPr>
        <w:ind w:firstLine="480"/>
      </w:pPr>
      <w:r>
        <w:t>x—预测点至污染源强距离（m）；</w:t>
      </w:r>
    </w:p>
    <w:p w14:paraId="2A9F67A4">
      <w:pPr>
        <w:ind w:firstLine="480"/>
      </w:pPr>
      <w:r>
        <w:rPr>
          <w:rFonts w:hint="eastAsia"/>
        </w:rPr>
        <w:t>t</w:t>
      </w:r>
      <w:r>
        <w:t>—</w:t>
      </w:r>
      <w:r>
        <w:rPr>
          <w:rFonts w:hint="eastAsia"/>
        </w:rPr>
        <w:t>时间，d；</w:t>
      </w:r>
    </w:p>
    <w:p w14:paraId="677F9797">
      <w:pPr>
        <w:ind w:firstLine="480"/>
      </w:pPr>
      <w:r>
        <w:t>C</w:t>
      </w:r>
      <w:r>
        <w:rPr>
          <w:rFonts w:hint="eastAsia"/>
        </w:rPr>
        <w:t>（x，t）</w:t>
      </w:r>
      <w:r>
        <w:t>—t时刻x处的地下水浓度（mg/L）；</w:t>
      </w:r>
    </w:p>
    <w:p w14:paraId="2AA067A5">
      <w:pPr>
        <w:ind w:firstLine="480"/>
      </w:pPr>
      <w:r>
        <w:t>C</w:t>
      </w:r>
      <w:r>
        <w:rPr>
          <w:vertAlign w:val="subscript"/>
        </w:rPr>
        <w:t>0</w:t>
      </w:r>
      <w:r>
        <w:t>—废水浓度（mg/L）；</w:t>
      </w:r>
    </w:p>
    <w:p w14:paraId="2C4523CE">
      <w:pPr>
        <w:ind w:firstLine="480"/>
      </w:pPr>
      <w:r>
        <w:t>D</w:t>
      </w:r>
      <w:r>
        <w:rPr>
          <w:vertAlign w:val="subscript"/>
        </w:rPr>
        <w:t>L</w:t>
      </w:r>
      <w:r>
        <w:t>—纵向弥散系数（m</w:t>
      </w:r>
      <w:r>
        <w:rPr>
          <w:vertAlign w:val="superscript"/>
        </w:rPr>
        <w:t>2</w:t>
      </w:r>
      <w:r>
        <w:t>/d）；</w:t>
      </w:r>
    </w:p>
    <w:p w14:paraId="382741E9">
      <w:pPr>
        <w:ind w:firstLine="480"/>
      </w:pPr>
      <w:r>
        <w:t>u—地下水流速（m/d）；</w:t>
      </w:r>
    </w:p>
    <w:p w14:paraId="5616BA8C">
      <w:pPr>
        <w:ind w:firstLine="480"/>
      </w:pPr>
      <w:r>
        <w:t>erfc（）—余误差函数。</w:t>
      </w:r>
    </w:p>
    <w:p w14:paraId="67CEA5A4">
      <w:pPr>
        <w:ind w:firstLine="480"/>
      </w:pPr>
      <w:r>
        <w:t>结合区域水文地质勘察成果可知，项目区渗透系数K为1.07m/d，水力坡度I为1.6‰，有效孔隙度n为0.1，根据达西定律计算得地下水水流速度为u=K×I/n=0.017m/d。</w:t>
      </w:r>
    </w:p>
    <w:p w14:paraId="3D138957">
      <w:pPr>
        <w:ind w:firstLine="480"/>
      </w:pPr>
      <w:r>
        <w:t>纵向弥散系数D</w:t>
      </w:r>
      <w:r>
        <w:rPr>
          <w:vertAlign w:val="subscript"/>
        </w:rPr>
        <w:t>L</w:t>
      </w:r>
      <w: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i/>
        </w:rPr>
        <w:t>α</w:t>
      </w:r>
      <w:r>
        <w:rPr>
          <w:vertAlign w:val="subscript"/>
        </w:rPr>
        <w:t>L</w:t>
      </w:r>
      <w:r>
        <w:t>绘在双对数坐标纸上，从图上可以看出纵向弥散度</w:t>
      </w:r>
      <w:r>
        <w:rPr>
          <w:i/>
        </w:rPr>
        <w:t>α</w:t>
      </w:r>
      <w:r>
        <w:rPr>
          <w:vertAlign w:val="subscript"/>
        </w:rPr>
        <w:t>L</w:t>
      </w:r>
      <w:r>
        <w:t>从整体上随着尺度的增加而增大（</w:t>
      </w:r>
      <w:r>
        <w:rPr>
          <w:rFonts w:hint="eastAsia"/>
        </w:rPr>
        <w:t>图5</w:t>
      </w:r>
      <w:r>
        <w:t>.3-16）。基准尺度Ls是指研究区大小的度量，一般用溶质运移到观测孔的最大距离表示，或用计算区的近似最大内径长度代替。</w:t>
      </w:r>
    </w:p>
    <w:p w14:paraId="7AD07203">
      <w:pPr>
        <w:ind w:firstLine="480"/>
      </w:pPr>
      <w:r>
        <w:t>故本次参考以往研究成果，本次计算取弥散度参数值取为10m，由此计算评价区含水层中的纵向弥散系数。纵向弥散系数</w:t>
      </w:r>
      <w:r>
        <w:rPr>
          <w:rFonts w:hint="eastAsia"/>
        </w:rPr>
        <w:t>（</w:t>
      </w:r>
      <w:r>
        <w:t>D</w:t>
      </w:r>
      <w:r>
        <w:rPr>
          <w:vertAlign w:val="subscript"/>
        </w:rPr>
        <w:t>L</w:t>
      </w:r>
      <w:r>
        <w:rPr>
          <w:rFonts w:hint="eastAsia"/>
        </w:rPr>
        <w:t>）</w:t>
      </w:r>
      <w:r>
        <w:t>等于弥散度与地下水水流速度的乘积，D</w:t>
      </w:r>
      <w:r>
        <w:rPr>
          <w:vertAlign w:val="subscript"/>
        </w:rPr>
        <w:t>L</w:t>
      </w:r>
      <w:r>
        <w:t>=10×0.017=0.17m</w:t>
      </w:r>
      <w:r>
        <w:rPr>
          <w:vertAlign w:val="superscript"/>
        </w:rPr>
        <w:t>2</w:t>
      </w:r>
      <w:r>
        <w:t>/d。</w:t>
      </w:r>
    </w:p>
    <w:p w14:paraId="26D1F586">
      <w:pPr>
        <w:adjustRightInd w:val="0"/>
        <w:snapToGrid w:val="0"/>
        <w:spacing w:line="240" w:lineRule="auto"/>
        <w:ind w:firstLine="0" w:firstLineChars="0"/>
        <w:jc w:val="center"/>
      </w:pPr>
    </w:p>
    <w:p w14:paraId="0C8AF7F8">
      <w:pPr>
        <w:pStyle w:val="45"/>
        <w:spacing w:before="65" w:after="65"/>
      </w:pPr>
      <w:r>
        <w:rPr>
          <w:rFonts w:hint="eastAsia"/>
        </w:rPr>
        <w:t>预测结果</w:t>
      </w:r>
    </w:p>
    <w:p w14:paraId="041AF56A">
      <w:pPr>
        <w:ind w:firstLine="480"/>
      </w:pPr>
      <w:r>
        <w:rPr>
          <w:rFonts w:hint="eastAsia"/>
        </w:rPr>
        <w:t>在本次环评设置的非正常工况情形下，将确定的参数带入模型，分别预测出设定情形下污染物在含水层中迁移</w:t>
      </w:r>
      <w:r>
        <w:t>50</w:t>
      </w:r>
      <w:r>
        <w:rPr>
          <w:rFonts w:hint="eastAsia"/>
        </w:rPr>
        <w:t>d、1</w:t>
      </w:r>
      <w:r>
        <w:t>00</w:t>
      </w:r>
      <w:r>
        <w:rPr>
          <w:rFonts w:hint="eastAsia"/>
        </w:rPr>
        <w:t>d、2</w:t>
      </w:r>
      <w:r>
        <w:t>00</w:t>
      </w:r>
      <w:r>
        <w:rPr>
          <w:rFonts w:hint="eastAsia"/>
        </w:rPr>
        <w:t>d、5</w:t>
      </w:r>
      <w:r>
        <w:t>00</w:t>
      </w:r>
      <w:r>
        <w:rPr>
          <w:rFonts w:hint="eastAsia"/>
        </w:rPr>
        <w:t>d、1</w:t>
      </w:r>
      <w:r>
        <w:t>000</w:t>
      </w:r>
      <w:r>
        <w:rPr>
          <w:rFonts w:hint="eastAsia"/>
        </w:rPr>
        <w:t>d的迁移情况，预测结果见下表。</w:t>
      </w:r>
    </w:p>
    <w:p w14:paraId="3B1A64AD">
      <w:pPr>
        <w:pStyle w:val="47"/>
        <w:spacing w:before="65"/>
      </w:pPr>
      <w:r>
        <w:rPr>
          <w:rFonts w:hint="eastAsia"/>
        </w:rPr>
        <w:t>表5</w:t>
      </w:r>
      <w:r>
        <w:t>.3-5   泄漏的</w:t>
      </w:r>
      <w:r>
        <w:rPr>
          <w:rFonts w:hint="eastAsia"/>
        </w:rPr>
        <w:t>石油类</w:t>
      </w:r>
      <w:r>
        <w:t>对地下水下游影响距离的预测结果</w:t>
      </w:r>
      <w:r>
        <w:rPr>
          <w:rFonts w:hint="eastAsia"/>
        </w:rPr>
        <w:t>表（mg</w:t>
      </w:r>
      <w:r>
        <w:t>/</w:t>
      </w:r>
      <w:r>
        <w:rPr>
          <w:rFonts w:hint="eastAsia"/>
        </w:rPr>
        <w:t>L）</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1993"/>
        <w:gridCol w:w="1993"/>
        <w:gridCol w:w="1994"/>
      </w:tblGrid>
      <w:tr w14:paraId="7467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12" w:space="0"/>
              <w:left w:val="nil"/>
              <w:bottom w:val="single" w:color="auto" w:sz="8" w:space="0"/>
              <w:right w:val="single" w:color="auto" w:sz="8" w:space="0"/>
              <w:tl2br w:val="single" w:color="auto" w:sz="4" w:space="0"/>
            </w:tcBorders>
            <w:tcMar>
              <w:left w:w="0" w:type="dxa"/>
              <w:right w:w="0" w:type="dxa"/>
            </w:tcMar>
            <w:vAlign w:val="center"/>
          </w:tcPr>
          <w:p w14:paraId="150F5770">
            <w:pPr>
              <w:adjustRightInd w:val="0"/>
              <w:snapToGrid w:val="0"/>
              <w:spacing w:line="240" w:lineRule="auto"/>
              <w:ind w:firstLine="0" w:firstLineChars="0"/>
              <w:jc w:val="right"/>
              <w:rPr>
                <w:sz w:val="21"/>
                <w:szCs w:val="20"/>
              </w:rPr>
            </w:pPr>
            <w:r>
              <w:rPr>
                <w:sz w:val="21"/>
                <w:szCs w:val="20"/>
              </w:rPr>
              <w:t>时间</w:t>
            </w:r>
          </w:p>
          <w:p w14:paraId="769A738A">
            <w:pPr>
              <w:adjustRightInd w:val="0"/>
              <w:snapToGrid w:val="0"/>
              <w:spacing w:line="240" w:lineRule="auto"/>
              <w:ind w:firstLine="0" w:firstLineChars="0"/>
              <w:jc w:val="left"/>
              <w:rPr>
                <w:sz w:val="21"/>
                <w:szCs w:val="20"/>
              </w:rPr>
            </w:pPr>
            <w:r>
              <w:rPr>
                <w:sz w:val="21"/>
                <w:szCs w:val="20"/>
              </w:rPr>
              <w:t>距离</w:t>
            </w:r>
          </w:p>
        </w:tc>
        <w:tc>
          <w:tcPr>
            <w:tcW w:w="1142" w:type="pct"/>
            <w:tcBorders>
              <w:top w:val="single" w:color="auto" w:sz="12" w:space="0"/>
              <w:left w:val="single" w:color="auto" w:sz="8" w:space="0"/>
              <w:bottom w:val="single" w:color="auto" w:sz="8" w:space="0"/>
              <w:right w:val="single" w:color="auto" w:sz="8" w:space="0"/>
            </w:tcBorders>
            <w:tcMar>
              <w:left w:w="0" w:type="dxa"/>
              <w:right w:w="0" w:type="dxa"/>
            </w:tcMar>
            <w:vAlign w:val="center"/>
          </w:tcPr>
          <w:p w14:paraId="16A91571">
            <w:pPr>
              <w:adjustRightInd w:val="0"/>
              <w:snapToGrid w:val="0"/>
              <w:spacing w:line="240" w:lineRule="auto"/>
              <w:ind w:firstLine="0" w:firstLineChars="0"/>
              <w:jc w:val="center"/>
              <w:rPr>
                <w:sz w:val="21"/>
                <w:szCs w:val="20"/>
              </w:rPr>
            </w:pPr>
            <w:r>
              <w:rPr>
                <w:sz w:val="21"/>
                <w:szCs w:val="20"/>
              </w:rPr>
              <w:t>100</w:t>
            </w:r>
            <w:r>
              <w:rPr>
                <w:rFonts w:hint="eastAsia"/>
                <w:sz w:val="21"/>
                <w:szCs w:val="20"/>
              </w:rPr>
              <w:t>d</w:t>
            </w:r>
          </w:p>
        </w:tc>
        <w:tc>
          <w:tcPr>
            <w:tcW w:w="1142" w:type="pct"/>
            <w:tcBorders>
              <w:top w:val="single" w:color="auto" w:sz="12" w:space="0"/>
              <w:left w:val="single" w:color="auto" w:sz="8" w:space="0"/>
              <w:bottom w:val="single" w:color="auto" w:sz="8" w:space="0"/>
              <w:right w:val="single" w:color="auto" w:sz="8" w:space="0"/>
            </w:tcBorders>
            <w:tcMar>
              <w:left w:w="0" w:type="dxa"/>
              <w:right w:w="0" w:type="dxa"/>
            </w:tcMar>
            <w:vAlign w:val="center"/>
          </w:tcPr>
          <w:p w14:paraId="60EB8773">
            <w:pPr>
              <w:adjustRightInd w:val="0"/>
              <w:snapToGrid w:val="0"/>
              <w:spacing w:line="240" w:lineRule="auto"/>
              <w:ind w:firstLine="0" w:firstLineChars="0"/>
              <w:jc w:val="center"/>
              <w:rPr>
                <w:sz w:val="21"/>
                <w:szCs w:val="20"/>
              </w:rPr>
            </w:pPr>
            <w:r>
              <w:rPr>
                <w:rFonts w:hint="eastAsia"/>
                <w:sz w:val="21"/>
                <w:szCs w:val="20"/>
              </w:rPr>
              <w:t>10</w:t>
            </w:r>
            <w:r>
              <w:rPr>
                <w:sz w:val="21"/>
                <w:szCs w:val="20"/>
              </w:rPr>
              <w:t>00d</w:t>
            </w:r>
          </w:p>
        </w:tc>
        <w:tc>
          <w:tcPr>
            <w:tcW w:w="1142" w:type="pct"/>
            <w:tcBorders>
              <w:top w:val="single" w:color="auto" w:sz="12" w:space="0"/>
              <w:left w:val="single" w:color="auto" w:sz="8" w:space="0"/>
              <w:bottom w:val="single" w:color="auto" w:sz="8" w:space="0"/>
              <w:right w:val="nil"/>
            </w:tcBorders>
            <w:tcMar>
              <w:left w:w="0" w:type="dxa"/>
              <w:right w:w="0" w:type="dxa"/>
            </w:tcMar>
            <w:vAlign w:val="center"/>
          </w:tcPr>
          <w:p w14:paraId="76620AD5">
            <w:pPr>
              <w:adjustRightInd w:val="0"/>
              <w:snapToGrid w:val="0"/>
              <w:spacing w:line="240" w:lineRule="auto"/>
              <w:ind w:firstLine="0" w:firstLineChars="0"/>
              <w:jc w:val="center"/>
              <w:rPr>
                <w:sz w:val="21"/>
                <w:szCs w:val="20"/>
              </w:rPr>
            </w:pPr>
            <w:r>
              <w:rPr>
                <w:rFonts w:hint="eastAsia"/>
                <w:sz w:val="21"/>
                <w:szCs w:val="20"/>
              </w:rPr>
              <w:t>3650</w:t>
            </w:r>
            <w:r>
              <w:rPr>
                <w:sz w:val="21"/>
                <w:szCs w:val="20"/>
              </w:rPr>
              <w:t>d</w:t>
            </w:r>
          </w:p>
        </w:tc>
      </w:tr>
      <w:tr w14:paraId="77EC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760F8FD9">
            <w:pPr>
              <w:adjustRightInd w:val="0"/>
              <w:snapToGrid w:val="0"/>
              <w:spacing w:line="240" w:lineRule="auto"/>
              <w:ind w:firstLine="0" w:firstLineChars="0"/>
              <w:jc w:val="center"/>
              <w:rPr>
                <w:bCs/>
                <w:sz w:val="21"/>
                <w:szCs w:val="20"/>
              </w:rPr>
            </w:pPr>
            <w:r>
              <w:rPr>
                <w:bCs/>
                <w:sz w:val="21"/>
                <w:szCs w:val="20"/>
              </w:rPr>
              <w:t>10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121FC518">
            <w:pPr>
              <w:pStyle w:val="90"/>
            </w:pPr>
            <w:r>
              <w:rPr>
                <w:rFonts w:hint="eastAsia"/>
              </w:rPr>
              <w:t>36.35915</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1A862B25">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405C9430">
            <w:pPr>
              <w:pStyle w:val="90"/>
            </w:pPr>
            <w:r>
              <w:rPr>
                <w:rFonts w:hint="eastAsia"/>
              </w:rPr>
              <w:t>0</w:t>
            </w:r>
          </w:p>
        </w:tc>
      </w:tr>
      <w:tr w14:paraId="31E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79AB903C">
            <w:pPr>
              <w:adjustRightInd w:val="0"/>
              <w:snapToGrid w:val="0"/>
              <w:spacing w:line="240" w:lineRule="auto"/>
              <w:ind w:firstLine="0" w:firstLineChars="0"/>
              <w:jc w:val="center"/>
              <w:rPr>
                <w:bCs/>
                <w:sz w:val="21"/>
                <w:szCs w:val="20"/>
              </w:rPr>
            </w:pPr>
            <w:r>
              <w:rPr>
                <w:bCs/>
                <w:sz w:val="21"/>
                <w:szCs w:val="20"/>
              </w:rPr>
              <w:t>20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6328260">
            <w:pPr>
              <w:pStyle w:val="90"/>
            </w:pPr>
            <w:r>
              <w:rPr>
                <w:rFonts w:hint="eastAsia"/>
              </w:rPr>
              <w:t>95.2553</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9B96814">
            <w:pPr>
              <w:pStyle w:val="90"/>
            </w:pPr>
            <w:r>
              <w:rPr>
                <w:rFonts w:hint="eastAsia"/>
              </w:rPr>
              <w:t>0.000194</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47C60483">
            <w:pPr>
              <w:pStyle w:val="90"/>
            </w:pPr>
            <w:r>
              <w:rPr>
                <w:rFonts w:hint="eastAsia"/>
              </w:rPr>
              <w:t>0</w:t>
            </w:r>
          </w:p>
        </w:tc>
      </w:tr>
      <w:tr w14:paraId="030C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3EB08DE4">
            <w:pPr>
              <w:adjustRightInd w:val="0"/>
              <w:snapToGrid w:val="0"/>
              <w:spacing w:line="240" w:lineRule="auto"/>
              <w:ind w:firstLine="0" w:firstLineChars="0"/>
              <w:jc w:val="center"/>
              <w:rPr>
                <w:bCs/>
                <w:sz w:val="21"/>
                <w:szCs w:val="20"/>
              </w:rPr>
            </w:pPr>
            <w:r>
              <w:rPr>
                <w:bCs/>
                <w:sz w:val="21"/>
                <w:szCs w:val="20"/>
              </w:rPr>
              <w:t>30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765F839">
            <w:pPr>
              <w:pStyle w:val="90"/>
            </w:pPr>
            <w:r>
              <w:rPr>
                <w:rFonts w:hint="eastAsia"/>
              </w:rPr>
              <w:t>165.6438</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DEC5671">
            <w:pPr>
              <w:pStyle w:val="90"/>
            </w:pPr>
            <w:r>
              <w:rPr>
                <w:rFonts w:hint="eastAsia"/>
              </w:rPr>
              <w:t>0.000769</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71A4FC24">
            <w:pPr>
              <w:pStyle w:val="90"/>
            </w:pPr>
            <w:r>
              <w:rPr>
                <w:rFonts w:hint="eastAsia"/>
              </w:rPr>
              <w:t>0</w:t>
            </w:r>
          </w:p>
        </w:tc>
      </w:tr>
      <w:tr w14:paraId="042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EC8400D">
            <w:pPr>
              <w:adjustRightInd w:val="0"/>
              <w:snapToGrid w:val="0"/>
              <w:spacing w:line="240" w:lineRule="auto"/>
              <w:ind w:firstLine="0" w:firstLineChars="0"/>
              <w:jc w:val="center"/>
              <w:rPr>
                <w:bCs/>
                <w:sz w:val="21"/>
                <w:szCs w:val="20"/>
              </w:rPr>
            </w:pPr>
            <w:r>
              <w:rPr>
                <w:bCs/>
                <w:sz w:val="21"/>
                <w:szCs w:val="20"/>
              </w:rPr>
              <w:t>40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5942A12">
            <w:pPr>
              <w:pStyle w:val="90"/>
            </w:pPr>
            <w:r>
              <w:rPr>
                <w:rFonts w:hint="eastAsia"/>
              </w:rPr>
              <w:t>191.1928</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946B5EB">
            <w:pPr>
              <w:pStyle w:val="90"/>
            </w:pPr>
            <w:r>
              <w:rPr>
                <w:rFonts w:hint="eastAsia"/>
              </w:rPr>
              <w:t>0.002788</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5A7ED206">
            <w:pPr>
              <w:pStyle w:val="90"/>
            </w:pPr>
            <w:r>
              <w:rPr>
                <w:rFonts w:hint="eastAsia"/>
              </w:rPr>
              <w:t>0</w:t>
            </w:r>
          </w:p>
        </w:tc>
      </w:tr>
      <w:tr w14:paraId="0649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3ABD9069">
            <w:pPr>
              <w:adjustRightInd w:val="0"/>
              <w:snapToGrid w:val="0"/>
              <w:spacing w:line="240" w:lineRule="auto"/>
              <w:ind w:firstLine="0" w:firstLineChars="0"/>
              <w:jc w:val="center"/>
              <w:rPr>
                <w:bCs/>
                <w:sz w:val="21"/>
                <w:szCs w:val="20"/>
              </w:rPr>
            </w:pPr>
            <w:r>
              <w:rPr>
                <w:bCs/>
                <w:sz w:val="21"/>
                <w:szCs w:val="20"/>
              </w:rPr>
              <w:t>50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F83B821">
            <w:pPr>
              <w:pStyle w:val="90"/>
            </w:pPr>
            <w:r>
              <w:rPr>
                <w:rFonts w:hint="eastAsia"/>
              </w:rPr>
              <w:t>146.48</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A724646">
            <w:pPr>
              <w:pStyle w:val="90"/>
            </w:pPr>
            <w:r>
              <w:rPr>
                <w:rFonts w:hint="eastAsia"/>
              </w:rPr>
              <w:t>0.00935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5574FC4C">
            <w:pPr>
              <w:pStyle w:val="90"/>
            </w:pPr>
            <w:r>
              <w:rPr>
                <w:rFonts w:hint="eastAsia"/>
              </w:rPr>
              <w:t>0</w:t>
            </w:r>
          </w:p>
        </w:tc>
      </w:tr>
      <w:tr w14:paraId="0277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3B255CEA">
            <w:pPr>
              <w:adjustRightInd w:val="0"/>
              <w:snapToGrid w:val="0"/>
              <w:spacing w:line="240" w:lineRule="auto"/>
              <w:ind w:firstLine="0" w:firstLineChars="0"/>
              <w:jc w:val="center"/>
              <w:rPr>
                <w:bCs/>
                <w:sz w:val="21"/>
                <w:szCs w:val="20"/>
              </w:rPr>
            </w:pPr>
            <w:r>
              <w:rPr>
                <w:bCs/>
                <w:sz w:val="21"/>
                <w:szCs w:val="20"/>
              </w:rPr>
              <w:t>60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7FB20B4">
            <w:pPr>
              <w:pStyle w:val="90"/>
            </w:pPr>
            <w:r>
              <w:rPr>
                <w:rFonts w:hint="eastAsia"/>
              </w:rPr>
              <w:t>74.48955</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2980A3B">
            <w:pPr>
              <w:pStyle w:val="90"/>
            </w:pPr>
            <w:r>
              <w:rPr>
                <w:rFonts w:hint="eastAsia"/>
              </w:rPr>
              <w:t>0.0288</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1FCE1196">
            <w:pPr>
              <w:pStyle w:val="90"/>
            </w:pPr>
            <w:r>
              <w:rPr>
                <w:rFonts w:hint="eastAsia"/>
              </w:rPr>
              <w:t>0</w:t>
            </w:r>
          </w:p>
        </w:tc>
      </w:tr>
      <w:tr w14:paraId="6FD9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0E59AC3B">
            <w:pPr>
              <w:adjustRightInd w:val="0"/>
              <w:snapToGrid w:val="0"/>
              <w:spacing w:line="240" w:lineRule="auto"/>
              <w:ind w:firstLine="0" w:firstLineChars="0"/>
              <w:jc w:val="center"/>
              <w:rPr>
                <w:bCs/>
                <w:sz w:val="21"/>
                <w:szCs w:val="20"/>
              </w:rPr>
            </w:pPr>
            <w:r>
              <w:rPr>
                <w:bCs/>
                <w:sz w:val="21"/>
                <w:szCs w:val="20"/>
              </w:rPr>
              <w:t>70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F65FB96">
            <w:pPr>
              <w:pStyle w:val="90"/>
            </w:pPr>
            <w:r>
              <w:rPr>
                <w:rFonts w:hint="eastAsia"/>
              </w:rPr>
              <w:t>25.14335</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7D944BA7">
            <w:pPr>
              <w:pStyle w:val="90"/>
            </w:pPr>
            <w:r>
              <w:rPr>
                <w:rFonts w:hint="eastAsia"/>
              </w:rPr>
              <w:t>0.08195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2B423F1A">
            <w:pPr>
              <w:pStyle w:val="90"/>
            </w:pPr>
            <w:r>
              <w:rPr>
                <w:rFonts w:hint="eastAsia"/>
              </w:rPr>
              <w:t>0</w:t>
            </w:r>
          </w:p>
        </w:tc>
      </w:tr>
      <w:tr w14:paraId="7126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998E7B0">
            <w:pPr>
              <w:adjustRightInd w:val="0"/>
              <w:snapToGrid w:val="0"/>
              <w:spacing w:line="240" w:lineRule="auto"/>
              <w:ind w:firstLine="0" w:firstLineChars="0"/>
              <w:jc w:val="center"/>
              <w:rPr>
                <w:bCs/>
                <w:sz w:val="21"/>
                <w:szCs w:val="20"/>
              </w:rPr>
            </w:pPr>
            <w:r>
              <w:rPr>
                <w:bCs/>
                <w:sz w:val="21"/>
                <w:szCs w:val="20"/>
              </w:rPr>
              <w:t>80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7FF98F3">
            <w:pPr>
              <w:pStyle w:val="90"/>
            </w:pPr>
            <w:r>
              <w:rPr>
                <w:rFonts w:hint="eastAsia"/>
              </w:rPr>
              <w:t>5.6333</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0FAE5DD">
            <w:pPr>
              <w:pStyle w:val="90"/>
            </w:pPr>
            <w:r>
              <w:rPr>
                <w:rFonts w:hint="eastAsia"/>
              </w:rPr>
              <w:t>0.2147</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29FD55C5">
            <w:pPr>
              <w:pStyle w:val="90"/>
            </w:pPr>
            <w:r>
              <w:rPr>
                <w:rFonts w:hint="eastAsia"/>
              </w:rPr>
              <w:t>0</w:t>
            </w:r>
          </w:p>
        </w:tc>
      </w:tr>
      <w:tr w14:paraId="7D4E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B5D569D">
            <w:pPr>
              <w:adjustRightInd w:val="0"/>
              <w:snapToGrid w:val="0"/>
              <w:spacing w:line="240" w:lineRule="auto"/>
              <w:ind w:firstLine="0" w:firstLineChars="0"/>
              <w:jc w:val="center"/>
              <w:rPr>
                <w:bCs/>
                <w:sz w:val="21"/>
                <w:szCs w:val="20"/>
              </w:rPr>
            </w:pPr>
            <w:r>
              <w:rPr>
                <w:bCs/>
                <w:sz w:val="21"/>
                <w:szCs w:val="20"/>
              </w:rPr>
              <w:t>90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1D403E9">
            <w:pPr>
              <w:pStyle w:val="90"/>
            </w:pPr>
            <w:r>
              <w:rPr>
                <w:rFonts w:hint="eastAsia"/>
              </w:rPr>
              <w:t>0.83775</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0102A17">
            <w:pPr>
              <w:pStyle w:val="90"/>
            </w:pPr>
            <w:r>
              <w:rPr>
                <w:rFonts w:hint="eastAsia"/>
              </w:rPr>
              <w:t>0.5182</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1A8DA5D9">
            <w:pPr>
              <w:pStyle w:val="90"/>
            </w:pPr>
            <w:r>
              <w:rPr>
                <w:rFonts w:hint="eastAsia"/>
              </w:rPr>
              <w:t>0</w:t>
            </w:r>
          </w:p>
        </w:tc>
      </w:tr>
      <w:tr w14:paraId="7C0C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0B8B393">
            <w:pPr>
              <w:adjustRightInd w:val="0"/>
              <w:snapToGrid w:val="0"/>
              <w:spacing w:line="240" w:lineRule="auto"/>
              <w:ind w:firstLine="0" w:firstLineChars="0"/>
              <w:jc w:val="center"/>
              <w:rPr>
                <w:bCs/>
                <w:sz w:val="21"/>
                <w:szCs w:val="20"/>
              </w:rPr>
            </w:pPr>
            <w:r>
              <w:rPr>
                <w:bCs/>
                <w:sz w:val="21"/>
                <w:szCs w:val="20"/>
              </w:rPr>
              <w:t>100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C5A4A4E">
            <w:pPr>
              <w:pStyle w:val="90"/>
            </w:pPr>
            <w:r>
              <w:rPr>
                <w:rFonts w:hint="eastAsia"/>
              </w:rPr>
              <w:t>0.0827</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AEEB553">
            <w:pPr>
              <w:pStyle w:val="90"/>
            </w:pPr>
            <w:r>
              <w:rPr>
                <w:rFonts w:hint="eastAsia"/>
              </w:rPr>
              <w:t>1.15235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496E4041">
            <w:pPr>
              <w:pStyle w:val="90"/>
            </w:pPr>
            <w:r>
              <w:rPr>
                <w:rFonts w:hint="eastAsia"/>
              </w:rPr>
              <w:t>0</w:t>
            </w:r>
          </w:p>
        </w:tc>
      </w:tr>
      <w:tr w14:paraId="6147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53C290CB">
            <w:pPr>
              <w:adjustRightInd w:val="0"/>
              <w:snapToGrid w:val="0"/>
              <w:spacing w:line="240" w:lineRule="auto"/>
              <w:ind w:firstLine="0" w:firstLineChars="0"/>
              <w:jc w:val="center"/>
              <w:rPr>
                <w:bCs/>
                <w:sz w:val="21"/>
                <w:szCs w:val="20"/>
              </w:rPr>
            </w:pPr>
            <w:r>
              <w:rPr>
                <w:bCs/>
                <w:sz w:val="21"/>
                <w:szCs w:val="20"/>
              </w:rPr>
              <w:t>120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C7E5837">
            <w:pPr>
              <w:pStyle w:val="90"/>
            </w:pPr>
            <w:r>
              <w:rPr>
                <w:rFonts w:hint="eastAsia"/>
              </w:rPr>
              <w:t>0.000236</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DDC370B">
            <w:pPr>
              <w:pStyle w:val="90"/>
            </w:pPr>
            <w:r>
              <w:rPr>
                <w:rFonts w:hint="eastAsia"/>
              </w:rPr>
              <w:t>4.456</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2574F8AC">
            <w:pPr>
              <w:pStyle w:val="90"/>
            </w:pPr>
            <w:r>
              <w:rPr>
                <w:rFonts w:hint="eastAsia"/>
              </w:rPr>
              <w:t>0</w:t>
            </w:r>
          </w:p>
        </w:tc>
      </w:tr>
      <w:tr w14:paraId="5AD8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AA1DA4A">
            <w:pPr>
              <w:adjustRightInd w:val="0"/>
              <w:snapToGrid w:val="0"/>
              <w:spacing w:line="240" w:lineRule="auto"/>
              <w:ind w:firstLine="0" w:firstLineChars="0"/>
              <w:jc w:val="center"/>
              <w:rPr>
                <w:bCs/>
                <w:sz w:val="21"/>
                <w:szCs w:val="20"/>
              </w:rPr>
            </w:pPr>
            <w:r>
              <w:rPr>
                <w:bCs/>
                <w:sz w:val="21"/>
                <w:szCs w:val="20"/>
              </w:rPr>
              <w:t>140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992F772">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4E5FDEA">
            <w:pPr>
              <w:pStyle w:val="90"/>
            </w:pPr>
            <w:r>
              <w:rPr>
                <w:rFonts w:hint="eastAsia"/>
              </w:rPr>
              <w:t>12.41425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7DFA3BDB">
            <w:pPr>
              <w:pStyle w:val="90"/>
            </w:pPr>
            <w:r>
              <w:rPr>
                <w:rFonts w:hint="eastAsia"/>
              </w:rPr>
              <w:t>0</w:t>
            </w:r>
          </w:p>
        </w:tc>
      </w:tr>
      <w:tr w14:paraId="3118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4044C57D">
            <w:pPr>
              <w:adjustRightInd w:val="0"/>
              <w:snapToGrid w:val="0"/>
              <w:spacing w:line="240" w:lineRule="auto"/>
              <w:ind w:firstLine="0" w:firstLineChars="0"/>
              <w:jc w:val="center"/>
              <w:rPr>
                <w:bCs/>
                <w:sz w:val="21"/>
                <w:szCs w:val="20"/>
              </w:rPr>
            </w:pPr>
            <w:r>
              <w:rPr>
                <w:bCs/>
                <w:sz w:val="21"/>
                <w:szCs w:val="20"/>
              </w:rPr>
              <w:t>160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72E4473D">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AF41BE1">
            <w:pPr>
              <w:pStyle w:val="90"/>
            </w:pPr>
            <w:r>
              <w:rPr>
                <w:rFonts w:hint="eastAsia"/>
              </w:rPr>
              <w:t>24.8674</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2BA98911">
            <w:pPr>
              <w:pStyle w:val="90"/>
            </w:pPr>
            <w:r>
              <w:rPr>
                <w:rFonts w:hint="eastAsia"/>
              </w:rPr>
              <w:t>0.0006</w:t>
            </w:r>
          </w:p>
        </w:tc>
      </w:tr>
      <w:tr w14:paraId="428E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133B2B13">
            <w:pPr>
              <w:adjustRightInd w:val="0"/>
              <w:snapToGrid w:val="0"/>
              <w:spacing w:line="240" w:lineRule="auto"/>
              <w:ind w:firstLine="0" w:firstLineChars="0"/>
              <w:jc w:val="center"/>
              <w:rPr>
                <w:bCs/>
                <w:sz w:val="21"/>
                <w:szCs w:val="20"/>
              </w:rPr>
            </w:pPr>
            <w:r>
              <w:rPr>
                <w:bCs/>
                <w:sz w:val="21"/>
                <w:szCs w:val="20"/>
              </w:rPr>
              <w:t>180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C246498">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28241C6">
            <w:pPr>
              <w:pStyle w:val="90"/>
            </w:pPr>
            <w:r>
              <w:rPr>
                <w:rFonts w:hint="eastAsia"/>
              </w:rPr>
              <w:t>36.0324</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15581D7D">
            <w:pPr>
              <w:pStyle w:val="90"/>
            </w:pPr>
            <w:r>
              <w:rPr>
                <w:rFonts w:hint="eastAsia"/>
              </w:rPr>
              <w:t>0.003494</w:t>
            </w:r>
          </w:p>
        </w:tc>
      </w:tr>
      <w:tr w14:paraId="2435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42C33A1B">
            <w:pPr>
              <w:adjustRightInd w:val="0"/>
              <w:snapToGrid w:val="0"/>
              <w:spacing w:line="240" w:lineRule="auto"/>
              <w:ind w:firstLine="0" w:firstLineChars="0"/>
              <w:jc w:val="center"/>
              <w:rPr>
                <w:bCs/>
                <w:sz w:val="21"/>
                <w:szCs w:val="20"/>
              </w:rPr>
            </w:pPr>
            <w:r>
              <w:rPr>
                <w:bCs/>
                <w:sz w:val="21"/>
                <w:szCs w:val="20"/>
              </w:rPr>
              <w:t>200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D3AB2E9">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8E64BEA">
            <w:pPr>
              <w:pStyle w:val="90"/>
            </w:pPr>
            <w:r>
              <w:rPr>
                <w:rFonts w:hint="eastAsia"/>
              </w:rPr>
              <w:t>37.5398</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48F9C72F">
            <w:pPr>
              <w:pStyle w:val="90"/>
            </w:pPr>
            <w:r>
              <w:rPr>
                <w:rFonts w:hint="eastAsia"/>
              </w:rPr>
              <w:t>0.0173</w:t>
            </w:r>
          </w:p>
        </w:tc>
      </w:tr>
      <w:tr w14:paraId="561B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2C7FB2F">
            <w:pPr>
              <w:adjustRightInd w:val="0"/>
              <w:snapToGrid w:val="0"/>
              <w:spacing w:line="240" w:lineRule="auto"/>
              <w:ind w:firstLine="0" w:firstLineChars="0"/>
              <w:jc w:val="center"/>
              <w:rPr>
                <w:bCs/>
                <w:sz w:val="21"/>
                <w:szCs w:val="20"/>
              </w:rPr>
            </w:pPr>
            <w:r>
              <w:rPr>
                <w:bCs/>
                <w:sz w:val="21"/>
                <w:szCs w:val="20"/>
              </w:rPr>
              <w:t>220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13274EF3">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01EE0F2">
            <w:pPr>
              <w:pStyle w:val="90"/>
            </w:pPr>
            <w:r>
              <w:rPr>
                <w:rFonts w:hint="eastAsia"/>
              </w:rPr>
              <w:t>28.1773</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3239DA74">
            <w:pPr>
              <w:pStyle w:val="90"/>
            </w:pPr>
            <w:r>
              <w:rPr>
                <w:rFonts w:hint="eastAsia"/>
              </w:rPr>
              <w:t>0.07255</w:t>
            </w:r>
          </w:p>
        </w:tc>
      </w:tr>
      <w:tr w14:paraId="5C5F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02B0ABDE">
            <w:pPr>
              <w:adjustRightInd w:val="0"/>
              <w:snapToGrid w:val="0"/>
              <w:spacing w:line="240" w:lineRule="auto"/>
              <w:ind w:firstLine="0" w:firstLineChars="0"/>
              <w:jc w:val="center"/>
              <w:rPr>
                <w:bCs/>
                <w:sz w:val="21"/>
                <w:szCs w:val="20"/>
              </w:rPr>
            </w:pPr>
            <w:r>
              <w:rPr>
                <w:bCs/>
                <w:sz w:val="21"/>
                <w:szCs w:val="20"/>
              </w:rPr>
              <w:t>240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6AA08A8">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72098672">
            <w:pPr>
              <w:pStyle w:val="90"/>
            </w:pPr>
            <w:r>
              <w:rPr>
                <w:rFonts w:hint="eastAsia"/>
              </w:rPr>
              <w:t>15.23755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09A4F9B1">
            <w:pPr>
              <w:pStyle w:val="90"/>
            </w:pPr>
            <w:r>
              <w:rPr>
                <w:rFonts w:hint="eastAsia"/>
              </w:rPr>
              <w:t>0.25845</w:t>
            </w:r>
          </w:p>
        </w:tc>
      </w:tr>
      <w:tr w14:paraId="28EE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41B778E">
            <w:pPr>
              <w:adjustRightInd w:val="0"/>
              <w:snapToGrid w:val="0"/>
              <w:spacing w:line="240" w:lineRule="auto"/>
              <w:ind w:firstLine="0" w:firstLineChars="0"/>
              <w:jc w:val="center"/>
              <w:rPr>
                <w:bCs/>
                <w:sz w:val="21"/>
                <w:szCs w:val="20"/>
              </w:rPr>
            </w:pPr>
            <w:r>
              <w:rPr>
                <w:bCs/>
                <w:sz w:val="21"/>
                <w:szCs w:val="20"/>
              </w:rPr>
              <w:t>260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4AEAA96">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F838E2E">
            <w:pPr>
              <w:pStyle w:val="90"/>
            </w:pPr>
            <w:r>
              <w:rPr>
                <w:rFonts w:hint="eastAsia"/>
              </w:rPr>
              <w:t>5.9366</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6B79DCED">
            <w:pPr>
              <w:pStyle w:val="90"/>
            </w:pPr>
            <w:r>
              <w:rPr>
                <w:rFonts w:hint="eastAsia"/>
              </w:rPr>
              <w:t>0.7815</w:t>
            </w:r>
          </w:p>
        </w:tc>
      </w:tr>
      <w:tr w14:paraId="3D98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9A9BE7D">
            <w:pPr>
              <w:adjustRightInd w:val="0"/>
              <w:snapToGrid w:val="0"/>
              <w:spacing w:line="240" w:lineRule="auto"/>
              <w:ind w:firstLine="0" w:firstLineChars="0"/>
              <w:jc w:val="center"/>
              <w:rPr>
                <w:bCs/>
                <w:sz w:val="21"/>
                <w:szCs w:val="20"/>
              </w:rPr>
            </w:pPr>
            <w:r>
              <w:rPr>
                <w:bCs/>
                <w:sz w:val="21"/>
                <w:szCs w:val="20"/>
              </w:rPr>
              <w:t>280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71E7F6ED">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7FEA583">
            <w:pPr>
              <w:pStyle w:val="90"/>
            </w:pPr>
            <w:r>
              <w:rPr>
                <w:rFonts w:hint="eastAsia"/>
              </w:rPr>
              <w:t>1.66635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0B3F79ED">
            <w:pPr>
              <w:pStyle w:val="90"/>
            </w:pPr>
            <w:r>
              <w:rPr>
                <w:rFonts w:hint="eastAsia"/>
              </w:rPr>
              <w:t>2.0059</w:t>
            </w:r>
          </w:p>
        </w:tc>
      </w:tr>
      <w:tr w14:paraId="0F26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99F2DF4">
            <w:pPr>
              <w:adjustRightInd w:val="0"/>
              <w:snapToGrid w:val="0"/>
              <w:spacing w:line="240" w:lineRule="auto"/>
              <w:ind w:firstLine="0" w:firstLineChars="0"/>
              <w:jc w:val="center"/>
              <w:rPr>
                <w:bCs/>
                <w:sz w:val="21"/>
                <w:szCs w:val="20"/>
              </w:rPr>
            </w:pPr>
            <w:r>
              <w:rPr>
                <w:bCs/>
                <w:sz w:val="21"/>
                <w:szCs w:val="20"/>
              </w:rPr>
              <w:t>300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F678811">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3686FA7">
            <w:pPr>
              <w:pStyle w:val="90"/>
            </w:pPr>
            <w:r>
              <w:rPr>
                <w:rFonts w:hint="eastAsia"/>
              </w:rPr>
              <w:t>0.337</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0DFAAE8D">
            <w:pPr>
              <w:pStyle w:val="90"/>
            </w:pPr>
            <w:r>
              <w:rPr>
                <w:rFonts w:hint="eastAsia"/>
              </w:rPr>
              <w:t>4.37005</w:t>
            </w:r>
          </w:p>
        </w:tc>
      </w:tr>
      <w:tr w14:paraId="45F1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4B2434E9">
            <w:pPr>
              <w:adjustRightInd w:val="0"/>
              <w:snapToGrid w:val="0"/>
              <w:spacing w:line="240" w:lineRule="auto"/>
              <w:ind w:firstLine="0" w:firstLineChars="0"/>
              <w:jc w:val="center"/>
              <w:rPr>
                <w:bCs/>
                <w:sz w:val="21"/>
                <w:szCs w:val="20"/>
              </w:rPr>
            </w:pPr>
            <w:r>
              <w:rPr>
                <w:bCs/>
                <w:sz w:val="21"/>
                <w:szCs w:val="20"/>
              </w:rPr>
              <w:t>320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E167B54">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F4518A7">
            <w:pPr>
              <w:pStyle w:val="90"/>
            </w:pPr>
            <w:r>
              <w:rPr>
                <w:rFonts w:hint="eastAsia"/>
              </w:rPr>
              <w:t>0.0491</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502D235C">
            <w:pPr>
              <w:pStyle w:val="90"/>
            </w:pPr>
            <w:r>
              <w:rPr>
                <w:rFonts w:hint="eastAsia"/>
              </w:rPr>
              <w:t>8.0811</w:t>
            </w:r>
          </w:p>
        </w:tc>
      </w:tr>
      <w:tr w14:paraId="624F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944245D">
            <w:pPr>
              <w:adjustRightInd w:val="0"/>
              <w:snapToGrid w:val="0"/>
              <w:spacing w:line="240" w:lineRule="auto"/>
              <w:ind w:firstLine="0" w:firstLineChars="0"/>
              <w:jc w:val="center"/>
              <w:rPr>
                <w:bCs/>
                <w:sz w:val="21"/>
                <w:szCs w:val="20"/>
              </w:rPr>
            </w:pPr>
            <w:r>
              <w:rPr>
                <w:bCs/>
                <w:sz w:val="21"/>
                <w:szCs w:val="20"/>
              </w:rPr>
              <w:t>340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03D5A88">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72F1D779">
            <w:pPr>
              <w:pStyle w:val="90"/>
            </w:pPr>
            <w:r>
              <w:rPr>
                <w:rFonts w:hint="eastAsia"/>
              </w:rPr>
              <w:t>0.00515</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36B0A83D">
            <w:pPr>
              <w:pStyle w:val="90"/>
            </w:pPr>
            <w:r>
              <w:rPr>
                <w:rFonts w:hint="eastAsia"/>
              </w:rPr>
              <w:t>12.6841</w:t>
            </w:r>
          </w:p>
        </w:tc>
      </w:tr>
      <w:tr w14:paraId="4240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B5C7A26">
            <w:pPr>
              <w:adjustRightInd w:val="0"/>
              <w:snapToGrid w:val="0"/>
              <w:spacing w:line="240" w:lineRule="auto"/>
              <w:ind w:firstLine="0" w:firstLineChars="0"/>
              <w:jc w:val="center"/>
              <w:rPr>
                <w:bCs/>
                <w:sz w:val="21"/>
                <w:szCs w:val="20"/>
              </w:rPr>
            </w:pPr>
            <w:r>
              <w:rPr>
                <w:bCs/>
                <w:sz w:val="21"/>
                <w:szCs w:val="20"/>
              </w:rPr>
              <w:t>360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A2801EA">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43C53584">
            <w:pPr>
              <w:pStyle w:val="90"/>
            </w:pPr>
            <w:r>
              <w:rPr>
                <w:rFonts w:hint="eastAsia"/>
              </w:rPr>
              <w:t>0.00039</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2EA63D31">
            <w:pPr>
              <w:pStyle w:val="90"/>
            </w:pPr>
            <w:r>
              <w:rPr>
                <w:rFonts w:hint="eastAsia"/>
              </w:rPr>
              <w:t>16.89865</w:t>
            </w:r>
          </w:p>
        </w:tc>
      </w:tr>
      <w:tr w14:paraId="7F04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74E58152">
            <w:pPr>
              <w:adjustRightInd w:val="0"/>
              <w:snapToGrid w:val="0"/>
              <w:spacing w:line="240" w:lineRule="auto"/>
              <w:ind w:firstLine="0" w:firstLineChars="0"/>
              <w:jc w:val="center"/>
              <w:rPr>
                <w:bCs/>
                <w:sz w:val="21"/>
                <w:szCs w:val="20"/>
              </w:rPr>
            </w:pPr>
            <w:r>
              <w:rPr>
                <w:bCs/>
                <w:sz w:val="21"/>
                <w:szCs w:val="20"/>
              </w:rPr>
              <w:t>380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1EC50B2E">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1A71B7EC">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52EF8ECA">
            <w:pPr>
              <w:pStyle w:val="90"/>
            </w:pPr>
            <w:r>
              <w:rPr>
                <w:rFonts w:hint="eastAsia"/>
              </w:rPr>
              <w:t>19.1095</w:t>
            </w:r>
          </w:p>
        </w:tc>
      </w:tr>
      <w:tr w14:paraId="2033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5815E25">
            <w:pPr>
              <w:adjustRightInd w:val="0"/>
              <w:snapToGrid w:val="0"/>
              <w:spacing w:line="240" w:lineRule="auto"/>
              <w:ind w:firstLine="0" w:firstLineChars="0"/>
              <w:jc w:val="center"/>
              <w:rPr>
                <w:bCs/>
                <w:sz w:val="21"/>
                <w:szCs w:val="20"/>
              </w:rPr>
            </w:pPr>
            <w:r>
              <w:rPr>
                <w:bCs/>
                <w:sz w:val="21"/>
                <w:szCs w:val="20"/>
              </w:rPr>
              <w:t>400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08D6A4B">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E5FE74D">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04734B55">
            <w:pPr>
              <w:pStyle w:val="90"/>
            </w:pPr>
            <w:r>
              <w:rPr>
                <w:rFonts w:hint="eastAsia"/>
              </w:rPr>
              <w:t>18.34215</w:t>
            </w:r>
          </w:p>
        </w:tc>
      </w:tr>
      <w:tr w14:paraId="6FD9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29FFE311">
            <w:pPr>
              <w:adjustRightInd w:val="0"/>
              <w:snapToGrid w:val="0"/>
              <w:spacing w:line="240" w:lineRule="auto"/>
              <w:ind w:firstLine="0" w:firstLineChars="0"/>
              <w:jc w:val="center"/>
              <w:rPr>
                <w:bCs/>
                <w:sz w:val="21"/>
                <w:szCs w:val="20"/>
              </w:rPr>
            </w:pPr>
            <w:r>
              <w:rPr>
                <w:bCs/>
                <w:sz w:val="21"/>
                <w:szCs w:val="20"/>
              </w:rPr>
              <w:t>420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992A113">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1248BD0F">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311B0B6F">
            <w:pPr>
              <w:pStyle w:val="90"/>
            </w:pPr>
            <w:r>
              <w:rPr>
                <w:rFonts w:hint="eastAsia"/>
              </w:rPr>
              <w:t>14.9436</w:t>
            </w:r>
          </w:p>
        </w:tc>
      </w:tr>
      <w:tr w14:paraId="5CFF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549F5936">
            <w:pPr>
              <w:adjustRightInd w:val="0"/>
              <w:snapToGrid w:val="0"/>
              <w:spacing w:line="240" w:lineRule="auto"/>
              <w:ind w:firstLine="0" w:firstLineChars="0"/>
              <w:jc w:val="center"/>
              <w:rPr>
                <w:bCs/>
                <w:sz w:val="21"/>
                <w:szCs w:val="20"/>
              </w:rPr>
            </w:pPr>
            <w:r>
              <w:rPr>
                <w:bCs/>
                <w:sz w:val="21"/>
                <w:szCs w:val="20"/>
              </w:rPr>
              <w:t>440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2DA6977B">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E486C0C">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5D96276A">
            <w:pPr>
              <w:pStyle w:val="90"/>
            </w:pPr>
            <w:r>
              <w:rPr>
                <w:rFonts w:hint="eastAsia"/>
              </w:rPr>
              <w:t>10.3339</w:t>
            </w:r>
          </w:p>
        </w:tc>
      </w:tr>
      <w:tr w14:paraId="06A4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687C79AF">
            <w:pPr>
              <w:adjustRightInd w:val="0"/>
              <w:snapToGrid w:val="0"/>
              <w:spacing w:line="240" w:lineRule="auto"/>
              <w:ind w:firstLine="0" w:firstLineChars="0"/>
              <w:jc w:val="center"/>
              <w:rPr>
                <w:bCs/>
                <w:sz w:val="21"/>
                <w:szCs w:val="20"/>
              </w:rPr>
            </w:pPr>
            <w:r>
              <w:rPr>
                <w:bCs/>
                <w:sz w:val="21"/>
                <w:szCs w:val="20"/>
              </w:rPr>
              <w:t>460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13683C3">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2E79DAA">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6BF374EE">
            <w:pPr>
              <w:pStyle w:val="90"/>
            </w:pPr>
            <w:r>
              <w:rPr>
                <w:rFonts w:hint="eastAsia"/>
              </w:rPr>
              <w:t>6.06565</w:t>
            </w:r>
          </w:p>
        </w:tc>
      </w:tr>
      <w:tr w14:paraId="3464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0EF1E3D6">
            <w:pPr>
              <w:adjustRightInd w:val="0"/>
              <w:snapToGrid w:val="0"/>
              <w:spacing w:line="240" w:lineRule="auto"/>
              <w:ind w:firstLine="0" w:firstLineChars="0"/>
              <w:jc w:val="center"/>
              <w:rPr>
                <w:bCs/>
                <w:sz w:val="21"/>
                <w:szCs w:val="20"/>
              </w:rPr>
            </w:pPr>
            <w:r>
              <w:rPr>
                <w:bCs/>
                <w:sz w:val="21"/>
                <w:szCs w:val="20"/>
              </w:rPr>
              <w:t>480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B0637B4">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4985A02">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0A2EE4E0">
            <w:pPr>
              <w:pStyle w:val="90"/>
            </w:pPr>
            <w:r>
              <w:rPr>
                <w:rFonts w:hint="eastAsia"/>
              </w:rPr>
              <w:t>3.022</w:t>
            </w:r>
          </w:p>
        </w:tc>
      </w:tr>
      <w:tr w14:paraId="2F4C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113A8D39">
            <w:pPr>
              <w:adjustRightInd w:val="0"/>
              <w:snapToGrid w:val="0"/>
              <w:spacing w:line="240" w:lineRule="auto"/>
              <w:ind w:firstLine="0" w:firstLineChars="0"/>
              <w:jc w:val="center"/>
              <w:rPr>
                <w:bCs/>
                <w:sz w:val="21"/>
                <w:szCs w:val="20"/>
              </w:rPr>
            </w:pPr>
            <w:r>
              <w:rPr>
                <w:bCs/>
                <w:sz w:val="21"/>
                <w:szCs w:val="20"/>
              </w:rPr>
              <w:t>500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7B89C43B">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3419E259">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7CD5E3B1">
            <w:pPr>
              <w:pStyle w:val="90"/>
            </w:pPr>
            <w:r>
              <w:rPr>
                <w:rFonts w:hint="eastAsia"/>
              </w:rPr>
              <w:t>0</w:t>
            </w:r>
          </w:p>
        </w:tc>
      </w:tr>
      <w:tr w14:paraId="460D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8" w:space="0"/>
              <w:right w:val="single" w:color="auto" w:sz="8" w:space="0"/>
            </w:tcBorders>
            <w:tcMar>
              <w:left w:w="0" w:type="dxa"/>
              <w:right w:w="0" w:type="dxa"/>
            </w:tcMar>
            <w:vAlign w:val="center"/>
          </w:tcPr>
          <w:p w14:paraId="3323D045">
            <w:pPr>
              <w:adjustRightInd w:val="0"/>
              <w:snapToGrid w:val="0"/>
              <w:spacing w:line="240" w:lineRule="auto"/>
              <w:ind w:firstLine="0" w:firstLineChars="0"/>
              <w:jc w:val="center"/>
              <w:rPr>
                <w:bCs/>
                <w:sz w:val="21"/>
                <w:szCs w:val="20"/>
              </w:rPr>
            </w:pPr>
            <w:r>
              <w:rPr>
                <w:bCs/>
                <w:sz w:val="21"/>
                <w:szCs w:val="20"/>
              </w:rPr>
              <w:t>550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507266E4">
            <w:pPr>
              <w:pStyle w:val="90"/>
            </w:pPr>
            <w:r>
              <w:rPr>
                <w:rFonts w:hint="eastAsia"/>
              </w:rPr>
              <w:t>0</w:t>
            </w:r>
          </w:p>
        </w:tc>
        <w:tc>
          <w:tcPr>
            <w:tcW w:w="1142" w:type="pct"/>
            <w:tcBorders>
              <w:top w:val="single" w:color="auto" w:sz="8" w:space="0"/>
              <w:left w:val="single" w:color="auto" w:sz="8" w:space="0"/>
              <w:bottom w:val="single" w:color="auto" w:sz="8" w:space="0"/>
              <w:right w:val="single" w:color="auto" w:sz="8" w:space="0"/>
            </w:tcBorders>
            <w:tcMar>
              <w:left w:w="0" w:type="dxa"/>
              <w:right w:w="0" w:type="dxa"/>
            </w:tcMar>
            <w:vAlign w:val="center"/>
          </w:tcPr>
          <w:p w14:paraId="09E9BD28">
            <w:pPr>
              <w:pStyle w:val="90"/>
            </w:pPr>
            <w:r>
              <w:rPr>
                <w:rFonts w:hint="eastAsia"/>
              </w:rPr>
              <w:t>0</w:t>
            </w:r>
          </w:p>
        </w:tc>
        <w:tc>
          <w:tcPr>
            <w:tcW w:w="1142" w:type="pct"/>
            <w:tcBorders>
              <w:top w:val="single" w:color="auto" w:sz="8" w:space="0"/>
              <w:left w:val="single" w:color="auto" w:sz="8" w:space="0"/>
              <w:bottom w:val="single" w:color="auto" w:sz="8" w:space="0"/>
              <w:right w:val="nil"/>
            </w:tcBorders>
            <w:tcMar>
              <w:left w:w="0" w:type="dxa"/>
              <w:right w:w="0" w:type="dxa"/>
            </w:tcMar>
            <w:vAlign w:val="center"/>
          </w:tcPr>
          <w:p w14:paraId="3EC444EF">
            <w:pPr>
              <w:pStyle w:val="90"/>
            </w:pPr>
            <w:r>
              <w:rPr>
                <w:rFonts w:hint="eastAsia"/>
              </w:rPr>
              <w:t>0</w:t>
            </w:r>
          </w:p>
        </w:tc>
      </w:tr>
      <w:tr w14:paraId="73CF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4" w:type="pct"/>
            <w:tcBorders>
              <w:top w:val="single" w:color="auto" w:sz="8" w:space="0"/>
              <w:left w:val="nil"/>
              <w:bottom w:val="single" w:color="auto" w:sz="12" w:space="0"/>
              <w:right w:val="single" w:color="auto" w:sz="8" w:space="0"/>
            </w:tcBorders>
            <w:tcMar>
              <w:left w:w="0" w:type="dxa"/>
              <w:right w:w="0" w:type="dxa"/>
            </w:tcMar>
            <w:vAlign w:val="center"/>
          </w:tcPr>
          <w:p w14:paraId="66403F57">
            <w:pPr>
              <w:adjustRightInd w:val="0"/>
              <w:snapToGrid w:val="0"/>
              <w:spacing w:line="240" w:lineRule="auto"/>
              <w:ind w:firstLine="0" w:firstLineChars="0"/>
              <w:jc w:val="center"/>
              <w:rPr>
                <w:bCs/>
                <w:sz w:val="21"/>
                <w:szCs w:val="20"/>
              </w:rPr>
            </w:pPr>
            <w:r>
              <w:rPr>
                <w:bCs/>
                <w:sz w:val="21"/>
                <w:szCs w:val="20"/>
              </w:rPr>
              <w:t>600</w:t>
            </w:r>
          </w:p>
        </w:tc>
        <w:tc>
          <w:tcPr>
            <w:tcW w:w="1142" w:type="pct"/>
            <w:tcBorders>
              <w:top w:val="single" w:color="auto" w:sz="8" w:space="0"/>
              <w:left w:val="single" w:color="auto" w:sz="8" w:space="0"/>
              <w:bottom w:val="single" w:color="auto" w:sz="12" w:space="0"/>
              <w:right w:val="single" w:color="auto" w:sz="8" w:space="0"/>
            </w:tcBorders>
            <w:tcMar>
              <w:left w:w="0" w:type="dxa"/>
              <w:right w:w="0" w:type="dxa"/>
            </w:tcMar>
            <w:vAlign w:val="center"/>
          </w:tcPr>
          <w:p w14:paraId="4E289FB7">
            <w:pPr>
              <w:pStyle w:val="90"/>
            </w:pPr>
            <w:r>
              <w:rPr>
                <w:rFonts w:hint="eastAsia"/>
              </w:rPr>
              <w:t>0</w:t>
            </w:r>
          </w:p>
        </w:tc>
        <w:tc>
          <w:tcPr>
            <w:tcW w:w="1142" w:type="pct"/>
            <w:tcBorders>
              <w:top w:val="single" w:color="auto" w:sz="8" w:space="0"/>
              <w:left w:val="single" w:color="auto" w:sz="8" w:space="0"/>
              <w:bottom w:val="single" w:color="auto" w:sz="12" w:space="0"/>
              <w:right w:val="single" w:color="auto" w:sz="8" w:space="0"/>
            </w:tcBorders>
            <w:tcMar>
              <w:left w:w="0" w:type="dxa"/>
              <w:right w:w="0" w:type="dxa"/>
            </w:tcMar>
            <w:vAlign w:val="center"/>
          </w:tcPr>
          <w:p w14:paraId="20C4B815">
            <w:pPr>
              <w:pStyle w:val="90"/>
            </w:pPr>
            <w:r>
              <w:rPr>
                <w:rFonts w:hint="eastAsia"/>
              </w:rPr>
              <w:t>0</w:t>
            </w:r>
          </w:p>
        </w:tc>
        <w:tc>
          <w:tcPr>
            <w:tcW w:w="1142" w:type="pct"/>
            <w:tcBorders>
              <w:top w:val="single" w:color="auto" w:sz="8" w:space="0"/>
              <w:left w:val="single" w:color="auto" w:sz="8" w:space="0"/>
              <w:bottom w:val="single" w:color="auto" w:sz="12" w:space="0"/>
              <w:right w:val="nil"/>
            </w:tcBorders>
            <w:tcMar>
              <w:left w:w="0" w:type="dxa"/>
              <w:right w:w="0" w:type="dxa"/>
            </w:tcMar>
            <w:vAlign w:val="center"/>
          </w:tcPr>
          <w:p w14:paraId="44B42264">
            <w:pPr>
              <w:pStyle w:val="90"/>
            </w:pPr>
            <w:r>
              <w:rPr>
                <w:rFonts w:hint="eastAsia"/>
              </w:rPr>
              <w:t>0</w:t>
            </w:r>
          </w:p>
        </w:tc>
      </w:tr>
    </w:tbl>
    <w:p w14:paraId="7E36FFC6">
      <w:pPr>
        <w:ind w:firstLine="480"/>
      </w:pPr>
      <w:r>
        <w:t>预测结果表明，</w:t>
      </w:r>
      <w:r>
        <w:rPr>
          <w:rFonts w:hint="eastAsia"/>
        </w:rPr>
        <w:t>石油类</w:t>
      </w:r>
      <w:r>
        <w:t>泄漏后1000天时，预测的最大值为19.1095mg/</w:t>
      </w:r>
      <w:r>
        <w:rPr>
          <w:rFonts w:hint="eastAsia"/>
        </w:rPr>
        <w:t>L</w:t>
      </w:r>
      <w:r>
        <w:t>，预测超标距离最远为497.37m。</w:t>
      </w:r>
    </w:p>
    <w:p w14:paraId="71E0E959">
      <w:pPr>
        <w:ind w:firstLine="480"/>
      </w:pPr>
      <w:r>
        <w:t>由以上结果可以看出，随着泄漏发生时间越长，下游最远超标范围就越大，至1000</w:t>
      </w:r>
      <w:r>
        <w:rPr>
          <w:rFonts w:hint="eastAsia"/>
        </w:rPr>
        <w:t>d</w:t>
      </w:r>
      <w:r>
        <w:t>时</w:t>
      </w:r>
      <w:r>
        <w:rPr>
          <w:rFonts w:hint="eastAsia"/>
        </w:rPr>
        <w:t>在4</w:t>
      </w:r>
      <w:r>
        <w:t>80</w:t>
      </w:r>
      <w:r>
        <w:rPr>
          <w:rFonts w:hint="eastAsia"/>
        </w:rPr>
        <w:t>m仍然有超标</w:t>
      </w:r>
      <w:r>
        <w:t>，污染带超出</w:t>
      </w:r>
      <w:r>
        <w:rPr>
          <w:rFonts w:hint="eastAsia"/>
        </w:rPr>
        <w:t>了</w:t>
      </w:r>
      <w:r>
        <w:t>厂界范围，</w:t>
      </w:r>
      <w:r>
        <w:rPr>
          <w:rFonts w:hint="eastAsia"/>
        </w:rPr>
        <w:t>说明本项目在防渗层破损防渗泄漏的情况下，对地下水影响较大，</w:t>
      </w:r>
      <w:r>
        <w:t>因此</w:t>
      </w:r>
      <w:r>
        <w:rPr>
          <w:rFonts w:hint="eastAsia"/>
        </w:rPr>
        <w:t>，本</w:t>
      </w:r>
      <w:r>
        <w:t>项目单位</w:t>
      </w:r>
      <w:r>
        <w:rPr>
          <w:rFonts w:hint="eastAsia"/>
        </w:rPr>
        <w:t>必须加</w:t>
      </w:r>
      <w:r>
        <w:t>强监管和日常重点防渗区的养护，</w:t>
      </w:r>
      <w:r>
        <w:rPr>
          <w:rFonts w:hint="eastAsia"/>
        </w:rPr>
        <w:t>杜绝</w:t>
      </w:r>
      <w:r>
        <w:t>发生非正常泄漏情况。</w:t>
      </w:r>
    </w:p>
    <w:p w14:paraId="4AC8A976">
      <w:pPr>
        <w:ind w:firstLine="480"/>
      </w:pPr>
      <w:r>
        <w:rPr>
          <w:rFonts w:hint="eastAsia"/>
        </w:rPr>
        <w:t>本</w:t>
      </w:r>
      <w:r>
        <w:t>项目评价范围内没有地下水环境敏感点，评价建议</w:t>
      </w:r>
      <w:r>
        <w:rPr>
          <w:rFonts w:hint="eastAsia"/>
        </w:rPr>
        <w:t>本项目储罐</w:t>
      </w:r>
      <w:r>
        <w:t>周边应加强防渗、防腐措施，同时制定严格的巡检制度并落实到责任人，杜绝项目厂区地面及各类</w:t>
      </w:r>
      <w:r>
        <w:rPr>
          <w:rFonts w:hint="eastAsia"/>
        </w:rPr>
        <w:t>围堰</w:t>
      </w:r>
      <w:r>
        <w:t>防渗措施出现渗漏现象，在落实以上各项防渗措施和巡检制度后，基本可杜绝非正常泄漏的发生，因此本项目地下水环境影响是可以接受的。</w:t>
      </w:r>
    </w:p>
    <w:p w14:paraId="6BC5D06B">
      <w:pPr>
        <w:pStyle w:val="41"/>
      </w:pPr>
      <w:bookmarkStart w:id="472" w:name="_Toc152864226"/>
      <w:r>
        <w:rPr>
          <w:rFonts w:hint="eastAsia"/>
        </w:rPr>
        <w:t>声环境影响预测与评价</w:t>
      </w:r>
      <w:bookmarkEnd w:id="472"/>
    </w:p>
    <w:p w14:paraId="5472AEB9">
      <w:pPr>
        <w:pStyle w:val="43"/>
      </w:pPr>
      <w:bookmarkStart w:id="473" w:name="_Toc152864227"/>
      <w:bookmarkStart w:id="474" w:name="_Toc82518813"/>
      <w:bookmarkStart w:id="475" w:name="_Toc81214125"/>
      <w:bookmarkStart w:id="476" w:name="_Toc80193131"/>
      <w:bookmarkStart w:id="477" w:name="_Toc77007829"/>
      <w:bookmarkStart w:id="478" w:name="_Toc80973557"/>
      <w:bookmarkStart w:id="479" w:name="_Toc79515502"/>
      <w:r>
        <w:rPr>
          <w:rFonts w:hint="eastAsia"/>
        </w:rPr>
        <w:t>预测</w:t>
      </w:r>
      <w:bookmarkEnd w:id="473"/>
      <w:bookmarkEnd w:id="474"/>
      <w:bookmarkEnd w:id="475"/>
      <w:bookmarkEnd w:id="476"/>
      <w:bookmarkEnd w:id="477"/>
      <w:bookmarkEnd w:id="478"/>
      <w:bookmarkEnd w:id="479"/>
      <w:r>
        <w:rPr>
          <w:rFonts w:hint="eastAsia"/>
        </w:rPr>
        <w:t>范围</w:t>
      </w:r>
    </w:p>
    <w:p w14:paraId="5F9BAC0F">
      <w:pPr>
        <w:ind w:firstLine="480"/>
      </w:pPr>
      <w:r>
        <w:rPr>
          <w:rFonts w:hint="eastAsia"/>
        </w:rPr>
        <w:t>根据《环境影响评价技术导则 声环境》（HJ</w:t>
      </w:r>
      <w:r>
        <w:t>2.4-2021</w:t>
      </w:r>
      <w:r>
        <w:rPr>
          <w:rFonts w:hint="eastAsia"/>
        </w:rPr>
        <w:t>）中的要求，预测范围应与评价范围相同，即</w:t>
      </w:r>
      <w:r>
        <w:t>建设项目厂界外10m范围</w:t>
      </w:r>
      <w:r>
        <w:rPr>
          <w:rFonts w:hint="eastAsia"/>
        </w:rPr>
        <w:t>。</w:t>
      </w:r>
    </w:p>
    <w:p w14:paraId="302E7E88">
      <w:pPr>
        <w:pStyle w:val="43"/>
      </w:pPr>
      <w:r>
        <w:rPr>
          <w:rFonts w:hint="eastAsia"/>
        </w:rPr>
        <w:t>环境数据</w:t>
      </w:r>
    </w:p>
    <w:p w14:paraId="4DDA161A">
      <w:pPr>
        <w:ind w:firstLine="480"/>
      </w:pPr>
      <w:r>
        <w:rPr>
          <w:rFonts w:hint="eastAsia"/>
        </w:rPr>
        <w:t>根据《环境影响评价技术导则声环境》（HJ 2.4—2021）中要求，环境数据包括：</w:t>
      </w:r>
    </w:p>
    <w:p w14:paraId="33D6DF97">
      <w:pPr>
        <w:ind w:firstLine="480"/>
      </w:pPr>
      <w:r>
        <w:rPr>
          <w:rFonts w:hint="eastAsia" w:ascii="宋体" w:hAnsi="宋体" w:cs="宋体"/>
        </w:rPr>
        <w:t>①</w:t>
      </w:r>
      <w:r>
        <w:rPr>
          <w:rFonts w:hint="eastAsia"/>
        </w:rPr>
        <w:t>建设项目所处区域的年平均风速和主导风向、年平均气温、年平均相对湿度、大气压强；具体见下表。</w:t>
      </w:r>
    </w:p>
    <w:p w14:paraId="77236340">
      <w:pPr>
        <w:adjustRightInd w:val="0"/>
        <w:snapToGrid w:val="0"/>
        <w:spacing w:before="65" w:beforeLines="20" w:after="60" w:line="240" w:lineRule="auto"/>
        <w:ind w:firstLine="0" w:firstLineChars="0"/>
        <w:jc w:val="center"/>
        <w:rPr>
          <w:rFonts w:eastAsia="黑体"/>
        </w:rPr>
      </w:pPr>
      <w:r>
        <w:rPr>
          <w:rFonts w:hint="eastAsia" w:eastAsia="黑体"/>
        </w:rPr>
        <w:t>表</w:t>
      </w:r>
      <w:r>
        <w:rPr>
          <w:rFonts w:eastAsia="黑体"/>
        </w:rPr>
        <w:t xml:space="preserve">5.4-1  </w:t>
      </w:r>
      <w:r>
        <w:rPr>
          <w:rFonts w:hint="eastAsia" w:eastAsia="黑体"/>
        </w:rPr>
        <w:t>项目所在区域气象气候统计表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19"/>
        <w:gridCol w:w="3316"/>
        <w:gridCol w:w="1706"/>
        <w:gridCol w:w="2189"/>
      </w:tblGrid>
      <w:tr w14:paraId="298DFAA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7BE59F7F">
            <w:pPr>
              <w:pStyle w:val="90"/>
            </w:pPr>
            <w:r>
              <w:rPr>
                <w:rFonts w:hint="eastAsia"/>
              </w:rPr>
              <w:t>统计项目</w:t>
            </w:r>
          </w:p>
        </w:tc>
        <w:tc>
          <w:tcPr>
            <w:tcW w:w="977" w:type="pct"/>
            <w:shd w:val="clear" w:color="auto" w:fill="auto"/>
            <w:vAlign w:val="center"/>
          </w:tcPr>
          <w:p w14:paraId="59DDB19B">
            <w:pPr>
              <w:pStyle w:val="90"/>
            </w:pPr>
            <w:r>
              <w:rPr>
                <w:rFonts w:hint="eastAsia"/>
              </w:rPr>
              <w:t>统计值</w:t>
            </w:r>
          </w:p>
        </w:tc>
        <w:tc>
          <w:tcPr>
            <w:tcW w:w="1254" w:type="pct"/>
            <w:shd w:val="clear" w:color="auto" w:fill="auto"/>
            <w:vAlign w:val="center"/>
          </w:tcPr>
          <w:p w14:paraId="677ABAA4">
            <w:pPr>
              <w:pStyle w:val="90"/>
            </w:pPr>
            <w:r>
              <w:rPr>
                <w:rFonts w:hint="eastAsia"/>
              </w:rPr>
              <w:t>极值出现时间</w:t>
            </w:r>
          </w:p>
        </w:tc>
      </w:tr>
      <w:tr w14:paraId="7CFFDB4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519EA8D8">
            <w:pPr>
              <w:pStyle w:val="90"/>
            </w:pPr>
            <w:r>
              <w:rPr>
                <w:rFonts w:hint="eastAsia"/>
              </w:rPr>
              <w:t>多年平均气温（℃）</w:t>
            </w:r>
          </w:p>
        </w:tc>
        <w:tc>
          <w:tcPr>
            <w:tcW w:w="977" w:type="pct"/>
            <w:shd w:val="clear" w:color="auto" w:fill="auto"/>
            <w:vAlign w:val="center"/>
          </w:tcPr>
          <w:p w14:paraId="50633DC9">
            <w:pPr>
              <w:pStyle w:val="90"/>
            </w:pPr>
            <w:r>
              <w:t>8.9</w:t>
            </w:r>
          </w:p>
        </w:tc>
        <w:tc>
          <w:tcPr>
            <w:tcW w:w="1254" w:type="pct"/>
            <w:shd w:val="clear" w:color="auto" w:fill="auto"/>
            <w:vAlign w:val="center"/>
          </w:tcPr>
          <w:p w14:paraId="7E9DF8EC">
            <w:pPr>
              <w:pStyle w:val="90"/>
            </w:pPr>
            <w:r>
              <w:rPr>
                <w:rFonts w:hint="eastAsia"/>
              </w:rPr>
              <w:t>/</w:t>
            </w:r>
          </w:p>
        </w:tc>
      </w:tr>
      <w:tr w14:paraId="3499A52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469954EF">
            <w:pPr>
              <w:pStyle w:val="90"/>
            </w:pPr>
            <w:r>
              <w:rPr>
                <w:rFonts w:hint="eastAsia"/>
              </w:rPr>
              <w:t>累年极端最高气温（℃）</w:t>
            </w:r>
          </w:p>
        </w:tc>
        <w:tc>
          <w:tcPr>
            <w:tcW w:w="977" w:type="pct"/>
            <w:shd w:val="clear" w:color="auto" w:fill="auto"/>
            <w:vAlign w:val="center"/>
          </w:tcPr>
          <w:p w14:paraId="512AC259">
            <w:pPr>
              <w:pStyle w:val="90"/>
            </w:pPr>
            <w:r>
              <w:t>40.7</w:t>
            </w:r>
          </w:p>
        </w:tc>
        <w:tc>
          <w:tcPr>
            <w:tcW w:w="1254" w:type="pct"/>
            <w:shd w:val="clear" w:color="auto" w:fill="auto"/>
            <w:vAlign w:val="center"/>
          </w:tcPr>
          <w:p w14:paraId="2FCBDB90">
            <w:pPr>
              <w:pStyle w:val="90"/>
            </w:pPr>
            <w:r>
              <w:rPr>
                <w:rFonts w:hint="eastAsia"/>
              </w:rPr>
              <w:t>2021.7.5</w:t>
            </w:r>
          </w:p>
        </w:tc>
      </w:tr>
      <w:tr w14:paraId="172BA95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50A375B6">
            <w:pPr>
              <w:pStyle w:val="90"/>
            </w:pPr>
            <w:r>
              <w:rPr>
                <w:rFonts w:hint="eastAsia"/>
              </w:rPr>
              <w:t>累年极端最低气温（℃）</w:t>
            </w:r>
          </w:p>
        </w:tc>
        <w:tc>
          <w:tcPr>
            <w:tcW w:w="977" w:type="pct"/>
            <w:shd w:val="clear" w:color="auto" w:fill="auto"/>
            <w:vAlign w:val="center"/>
          </w:tcPr>
          <w:p w14:paraId="22718698">
            <w:pPr>
              <w:pStyle w:val="90"/>
            </w:pPr>
            <w:r>
              <w:rPr>
                <w:rFonts w:hint="eastAsia"/>
              </w:rPr>
              <w:t>-</w:t>
            </w:r>
            <w:r>
              <w:t>27.3</w:t>
            </w:r>
          </w:p>
        </w:tc>
        <w:tc>
          <w:tcPr>
            <w:tcW w:w="1254" w:type="pct"/>
            <w:shd w:val="clear" w:color="auto" w:fill="auto"/>
            <w:vAlign w:val="center"/>
          </w:tcPr>
          <w:p w14:paraId="581B925E">
            <w:pPr>
              <w:pStyle w:val="90"/>
            </w:pPr>
            <w:r>
              <w:rPr>
                <w:rFonts w:hint="eastAsia"/>
              </w:rPr>
              <w:t>2011.1.7</w:t>
            </w:r>
          </w:p>
        </w:tc>
      </w:tr>
      <w:tr w14:paraId="2B35109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3AD70A82">
            <w:pPr>
              <w:pStyle w:val="90"/>
            </w:pPr>
            <w:r>
              <w:rPr>
                <w:rFonts w:hint="eastAsia"/>
              </w:rPr>
              <w:t>多年平均气压（</w:t>
            </w:r>
            <w:r>
              <w:t>hPa</w:t>
            </w:r>
            <w:r>
              <w:rPr>
                <w:rFonts w:hint="eastAsia"/>
              </w:rPr>
              <w:t>）</w:t>
            </w:r>
          </w:p>
        </w:tc>
        <w:tc>
          <w:tcPr>
            <w:tcW w:w="977" w:type="pct"/>
            <w:shd w:val="clear" w:color="auto" w:fill="auto"/>
            <w:vAlign w:val="center"/>
          </w:tcPr>
          <w:p w14:paraId="337012D9">
            <w:pPr>
              <w:pStyle w:val="90"/>
            </w:pPr>
            <w:r>
              <w:t>900.8</w:t>
            </w:r>
          </w:p>
        </w:tc>
        <w:tc>
          <w:tcPr>
            <w:tcW w:w="1254" w:type="pct"/>
            <w:shd w:val="clear" w:color="auto" w:fill="auto"/>
            <w:vAlign w:val="center"/>
          </w:tcPr>
          <w:p w14:paraId="3EACAA82">
            <w:pPr>
              <w:pStyle w:val="90"/>
            </w:pPr>
            <w:r>
              <w:rPr>
                <w:rFonts w:hint="eastAsia"/>
              </w:rPr>
              <w:t>/</w:t>
            </w:r>
          </w:p>
        </w:tc>
      </w:tr>
      <w:tr w14:paraId="0590D96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2B20932D">
            <w:pPr>
              <w:pStyle w:val="90"/>
            </w:pPr>
            <w:r>
              <w:rPr>
                <w:rFonts w:hint="eastAsia"/>
              </w:rPr>
              <w:t>多年平均相对湿度</w:t>
            </w:r>
            <w:r>
              <w:t>(%)</w:t>
            </w:r>
          </w:p>
        </w:tc>
        <w:tc>
          <w:tcPr>
            <w:tcW w:w="977" w:type="pct"/>
            <w:shd w:val="clear" w:color="auto" w:fill="auto"/>
            <w:vAlign w:val="center"/>
          </w:tcPr>
          <w:p w14:paraId="1C57F600">
            <w:pPr>
              <w:pStyle w:val="90"/>
            </w:pPr>
            <w:r>
              <w:t>63.3</w:t>
            </w:r>
          </w:p>
        </w:tc>
        <w:tc>
          <w:tcPr>
            <w:tcW w:w="1254" w:type="pct"/>
            <w:shd w:val="clear" w:color="auto" w:fill="auto"/>
            <w:vAlign w:val="center"/>
          </w:tcPr>
          <w:p w14:paraId="0E8E08E2">
            <w:pPr>
              <w:pStyle w:val="90"/>
            </w:pPr>
            <w:r>
              <w:rPr>
                <w:rFonts w:hint="eastAsia"/>
              </w:rPr>
              <w:t>/</w:t>
            </w:r>
          </w:p>
        </w:tc>
      </w:tr>
      <w:tr w14:paraId="6FF818B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69159E7E">
            <w:pPr>
              <w:pStyle w:val="90"/>
            </w:pPr>
            <w:r>
              <w:rPr>
                <w:rFonts w:hint="eastAsia"/>
              </w:rPr>
              <w:t>多年平均降雨量</w:t>
            </w:r>
            <w:r>
              <w:t>(mm)</w:t>
            </w:r>
          </w:p>
        </w:tc>
        <w:tc>
          <w:tcPr>
            <w:tcW w:w="977" w:type="pct"/>
            <w:shd w:val="clear" w:color="auto" w:fill="auto"/>
            <w:vAlign w:val="center"/>
          </w:tcPr>
          <w:p w14:paraId="5EE6FDCA">
            <w:pPr>
              <w:pStyle w:val="90"/>
            </w:pPr>
            <w:r>
              <w:t>204.5</w:t>
            </w:r>
          </w:p>
        </w:tc>
        <w:tc>
          <w:tcPr>
            <w:tcW w:w="1254" w:type="pct"/>
            <w:shd w:val="clear" w:color="auto" w:fill="auto"/>
            <w:vAlign w:val="center"/>
          </w:tcPr>
          <w:p w14:paraId="37B23F4D">
            <w:pPr>
              <w:pStyle w:val="90"/>
            </w:pPr>
            <w:r>
              <w:rPr>
                <w:rFonts w:hint="eastAsia"/>
              </w:rPr>
              <w:t>/</w:t>
            </w:r>
          </w:p>
        </w:tc>
      </w:tr>
      <w:tr w14:paraId="42543ED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584DAAAC">
            <w:pPr>
              <w:pStyle w:val="90"/>
            </w:pPr>
            <w:r>
              <w:rPr>
                <w:rFonts w:hint="eastAsia"/>
              </w:rPr>
              <w:t>最小年降雨量</w:t>
            </w:r>
            <w:r>
              <w:t>(mm)</w:t>
            </w:r>
          </w:p>
        </w:tc>
        <w:tc>
          <w:tcPr>
            <w:tcW w:w="977" w:type="pct"/>
            <w:shd w:val="clear" w:color="auto" w:fill="auto"/>
            <w:vAlign w:val="center"/>
          </w:tcPr>
          <w:p w14:paraId="09F09F34">
            <w:pPr>
              <w:pStyle w:val="90"/>
            </w:pPr>
            <w:r>
              <w:t>4</w:t>
            </w:r>
            <w:r>
              <w:rPr>
                <w:rFonts w:hint="eastAsia"/>
              </w:rPr>
              <w:t>8.5</w:t>
            </w:r>
          </w:p>
        </w:tc>
        <w:tc>
          <w:tcPr>
            <w:tcW w:w="1254" w:type="pct"/>
            <w:shd w:val="clear" w:color="auto" w:fill="auto"/>
            <w:vAlign w:val="center"/>
          </w:tcPr>
          <w:p w14:paraId="4BCF64FF">
            <w:pPr>
              <w:pStyle w:val="90"/>
            </w:pPr>
            <w:r>
              <w:rPr>
                <w:rFonts w:hint="eastAsia"/>
              </w:rPr>
              <w:t>2020年</w:t>
            </w:r>
          </w:p>
        </w:tc>
      </w:tr>
      <w:tr w14:paraId="3CB1FE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3C5948F7">
            <w:pPr>
              <w:pStyle w:val="90"/>
            </w:pPr>
            <w:r>
              <w:rPr>
                <w:rFonts w:hint="eastAsia"/>
              </w:rPr>
              <w:t>最大日降雨量</w:t>
            </w:r>
            <w:r>
              <w:t>(mm)</w:t>
            </w:r>
          </w:p>
        </w:tc>
        <w:tc>
          <w:tcPr>
            <w:tcW w:w="977" w:type="pct"/>
            <w:shd w:val="clear" w:color="auto" w:fill="auto"/>
            <w:vAlign w:val="center"/>
          </w:tcPr>
          <w:p w14:paraId="35FDDFCC">
            <w:pPr>
              <w:pStyle w:val="90"/>
            </w:pPr>
            <w:r>
              <w:t>25.5</w:t>
            </w:r>
          </w:p>
        </w:tc>
        <w:tc>
          <w:tcPr>
            <w:tcW w:w="1254" w:type="pct"/>
            <w:shd w:val="clear" w:color="auto" w:fill="auto"/>
            <w:vAlign w:val="center"/>
          </w:tcPr>
          <w:p w14:paraId="43404324">
            <w:pPr>
              <w:pStyle w:val="90"/>
            </w:pPr>
            <w:r>
              <w:rPr>
                <w:rFonts w:hint="eastAsia"/>
              </w:rPr>
              <w:t>2004.7.19</w:t>
            </w:r>
          </w:p>
        </w:tc>
      </w:tr>
      <w:tr w14:paraId="5D0C4C9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70" w:type="pct"/>
            <w:vMerge w:val="restart"/>
            <w:shd w:val="clear" w:color="auto" w:fill="auto"/>
            <w:vAlign w:val="center"/>
          </w:tcPr>
          <w:p w14:paraId="1A62AC7A">
            <w:pPr>
              <w:pStyle w:val="90"/>
            </w:pPr>
            <w:r>
              <w:rPr>
                <w:rFonts w:hint="eastAsia"/>
              </w:rPr>
              <w:t>灾害天气统计</w:t>
            </w:r>
          </w:p>
        </w:tc>
        <w:tc>
          <w:tcPr>
            <w:tcW w:w="1899" w:type="pct"/>
            <w:shd w:val="clear" w:color="auto" w:fill="auto"/>
            <w:vAlign w:val="center"/>
          </w:tcPr>
          <w:p w14:paraId="3868D0C4">
            <w:pPr>
              <w:pStyle w:val="90"/>
            </w:pPr>
            <w:r>
              <w:rPr>
                <w:rFonts w:hint="eastAsia"/>
              </w:rPr>
              <w:t>多年平均沙暴日数</w:t>
            </w:r>
            <w:r>
              <w:t>(d)</w:t>
            </w:r>
          </w:p>
        </w:tc>
        <w:tc>
          <w:tcPr>
            <w:tcW w:w="977" w:type="pct"/>
            <w:shd w:val="clear" w:color="auto" w:fill="auto"/>
            <w:vAlign w:val="center"/>
          </w:tcPr>
          <w:p w14:paraId="25D5520C">
            <w:pPr>
              <w:pStyle w:val="90"/>
            </w:pPr>
            <w:r>
              <w:rPr>
                <w:rFonts w:hint="eastAsia"/>
              </w:rPr>
              <w:t>0</w:t>
            </w:r>
          </w:p>
        </w:tc>
        <w:tc>
          <w:tcPr>
            <w:tcW w:w="1254" w:type="pct"/>
            <w:shd w:val="clear" w:color="auto" w:fill="auto"/>
            <w:vAlign w:val="center"/>
          </w:tcPr>
          <w:p w14:paraId="148F6282">
            <w:pPr>
              <w:pStyle w:val="90"/>
            </w:pPr>
            <w:r>
              <w:rPr>
                <w:rFonts w:hint="eastAsia"/>
              </w:rPr>
              <w:t>/</w:t>
            </w:r>
          </w:p>
        </w:tc>
      </w:tr>
      <w:tr w14:paraId="750EC53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70" w:type="pct"/>
            <w:vMerge w:val="continue"/>
            <w:shd w:val="clear" w:color="auto" w:fill="auto"/>
            <w:vAlign w:val="center"/>
          </w:tcPr>
          <w:p w14:paraId="436B2C10">
            <w:pPr>
              <w:pStyle w:val="90"/>
            </w:pPr>
          </w:p>
        </w:tc>
        <w:tc>
          <w:tcPr>
            <w:tcW w:w="1899" w:type="pct"/>
            <w:shd w:val="clear" w:color="auto" w:fill="auto"/>
            <w:vAlign w:val="center"/>
          </w:tcPr>
          <w:p w14:paraId="68331BCA">
            <w:pPr>
              <w:pStyle w:val="90"/>
            </w:pPr>
            <w:r>
              <w:rPr>
                <w:rFonts w:hint="eastAsia"/>
              </w:rPr>
              <w:t>多年平均雷暴日数</w:t>
            </w:r>
            <w:r>
              <w:t>(d)</w:t>
            </w:r>
          </w:p>
        </w:tc>
        <w:tc>
          <w:tcPr>
            <w:tcW w:w="977" w:type="pct"/>
            <w:shd w:val="clear" w:color="auto" w:fill="auto"/>
            <w:vAlign w:val="center"/>
          </w:tcPr>
          <w:p w14:paraId="09AAD36B">
            <w:pPr>
              <w:pStyle w:val="90"/>
            </w:pPr>
            <w:r>
              <w:t>22.1</w:t>
            </w:r>
          </w:p>
        </w:tc>
        <w:tc>
          <w:tcPr>
            <w:tcW w:w="1254" w:type="pct"/>
            <w:shd w:val="clear" w:color="auto" w:fill="auto"/>
            <w:vAlign w:val="center"/>
          </w:tcPr>
          <w:p w14:paraId="31ED2295">
            <w:pPr>
              <w:pStyle w:val="90"/>
            </w:pPr>
            <w:r>
              <w:rPr>
                <w:rFonts w:hint="eastAsia"/>
              </w:rPr>
              <w:t>/</w:t>
            </w:r>
          </w:p>
        </w:tc>
      </w:tr>
      <w:tr w14:paraId="606CF07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70" w:type="pct"/>
            <w:vMerge w:val="continue"/>
            <w:shd w:val="clear" w:color="auto" w:fill="auto"/>
            <w:vAlign w:val="center"/>
          </w:tcPr>
          <w:p w14:paraId="2B34B419">
            <w:pPr>
              <w:pStyle w:val="90"/>
            </w:pPr>
          </w:p>
        </w:tc>
        <w:tc>
          <w:tcPr>
            <w:tcW w:w="1899" w:type="pct"/>
            <w:shd w:val="clear" w:color="auto" w:fill="auto"/>
            <w:vAlign w:val="center"/>
          </w:tcPr>
          <w:p w14:paraId="04A1249C">
            <w:pPr>
              <w:pStyle w:val="90"/>
            </w:pPr>
            <w:r>
              <w:rPr>
                <w:rFonts w:hint="eastAsia"/>
              </w:rPr>
              <w:t>多年平均冰雹日数</w:t>
            </w:r>
            <w:r>
              <w:t>(d)</w:t>
            </w:r>
          </w:p>
        </w:tc>
        <w:tc>
          <w:tcPr>
            <w:tcW w:w="977" w:type="pct"/>
            <w:shd w:val="clear" w:color="auto" w:fill="auto"/>
            <w:vAlign w:val="center"/>
          </w:tcPr>
          <w:p w14:paraId="62E6C0AF">
            <w:pPr>
              <w:pStyle w:val="90"/>
            </w:pPr>
            <w:r>
              <w:rPr>
                <w:rFonts w:hint="eastAsia"/>
              </w:rPr>
              <w:t>0</w:t>
            </w:r>
          </w:p>
        </w:tc>
        <w:tc>
          <w:tcPr>
            <w:tcW w:w="1254" w:type="pct"/>
            <w:shd w:val="clear" w:color="auto" w:fill="auto"/>
            <w:vAlign w:val="center"/>
          </w:tcPr>
          <w:p w14:paraId="03B05A93">
            <w:pPr>
              <w:pStyle w:val="90"/>
            </w:pPr>
            <w:r>
              <w:rPr>
                <w:rFonts w:hint="eastAsia"/>
              </w:rPr>
              <w:t>/</w:t>
            </w:r>
          </w:p>
        </w:tc>
      </w:tr>
      <w:tr w14:paraId="1ACFCA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870" w:type="pct"/>
            <w:vMerge w:val="continue"/>
            <w:shd w:val="clear" w:color="auto" w:fill="auto"/>
            <w:vAlign w:val="center"/>
          </w:tcPr>
          <w:p w14:paraId="44EFF5A8">
            <w:pPr>
              <w:pStyle w:val="90"/>
            </w:pPr>
          </w:p>
        </w:tc>
        <w:tc>
          <w:tcPr>
            <w:tcW w:w="1899" w:type="pct"/>
            <w:shd w:val="clear" w:color="auto" w:fill="auto"/>
            <w:vAlign w:val="center"/>
          </w:tcPr>
          <w:p w14:paraId="6DA4AC7B">
            <w:pPr>
              <w:pStyle w:val="90"/>
            </w:pPr>
            <w:r>
              <w:rPr>
                <w:rFonts w:hint="eastAsia"/>
              </w:rPr>
              <w:t>多年平均大风日数</w:t>
            </w:r>
            <w:r>
              <w:t>(d)</w:t>
            </w:r>
          </w:p>
        </w:tc>
        <w:tc>
          <w:tcPr>
            <w:tcW w:w="977" w:type="pct"/>
            <w:shd w:val="clear" w:color="auto" w:fill="auto"/>
            <w:vAlign w:val="center"/>
          </w:tcPr>
          <w:p w14:paraId="04F6EF8C">
            <w:pPr>
              <w:pStyle w:val="90"/>
            </w:pPr>
            <w:r>
              <w:rPr>
                <w:rFonts w:hint="eastAsia"/>
              </w:rPr>
              <w:t>2.4</w:t>
            </w:r>
          </w:p>
        </w:tc>
        <w:tc>
          <w:tcPr>
            <w:tcW w:w="1254" w:type="pct"/>
            <w:shd w:val="clear" w:color="auto" w:fill="auto"/>
            <w:vAlign w:val="center"/>
          </w:tcPr>
          <w:p w14:paraId="3EC94947">
            <w:pPr>
              <w:pStyle w:val="90"/>
            </w:pPr>
            <w:r>
              <w:rPr>
                <w:rFonts w:hint="eastAsia"/>
              </w:rPr>
              <w:t>/</w:t>
            </w:r>
          </w:p>
        </w:tc>
      </w:tr>
      <w:tr w14:paraId="43DA1DA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09A15196">
            <w:pPr>
              <w:pStyle w:val="90"/>
            </w:pPr>
            <w:r>
              <w:rPr>
                <w:rFonts w:hint="eastAsia"/>
              </w:rPr>
              <w:t>多年实测极大风速（</w:t>
            </w:r>
            <w:r>
              <w:t>m/s</w:t>
            </w:r>
            <w:r>
              <w:rPr>
                <w:rFonts w:hint="eastAsia"/>
              </w:rPr>
              <w:t>）、相应风向</w:t>
            </w:r>
          </w:p>
        </w:tc>
        <w:tc>
          <w:tcPr>
            <w:tcW w:w="977" w:type="pct"/>
            <w:shd w:val="clear" w:color="auto" w:fill="auto"/>
            <w:vAlign w:val="center"/>
          </w:tcPr>
          <w:p w14:paraId="40AB447D">
            <w:pPr>
              <w:pStyle w:val="90"/>
            </w:pPr>
            <w:r>
              <w:rPr>
                <w:rFonts w:hint="eastAsia"/>
              </w:rPr>
              <w:t>21.9，SW</w:t>
            </w:r>
          </w:p>
        </w:tc>
        <w:tc>
          <w:tcPr>
            <w:tcW w:w="1254" w:type="pct"/>
            <w:shd w:val="clear" w:color="auto" w:fill="auto"/>
            <w:vAlign w:val="center"/>
          </w:tcPr>
          <w:p w14:paraId="1D1A9170">
            <w:pPr>
              <w:pStyle w:val="90"/>
            </w:pPr>
            <w:r>
              <w:rPr>
                <w:rFonts w:hint="eastAsia"/>
              </w:rPr>
              <w:t>2006.5.14</w:t>
            </w:r>
          </w:p>
        </w:tc>
      </w:tr>
      <w:tr w14:paraId="40D9B47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68A980EB">
            <w:pPr>
              <w:pStyle w:val="90"/>
            </w:pPr>
            <w:r>
              <w:rPr>
                <w:rFonts w:hint="eastAsia"/>
              </w:rPr>
              <w:t>多年平均风速（</w:t>
            </w:r>
            <w:r>
              <w:t>m/s</w:t>
            </w:r>
            <w:r>
              <w:rPr>
                <w:rFonts w:hint="eastAsia"/>
              </w:rPr>
              <w:t>）</w:t>
            </w:r>
          </w:p>
        </w:tc>
        <w:tc>
          <w:tcPr>
            <w:tcW w:w="977" w:type="pct"/>
            <w:shd w:val="clear" w:color="auto" w:fill="auto"/>
            <w:vAlign w:val="center"/>
          </w:tcPr>
          <w:p w14:paraId="6C424334">
            <w:pPr>
              <w:pStyle w:val="90"/>
            </w:pPr>
            <w:r>
              <w:t>1.3</w:t>
            </w:r>
          </w:p>
        </w:tc>
        <w:tc>
          <w:tcPr>
            <w:tcW w:w="1254" w:type="pct"/>
            <w:shd w:val="clear" w:color="auto" w:fill="auto"/>
            <w:vAlign w:val="center"/>
          </w:tcPr>
          <w:p w14:paraId="16BB1C5B">
            <w:pPr>
              <w:pStyle w:val="90"/>
            </w:pPr>
            <w:r>
              <w:rPr>
                <w:rFonts w:hint="eastAsia"/>
              </w:rPr>
              <w:t>/</w:t>
            </w:r>
          </w:p>
        </w:tc>
      </w:tr>
      <w:tr w14:paraId="627B4C1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2E7F9652">
            <w:pPr>
              <w:pStyle w:val="90"/>
            </w:pPr>
            <w:r>
              <w:rPr>
                <w:rFonts w:hint="eastAsia"/>
              </w:rPr>
              <w:t>多年主导风向、风向频率</w:t>
            </w:r>
            <w:r>
              <w:t>(%)</w:t>
            </w:r>
          </w:p>
        </w:tc>
        <w:tc>
          <w:tcPr>
            <w:tcW w:w="977" w:type="pct"/>
            <w:shd w:val="clear" w:color="auto" w:fill="auto"/>
            <w:vAlign w:val="center"/>
          </w:tcPr>
          <w:p w14:paraId="22CF573C">
            <w:pPr>
              <w:pStyle w:val="90"/>
            </w:pPr>
            <w:r>
              <w:rPr>
                <w:rFonts w:hint="eastAsia"/>
              </w:rPr>
              <w:t>NE，13.03</w:t>
            </w:r>
          </w:p>
        </w:tc>
        <w:tc>
          <w:tcPr>
            <w:tcW w:w="1254" w:type="pct"/>
            <w:shd w:val="clear" w:color="auto" w:fill="auto"/>
            <w:vAlign w:val="center"/>
          </w:tcPr>
          <w:p w14:paraId="33C151FF">
            <w:pPr>
              <w:pStyle w:val="90"/>
            </w:pPr>
            <w:r>
              <w:rPr>
                <w:rFonts w:hint="eastAsia"/>
              </w:rPr>
              <w:t>/</w:t>
            </w:r>
          </w:p>
        </w:tc>
      </w:tr>
      <w:tr w14:paraId="50F5FA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769" w:type="pct"/>
            <w:gridSpan w:val="2"/>
            <w:shd w:val="clear" w:color="auto" w:fill="auto"/>
            <w:vAlign w:val="center"/>
          </w:tcPr>
          <w:p w14:paraId="2F9801EE">
            <w:pPr>
              <w:pStyle w:val="90"/>
            </w:pPr>
            <w:r>
              <w:rPr>
                <w:rFonts w:hint="eastAsia"/>
              </w:rPr>
              <w:t>多年静风频率</w:t>
            </w:r>
            <w:r>
              <w:t>(</w:t>
            </w:r>
            <w:r>
              <w:rPr>
                <w:rFonts w:hint="eastAsia"/>
              </w:rPr>
              <w:t>风速</w:t>
            </w:r>
            <w:r>
              <w:t>&lt;=0.2m/s)(%)</w:t>
            </w:r>
          </w:p>
        </w:tc>
        <w:tc>
          <w:tcPr>
            <w:tcW w:w="977" w:type="pct"/>
            <w:shd w:val="clear" w:color="auto" w:fill="auto"/>
            <w:vAlign w:val="center"/>
          </w:tcPr>
          <w:p w14:paraId="7AB531B7">
            <w:pPr>
              <w:pStyle w:val="90"/>
            </w:pPr>
            <w:r>
              <w:rPr>
                <w:rFonts w:hint="eastAsia"/>
              </w:rPr>
              <w:t>11.8</w:t>
            </w:r>
          </w:p>
        </w:tc>
        <w:tc>
          <w:tcPr>
            <w:tcW w:w="1254" w:type="pct"/>
            <w:shd w:val="clear" w:color="auto" w:fill="auto"/>
            <w:vAlign w:val="center"/>
          </w:tcPr>
          <w:p w14:paraId="5A61ED76">
            <w:pPr>
              <w:pStyle w:val="90"/>
            </w:pPr>
            <w:r>
              <w:rPr>
                <w:rFonts w:hint="eastAsia"/>
              </w:rPr>
              <w:t>/</w:t>
            </w:r>
          </w:p>
        </w:tc>
      </w:tr>
    </w:tbl>
    <w:p w14:paraId="071EBD6A">
      <w:pPr>
        <w:ind w:firstLine="480"/>
      </w:pPr>
      <w:r>
        <w:rPr>
          <w:rFonts w:hint="eastAsia" w:ascii="宋体" w:hAnsi="宋体" w:cs="宋体"/>
        </w:rPr>
        <w:t>②</w:t>
      </w:r>
      <w:r>
        <w:rPr>
          <w:rFonts w:hint="eastAsia"/>
        </w:rPr>
        <w:t>声源和预测点间的地形、高差；</w:t>
      </w:r>
    </w:p>
    <w:p w14:paraId="6969E22E">
      <w:pPr>
        <w:ind w:firstLine="480"/>
      </w:pPr>
      <w:r>
        <w:rPr>
          <w:rFonts w:hint="eastAsia"/>
        </w:rPr>
        <w:t>本项目在现有厂区范围内建设，声源与预测点间距离较近，地形和海拔高度均一致。</w:t>
      </w:r>
    </w:p>
    <w:p w14:paraId="4F9BABEC">
      <w:pPr>
        <w:ind w:firstLine="480"/>
      </w:pPr>
      <w:r>
        <w:rPr>
          <w:rFonts w:hint="eastAsia" w:ascii="宋体" w:hAnsi="宋体" w:cs="宋体"/>
        </w:rPr>
        <w:t>③</w:t>
      </w:r>
      <w:r>
        <w:rPr>
          <w:rFonts w:hint="eastAsia"/>
        </w:rPr>
        <w:t>声源和预测点间树林、灌木等的分布情况以及地面覆盖情况（如草地、睡眠、水泥地面、土质地面等。）</w:t>
      </w:r>
    </w:p>
    <w:p w14:paraId="51B2E2B7">
      <w:pPr>
        <w:ind w:firstLine="480"/>
        <w:rPr>
          <w:lang w:val="zh-CN"/>
        </w:rPr>
      </w:pPr>
      <w:r>
        <w:rPr>
          <w:rFonts w:hint="eastAsia"/>
        </w:rPr>
        <w:t>本项目声源和预测点间地面覆盖为水泥地面。</w:t>
      </w:r>
    </w:p>
    <w:p w14:paraId="3709BC05">
      <w:pPr>
        <w:pStyle w:val="41"/>
      </w:pPr>
      <w:r>
        <w:rPr>
          <w:rFonts w:hint="eastAsia"/>
        </w:rPr>
        <w:t>预测点和评价点</w:t>
      </w:r>
    </w:p>
    <w:p w14:paraId="04E82763">
      <w:pPr>
        <w:ind w:firstLine="480"/>
        <w:rPr>
          <w:lang w:val="zh-CN"/>
        </w:rPr>
      </w:pPr>
      <w:r>
        <w:rPr>
          <w:rFonts w:hint="eastAsia"/>
          <w:lang w:val="zh-CN"/>
        </w:rPr>
        <w:t>根据声环境导则要求，评价范围内声环境保护目标和建设项目厂界（场界、边界）应作为预测点和评价点。本项目评价范围内无声环境保护目标，因此，将建设项目厂界作为预测和评价点，分别在厂界东、南、西、北处范围1m各设置1个预测和评价点。</w:t>
      </w:r>
    </w:p>
    <w:p w14:paraId="0E9614EB">
      <w:pPr>
        <w:pStyle w:val="43"/>
      </w:pPr>
      <w:bookmarkStart w:id="480" w:name="_Toc152864228"/>
      <w:bookmarkStart w:id="481" w:name="_Toc80973558"/>
      <w:bookmarkStart w:id="482" w:name="_Toc79515503"/>
      <w:bookmarkStart w:id="483" w:name="_Toc81214126"/>
      <w:bookmarkStart w:id="484" w:name="_Toc80193132"/>
      <w:bookmarkStart w:id="485" w:name="_Toc77007830"/>
      <w:bookmarkStart w:id="486" w:name="_Toc82518814"/>
      <w:r>
        <w:rPr>
          <w:rFonts w:hint="eastAsia"/>
        </w:rPr>
        <w:t>预测</w:t>
      </w:r>
      <w:bookmarkEnd w:id="480"/>
      <w:bookmarkEnd w:id="481"/>
      <w:bookmarkEnd w:id="482"/>
      <w:bookmarkEnd w:id="483"/>
      <w:bookmarkEnd w:id="484"/>
      <w:bookmarkEnd w:id="485"/>
      <w:bookmarkEnd w:id="486"/>
      <w:r>
        <w:rPr>
          <w:rFonts w:hint="eastAsia"/>
        </w:rPr>
        <w:t>方法</w:t>
      </w:r>
    </w:p>
    <w:p w14:paraId="323590D9">
      <w:pPr>
        <w:ind w:firstLine="480"/>
      </w:pPr>
      <w:r>
        <w:rPr>
          <w:rFonts w:hint="eastAsia"/>
        </w:rPr>
        <w:t>噪声声源主要划分为室内声源和室外声源，本项目噪声声波在传播过程中，将通过距离衰减，空气吸收衰减到达各预测点。另外，雨、雪、雾和温度梯度等因素忽略不计，作为满足预测精度前提下的一定安全保证值，以保证未来实际噪声环境较预测结果优越。根据《环境影响评价技术导则 声环境》（HJ2.4-20</w:t>
      </w:r>
      <w:r>
        <w:t>21</w:t>
      </w:r>
      <w:r>
        <w:rPr>
          <w:rFonts w:hint="eastAsia"/>
        </w:rPr>
        <w:t>）中的要求，噪声预测使用导则附录A和附录B推荐模式形式进行预测，本项目噪声预测选用的预测模式具体如下：</w:t>
      </w:r>
    </w:p>
    <w:p w14:paraId="5B545CA6">
      <w:pPr>
        <w:ind w:firstLine="480"/>
      </w:pPr>
      <w:r>
        <w:rPr>
          <w:rFonts w:hint="eastAsia"/>
        </w:rPr>
        <w:t>（1）室外声源</w:t>
      </w:r>
    </w:p>
    <w:p w14:paraId="35383A70">
      <w:pPr>
        <w:ind w:firstLine="480"/>
      </w:pPr>
      <w:r>
        <w:rPr>
          <w:rFonts w:hint="eastAsia"/>
        </w:rPr>
        <w:t>设室外声源为I个，预测点为j个，采用倍频带声压级法：</w:t>
      </w:r>
    </w:p>
    <w:p w14:paraId="24657CAC">
      <w:pPr>
        <w:ind w:firstLine="480"/>
      </w:pPr>
      <w:r>
        <w:rPr>
          <w:rFonts w:hint="eastAsia" w:ascii="宋体" w:hAnsi="宋体" w:cs="宋体"/>
        </w:rPr>
        <w:t>①</w:t>
      </w:r>
      <w:r>
        <w:rPr>
          <w:rFonts w:hint="eastAsia"/>
        </w:rPr>
        <w:t>计算第I个噪声源在第j个预测点的倍频带声压级L</w:t>
      </w:r>
      <w:r>
        <w:rPr>
          <w:rFonts w:hint="eastAsia"/>
          <w:vertAlign w:val="subscript"/>
        </w:rPr>
        <w:t>oc（i，j）</w:t>
      </w:r>
      <w:r>
        <w:rPr>
          <w:rFonts w:hint="eastAsia"/>
        </w:rPr>
        <w:t>（r</w:t>
      </w:r>
      <w:r>
        <w:t>0</w:t>
      </w:r>
      <w:r>
        <w:rPr>
          <w:rFonts w:hint="eastAsia"/>
        </w:rPr>
        <w:t>）</w:t>
      </w:r>
    </w:p>
    <w:p w14:paraId="7F6376F5">
      <w:pPr>
        <w:adjustRightInd w:val="0"/>
        <w:snapToGrid w:val="0"/>
        <w:spacing w:line="240" w:lineRule="auto"/>
        <w:ind w:firstLine="0" w:firstLineChars="0"/>
        <w:jc w:val="center"/>
      </w:pPr>
      <w:r>
        <w:rPr>
          <w:position w:val="-12"/>
        </w:rPr>
        <w:object>
          <v:shape id="_x0000_i1030" o:spt="75" type="#_x0000_t75" style="height:18pt;width:279.75pt;" o:ole="t" filled="f" o:preferrelative="t" stroked="f" coordsize="21600,21600">
            <v:path/>
            <v:fill on="f" focussize="0,0"/>
            <v:stroke on="f" joinstyle="miter"/>
            <v:imagedata r:id="rId85" o:title=""/>
            <o:lock v:ext="edit" aspectratio="t"/>
            <w10:wrap type="none"/>
            <w10:anchorlock/>
          </v:shape>
          <o:OLEObject Type="Embed" ProgID="Equation.3" ShapeID="_x0000_i1030" DrawAspect="Content" ObjectID="_1468075730" r:id="rId84">
            <o:LockedField>false</o:LockedField>
          </o:OLEObject>
        </w:object>
      </w:r>
    </w:p>
    <w:p w14:paraId="3519F18D">
      <w:pPr>
        <w:ind w:firstLine="480"/>
      </w:pPr>
      <w:r>
        <w:rPr>
          <w:rFonts w:hint="eastAsia"/>
        </w:rPr>
        <w:t>式中：</w:t>
      </w:r>
    </w:p>
    <w:p w14:paraId="11D4F516">
      <w:pPr>
        <w:ind w:firstLine="480"/>
      </w:pPr>
      <w:r>
        <w:rPr>
          <w:rFonts w:hint="eastAsia"/>
        </w:rPr>
        <w:t>L</w:t>
      </w:r>
      <w:r>
        <w:rPr>
          <w:vertAlign w:val="subscript"/>
        </w:rPr>
        <w:t>octi</w:t>
      </w:r>
      <w:r>
        <w:rPr>
          <w:rFonts w:hint="eastAsia"/>
        </w:rPr>
        <w:t>（r</w:t>
      </w:r>
      <w:r>
        <w:t>0</w:t>
      </w:r>
      <w:r>
        <w:rPr>
          <w:rFonts w:hint="eastAsia"/>
        </w:rPr>
        <w:t>）——第I个噪声源在参考位置r</w:t>
      </w:r>
      <w:r>
        <w:t>0</w:t>
      </w:r>
      <w:r>
        <w:rPr>
          <w:rFonts w:hint="eastAsia"/>
        </w:rPr>
        <w:t>处的倍频带声压级，dB；</w:t>
      </w:r>
    </w:p>
    <w:p w14:paraId="08E961B1">
      <w:pPr>
        <w:ind w:firstLine="480"/>
      </w:pPr>
      <w:r>
        <w:rPr>
          <w:rFonts w:hint="eastAsia"/>
        </w:rPr>
        <w:t>A</w:t>
      </w:r>
      <w:r>
        <w:rPr>
          <w:vertAlign w:val="subscript"/>
        </w:rPr>
        <w:t>octdiv</w:t>
      </w:r>
      <w:r>
        <w:rPr>
          <w:rFonts w:hint="eastAsia"/>
        </w:rPr>
        <w:t>——几何发散引起的倍频带衰减，dB；</w:t>
      </w:r>
    </w:p>
    <w:p w14:paraId="1A5C3D58">
      <w:pPr>
        <w:ind w:firstLine="480"/>
      </w:pPr>
      <w:r>
        <w:rPr>
          <w:rFonts w:hint="eastAsia"/>
        </w:rPr>
        <w:t>A</w:t>
      </w:r>
      <w:r>
        <w:rPr>
          <w:vertAlign w:val="subscript"/>
        </w:rPr>
        <w:t>octatm</w:t>
      </w:r>
      <w:r>
        <w:rPr>
          <w:rFonts w:hint="eastAsia"/>
        </w:rPr>
        <w:t>——大气吸收引起的倍频带衰减，dB；</w:t>
      </w:r>
    </w:p>
    <w:p w14:paraId="5DE9AEB9">
      <w:pPr>
        <w:ind w:firstLine="480"/>
      </w:pPr>
      <w:r>
        <w:rPr>
          <w:rFonts w:hint="eastAsia"/>
        </w:rPr>
        <w:t>A</w:t>
      </w:r>
      <w:r>
        <w:rPr>
          <w:vertAlign w:val="subscript"/>
        </w:rPr>
        <w:t>octbar</w:t>
      </w:r>
      <w:r>
        <w:rPr>
          <w:rFonts w:hint="eastAsia"/>
        </w:rPr>
        <w:t>——声屏障引起的倍频带衰减，dB；</w:t>
      </w:r>
    </w:p>
    <w:p w14:paraId="6F96DCD8">
      <w:pPr>
        <w:ind w:firstLine="480"/>
      </w:pPr>
      <w:r>
        <w:rPr>
          <w:rFonts w:hint="eastAsia"/>
        </w:rPr>
        <w:t>A</w:t>
      </w:r>
      <w:r>
        <w:rPr>
          <w:rFonts w:hint="eastAsia"/>
          <w:vertAlign w:val="subscript"/>
        </w:rPr>
        <w:t>oct</w:t>
      </w:r>
      <w:r>
        <w:rPr>
          <w:vertAlign w:val="subscript"/>
        </w:rPr>
        <w:t>misc</w:t>
      </w:r>
      <w:r>
        <w:rPr>
          <w:rFonts w:hint="eastAsia"/>
        </w:rPr>
        <w:t>——其他多方面效应引起的倍频带衰减，d</w:t>
      </w:r>
      <w:r>
        <w:t>B</w:t>
      </w:r>
      <w:r>
        <w:rPr>
          <w:rFonts w:hint="eastAsia"/>
        </w:rPr>
        <w:t>。</w:t>
      </w:r>
    </w:p>
    <w:p w14:paraId="68F1B0F7">
      <w:pPr>
        <w:ind w:firstLine="480"/>
      </w:pPr>
      <w:r>
        <w:rPr>
          <w:rFonts w:hint="eastAsia"/>
        </w:rPr>
        <w:t>假设一种噪声源的倍频带声功率级为L</w:t>
      </w:r>
      <w:r>
        <w:rPr>
          <w:vertAlign w:val="subscript"/>
        </w:rPr>
        <w:t>wiact</w:t>
      </w:r>
      <w:r>
        <w:rPr>
          <w:rFonts w:hint="eastAsia"/>
        </w:rPr>
        <w:t>，并假设声源位于地面上（半自由场），则：</w:t>
      </w:r>
    </w:p>
    <w:p w14:paraId="38C06EE8">
      <w:pPr>
        <w:adjustRightInd w:val="0"/>
        <w:snapToGrid w:val="0"/>
        <w:spacing w:line="240" w:lineRule="auto"/>
        <w:ind w:firstLine="0" w:firstLineChars="0"/>
        <w:jc w:val="center"/>
      </w:pPr>
      <w:r>
        <w:rPr>
          <w:position w:val="-12"/>
        </w:rPr>
        <w:object>
          <v:shape id="_x0000_i1031" o:spt="75" type="#_x0000_t75" style="height:18pt;width:144pt;" o:ole="t" filled="f" o:preferrelative="t" stroked="f" coordsize="21600,21600">
            <v:path/>
            <v:fill on="f" focussize="0,0"/>
            <v:stroke on="f" joinstyle="miter"/>
            <v:imagedata r:id="rId87" o:title=""/>
            <o:lock v:ext="edit" aspectratio="t"/>
            <w10:wrap type="none"/>
            <w10:anchorlock/>
          </v:shape>
          <o:OLEObject Type="Embed" ProgID="Equation.3" ShapeID="_x0000_i1031" DrawAspect="Content" ObjectID="_1468075731" r:id="rId86">
            <o:LockedField>false</o:LockedField>
          </o:OLEObject>
        </w:object>
      </w:r>
    </w:p>
    <w:p w14:paraId="7439A1B6">
      <w:pPr>
        <w:ind w:firstLine="480"/>
      </w:pPr>
      <w:r>
        <w:rPr>
          <w:rFonts w:hint="eastAsia" w:ascii="宋体" w:hAnsi="宋体" w:cs="宋体"/>
        </w:rPr>
        <w:t>②</w:t>
      </w:r>
      <w:r>
        <w:rPr>
          <w:rFonts w:hint="eastAsia"/>
        </w:rPr>
        <w:t>由上式计算的倍频带声压级合成为A声级，公式如下：</w:t>
      </w:r>
    </w:p>
    <w:p w14:paraId="4A2D66FA">
      <w:pPr>
        <w:adjustRightInd w:val="0"/>
        <w:snapToGrid w:val="0"/>
        <w:spacing w:line="240" w:lineRule="auto"/>
        <w:ind w:firstLine="0" w:firstLineChars="0"/>
        <w:jc w:val="center"/>
      </w:pPr>
      <w:r>
        <w:rPr>
          <w:position w:val="-14"/>
        </w:rPr>
        <w:object>
          <v:shape id="_x0000_i1032" o:spt="75" type="#_x0000_t75" style="height:18.75pt;width:116.25pt;" o:ole="t" filled="f" o:preferrelative="t" stroked="f" coordsize="21600,21600">
            <v:path/>
            <v:fill on="f" focussize="0,0"/>
            <v:stroke on="f" joinstyle="miter"/>
            <v:imagedata r:id="rId89" o:title=""/>
            <o:lock v:ext="edit" aspectratio="t"/>
            <w10:wrap type="none"/>
            <w10:anchorlock/>
          </v:shape>
          <o:OLEObject Type="Embed" ProgID="Equation.3" ShapeID="_x0000_i1032" DrawAspect="Content" ObjectID="_1468075732" r:id="rId88">
            <o:LockedField>false</o:LockedField>
          </o:OLEObject>
        </w:object>
      </w:r>
    </w:p>
    <w:p w14:paraId="07D404E5">
      <w:pPr>
        <w:ind w:firstLine="480"/>
      </w:pPr>
      <w:r>
        <w:rPr>
          <w:rFonts w:hint="eastAsia"/>
        </w:rPr>
        <w:t>（2）室内声源</w:t>
      </w:r>
    </w:p>
    <w:p w14:paraId="76DD47E2">
      <w:pPr>
        <w:ind w:firstLine="480"/>
      </w:pPr>
      <w:r>
        <w:t>假如某厂房内有K个噪声源，对预测点的影响相当于若干个等效室外声源，其计算如下：</w:t>
      </w:r>
    </w:p>
    <w:p w14:paraId="2052D87A">
      <w:pPr>
        <w:ind w:firstLine="480"/>
      </w:pPr>
      <w:r>
        <w:rPr>
          <w:rFonts w:hint="eastAsia" w:ascii="宋体" w:hAnsi="宋体" w:cs="宋体"/>
        </w:rPr>
        <w:t>①</w:t>
      </w:r>
      <w:r>
        <w:t>计算厂房内第I个声源在室内靠近围护结构处的声级</w:t>
      </w:r>
      <w:r>
        <w:rPr>
          <w:rFonts w:hint="eastAsia"/>
        </w:rPr>
        <w:t>L</w:t>
      </w:r>
      <w:r>
        <w:rPr>
          <w:rFonts w:hint="eastAsia"/>
          <w:vertAlign w:val="subscript"/>
        </w:rPr>
        <w:t>pi</w:t>
      </w:r>
      <w:r>
        <w:rPr>
          <w:vertAlign w:val="subscript"/>
        </w:rPr>
        <w:t>1</w:t>
      </w:r>
      <w:r>
        <w:rPr>
          <w:rFonts w:hint="eastAsia"/>
        </w:rPr>
        <w:t>：</w:t>
      </w:r>
    </w:p>
    <w:p w14:paraId="537717A8">
      <w:pPr>
        <w:adjustRightInd w:val="0"/>
        <w:snapToGrid w:val="0"/>
        <w:spacing w:line="240" w:lineRule="auto"/>
        <w:ind w:firstLine="0" w:firstLineChars="0"/>
        <w:jc w:val="center"/>
      </w:pPr>
      <w:r>
        <w:rPr>
          <w:position w:val="-28"/>
        </w:rPr>
        <w:object>
          <v:shape id="_x0000_i1033" o:spt="75" type="#_x0000_t75" style="height:33.75pt;width:141pt;" o:ole="t" filled="f" o:preferrelative="t" stroked="f" coordsize="21600,21600">
            <v:path/>
            <v:fill on="f" focussize="0,0"/>
            <v:stroke on="f" joinstyle="miter"/>
            <v:imagedata r:id="rId91" o:title=""/>
            <o:lock v:ext="edit" aspectratio="t"/>
            <w10:wrap type="none"/>
            <w10:anchorlock/>
          </v:shape>
          <o:OLEObject Type="Embed" ProgID="Equation.3" ShapeID="_x0000_i1033" DrawAspect="Content" ObjectID="_1468075733" r:id="rId90">
            <o:LockedField>false</o:LockedField>
          </o:OLEObject>
        </w:object>
      </w:r>
    </w:p>
    <w:p w14:paraId="2D1F60B2">
      <w:pPr>
        <w:ind w:firstLine="480"/>
      </w:pPr>
      <w:r>
        <w:rPr>
          <w:rFonts w:hint="eastAsia"/>
        </w:rPr>
        <w:t>式中：</w:t>
      </w:r>
    </w:p>
    <w:p w14:paraId="7F1F9A77">
      <w:pPr>
        <w:ind w:firstLine="480"/>
      </w:pPr>
      <w:r>
        <w:rPr>
          <w:rFonts w:hint="eastAsia"/>
        </w:rPr>
        <w:t>L</w:t>
      </w:r>
      <w:r>
        <w:rPr>
          <w:rFonts w:hint="eastAsia"/>
          <w:vertAlign w:val="subscript"/>
        </w:rPr>
        <w:t>wi</w:t>
      </w:r>
      <w:r>
        <w:rPr>
          <w:rFonts w:hint="eastAsia"/>
        </w:rPr>
        <w:t>——该厂房内第i个声源的声功率级；</w:t>
      </w:r>
    </w:p>
    <w:p w14:paraId="7548F92E">
      <w:pPr>
        <w:ind w:firstLine="480"/>
      </w:pPr>
      <w:r>
        <w:rPr>
          <w:rFonts w:hint="eastAsia"/>
        </w:rPr>
        <w:t>Q——声源的方向性因素；</w:t>
      </w:r>
    </w:p>
    <w:p w14:paraId="6CB44EBE">
      <w:pPr>
        <w:ind w:firstLine="480"/>
      </w:pPr>
      <w:r>
        <w:rPr>
          <w:rFonts w:hint="eastAsia"/>
        </w:rPr>
        <w:t>r</w:t>
      </w:r>
      <w:r>
        <w:t>i</w:t>
      </w:r>
      <w:r>
        <w:rPr>
          <w:rFonts w:hint="eastAsia"/>
        </w:rPr>
        <w:t>——室内点声源的距离；</w:t>
      </w:r>
    </w:p>
    <w:p w14:paraId="22E91F12">
      <w:pPr>
        <w:ind w:firstLine="480"/>
      </w:pPr>
      <w:r>
        <w:rPr>
          <w:rFonts w:hint="eastAsia"/>
        </w:rPr>
        <w:t>R——房间常数。</w:t>
      </w:r>
    </w:p>
    <w:p w14:paraId="354D24A5">
      <w:pPr>
        <w:ind w:firstLine="480"/>
      </w:pPr>
      <w:r>
        <w:rPr>
          <w:rFonts w:hint="eastAsia" w:ascii="宋体" w:hAnsi="宋体" w:cs="宋体"/>
        </w:rPr>
        <w:t>②</w:t>
      </w:r>
      <w:r>
        <w:rPr>
          <w:rFonts w:hint="eastAsia"/>
        </w:rPr>
        <w:t>计算厂房内K个声源在靠近围护结构处的声级L</w:t>
      </w:r>
      <w:r>
        <w:rPr>
          <w:rFonts w:hint="eastAsia"/>
          <w:vertAlign w:val="subscript"/>
        </w:rPr>
        <w:t>p</w:t>
      </w:r>
      <w:r>
        <w:rPr>
          <w:vertAlign w:val="subscript"/>
        </w:rPr>
        <w:t>1</w:t>
      </w:r>
      <w:r>
        <w:rPr>
          <w:rFonts w:hint="eastAsia"/>
        </w:rPr>
        <w:t>：</w:t>
      </w:r>
    </w:p>
    <w:p w14:paraId="05C3FE83">
      <w:pPr>
        <w:adjustRightInd w:val="0"/>
        <w:snapToGrid w:val="0"/>
        <w:spacing w:line="240" w:lineRule="auto"/>
        <w:ind w:firstLine="0" w:firstLineChars="0"/>
        <w:jc w:val="center"/>
      </w:pPr>
      <w:r>
        <w:rPr>
          <w:position w:val="-14"/>
        </w:rPr>
        <w:object>
          <v:shape id="_x0000_i1034" o:spt="75" type="#_x0000_t75" style="height:20.25pt;width:113.25pt;" o:ole="t" filled="f" o:preferrelative="t" stroked="f" coordsize="21600,21600">
            <v:path/>
            <v:fill on="f" focussize="0,0"/>
            <v:stroke on="f" joinstyle="miter"/>
            <v:imagedata r:id="rId93" o:title=""/>
            <o:lock v:ext="edit" aspectratio="t"/>
            <w10:wrap type="none"/>
            <w10:anchorlock/>
          </v:shape>
          <o:OLEObject Type="Embed" ProgID="Equation.3" ShapeID="_x0000_i1034" DrawAspect="Content" ObjectID="_1468075734" r:id="rId92">
            <o:LockedField>false</o:LockedField>
          </o:OLEObject>
        </w:object>
      </w:r>
    </w:p>
    <w:p w14:paraId="05BC8206">
      <w:pPr>
        <w:ind w:firstLine="480"/>
        <w:rPr>
          <w:vertAlign w:val="subscript"/>
        </w:rPr>
      </w:pPr>
      <w:r>
        <w:rPr>
          <w:rFonts w:hint="eastAsia" w:ascii="宋体" w:hAnsi="宋体" w:cs="宋体"/>
        </w:rPr>
        <w:t>③</w:t>
      </w:r>
      <w:r>
        <w:rPr>
          <w:rFonts w:hint="eastAsia"/>
        </w:rPr>
        <w:t>计算厂房外靠近围栏结构处的声级L</w:t>
      </w:r>
      <w:r>
        <w:rPr>
          <w:rFonts w:hint="eastAsia"/>
          <w:vertAlign w:val="subscript"/>
        </w:rPr>
        <w:t>p2</w:t>
      </w:r>
    </w:p>
    <w:p w14:paraId="3B57AB01">
      <w:pPr>
        <w:adjustRightInd w:val="0"/>
        <w:snapToGrid w:val="0"/>
        <w:spacing w:line="240" w:lineRule="auto"/>
        <w:ind w:firstLine="0" w:firstLineChars="0"/>
        <w:jc w:val="center"/>
      </w:pPr>
      <w:r>
        <w:rPr>
          <w:position w:val="-14"/>
        </w:rPr>
        <w:object>
          <v:shape id="_x0000_i1035" o:spt="75" type="#_x0000_t75" style="height:18.75pt;width:96.75pt;" o:ole="t" filled="f" o:preferrelative="t" stroked="f" coordsize="21600,21600">
            <v:path/>
            <v:fill on="f" focussize="0,0"/>
            <v:stroke on="f" joinstyle="miter"/>
            <v:imagedata r:id="rId95" o:title=""/>
            <o:lock v:ext="edit" aspectratio="t"/>
            <w10:wrap type="none"/>
            <w10:anchorlock/>
          </v:shape>
          <o:OLEObject Type="Embed" ProgID="Equation.3" ShapeID="_x0000_i1035" DrawAspect="Content" ObjectID="_1468075735" r:id="rId94">
            <o:LockedField>false</o:LockedField>
          </o:OLEObject>
        </w:object>
      </w:r>
    </w:p>
    <w:p w14:paraId="18593CB2">
      <w:pPr>
        <w:ind w:firstLine="480"/>
      </w:pPr>
      <w:r>
        <w:rPr>
          <w:rFonts w:hint="eastAsia"/>
        </w:rPr>
        <w:t>式中：TL——围护结构的传声损失。</w:t>
      </w:r>
    </w:p>
    <w:p w14:paraId="4CAA1ED1">
      <w:pPr>
        <w:ind w:firstLine="480"/>
      </w:pPr>
      <w:r>
        <w:rPr>
          <w:rFonts w:hint="eastAsia" w:ascii="宋体" w:hAnsi="宋体" w:cs="宋体"/>
        </w:rPr>
        <w:t>④</w:t>
      </w:r>
      <w:r>
        <w:rPr>
          <w:rFonts w:hint="eastAsia"/>
        </w:rPr>
        <w:t>把围护结构当做等效室外声源，再根据声级L</w:t>
      </w:r>
      <w:r>
        <w:rPr>
          <w:rFonts w:hint="eastAsia"/>
          <w:vertAlign w:val="subscript"/>
        </w:rPr>
        <w:t>p2</w:t>
      </w:r>
      <w:r>
        <w:rPr>
          <w:rFonts w:hint="eastAsia"/>
        </w:rPr>
        <w:t>和围护结构（一般为门、窗）的面积，计算等效室外的声功率级。</w:t>
      </w:r>
    </w:p>
    <w:p w14:paraId="3DD40AC9">
      <w:pPr>
        <w:ind w:firstLine="480"/>
      </w:pPr>
      <w:r>
        <w:rPr>
          <w:rFonts w:hint="eastAsia" w:ascii="宋体" w:hAnsi="宋体" w:cs="宋体"/>
        </w:rPr>
        <w:t>⑤</w:t>
      </w:r>
      <w:r>
        <w:rPr>
          <w:rFonts w:hint="eastAsia"/>
        </w:rPr>
        <w:t>按照上述室外声源的计算方法，计算该等效室外声源在第i个预测点的声级L</w:t>
      </w:r>
      <w:r>
        <w:rPr>
          <w:rFonts w:hint="eastAsia"/>
          <w:vertAlign w:val="subscript"/>
        </w:rPr>
        <w:t>akj</w:t>
      </w:r>
      <w:r>
        <w:rPr>
          <w:rFonts w:hint="eastAsia"/>
        </w:rPr>
        <w:t>（in）。</w:t>
      </w:r>
    </w:p>
    <w:p w14:paraId="57B6F113">
      <w:pPr>
        <w:ind w:firstLine="480"/>
      </w:pPr>
      <w:r>
        <w:t>（3）总声级</w:t>
      </w:r>
    </w:p>
    <w:p w14:paraId="269E7864">
      <w:pPr>
        <w:ind w:firstLine="480"/>
      </w:pPr>
      <w:r>
        <w:t>将计算总声级和原有背景声级进行能量叠加，得到最终预测噪声级。</w:t>
      </w:r>
    </w:p>
    <w:p w14:paraId="0B7D366B">
      <w:pPr>
        <w:ind w:firstLine="480"/>
      </w:pPr>
      <w:r>
        <w:t>（4）计算受声点的布设</w:t>
      </w:r>
    </w:p>
    <w:p w14:paraId="1A00069F">
      <w:pPr>
        <w:ind w:firstLine="480"/>
      </w:pPr>
      <w:r>
        <w:t>根据工程规模及建设地点环境噪声特点，</w:t>
      </w:r>
      <w:r>
        <w:rPr>
          <w:rFonts w:hint="eastAsia"/>
        </w:rPr>
        <w:t>参照声环境导则</w:t>
      </w:r>
      <w:r>
        <w:t>的有关规定，预测计算影响到厂界范围的声场分布状况，根据预测结果说明项目建成后，对周围声环境</w:t>
      </w:r>
      <w:r>
        <w:rPr>
          <w:rFonts w:hint="eastAsia"/>
        </w:rPr>
        <w:t>的</w:t>
      </w:r>
      <w:r>
        <w:t>影响情况。</w:t>
      </w:r>
    </w:p>
    <w:p w14:paraId="64F50C23">
      <w:pPr>
        <w:pStyle w:val="43"/>
      </w:pPr>
      <w:bookmarkStart w:id="487" w:name="_Toc80193133"/>
      <w:bookmarkStart w:id="488" w:name="_Toc79515504"/>
      <w:bookmarkStart w:id="489" w:name="_Toc152864229"/>
      <w:bookmarkStart w:id="490" w:name="_Toc82518815"/>
      <w:bookmarkStart w:id="491" w:name="_Toc81214127"/>
      <w:bookmarkStart w:id="492" w:name="_Toc80973559"/>
      <w:bookmarkStart w:id="493" w:name="_Toc77007831"/>
      <w:r>
        <w:rPr>
          <w:rFonts w:hint="eastAsia"/>
        </w:rPr>
        <w:t>预测结果</w:t>
      </w:r>
      <w:bookmarkEnd w:id="487"/>
      <w:bookmarkEnd w:id="488"/>
      <w:bookmarkEnd w:id="489"/>
      <w:bookmarkEnd w:id="490"/>
      <w:bookmarkEnd w:id="491"/>
      <w:bookmarkEnd w:id="492"/>
      <w:bookmarkEnd w:id="493"/>
    </w:p>
    <w:p w14:paraId="3348AB55">
      <w:pPr>
        <w:ind w:firstLine="480"/>
      </w:pPr>
      <w:r>
        <w:rPr>
          <w:rFonts w:hint="eastAsia"/>
        </w:rPr>
        <w:t>在本次声环境影响预测与评价中，重点选择与厂界距离较近的噪声源进行预测与评价，本项目的噪声主要为水泵、油泵、风机等机械噪声，噪声源强为9</w:t>
      </w:r>
      <w:r>
        <w:t>0</w:t>
      </w:r>
      <w:r>
        <w:rPr>
          <w:rFonts w:hint="eastAsia"/>
        </w:rPr>
        <w:t>dB（A）。根据室内声源衰减模式，同时结合本项目的建筑物特征，由于吸声、隔声的作用，可使本项目的噪声源强值降低</w:t>
      </w:r>
      <w:r>
        <w:t>20</w:t>
      </w:r>
      <w:r>
        <w:rPr>
          <w:rFonts w:hint="eastAsia"/>
        </w:rPr>
        <w:t>dB（A）。</w:t>
      </w:r>
    </w:p>
    <w:p w14:paraId="0066856A">
      <w:pPr>
        <w:ind w:firstLine="480"/>
      </w:pPr>
      <w:r>
        <w:rPr>
          <w:rFonts w:hint="eastAsia"/>
        </w:rPr>
        <w:t>将本项目整个厂房概化为点源，距离各厂界的距离见表5</w:t>
      </w:r>
      <w:r>
        <w:t>.4-1</w:t>
      </w:r>
      <w:r>
        <w:rPr>
          <w:rFonts w:hint="eastAsia"/>
        </w:rPr>
        <w:t>。</w:t>
      </w:r>
    </w:p>
    <w:p w14:paraId="30CAD8D7">
      <w:pPr>
        <w:ind w:firstLine="480"/>
      </w:pPr>
    </w:p>
    <w:p w14:paraId="4BCEB256">
      <w:pPr>
        <w:pStyle w:val="47"/>
        <w:spacing w:before="0" w:beforeLines="0"/>
      </w:pPr>
      <w:r>
        <w:rPr>
          <w:rFonts w:hint="eastAsia"/>
        </w:rPr>
        <w:t>表5</w:t>
      </w:r>
      <w:r>
        <w:t>.4-1   正常工况下厂界噪声预测结果一览表   单位：dB（A）</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1036"/>
        <w:gridCol w:w="901"/>
        <w:gridCol w:w="969"/>
        <w:gridCol w:w="969"/>
        <w:gridCol w:w="971"/>
        <w:gridCol w:w="973"/>
        <w:gridCol w:w="969"/>
        <w:gridCol w:w="971"/>
        <w:gridCol w:w="971"/>
      </w:tblGrid>
      <w:tr w14:paraId="5478F88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83" w:hRule="atLeast"/>
          <w:jc w:val="center"/>
        </w:trPr>
        <w:tc>
          <w:tcPr>
            <w:tcW w:w="593" w:type="pct"/>
            <w:vMerge w:val="restart"/>
            <w:shd w:val="clear" w:color="auto" w:fill="auto"/>
            <w:vAlign w:val="center"/>
          </w:tcPr>
          <w:p w14:paraId="6F98ECC0">
            <w:pPr>
              <w:adjustRightInd w:val="0"/>
              <w:snapToGrid w:val="0"/>
              <w:spacing w:line="240" w:lineRule="auto"/>
              <w:ind w:firstLine="0" w:firstLineChars="0"/>
              <w:jc w:val="center"/>
              <w:rPr>
                <w:sz w:val="21"/>
                <w:szCs w:val="21"/>
              </w:rPr>
            </w:pPr>
            <w:r>
              <w:rPr>
                <w:sz w:val="21"/>
                <w:szCs w:val="21"/>
              </w:rPr>
              <w:t>厂界</w:t>
            </w:r>
          </w:p>
          <w:p w14:paraId="2ADE122F">
            <w:pPr>
              <w:adjustRightInd w:val="0"/>
              <w:snapToGrid w:val="0"/>
              <w:spacing w:line="240" w:lineRule="auto"/>
              <w:ind w:firstLine="0" w:firstLineChars="0"/>
              <w:jc w:val="center"/>
              <w:rPr>
                <w:sz w:val="21"/>
                <w:szCs w:val="21"/>
              </w:rPr>
            </w:pPr>
            <w:r>
              <w:rPr>
                <w:sz w:val="21"/>
                <w:szCs w:val="21"/>
              </w:rPr>
              <w:t>噪声</w:t>
            </w:r>
          </w:p>
        </w:tc>
        <w:tc>
          <w:tcPr>
            <w:tcW w:w="1071" w:type="pct"/>
            <w:gridSpan w:val="2"/>
            <w:shd w:val="clear" w:color="auto" w:fill="auto"/>
            <w:vAlign w:val="center"/>
          </w:tcPr>
          <w:p w14:paraId="4D83487B">
            <w:pPr>
              <w:adjustRightInd w:val="0"/>
              <w:snapToGrid w:val="0"/>
              <w:spacing w:line="240" w:lineRule="auto"/>
              <w:ind w:firstLine="0" w:firstLineChars="0"/>
              <w:jc w:val="center"/>
              <w:rPr>
                <w:sz w:val="21"/>
                <w:szCs w:val="21"/>
              </w:rPr>
            </w:pPr>
            <w:r>
              <w:rPr>
                <w:sz w:val="21"/>
                <w:szCs w:val="21"/>
              </w:rPr>
              <w:t>东厂界</w:t>
            </w:r>
          </w:p>
        </w:tc>
        <w:tc>
          <w:tcPr>
            <w:tcW w:w="1111" w:type="pct"/>
            <w:gridSpan w:val="2"/>
            <w:shd w:val="clear" w:color="auto" w:fill="auto"/>
            <w:vAlign w:val="center"/>
          </w:tcPr>
          <w:p w14:paraId="31235709">
            <w:pPr>
              <w:adjustRightInd w:val="0"/>
              <w:snapToGrid w:val="0"/>
              <w:spacing w:line="240" w:lineRule="auto"/>
              <w:ind w:firstLine="0" w:firstLineChars="0"/>
              <w:jc w:val="center"/>
              <w:rPr>
                <w:sz w:val="21"/>
                <w:szCs w:val="21"/>
              </w:rPr>
            </w:pPr>
            <w:r>
              <w:rPr>
                <w:sz w:val="21"/>
                <w:szCs w:val="21"/>
              </w:rPr>
              <w:t>南厂界</w:t>
            </w:r>
          </w:p>
        </w:tc>
        <w:tc>
          <w:tcPr>
            <w:tcW w:w="1112" w:type="pct"/>
            <w:gridSpan w:val="2"/>
            <w:shd w:val="clear" w:color="auto" w:fill="auto"/>
            <w:vAlign w:val="center"/>
          </w:tcPr>
          <w:p w14:paraId="29F3222E">
            <w:pPr>
              <w:adjustRightInd w:val="0"/>
              <w:snapToGrid w:val="0"/>
              <w:spacing w:line="240" w:lineRule="auto"/>
              <w:ind w:firstLine="0" w:firstLineChars="0"/>
              <w:jc w:val="center"/>
              <w:rPr>
                <w:sz w:val="21"/>
                <w:szCs w:val="21"/>
              </w:rPr>
            </w:pPr>
            <w:r>
              <w:rPr>
                <w:sz w:val="21"/>
                <w:szCs w:val="21"/>
              </w:rPr>
              <w:t>西厂界</w:t>
            </w:r>
          </w:p>
        </w:tc>
        <w:tc>
          <w:tcPr>
            <w:tcW w:w="1112" w:type="pct"/>
            <w:gridSpan w:val="2"/>
            <w:shd w:val="clear" w:color="auto" w:fill="auto"/>
            <w:vAlign w:val="center"/>
          </w:tcPr>
          <w:p w14:paraId="4CA0558A">
            <w:pPr>
              <w:adjustRightInd w:val="0"/>
              <w:snapToGrid w:val="0"/>
              <w:spacing w:line="240" w:lineRule="auto"/>
              <w:ind w:firstLine="0" w:firstLineChars="0"/>
              <w:jc w:val="center"/>
              <w:rPr>
                <w:sz w:val="21"/>
                <w:szCs w:val="21"/>
              </w:rPr>
            </w:pPr>
            <w:r>
              <w:rPr>
                <w:sz w:val="21"/>
                <w:szCs w:val="21"/>
              </w:rPr>
              <w:t>北厂界</w:t>
            </w:r>
          </w:p>
        </w:tc>
      </w:tr>
      <w:tr w14:paraId="6F1A5CFC">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83" w:hRule="atLeast"/>
          <w:jc w:val="center"/>
        </w:trPr>
        <w:tc>
          <w:tcPr>
            <w:tcW w:w="593" w:type="pct"/>
            <w:vMerge w:val="continue"/>
            <w:shd w:val="clear" w:color="auto" w:fill="auto"/>
            <w:vAlign w:val="center"/>
          </w:tcPr>
          <w:p w14:paraId="560982EB">
            <w:pPr>
              <w:adjustRightInd w:val="0"/>
              <w:snapToGrid w:val="0"/>
              <w:spacing w:line="240" w:lineRule="auto"/>
              <w:ind w:firstLine="0" w:firstLineChars="0"/>
              <w:jc w:val="center"/>
              <w:rPr>
                <w:sz w:val="21"/>
                <w:szCs w:val="21"/>
              </w:rPr>
            </w:pPr>
          </w:p>
        </w:tc>
        <w:tc>
          <w:tcPr>
            <w:tcW w:w="516" w:type="pct"/>
            <w:shd w:val="clear" w:color="auto" w:fill="auto"/>
            <w:vAlign w:val="center"/>
          </w:tcPr>
          <w:p w14:paraId="4F1941C8">
            <w:pPr>
              <w:adjustRightInd w:val="0"/>
              <w:snapToGrid w:val="0"/>
              <w:spacing w:line="240" w:lineRule="auto"/>
              <w:ind w:firstLine="0" w:firstLineChars="0"/>
              <w:jc w:val="center"/>
              <w:rPr>
                <w:sz w:val="21"/>
                <w:szCs w:val="21"/>
              </w:rPr>
            </w:pPr>
            <w:r>
              <w:rPr>
                <w:sz w:val="21"/>
                <w:szCs w:val="21"/>
              </w:rPr>
              <w:t>昼间</w:t>
            </w:r>
          </w:p>
        </w:tc>
        <w:tc>
          <w:tcPr>
            <w:tcW w:w="555" w:type="pct"/>
            <w:shd w:val="clear" w:color="auto" w:fill="auto"/>
            <w:vAlign w:val="center"/>
          </w:tcPr>
          <w:p w14:paraId="75DBA5C1">
            <w:pPr>
              <w:adjustRightInd w:val="0"/>
              <w:snapToGrid w:val="0"/>
              <w:spacing w:line="240" w:lineRule="auto"/>
              <w:ind w:firstLine="0" w:firstLineChars="0"/>
              <w:jc w:val="center"/>
              <w:rPr>
                <w:sz w:val="21"/>
                <w:szCs w:val="21"/>
              </w:rPr>
            </w:pPr>
            <w:r>
              <w:rPr>
                <w:sz w:val="21"/>
                <w:szCs w:val="21"/>
              </w:rPr>
              <w:t>夜间</w:t>
            </w:r>
          </w:p>
        </w:tc>
        <w:tc>
          <w:tcPr>
            <w:tcW w:w="555" w:type="pct"/>
            <w:shd w:val="clear" w:color="auto" w:fill="auto"/>
            <w:vAlign w:val="center"/>
          </w:tcPr>
          <w:p w14:paraId="753ADEBC">
            <w:pPr>
              <w:adjustRightInd w:val="0"/>
              <w:snapToGrid w:val="0"/>
              <w:spacing w:line="240" w:lineRule="auto"/>
              <w:ind w:firstLine="0" w:firstLineChars="0"/>
              <w:jc w:val="center"/>
              <w:rPr>
                <w:sz w:val="21"/>
                <w:szCs w:val="21"/>
              </w:rPr>
            </w:pPr>
            <w:r>
              <w:rPr>
                <w:sz w:val="21"/>
                <w:szCs w:val="21"/>
              </w:rPr>
              <w:t>昼间</w:t>
            </w:r>
          </w:p>
        </w:tc>
        <w:tc>
          <w:tcPr>
            <w:tcW w:w="556" w:type="pct"/>
            <w:shd w:val="clear" w:color="auto" w:fill="auto"/>
            <w:vAlign w:val="center"/>
          </w:tcPr>
          <w:p w14:paraId="5D989FC6">
            <w:pPr>
              <w:adjustRightInd w:val="0"/>
              <w:snapToGrid w:val="0"/>
              <w:spacing w:line="240" w:lineRule="auto"/>
              <w:ind w:firstLine="0" w:firstLineChars="0"/>
              <w:jc w:val="center"/>
              <w:rPr>
                <w:sz w:val="21"/>
                <w:szCs w:val="21"/>
              </w:rPr>
            </w:pPr>
            <w:r>
              <w:rPr>
                <w:sz w:val="21"/>
                <w:szCs w:val="21"/>
              </w:rPr>
              <w:t>夜间</w:t>
            </w:r>
          </w:p>
        </w:tc>
        <w:tc>
          <w:tcPr>
            <w:tcW w:w="557" w:type="pct"/>
            <w:shd w:val="clear" w:color="auto" w:fill="auto"/>
            <w:vAlign w:val="center"/>
          </w:tcPr>
          <w:p w14:paraId="0B16BF7C">
            <w:pPr>
              <w:adjustRightInd w:val="0"/>
              <w:snapToGrid w:val="0"/>
              <w:spacing w:line="240" w:lineRule="auto"/>
              <w:ind w:firstLine="0" w:firstLineChars="0"/>
              <w:jc w:val="center"/>
              <w:rPr>
                <w:sz w:val="21"/>
                <w:szCs w:val="21"/>
              </w:rPr>
            </w:pPr>
            <w:r>
              <w:rPr>
                <w:sz w:val="21"/>
                <w:szCs w:val="21"/>
              </w:rPr>
              <w:t>昼间</w:t>
            </w:r>
          </w:p>
        </w:tc>
        <w:tc>
          <w:tcPr>
            <w:tcW w:w="555" w:type="pct"/>
            <w:shd w:val="clear" w:color="auto" w:fill="auto"/>
            <w:vAlign w:val="center"/>
          </w:tcPr>
          <w:p w14:paraId="61A4FB81">
            <w:pPr>
              <w:adjustRightInd w:val="0"/>
              <w:snapToGrid w:val="0"/>
              <w:spacing w:line="240" w:lineRule="auto"/>
              <w:ind w:firstLine="0" w:firstLineChars="0"/>
              <w:jc w:val="center"/>
              <w:rPr>
                <w:sz w:val="21"/>
                <w:szCs w:val="21"/>
              </w:rPr>
            </w:pPr>
            <w:r>
              <w:rPr>
                <w:sz w:val="21"/>
                <w:szCs w:val="21"/>
              </w:rPr>
              <w:t>夜间</w:t>
            </w:r>
          </w:p>
        </w:tc>
        <w:tc>
          <w:tcPr>
            <w:tcW w:w="556" w:type="pct"/>
            <w:shd w:val="clear" w:color="auto" w:fill="auto"/>
            <w:vAlign w:val="center"/>
          </w:tcPr>
          <w:p w14:paraId="6937287C">
            <w:pPr>
              <w:adjustRightInd w:val="0"/>
              <w:snapToGrid w:val="0"/>
              <w:spacing w:line="240" w:lineRule="auto"/>
              <w:ind w:firstLine="0" w:firstLineChars="0"/>
              <w:jc w:val="center"/>
              <w:rPr>
                <w:sz w:val="21"/>
                <w:szCs w:val="21"/>
              </w:rPr>
            </w:pPr>
            <w:r>
              <w:rPr>
                <w:sz w:val="21"/>
                <w:szCs w:val="21"/>
              </w:rPr>
              <w:t>昼间</w:t>
            </w:r>
          </w:p>
        </w:tc>
        <w:tc>
          <w:tcPr>
            <w:tcW w:w="556" w:type="pct"/>
            <w:shd w:val="clear" w:color="auto" w:fill="auto"/>
            <w:vAlign w:val="center"/>
          </w:tcPr>
          <w:p w14:paraId="73105189">
            <w:pPr>
              <w:adjustRightInd w:val="0"/>
              <w:snapToGrid w:val="0"/>
              <w:spacing w:line="240" w:lineRule="auto"/>
              <w:ind w:firstLine="0" w:firstLineChars="0"/>
              <w:jc w:val="center"/>
              <w:rPr>
                <w:sz w:val="21"/>
                <w:szCs w:val="21"/>
              </w:rPr>
            </w:pPr>
            <w:r>
              <w:rPr>
                <w:sz w:val="21"/>
                <w:szCs w:val="21"/>
              </w:rPr>
              <w:t>夜间</w:t>
            </w:r>
          </w:p>
        </w:tc>
      </w:tr>
      <w:tr w14:paraId="61A2311F">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83" w:hRule="atLeast"/>
          <w:jc w:val="center"/>
        </w:trPr>
        <w:tc>
          <w:tcPr>
            <w:tcW w:w="593" w:type="pct"/>
            <w:shd w:val="clear" w:color="auto" w:fill="auto"/>
            <w:vAlign w:val="center"/>
          </w:tcPr>
          <w:p w14:paraId="785FF7AA">
            <w:pPr>
              <w:adjustRightInd w:val="0"/>
              <w:snapToGrid w:val="0"/>
              <w:spacing w:line="240" w:lineRule="auto"/>
              <w:ind w:firstLine="0" w:firstLineChars="0"/>
              <w:jc w:val="center"/>
              <w:rPr>
                <w:sz w:val="21"/>
                <w:szCs w:val="21"/>
              </w:rPr>
            </w:pPr>
            <w:r>
              <w:rPr>
                <w:sz w:val="21"/>
                <w:szCs w:val="21"/>
              </w:rPr>
              <w:t>贡献值</w:t>
            </w:r>
          </w:p>
        </w:tc>
        <w:tc>
          <w:tcPr>
            <w:tcW w:w="516" w:type="pct"/>
            <w:shd w:val="clear" w:color="auto" w:fill="auto"/>
            <w:vAlign w:val="center"/>
          </w:tcPr>
          <w:p w14:paraId="39AD9EFA">
            <w:pPr>
              <w:adjustRightInd w:val="0"/>
              <w:snapToGrid w:val="0"/>
              <w:spacing w:line="240" w:lineRule="auto"/>
              <w:ind w:firstLine="0" w:firstLineChars="0"/>
              <w:jc w:val="center"/>
              <w:rPr>
                <w:sz w:val="21"/>
                <w:szCs w:val="21"/>
              </w:rPr>
            </w:pPr>
            <w:r>
              <w:rPr>
                <w:rFonts w:hint="eastAsia"/>
                <w:sz w:val="21"/>
                <w:szCs w:val="21"/>
              </w:rPr>
              <w:t>4</w:t>
            </w:r>
            <w:r>
              <w:rPr>
                <w:sz w:val="21"/>
                <w:szCs w:val="21"/>
              </w:rPr>
              <w:t>6.5</w:t>
            </w:r>
          </w:p>
        </w:tc>
        <w:tc>
          <w:tcPr>
            <w:tcW w:w="555" w:type="pct"/>
            <w:shd w:val="clear" w:color="auto" w:fill="auto"/>
            <w:vAlign w:val="center"/>
          </w:tcPr>
          <w:p w14:paraId="0E0557F9">
            <w:pPr>
              <w:adjustRightInd w:val="0"/>
              <w:snapToGrid w:val="0"/>
              <w:spacing w:line="240" w:lineRule="auto"/>
              <w:ind w:firstLine="0" w:firstLineChars="0"/>
              <w:jc w:val="center"/>
              <w:rPr>
                <w:sz w:val="21"/>
                <w:szCs w:val="21"/>
              </w:rPr>
            </w:pPr>
            <w:r>
              <w:rPr>
                <w:rFonts w:hint="eastAsia"/>
                <w:sz w:val="21"/>
                <w:szCs w:val="21"/>
              </w:rPr>
              <w:t>4</w:t>
            </w:r>
            <w:r>
              <w:rPr>
                <w:sz w:val="21"/>
                <w:szCs w:val="21"/>
              </w:rPr>
              <w:t>6.5</w:t>
            </w:r>
          </w:p>
        </w:tc>
        <w:tc>
          <w:tcPr>
            <w:tcW w:w="555" w:type="pct"/>
            <w:shd w:val="clear" w:color="auto" w:fill="auto"/>
            <w:vAlign w:val="center"/>
          </w:tcPr>
          <w:p w14:paraId="5A7DDB86">
            <w:pPr>
              <w:adjustRightInd w:val="0"/>
              <w:snapToGrid w:val="0"/>
              <w:spacing w:line="240" w:lineRule="auto"/>
              <w:ind w:firstLine="0" w:firstLineChars="0"/>
              <w:jc w:val="center"/>
              <w:rPr>
                <w:sz w:val="21"/>
                <w:szCs w:val="21"/>
              </w:rPr>
            </w:pPr>
            <w:r>
              <w:rPr>
                <w:rFonts w:hint="eastAsia"/>
                <w:sz w:val="21"/>
                <w:szCs w:val="21"/>
              </w:rPr>
              <w:t>4</w:t>
            </w:r>
            <w:r>
              <w:rPr>
                <w:sz w:val="21"/>
                <w:szCs w:val="21"/>
              </w:rPr>
              <w:t>3.9</w:t>
            </w:r>
          </w:p>
        </w:tc>
        <w:tc>
          <w:tcPr>
            <w:tcW w:w="556" w:type="pct"/>
            <w:shd w:val="clear" w:color="auto" w:fill="auto"/>
            <w:vAlign w:val="center"/>
          </w:tcPr>
          <w:p w14:paraId="04280CC9">
            <w:pPr>
              <w:adjustRightInd w:val="0"/>
              <w:snapToGrid w:val="0"/>
              <w:spacing w:line="240" w:lineRule="auto"/>
              <w:ind w:firstLine="0" w:firstLineChars="0"/>
              <w:jc w:val="center"/>
              <w:rPr>
                <w:sz w:val="21"/>
                <w:szCs w:val="21"/>
              </w:rPr>
            </w:pPr>
            <w:r>
              <w:rPr>
                <w:rFonts w:hint="eastAsia"/>
                <w:sz w:val="21"/>
                <w:szCs w:val="21"/>
              </w:rPr>
              <w:t>4</w:t>
            </w:r>
            <w:r>
              <w:rPr>
                <w:sz w:val="21"/>
                <w:szCs w:val="21"/>
              </w:rPr>
              <w:t>3.9</w:t>
            </w:r>
          </w:p>
        </w:tc>
        <w:tc>
          <w:tcPr>
            <w:tcW w:w="557" w:type="pct"/>
            <w:shd w:val="clear" w:color="auto" w:fill="auto"/>
            <w:vAlign w:val="center"/>
          </w:tcPr>
          <w:p w14:paraId="48DEBB24">
            <w:pPr>
              <w:adjustRightInd w:val="0"/>
              <w:snapToGrid w:val="0"/>
              <w:spacing w:line="240" w:lineRule="auto"/>
              <w:ind w:firstLine="0" w:firstLineChars="0"/>
              <w:jc w:val="center"/>
              <w:rPr>
                <w:sz w:val="21"/>
                <w:szCs w:val="21"/>
              </w:rPr>
            </w:pPr>
            <w:r>
              <w:rPr>
                <w:rFonts w:hint="eastAsia"/>
                <w:sz w:val="21"/>
                <w:szCs w:val="21"/>
              </w:rPr>
              <w:t>4</w:t>
            </w:r>
            <w:r>
              <w:rPr>
                <w:sz w:val="21"/>
                <w:szCs w:val="21"/>
              </w:rPr>
              <w:t>5.1</w:t>
            </w:r>
          </w:p>
        </w:tc>
        <w:tc>
          <w:tcPr>
            <w:tcW w:w="555" w:type="pct"/>
            <w:shd w:val="clear" w:color="auto" w:fill="auto"/>
            <w:vAlign w:val="center"/>
          </w:tcPr>
          <w:p w14:paraId="5274A575">
            <w:pPr>
              <w:adjustRightInd w:val="0"/>
              <w:snapToGrid w:val="0"/>
              <w:spacing w:line="240" w:lineRule="auto"/>
              <w:ind w:firstLine="0" w:firstLineChars="0"/>
              <w:jc w:val="center"/>
              <w:rPr>
                <w:sz w:val="21"/>
                <w:szCs w:val="21"/>
              </w:rPr>
            </w:pPr>
            <w:r>
              <w:rPr>
                <w:rFonts w:hint="eastAsia"/>
                <w:sz w:val="21"/>
                <w:szCs w:val="21"/>
              </w:rPr>
              <w:t>4</w:t>
            </w:r>
            <w:r>
              <w:rPr>
                <w:sz w:val="21"/>
                <w:szCs w:val="21"/>
              </w:rPr>
              <w:t>5.1</w:t>
            </w:r>
          </w:p>
        </w:tc>
        <w:tc>
          <w:tcPr>
            <w:tcW w:w="556" w:type="pct"/>
            <w:shd w:val="clear" w:color="auto" w:fill="auto"/>
            <w:vAlign w:val="center"/>
          </w:tcPr>
          <w:p w14:paraId="6884339D">
            <w:pPr>
              <w:adjustRightInd w:val="0"/>
              <w:snapToGrid w:val="0"/>
              <w:spacing w:line="240" w:lineRule="auto"/>
              <w:ind w:firstLine="0" w:firstLineChars="0"/>
              <w:jc w:val="center"/>
              <w:rPr>
                <w:sz w:val="21"/>
                <w:szCs w:val="21"/>
              </w:rPr>
            </w:pPr>
            <w:r>
              <w:rPr>
                <w:rFonts w:hint="eastAsia"/>
                <w:sz w:val="21"/>
                <w:szCs w:val="21"/>
              </w:rPr>
              <w:t>4</w:t>
            </w:r>
            <w:r>
              <w:rPr>
                <w:sz w:val="21"/>
                <w:szCs w:val="21"/>
              </w:rPr>
              <w:t>8.1</w:t>
            </w:r>
          </w:p>
        </w:tc>
        <w:tc>
          <w:tcPr>
            <w:tcW w:w="556" w:type="pct"/>
            <w:shd w:val="clear" w:color="auto" w:fill="auto"/>
            <w:vAlign w:val="center"/>
          </w:tcPr>
          <w:p w14:paraId="7B70804A">
            <w:pPr>
              <w:adjustRightInd w:val="0"/>
              <w:snapToGrid w:val="0"/>
              <w:spacing w:line="240" w:lineRule="auto"/>
              <w:ind w:firstLine="0" w:firstLineChars="0"/>
              <w:jc w:val="center"/>
              <w:rPr>
                <w:sz w:val="21"/>
                <w:szCs w:val="21"/>
              </w:rPr>
            </w:pPr>
            <w:r>
              <w:rPr>
                <w:rFonts w:hint="eastAsia"/>
                <w:sz w:val="21"/>
                <w:szCs w:val="21"/>
              </w:rPr>
              <w:t>4</w:t>
            </w:r>
            <w:r>
              <w:rPr>
                <w:sz w:val="21"/>
                <w:szCs w:val="21"/>
              </w:rPr>
              <w:t>8.1</w:t>
            </w:r>
          </w:p>
        </w:tc>
      </w:tr>
      <w:tr w14:paraId="6152B08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83" w:hRule="atLeast"/>
          <w:jc w:val="center"/>
        </w:trPr>
        <w:tc>
          <w:tcPr>
            <w:tcW w:w="593" w:type="pct"/>
            <w:shd w:val="clear" w:color="auto" w:fill="auto"/>
            <w:vAlign w:val="center"/>
          </w:tcPr>
          <w:p w14:paraId="71B7E208">
            <w:pPr>
              <w:adjustRightInd w:val="0"/>
              <w:snapToGrid w:val="0"/>
              <w:spacing w:line="240" w:lineRule="auto"/>
              <w:ind w:firstLine="0" w:firstLineChars="0"/>
              <w:jc w:val="center"/>
              <w:rPr>
                <w:sz w:val="21"/>
                <w:szCs w:val="21"/>
              </w:rPr>
            </w:pPr>
            <w:r>
              <w:rPr>
                <w:sz w:val="21"/>
                <w:szCs w:val="21"/>
              </w:rPr>
              <w:t>标准值</w:t>
            </w:r>
          </w:p>
        </w:tc>
        <w:tc>
          <w:tcPr>
            <w:tcW w:w="516" w:type="pct"/>
            <w:shd w:val="clear" w:color="auto" w:fill="auto"/>
            <w:vAlign w:val="center"/>
          </w:tcPr>
          <w:p w14:paraId="5A26E2A7">
            <w:pPr>
              <w:adjustRightInd w:val="0"/>
              <w:snapToGrid w:val="0"/>
              <w:spacing w:line="240" w:lineRule="auto"/>
              <w:ind w:firstLine="0" w:firstLineChars="0"/>
              <w:jc w:val="center"/>
              <w:rPr>
                <w:rFonts w:eastAsia="Times New Roman"/>
                <w:sz w:val="21"/>
                <w:szCs w:val="21"/>
              </w:rPr>
            </w:pPr>
            <w:r>
              <w:rPr>
                <w:sz w:val="21"/>
                <w:szCs w:val="21"/>
              </w:rPr>
              <w:t>65</w:t>
            </w:r>
          </w:p>
        </w:tc>
        <w:tc>
          <w:tcPr>
            <w:tcW w:w="555" w:type="pct"/>
            <w:shd w:val="clear" w:color="auto" w:fill="auto"/>
            <w:vAlign w:val="center"/>
          </w:tcPr>
          <w:p w14:paraId="176A5AE9">
            <w:pPr>
              <w:adjustRightInd w:val="0"/>
              <w:snapToGrid w:val="0"/>
              <w:spacing w:line="240" w:lineRule="auto"/>
              <w:ind w:firstLine="0" w:firstLineChars="0"/>
              <w:jc w:val="center"/>
              <w:rPr>
                <w:rFonts w:eastAsia="Times New Roman"/>
                <w:sz w:val="21"/>
                <w:szCs w:val="21"/>
              </w:rPr>
            </w:pPr>
            <w:r>
              <w:rPr>
                <w:sz w:val="21"/>
                <w:szCs w:val="21"/>
              </w:rPr>
              <w:t>55</w:t>
            </w:r>
          </w:p>
        </w:tc>
        <w:tc>
          <w:tcPr>
            <w:tcW w:w="555" w:type="pct"/>
            <w:shd w:val="clear" w:color="auto" w:fill="auto"/>
            <w:vAlign w:val="center"/>
          </w:tcPr>
          <w:p w14:paraId="1D614AD3">
            <w:pPr>
              <w:adjustRightInd w:val="0"/>
              <w:snapToGrid w:val="0"/>
              <w:spacing w:line="240" w:lineRule="auto"/>
              <w:ind w:firstLine="0" w:firstLineChars="0"/>
              <w:jc w:val="center"/>
              <w:rPr>
                <w:rFonts w:eastAsia="Times New Roman"/>
                <w:sz w:val="21"/>
                <w:szCs w:val="21"/>
              </w:rPr>
            </w:pPr>
            <w:r>
              <w:rPr>
                <w:sz w:val="21"/>
                <w:szCs w:val="21"/>
              </w:rPr>
              <w:t>65</w:t>
            </w:r>
          </w:p>
        </w:tc>
        <w:tc>
          <w:tcPr>
            <w:tcW w:w="556" w:type="pct"/>
            <w:shd w:val="clear" w:color="auto" w:fill="auto"/>
            <w:vAlign w:val="center"/>
          </w:tcPr>
          <w:p w14:paraId="2079C1D5">
            <w:pPr>
              <w:adjustRightInd w:val="0"/>
              <w:snapToGrid w:val="0"/>
              <w:spacing w:line="240" w:lineRule="auto"/>
              <w:ind w:firstLine="0" w:firstLineChars="0"/>
              <w:jc w:val="center"/>
              <w:rPr>
                <w:rFonts w:eastAsia="Times New Roman"/>
                <w:sz w:val="21"/>
                <w:szCs w:val="21"/>
              </w:rPr>
            </w:pPr>
            <w:r>
              <w:rPr>
                <w:sz w:val="21"/>
                <w:szCs w:val="21"/>
              </w:rPr>
              <w:t>55</w:t>
            </w:r>
          </w:p>
        </w:tc>
        <w:tc>
          <w:tcPr>
            <w:tcW w:w="557" w:type="pct"/>
            <w:shd w:val="clear" w:color="auto" w:fill="auto"/>
            <w:vAlign w:val="center"/>
          </w:tcPr>
          <w:p w14:paraId="6068816A">
            <w:pPr>
              <w:adjustRightInd w:val="0"/>
              <w:snapToGrid w:val="0"/>
              <w:spacing w:line="240" w:lineRule="auto"/>
              <w:ind w:firstLine="0" w:firstLineChars="0"/>
              <w:jc w:val="center"/>
              <w:rPr>
                <w:rFonts w:eastAsia="Times New Roman"/>
                <w:sz w:val="21"/>
                <w:szCs w:val="21"/>
              </w:rPr>
            </w:pPr>
            <w:r>
              <w:rPr>
                <w:sz w:val="21"/>
                <w:szCs w:val="21"/>
              </w:rPr>
              <w:t>65</w:t>
            </w:r>
          </w:p>
        </w:tc>
        <w:tc>
          <w:tcPr>
            <w:tcW w:w="555" w:type="pct"/>
            <w:shd w:val="clear" w:color="auto" w:fill="auto"/>
            <w:vAlign w:val="center"/>
          </w:tcPr>
          <w:p w14:paraId="4223D793">
            <w:pPr>
              <w:adjustRightInd w:val="0"/>
              <w:snapToGrid w:val="0"/>
              <w:spacing w:line="240" w:lineRule="auto"/>
              <w:ind w:firstLine="0" w:firstLineChars="0"/>
              <w:jc w:val="center"/>
              <w:rPr>
                <w:rFonts w:eastAsia="Times New Roman"/>
                <w:sz w:val="21"/>
                <w:szCs w:val="21"/>
              </w:rPr>
            </w:pPr>
            <w:r>
              <w:rPr>
                <w:sz w:val="21"/>
                <w:szCs w:val="21"/>
              </w:rPr>
              <w:t>55</w:t>
            </w:r>
          </w:p>
        </w:tc>
        <w:tc>
          <w:tcPr>
            <w:tcW w:w="556" w:type="pct"/>
            <w:shd w:val="clear" w:color="auto" w:fill="auto"/>
            <w:vAlign w:val="center"/>
          </w:tcPr>
          <w:p w14:paraId="37E58C29">
            <w:pPr>
              <w:adjustRightInd w:val="0"/>
              <w:snapToGrid w:val="0"/>
              <w:spacing w:line="240" w:lineRule="auto"/>
              <w:ind w:firstLine="0" w:firstLineChars="0"/>
              <w:jc w:val="center"/>
              <w:rPr>
                <w:rFonts w:eastAsia="Times New Roman"/>
                <w:sz w:val="21"/>
                <w:szCs w:val="21"/>
              </w:rPr>
            </w:pPr>
            <w:r>
              <w:rPr>
                <w:sz w:val="21"/>
                <w:szCs w:val="21"/>
              </w:rPr>
              <w:t>65</w:t>
            </w:r>
          </w:p>
        </w:tc>
        <w:tc>
          <w:tcPr>
            <w:tcW w:w="556" w:type="pct"/>
            <w:shd w:val="clear" w:color="auto" w:fill="auto"/>
            <w:vAlign w:val="center"/>
          </w:tcPr>
          <w:p w14:paraId="2D0C7C29">
            <w:pPr>
              <w:adjustRightInd w:val="0"/>
              <w:snapToGrid w:val="0"/>
              <w:spacing w:line="240" w:lineRule="auto"/>
              <w:ind w:firstLine="0" w:firstLineChars="0"/>
              <w:jc w:val="center"/>
              <w:rPr>
                <w:rFonts w:eastAsia="Times New Roman"/>
                <w:sz w:val="21"/>
                <w:szCs w:val="21"/>
              </w:rPr>
            </w:pPr>
            <w:r>
              <w:rPr>
                <w:sz w:val="21"/>
                <w:szCs w:val="21"/>
              </w:rPr>
              <w:t>55</w:t>
            </w:r>
          </w:p>
        </w:tc>
      </w:tr>
      <w:tr w14:paraId="211BAFA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83" w:hRule="atLeast"/>
          <w:jc w:val="center"/>
        </w:trPr>
        <w:tc>
          <w:tcPr>
            <w:tcW w:w="593" w:type="pct"/>
            <w:shd w:val="clear" w:color="auto" w:fill="auto"/>
            <w:vAlign w:val="center"/>
          </w:tcPr>
          <w:p w14:paraId="50E2B79B">
            <w:pPr>
              <w:adjustRightInd w:val="0"/>
              <w:snapToGrid w:val="0"/>
              <w:spacing w:line="240" w:lineRule="auto"/>
              <w:ind w:firstLine="0" w:firstLineChars="0"/>
              <w:jc w:val="center"/>
              <w:rPr>
                <w:sz w:val="21"/>
                <w:szCs w:val="21"/>
              </w:rPr>
            </w:pPr>
            <w:r>
              <w:rPr>
                <w:sz w:val="21"/>
                <w:szCs w:val="21"/>
              </w:rPr>
              <w:t>是否超标</w:t>
            </w:r>
          </w:p>
        </w:tc>
        <w:tc>
          <w:tcPr>
            <w:tcW w:w="516" w:type="pct"/>
            <w:shd w:val="clear" w:color="auto" w:fill="auto"/>
            <w:vAlign w:val="center"/>
          </w:tcPr>
          <w:p w14:paraId="06981403">
            <w:pPr>
              <w:adjustRightInd w:val="0"/>
              <w:snapToGrid w:val="0"/>
              <w:spacing w:line="240" w:lineRule="auto"/>
              <w:ind w:firstLine="0" w:firstLineChars="0"/>
              <w:jc w:val="center"/>
              <w:rPr>
                <w:sz w:val="21"/>
                <w:szCs w:val="21"/>
              </w:rPr>
            </w:pPr>
            <w:r>
              <w:rPr>
                <w:sz w:val="21"/>
                <w:szCs w:val="21"/>
              </w:rPr>
              <w:t>否</w:t>
            </w:r>
          </w:p>
        </w:tc>
        <w:tc>
          <w:tcPr>
            <w:tcW w:w="555" w:type="pct"/>
            <w:shd w:val="clear" w:color="auto" w:fill="auto"/>
            <w:vAlign w:val="center"/>
          </w:tcPr>
          <w:p w14:paraId="50345E42">
            <w:pPr>
              <w:adjustRightInd w:val="0"/>
              <w:snapToGrid w:val="0"/>
              <w:spacing w:line="240" w:lineRule="auto"/>
              <w:ind w:firstLine="0" w:firstLineChars="0"/>
              <w:jc w:val="center"/>
              <w:rPr>
                <w:sz w:val="21"/>
                <w:szCs w:val="21"/>
              </w:rPr>
            </w:pPr>
            <w:r>
              <w:rPr>
                <w:sz w:val="21"/>
                <w:szCs w:val="21"/>
              </w:rPr>
              <w:t>否</w:t>
            </w:r>
          </w:p>
        </w:tc>
        <w:tc>
          <w:tcPr>
            <w:tcW w:w="555" w:type="pct"/>
            <w:shd w:val="clear" w:color="auto" w:fill="auto"/>
            <w:vAlign w:val="center"/>
          </w:tcPr>
          <w:p w14:paraId="13561BEA">
            <w:pPr>
              <w:adjustRightInd w:val="0"/>
              <w:snapToGrid w:val="0"/>
              <w:spacing w:line="240" w:lineRule="auto"/>
              <w:ind w:firstLine="0" w:firstLineChars="0"/>
              <w:jc w:val="center"/>
              <w:rPr>
                <w:sz w:val="21"/>
                <w:szCs w:val="21"/>
              </w:rPr>
            </w:pPr>
            <w:r>
              <w:rPr>
                <w:sz w:val="21"/>
                <w:szCs w:val="21"/>
              </w:rPr>
              <w:t>否</w:t>
            </w:r>
          </w:p>
        </w:tc>
        <w:tc>
          <w:tcPr>
            <w:tcW w:w="556" w:type="pct"/>
            <w:shd w:val="clear" w:color="auto" w:fill="auto"/>
            <w:vAlign w:val="center"/>
          </w:tcPr>
          <w:p w14:paraId="666008C7">
            <w:pPr>
              <w:adjustRightInd w:val="0"/>
              <w:snapToGrid w:val="0"/>
              <w:spacing w:line="240" w:lineRule="auto"/>
              <w:ind w:firstLine="0" w:firstLineChars="0"/>
              <w:jc w:val="center"/>
              <w:rPr>
                <w:sz w:val="21"/>
                <w:szCs w:val="21"/>
              </w:rPr>
            </w:pPr>
            <w:r>
              <w:rPr>
                <w:sz w:val="21"/>
                <w:szCs w:val="21"/>
              </w:rPr>
              <w:t>否</w:t>
            </w:r>
          </w:p>
        </w:tc>
        <w:tc>
          <w:tcPr>
            <w:tcW w:w="557" w:type="pct"/>
            <w:shd w:val="clear" w:color="auto" w:fill="auto"/>
            <w:vAlign w:val="center"/>
          </w:tcPr>
          <w:p w14:paraId="653BD42D">
            <w:pPr>
              <w:adjustRightInd w:val="0"/>
              <w:snapToGrid w:val="0"/>
              <w:spacing w:line="240" w:lineRule="auto"/>
              <w:ind w:firstLine="0" w:firstLineChars="0"/>
              <w:jc w:val="center"/>
              <w:rPr>
                <w:sz w:val="21"/>
                <w:szCs w:val="21"/>
              </w:rPr>
            </w:pPr>
            <w:r>
              <w:rPr>
                <w:sz w:val="21"/>
                <w:szCs w:val="21"/>
              </w:rPr>
              <w:t>否</w:t>
            </w:r>
          </w:p>
        </w:tc>
        <w:tc>
          <w:tcPr>
            <w:tcW w:w="555" w:type="pct"/>
            <w:shd w:val="clear" w:color="auto" w:fill="auto"/>
            <w:vAlign w:val="center"/>
          </w:tcPr>
          <w:p w14:paraId="7167452A">
            <w:pPr>
              <w:adjustRightInd w:val="0"/>
              <w:snapToGrid w:val="0"/>
              <w:spacing w:line="240" w:lineRule="auto"/>
              <w:ind w:firstLine="0" w:firstLineChars="0"/>
              <w:jc w:val="center"/>
              <w:rPr>
                <w:sz w:val="21"/>
                <w:szCs w:val="21"/>
              </w:rPr>
            </w:pPr>
            <w:r>
              <w:rPr>
                <w:sz w:val="21"/>
                <w:szCs w:val="21"/>
              </w:rPr>
              <w:t>否</w:t>
            </w:r>
          </w:p>
        </w:tc>
        <w:tc>
          <w:tcPr>
            <w:tcW w:w="556" w:type="pct"/>
            <w:shd w:val="clear" w:color="auto" w:fill="auto"/>
            <w:vAlign w:val="center"/>
          </w:tcPr>
          <w:p w14:paraId="04B49FAA">
            <w:pPr>
              <w:adjustRightInd w:val="0"/>
              <w:snapToGrid w:val="0"/>
              <w:spacing w:line="240" w:lineRule="auto"/>
              <w:ind w:firstLine="0" w:firstLineChars="0"/>
              <w:jc w:val="center"/>
              <w:rPr>
                <w:sz w:val="21"/>
                <w:szCs w:val="21"/>
              </w:rPr>
            </w:pPr>
            <w:r>
              <w:rPr>
                <w:sz w:val="21"/>
                <w:szCs w:val="21"/>
              </w:rPr>
              <w:t>否</w:t>
            </w:r>
          </w:p>
        </w:tc>
        <w:tc>
          <w:tcPr>
            <w:tcW w:w="556" w:type="pct"/>
            <w:shd w:val="clear" w:color="auto" w:fill="auto"/>
            <w:vAlign w:val="center"/>
          </w:tcPr>
          <w:p w14:paraId="550DA89A">
            <w:pPr>
              <w:adjustRightInd w:val="0"/>
              <w:snapToGrid w:val="0"/>
              <w:spacing w:line="240" w:lineRule="auto"/>
              <w:ind w:firstLine="0" w:firstLineChars="0"/>
              <w:jc w:val="center"/>
              <w:rPr>
                <w:sz w:val="21"/>
                <w:szCs w:val="21"/>
              </w:rPr>
            </w:pPr>
            <w:r>
              <w:rPr>
                <w:sz w:val="21"/>
                <w:szCs w:val="21"/>
              </w:rPr>
              <w:t>否</w:t>
            </w:r>
          </w:p>
        </w:tc>
      </w:tr>
    </w:tbl>
    <w:p w14:paraId="4B115727">
      <w:pPr>
        <w:ind w:firstLine="480"/>
      </w:pPr>
      <w:r>
        <w:t>从上表可知，</w:t>
      </w:r>
      <w:r>
        <w:rPr>
          <w:rFonts w:hint="eastAsia"/>
        </w:rPr>
        <w:t>本</w:t>
      </w:r>
      <w:r>
        <w:t>项目</w:t>
      </w:r>
      <w:r>
        <w:rPr>
          <w:rFonts w:hint="eastAsia"/>
        </w:rPr>
        <w:t>建成并正常</w:t>
      </w:r>
      <w:r>
        <w:t>运行后，昼</w:t>
      </w:r>
      <w:r>
        <w:rPr>
          <w:rFonts w:hint="eastAsia"/>
        </w:rPr>
        <w:t>间、</w:t>
      </w:r>
      <w:r>
        <w:t>夜间厂界四周</w:t>
      </w:r>
      <w:r>
        <w:rPr>
          <w:rFonts w:hint="eastAsia"/>
        </w:rPr>
        <w:t>噪声贡献值</w:t>
      </w:r>
      <w:r>
        <w:t>均满足《工业企业厂界环境噪声排放标准》（GB12348-2008）</w:t>
      </w:r>
      <w:r>
        <w:rPr>
          <w:rFonts w:hint="eastAsia"/>
        </w:rPr>
        <w:t>中的</w:t>
      </w:r>
      <w:r>
        <w:t>3</w:t>
      </w:r>
      <w:r>
        <w:rPr>
          <w:rFonts w:hint="eastAsia"/>
        </w:rPr>
        <w:t>类</w:t>
      </w:r>
      <w:r>
        <w:t>标准规定限值要求，</w:t>
      </w:r>
      <w:r>
        <w:rPr>
          <w:rFonts w:hint="eastAsia"/>
        </w:rPr>
        <w:t>本</w:t>
      </w:r>
      <w:r>
        <w:t>项目位于</w:t>
      </w:r>
      <w:r>
        <w:rPr>
          <w:rFonts w:hint="eastAsia"/>
        </w:rPr>
        <w:t>胡杨河经济技术开发区南园区</w:t>
      </w:r>
      <w:r>
        <w:t>内，</w:t>
      </w:r>
      <w:r>
        <w:rPr>
          <w:rFonts w:hint="eastAsia"/>
        </w:rPr>
        <w:t>项目区周围无声环境</w:t>
      </w:r>
      <w:r>
        <w:t>敏感点。总体来说，项目在采取设计及环评提出的</w:t>
      </w:r>
      <w:r>
        <w:rPr>
          <w:rFonts w:hint="eastAsia"/>
        </w:rPr>
        <w:t>各项</w:t>
      </w:r>
      <w:r>
        <w:t>噪声防护措施后，在正常情况下，生产运行对周围声环境质量影响较小。</w:t>
      </w:r>
    </w:p>
    <w:p w14:paraId="15E89DAF">
      <w:pPr>
        <w:ind w:firstLine="480"/>
      </w:pPr>
      <w:r>
        <w:rPr>
          <w:rFonts w:hint="eastAsia"/>
        </w:rPr>
        <w:t>本项目声环境影响自查表见表5</w:t>
      </w:r>
      <w:r>
        <w:t>.5-2</w:t>
      </w:r>
      <w:r>
        <w:rPr>
          <w:rFonts w:hint="eastAsia"/>
        </w:rPr>
        <w:t>。</w:t>
      </w:r>
    </w:p>
    <w:p w14:paraId="307DDE0B">
      <w:pPr>
        <w:pStyle w:val="47"/>
        <w:spacing w:before="65"/>
      </w:pPr>
      <w:r>
        <w:rPr>
          <w:rFonts w:hint="eastAsia"/>
        </w:rPr>
        <w:t>表5</w:t>
      </w:r>
      <w:r>
        <w:t xml:space="preserve">.5-2   </w:t>
      </w:r>
      <w:r>
        <w:rPr>
          <w:rFonts w:hint="eastAsia"/>
        </w:rPr>
        <w:t>声环境影响自查表</w:t>
      </w:r>
    </w:p>
    <w:tbl>
      <w:tblPr>
        <w:tblStyle w:val="30"/>
        <w:tblW w:w="0" w:type="auto"/>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51"/>
        <w:gridCol w:w="1276"/>
        <w:gridCol w:w="1100"/>
        <w:gridCol w:w="550"/>
        <w:gridCol w:w="618"/>
        <w:gridCol w:w="425"/>
        <w:gridCol w:w="608"/>
        <w:gridCol w:w="1101"/>
        <w:gridCol w:w="550"/>
        <w:gridCol w:w="550"/>
        <w:gridCol w:w="1101"/>
      </w:tblGrid>
      <w:tr w14:paraId="3CE5A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127" w:type="dxa"/>
            <w:gridSpan w:val="2"/>
            <w:vAlign w:val="center"/>
          </w:tcPr>
          <w:p w14:paraId="6BDB6F20">
            <w:pPr>
              <w:adjustRightInd w:val="0"/>
              <w:snapToGrid w:val="0"/>
              <w:spacing w:line="240" w:lineRule="auto"/>
              <w:ind w:firstLine="0" w:firstLineChars="0"/>
              <w:jc w:val="center"/>
              <w:rPr>
                <w:sz w:val="21"/>
                <w:szCs w:val="20"/>
              </w:rPr>
            </w:pPr>
            <w:r>
              <w:rPr>
                <w:rFonts w:hint="eastAsia"/>
                <w:sz w:val="21"/>
                <w:szCs w:val="20"/>
              </w:rPr>
              <w:t>工作内容</w:t>
            </w:r>
          </w:p>
        </w:tc>
        <w:tc>
          <w:tcPr>
            <w:tcW w:w="6603" w:type="dxa"/>
            <w:gridSpan w:val="9"/>
            <w:vAlign w:val="center"/>
          </w:tcPr>
          <w:p w14:paraId="6FB14AF7">
            <w:pPr>
              <w:adjustRightInd w:val="0"/>
              <w:snapToGrid w:val="0"/>
              <w:spacing w:line="240" w:lineRule="auto"/>
              <w:ind w:firstLine="0" w:firstLineChars="0"/>
              <w:jc w:val="center"/>
              <w:rPr>
                <w:sz w:val="21"/>
                <w:szCs w:val="20"/>
              </w:rPr>
            </w:pPr>
            <w:r>
              <w:rPr>
                <w:rFonts w:hint="eastAsia"/>
                <w:sz w:val="21"/>
                <w:szCs w:val="20"/>
              </w:rPr>
              <w:t>自查项目</w:t>
            </w:r>
          </w:p>
        </w:tc>
      </w:tr>
      <w:tr w14:paraId="6D243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restart"/>
            <w:vAlign w:val="center"/>
          </w:tcPr>
          <w:p w14:paraId="32352ABF">
            <w:pPr>
              <w:adjustRightInd w:val="0"/>
              <w:snapToGrid w:val="0"/>
              <w:spacing w:line="240" w:lineRule="auto"/>
              <w:ind w:firstLine="0" w:firstLineChars="0"/>
              <w:jc w:val="center"/>
              <w:rPr>
                <w:sz w:val="21"/>
                <w:szCs w:val="20"/>
              </w:rPr>
            </w:pPr>
            <w:r>
              <w:rPr>
                <w:rFonts w:hint="eastAsia"/>
                <w:sz w:val="21"/>
                <w:szCs w:val="20"/>
              </w:rPr>
              <w:t>评级等级与范围</w:t>
            </w:r>
          </w:p>
        </w:tc>
        <w:tc>
          <w:tcPr>
            <w:tcW w:w="1276" w:type="dxa"/>
            <w:vAlign w:val="center"/>
          </w:tcPr>
          <w:p w14:paraId="3967A721">
            <w:pPr>
              <w:adjustRightInd w:val="0"/>
              <w:snapToGrid w:val="0"/>
              <w:spacing w:line="240" w:lineRule="auto"/>
              <w:ind w:firstLine="0" w:firstLineChars="0"/>
              <w:jc w:val="center"/>
              <w:rPr>
                <w:sz w:val="21"/>
                <w:szCs w:val="20"/>
              </w:rPr>
            </w:pPr>
            <w:r>
              <w:rPr>
                <w:rFonts w:hint="eastAsia"/>
                <w:sz w:val="21"/>
                <w:szCs w:val="20"/>
              </w:rPr>
              <w:t>评级等级</w:t>
            </w:r>
          </w:p>
        </w:tc>
        <w:tc>
          <w:tcPr>
            <w:tcW w:w="6603" w:type="dxa"/>
            <w:gridSpan w:val="9"/>
            <w:vAlign w:val="center"/>
          </w:tcPr>
          <w:p w14:paraId="47920BC2">
            <w:pPr>
              <w:adjustRightInd w:val="0"/>
              <w:snapToGrid w:val="0"/>
              <w:spacing w:line="240" w:lineRule="auto"/>
              <w:ind w:firstLine="0" w:firstLineChars="0"/>
              <w:jc w:val="center"/>
              <w:rPr>
                <w:sz w:val="21"/>
                <w:szCs w:val="20"/>
              </w:rPr>
            </w:pPr>
            <w:r>
              <w:rPr>
                <w:rFonts w:hint="eastAsia"/>
                <w:sz w:val="21"/>
                <w:szCs w:val="20"/>
              </w:rPr>
              <w:t>一级</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二级</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三级</w:t>
            </w:r>
            <w:r>
              <w:rPr>
                <w:rFonts w:ascii="Segoe UI Symbol" w:hAnsi="Segoe UI Symbol" w:cs="Segoe UI Symbol"/>
                <w:sz w:val="21"/>
                <w:szCs w:val="20"/>
              </w:rPr>
              <w:t>☑</w:t>
            </w:r>
          </w:p>
        </w:tc>
      </w:tr>
      <w:tr w14:paraId="695C3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67D7325D">
            <w:pPr>
              <w:adjustRightInd w:val="0"/>
              <w:snapToGrid w:val="0"/>
              <w:spacing w:line="240" w:lineRule="auto"/>
              <w:ind w:firstLine="0" w:firstLineChars="0"/>
              <w:jc w:val="center"/>
              <w:rPr>
                <w:sz w:val="21"/>
                <w:szCs w:val="20"/>
              </w:rPr>
            </w:pPr>
          </w:p>
        </w:tc>
        <w:tc>
          <w:tcPr>
            <w:tcW w:w="1276" w:type="dxa"/>
            <w:vAlign w:val="center"/>
          </w:tcPr>
          <w:p w14:paraId="0A61EFA3">
            <w:pPr>
              <w:adjustRightInd w:val="0"/>
              <w:snapToGrid w:val="0"/>
              <w:spacing w:line="240" w:lineRule="auto"/>
              <w:ind w:firstLine="0" w:firstLineChars="0"/>
              <w:jc w:val="center"/>
              <w:rPr>
                <w:sz w:val="21"/>
                <w:szCs w:val="20"/>
              </w:rPr>
            </w:pPr>
            <w:r>
              <w:rPr>
                <w:rFonts w:hint="eastAsia"/>
                <w:sz w:val="21"/>
                <w:szCs w:val="20"/>
              </w:rPr>
              <w:t>评价范围</w:t>
            </w:r>
          </w:p>
        </w:tc>
        <w:tc>
          <w:tcPr>
            <w:tcW w:w="6603" w:type="dxa"/>
            <w:gridSpan w:val="9"/>
            <w:vAlign w:val="center"/>
          </w:tcPr>
          <w:p w14:paraId="413AD536">
            <w:pPr>
              <w:adjustRightInd w:val="0"/>
              <w:snapToGrid w:val="0"/>
              <w:spacing w:line="240" w:lineRule="auto"/>
              <w:ind w:firstLine="0" w:firstLineChars="0"/>
              <w:jc w:val="center"/>
              <w:rPr>
                <w:sz w:val="21"/>
                <w:szCs w:val="20"/>
              </w:rPr>
            </w:pPr>
            <w:r>
              <w:rPr>
                <w:rFonts w:hint="eastAsia"/>
                <w:sz w:val="21"/>
                <w:szCs w:val="20"/>
              </w:rPr>
              <w:t>2</w:t>
            </w:r>
            <w:r>
              <w:rPr>
                <w:sz w:val="21"/>
                <w:szCs w:val="20"/>
              </w:rPr>
              <w:t>00</w:t>
            </w:r>
            <w:r>
              <w:rPr>
                <w:rFonts w:hint="eastAsia"/>
                <w:sz w:val="21"/>
                <w:szCs w:val="20"/>
              </w:rPr>
              <w:t>m</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大于2</w:t>
            </w:r>
            <w:r>
              <w:rPr>
                <w:sz w:val="21"/>
                <w:szCs w:val="20"/>
              </w:rPr>
              <w:t>00</w:t>
            </w:r>
            <w:r>
              <w:rPr>
                <w:rFonts w:hint="eastAsia"/>
                <w:sz w:val="21"/>
                <w:szCs w:val="20"/>
              </w:rPr>
              <w:t>m</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小于2</w:t>
            </w:r>
            <w:r>
              <w:rPr>
                <w:sz w:val="21"/>
                <w:szCs w:val="20"/>
              </w:rPr>
              <w:t>00</w:t>
            </w:r>
            <w:r>
              <w:rPr>
                <w:rFonts w:hint="eastAsia"/>
                <w:sz w:val="21"/>
                <w:szCs w:val="20"/>
              </w:rPr>
              <w:t>m</w:t>
            </w:r>
            <w:r>
              <w:rPr>
                <w:rFonts w:ascii="Segoe UI Symbol" w:hAnsi="Segoe UI Symbol" w:cs="Segoe UI Symbol"/>
                <w:sz w:val="21"/>
                <w:szCs w:val="20"/>
              </w:rPr>
              <w:t>☑</w:t>
            </w:r>
          </w:p>
        </w:tc>
      </w:tr>
      <w:tr w14:paraId="5323E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Align w:val="center"/>
          </w:tcPr>
          <w:p w14:paraId="05643364">
            <w:pPr>
              <w:adjustRightInd w:val="0"/>
              <w:snapToGrid w:val="0"/>
              <w:spacing w:line="240" w:lineRule="auto"/>
              <w:ind w:firstLine="0" w:firstLineChars="0"/>
              <w:jc w:val="center"/>
              <w:rPr>
                <w:sz w:val="21"/>
                <w:szCs w:val="20"/>
              </w:rPr>
            </w:pPr>
            <w:r>
              <w:rPr>
                <w:rFonts w:hint="eastAsia"/>
                <w:sz w:val="21"/>
                <w:szCs w:val="20"/>
              </w:rPr>
              <w:t>评价因子</w:t>
            </w:r>
          </w:p>
        </w:tc>
        <w:tc>
          <w:tcPr>
            <w:tcW w:w="1276" w:type="dxa"/>
            <w:vAlign w:val="center"/>
          </w:tcPr>
          <w:p w14:paraId="604EF573">
            <w:pPr>
              <w:adjustRightInd w:val="0"/>
              <w:snapToGrid w:val="0"/>
              <w:spacing w:line="240" w:lineRule="auto"/>
              <w:ind w:firstLine="0" w:firstLineChars="0"/>
              <w:jc w:val="center"/>
              <w:rPr>
                <w:sz w:val="21"/>
                <w:szCs w:val="20"/>
              </w:rPr>
            </w:pPr>
            <w:r>
              <w:rPr>
                <w:rFonts w:hint="eastAsia"/>
                <w:sz w:val="21"/>
                <w:szCs w:val="20"/>
              </w:rPr>
              <w:t>评价因子</w:t>
            </w:r>
          </w:p>
        </w:tc>
        <w:tc>
          <w:tcPr>
            <w:tcW w:w="6603" w:type="dxa"/>
            <w:gridSpan w:val="9"/>
            <w:vAlign w:val="center"/>
          </w:tcPr>
          <w:p w14:paraId="7A956B27">
            <w:pPr>
              <w:adjustRightInd w:val="0"/>
              <w:snapToGrid w:val="0"/>
              <w:spacing w:line="240" w:lineRule="auto"/>
              <w:ind w:firstLine="0" w:firstLineChars="0"/>
              <w:jc w:val="center"/>
              <w:rPr>
                <w:sz w:val="21"/>
                <w:szCs w:val="20"/>
              </w:rPr>
            </w:pPr>
            <w:r>
              <w:rPr>
                <w:rFonts w:hint="eastAsia"/>
                <w:sz w:val="21"/>
                <w:szCs w:val="20"/>
              </w:rPr>
              <w:t>等效连续A声级</w:t>
            </w:r>
            <w:r>
              <w:rPr>
                <w:rFonts w:ascii="Segoe UI Symbol" w:hAnsi="Segoe UI Symbol" w:cs="Segoe UI Symbol"/>
                <w:sz w:val="21"/>
                <w:szCs w:val="20"/>
              </w:rPr>
              <w:t xml:space="preserve">☑ </w:t>
            </w:r>
            <w:r>
              <w:rPr>
                <w:sz w:val="21"/>
                <w:szCs w:val="20"/>
              </w:rPr>
              <w:t xml:space="preserve">   </w:t>
            </w:r>
            <w:r>
              <w:rPr>
                <w:rFonts w:hint="eastAsia"/>
                <w:sz w:val="21"/>
                <w:szCs w:val="20"/>
              </w:rPr>
              <w:t>最大A声级</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计权等效连续感觉噪声级</w:t>
            </w:r>
            <w:r>
              <w:rPr>
                <w:rFonts w:hint="eastAsia" w:ascii="Segoe UI Emoji" w:hAnsi="Segoe UI Emoji" w:eastAsia="Segoe UI Emoji" w:cs="Segoe UI Emoji"/>
                <w:sz w:val="21"/>
                <w:szCs w:val="20"/>
              </w:rPr>
              <w:t>□</w:t>
            </w:r>
          </w:p>
        </w:tc>
      </w:tr>
      <w:tr w14:paraId="3CEA7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Align w:val="center"/>
          </w:tcPr>
          <w:p w14:paraId="529A12D1">
            <w:pPr>
              <w:adjustRightInd w:val="0"/>
              <w:snapToGrid w:val="0"/>
              <w:spacing w:line="240" w:lineRule="auto"/>
              <w:ind w:firstLine="0" w:firstLineChars="0"/>
              <w:jc w:val="center"/>
              <w:rPr>
                <w:sz w:val="21"/>
                <w:szCs w:val="20"/>
              </w:rPr>
            </w:pPr>
            <w:r>
              <w:rPr>
                <w:rFonts w:hint="eastAsia"/>
                <w:sz w:val="21"/>
                <w:szCs w:val="20"/>
              </w:rPr>
              <w:t>评价标准</w:t>
            </w:r>
          </w:p>
        </w:tc>
        <w:tc>
          <w:tcPr>
            <w:tcW w:w="1276" w:type="dxa"/>
            <w:vAlign w:val="center"/>
          </w:tcPr>
          <w:p w14:paraId="0043914E">
            <w:pPr>
              <w:adjustRightInd w:val="0"/>
              <w:snapToGrid w:val="0"/>
              <w:spacing w:line="240" w:lineRule="auto"/>
              <w:ind w:firstLine="0" w:firstLineChars="0"/>
              <w:jc w:val="center"/>
              <w:rPr>
                <w:sz w:val="21"/>
                <w:szCs w:val="20"/>
              </w:rPr>
            </w:pPr>
            <w:r>
              <w:rPr>
                <w:rFonts w:hint="eastAsia"/>
                <w:sz w:val="21"/>
                <w:szCs w:val="20"/>
              </w:rPr>
              <w:t>评价标准</w:t>
            </w:r>
          </w:p>
        </w:tc>
        <w:tc>
          <w:tcPr>
            <w:tcW w:w="6603" w:type="dxa"/>
            <w:gridSpan w:val="9"/>
            <w:vAlign w:val="center"/>
          </w:tcPr>
          <w:p w14:paraId="56D033F6">
            <w:pPr>
              <w:adjustRightInd w:val="0"/>
              <w:snapToGrid w:val="0"/>
              <w:spacing w:line="240" w:lineRule="auto"/>
              <w:ind w:firstLine="0" w:firstLineChars="0"/>
              <w:jc w:val="center"/>
              <w:rPr>
                <w:sz w:val="21"/>
                <w:szCs w:val="20"/>
              </w:rPr>
            </w:pPr>
            <w:r>
              <w:rPr>
                <w:rFonts w:hint="eastAsia"/>
                <w:sz w:val="21"/>
                <w:szCs w:val="20"/>
              </w:rPr>
              <w:t>国家标准</w:t>
            </w:r>
            <w:r>
              <w:rPr>
                <w:rFonts w:ascii="Segoe UI Symbol" w:hAnsi="Segoe UI Symbol" w:cs="Segoe UI Symbol"/>
                <w:sz w:val="21"/>
                <w:szCs w:val="20"/>
              </w:rPr>
              <w:t>☑</w:t>
            </w:r>
            <w:r>
              <w:rPr>
                <w:sz w:val="21"/>
                <w:szCs w:val="20"/>
              </w:rPr>
              <w:t xml:space="preserve">     </w:t>
            </w:r>
            <w:r>
              <w:rPr>
                <w:rFonts w:hint="eastAsia"/>
                <w:sz w:val="21"/>
                <w:szCs w:val="20"/>
              </w:rPr>
              <w:t>地方标准□</w:t>
            </w:r>
            <w:r>
              <w:rPr>
                <w:sz w:val="21"/>
                <w:szCs w:val="20"/>
              </w:rPr>
              <w:t xml:space="preserve">     </w:t>
            </w:r>
            <w:r>
              <w:rPr>
                <w:rFonts w:hint="eastAsia"/>
                <w:sz w:val="21"/>
                <w:szCs w:val="20"/>
              </w:rPr>
              <w:t>国外标准□</w:t>
            </w:r>
          </w:p>
        </w:tc>
      </w:tr>
      <w:tr w14:paraId="05496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restart"/>
            <w:vAlign w:val="center"/>
          </w:tcPr>
          <w:p w14:paraId="3AA16AC1">
            <w:pPr>
              <w:adjustRightInd w:val="0"/>
              <w:snapToGrid w:val="0"/>
              <w:spacing w:line="240" w:lineRule="auto"/>
              <w:ind w:firstLine="0" w:firstLineChars="0"/>
              <w:jc w:val="center"/>
              <w:rPr>
                <w:sz w:val="21"/>
                <w:szCs w:val="20"/>
              </w:rPr>
            </w:pPr>
            <w:r>
              <w:rPr>
                <w:rFonts w:hint="eastAsia"/>
                <w:sz w:val="21"/>
                <w:szCs w:val="20"/>
              </w:rPr>
              <w:t>现状评价</w:t>
            </w:r>
          </w:p>
        </w:tc>
        <w:tc>
          <w:tcPr>
            <w:tcW w:w="1276" w:type="dxa"/>
            <w:vAlign w:val="center"/>
          </w:tcPr>
          <w:p w14:paraId="5B434A7D">
            <w:pPr>
              <w:adjustRightInd w:val="0"/>
              <w:snapToGrid w:val="0"/>
              <w:spacing w:line="240" w:lineRule="auto"/>
              <w:ind w:firstLine="0" w:firstLineChars="0"/>
              <w:jc w:val="center"/>
              <w:rPr>
                <w:sz w:val="21"/>
                <w:szCs w:val="20"/>
              </w:rPr>
            </w:pPr>
            <w:r>
              <w:rPr>
                <w:rFonts w:hint="eastAsia"/>
                <w:sz w:val="21"/>
                <w:szCs w:val="20"/>
              </w:rPr>
              <w:t>环境功能区</w:t>
            </w:r>
          </w:p>
        </w:tc>
        <w:tc>
          <w:tcPr>
            <w:tcW w:w="1100" w:type="dxa"/>
            <w:vAlign w:val="center"/>
          </w:tcPr>
          <w:p w14:paraId="6C5BBC8F">
            <w:pPr>
              <w:adjustRightInd w:val="0"/>
              <w:snapToGrid w:val="0"/>
              <w:spacing w:line="240" w:lineRule="auto"/>
              <w:ind w:firstLine="0" w:firstLineChars="0"/>
              <w:jc w:val="center"/>
              <w:rPr>
                <w:sz w:val="21"/>
                <w:szCs w:val="20"/>
              </w:rPr>
            </w:pPr>
            <w:r>
              <w:rPr>
                <w:sz w:val="21"/>
                <w:szCs w:val="20"/>
              </w:rPr>
              <w:t>0</w:t>
            </w:r>
            <w:r>
              <w:rPr>
                <w:rFonts w:hint="eastAsia"/>
                <w:sz w:val="21"/>
                <w:szCs w:val="20"/>
              </w:rPr>
              <w:t>类区</w:t>
            </w:r>
            <w:r>
              <w:rPr>
                <w:rFonts w:hint="eastAsia" w:ascii="Segoe UI Emoji" w:hAnsi="Segoe UI Emoji" w:eastAsia="Segoe UI Emoji" w:cs="Segoe UI Emoji"/>
                <w:sz w:val="21"/>
                <w:szCs w:val="20"/>
              </w:rPr>
              <w:t>□</w:t>
            </w:r>
          </w:p>
        </w:tc>
        <w:tc>
          <w:tcPr>
            <w:tcW w:w="1168" w:type="dxa"/>
            <w:gridSpan w:val="2"/>
            <w:vAlign w:val="center"/>
          </w:tcPr>
          <w:p w14:paraId="2EA9C2F5">
            <w:pPr>
              <w:adjustRightInd w:val="0"/>
              <w:snapToGrid w:val="0"/>
              <w:spacing w:line="240" w:lineRule="auto"/>
              <w:ind w:firstLine="0" w:firstLineChars="0"/>
              <w:jc w:val="center"/>
              <w:rPr>
                <w:sz w:val="21"/>
                <w:szCs w:val="20"/>
              </w:rPr>
            </w:pPr>
            <w:r>
              <w:rPr>
                <w:sz w:val="21"/>
                <w:szCs w:val="20"/>
              </w:rPr>
              <w:t>1</w:t>
            </w:r>
            <w:r>
              <w:rPr>
                <w:rFonts w:hint="eastAsia"/>
                <w:sz w:val="21"/>
                <w:szCs w:val="20"/>
              </w:rPr>
              <w:t>类区</w:t>
            </w:r>
            <w:r>
              <w:rPr>
                <w:rFonts w:hint="eastAsia" w:ascii="Segoe UI Emoji" w:hAnsi="Segoe UI Emoji" w:eastAsia="Segoe UI Emoji" w:cs="Segoe UI Emoji"/>
                <w:sz w:val="21"/>
                <w:szCs w:val="20"/>
              </w:rPr>
              <w:t>□</w:t>
            </w:r>
          </w:p>
        </w:tc>
        <w:tc>
          <w:tcPr>
            <w:tcW w:w="1033" w:type="dxa"/>
            <w:gridSpan w:val="2"/>
            <w:vAlign w:val="center"/>
          </w:tcPr>
          <w:p w14:paraId="301BDF83">
            <w:pPr>
              <w:adjustRightInd w:val="0"/>
              <w:snapToGrid w:val="0"/>
              <w:spacing w:line="240" w:lineRule="auto"/>
              <w:ind w:firstLine="0" w:firstLineChars="0"/>
              <w:jc w:val="center"/>
              <w:rPr>
                <w:sz w:val="21"/>
                <w:szCs w:val="20"/>
              </w:rPr>
            </w:pPr>
            <w:r>
              <w:rPr>
                <w:rFonts w:hint="eastAsia"/>
                <w:sz w:val="21"/>
                <w:szCs w:val="20"/>
              </w:rPr>
              <w:t>2类区</w:t>
            </w:r>
            <w:r>
              <w:rPr>
                <w:rFonts w:hint="eastAsia" w:ascii="Segoe UI Emoji" w:hAnsi="Segoe UI Emoji" w:eastAsia="Segoe UI Emoji" w:cs="Segoe UI Emoji"/>
                <w:sz w:val="21"/>
                <w:szCs w:val="20"/>
              </w:rPr>
              <w:t>□</w:t>
            </w:r>
          </w:p>
        </w:tc>
        <w:tc>
          <w:tcPr>
            <w:tcW w:w="1101" w:type="dxa"/>
            <w:vAlign w:val="center"/>
          </w:tcPr>
          <w:p w14:paraId="164484AC">
            <w:pPr>
              <w:adjustRightInd w:val="0"/>
              <w:snapToGrid w:val="0"/>
              <w:spacing w:line="240" w:lineRule="auto"/>
              <w:ind w:firstLine="0" w:firstLineChars="0"/>
              <w:jc w:val="center"/>
              <w:rPr>
                <w:sz w:val="21"/>
                <w:szCs w:val="20"/>
              </w:rPr>
            </w:pPr>
            <w:r>
              <w:rPr>
                <w:sz w:val="21"/>
                <w:szCs w:val="20"/>
              </w:rPr>
              <w:t>3</w:t>
            </w:r>
            <w:r>
              <w:rPr>
                <w:rFonts w:hint="eastAsia"/>
                <w:sz w:val="21"/>
                <w:szCs w:val="20"/>
              </w:rPr>
              <w:t>类区</w:t>
            </w:r>
            <w:r>
              <w:rPr>
                <w:rFonts w:ascii="Segoe UI Symbol" w:hAnsi="Segoe UI Symbol" w:cs="Segoe UI Symbol"/>
                <w:sz w:val="21"/>
                <w:szCs w:val="20"/>
              </w:rPr>
              <w:t>☑</w:t>
            </w:r>
          </w:p>
        </w:tc>
        <w:tc>
          <w:tcPr>
            <w:tcW w:w="1100" w:type="dxa"/>
            <w:gridSpan w:val="2"/>
            <w:vAlign w:val="center"/>
          </w:tcPr>
          <w:p w14:paraId="6628B9CF">
            <w:pPr>
              <w:adjustRightInd w:val="0"/>
              <w:snapToGrid w:val="0"/>
              <w:spacing w:line="240" w:lineRule="auto"/>
              <w:ind w:firstLine="0" w:firstLineChars="0"/>
              <w:jc w:val="center"/>
              <w:rPr>
                <w:sz w:val="21"/>
                <w:szCs w:val="20"/>
              </w:rPr>
            </w:pPr>
            <w:r>
              <w:rPr>
                <w:sz w:val="21"/>
                <w:szCs w:val="20"/>
              </w:rPr>
              <w:t>4</w:t>
            </w:r>
            <w:r>
              <w:rPr>
                <w:rFonts w:hint="eastAsia"/>
                <w:sz w:val="21"/>
                <w:szCs w:val="20"/>
              </w:rPr>
              <w:t>a类区</w:t>
            </w:r>
            <w:r>
              <w:rPr>
                <w:rFonts w:hint="eastAsia" w:ascii="Segoe UI Emoji" w:hAnsi="Segoe UI Emoji" w:eastAsia="Segoe UI Emoji" w:cs="Segoe UI Emoji"/>
                <w:sz w:val="21"/>
                <w:szCs w:val="20"/>
              </w:rPr>
              <w:t>□</w:t>
            </w:r>
          </w:p>
        </w:tc>
        <w:tc>
          <w:tcPr>
            <w:tcW w:w="1101" w:type="dxa"/>
            <w:vAlign w:val="center"/>
          </w:tcPr>
          <w:p w14:paraId="0E932109">
            <w:pPr>
              <w:adjustRightInd w:val="0"/>
              <w:snapToGrid w:val="0"/>
              <w:spacing w:line="240" w:lineRule="auto"/>
              <w:ind w:firstLine="0" w:firstLineChars="0"/>
              <w:jc w:val="center"/>
              <w:rPr>
                <w:sz w:val="21"/>
                <w:szCs w:val="20"/>
              </w:rPr>
            </w:pPr>
            <w:r>
              <w:rPr>
                <w:sz w:val="21"/>
                <w:szCs w:val="20"/>
              </w:rPr>
              <w:t>4</w:t>
            </w:r>
            <w:r>
              <w:rPr>
                <w:rFonts w:hint="eastAsia"/>
                <w:sz w:val="21"/>
                <w:szCs w:val="20"/>
              </w:rPr>
              <w:t>b类区</w:t>
            </w:r>
            <w:r>
              <w:rPr>
                <w:rFonts w:hint="eastAsia" w:ascii="Segoe UI Emoji" w:hAnsi="Segoe UI Emoji" w:eastAsia="Segoe UI Emoji" w:cs="Segoe UI Emoji"/>
                <w:sz w:val="21"/>
                <w:szCs w:val="20"/>
              </w:rPr>
              <w:t>□</w:t>
            </w:r>
          </w:p>
        </w:tc>
      </w:tr>
      <w:tr w14:paraId="0C22D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79FDF0C9">
            <w:pPr>
              <w:adjustRightInd w:val="0"/>
              <w:snapToGrid w:val="0"/>
              <w:spacing w:line="240" w:lineRule="auto"/>
              <w:ind w:firstLine="0" w:firstLineChars="0"/>
              <w:jc w:val="center"/>
              <w:rPr>
                <w:sz w:val="21"/>
                <w:szCs w:val="20"/>
              </w:rPr>
            </w:pPr>
          </w:p>
        </w:tc>
        <w:tc>
          <w:tcPr>
            <w:tcW w:w="1276" w:type="dxa"/>
            <w:vAlign w:val="center"/>
          </w:tcPr>
          <w:p w14:paraId="1E8ED1FB">
            <w:pPr>
              <w:adjustRightInd w:val="0"/>
              <w:snapToGrid w:val="0"/>
              <w:spacing w:line="240" w:lineRule="auto"/>
              <w:ind w:firstLine="0" w:firstLineChars="0"/>
              <w:jc w:val="center"/>
              <w:rPr>
                <w:sz w:val="21"/>
                <w:szCs w:val="20"/>
              </w:rPr>
            </w:pPr>
            <w:r>
              <w:rPr>
                <w:rFonts w:hint="eastAsia"/>
                <w:sz w:val="21"/>
                <w:szCs w:val="20"/>
              </w:rPr>
              <w:t>评价年度</w:t>
            </w:r>
          </w:p>
        </w:tc>
        <w:tc>
          <w:tcPr>
            <w:tcW w:w="1650" w:type="dxa"/>
            <w:gridSpan w:val="2"/>
            <w:vAlign w:val="center"/>
          </w:tcPr>
          <w:p w14:paraId="643DD905">
            <w:pPr>
              <w:adjustRightInd w:val="0"/>
              <w:snapToGrid w:val="0"/>
              <w:spacing w:line="240" w:lineRule="auto"/>
              <w:ind w:firstLine="0" w:firstLineChars="0"/>
              <w:jc w:val="center"/>
              <w:rPr>
                <w:sz w:val="21"/>
                <w:szCs w:val="20"/>
              </w:rPr>
            </w:pPr>
            <w:r>
              <w:rPr>
                <w:rFonts w:hint="eastAsia"/>
                <w:sz w:val="21"/>
                <w:szCs w:val="20"/>
              </w:rPr>
              <w:t>初期</w:t>
            </w:r>
            <w:r>
              <w:rPr>
                <w:rFonts w:hint="eastAsia" w:ascii="Segoe UI Emoji" w:hAnsi="Segoe UI Emoji" w:eastAsia="Segoe UI Emoji" w:cs="Segoe UI Emoji"/>
                <w:sz w:val="21"/>
                <w:szCs w:val="20"/>
              </w:rPr>
              <w:t>□</w:t>
            </w:r>
          </w:p>
        </w:tc>
        <w:tc>
          <w:tcPr>
            <w:tcW w:w="1651" w:type="dxa"/>
            <w:gridSpan w:val="3"/>
            <w:vAlign w:val="center"/>
          </w:tcPr>
          <w:p w14:paraId="7824DBA9">
            <w:pPr>
              <w:adjustRightInd w:val="0"/>
              <w:snapToGrid w:val="0"/>
              <w:spacing w:line="240" w:lineRule="auto"/>
              <w:ind w:firstLine="0" w:firstLineChars="0"/>
              <w:jc w:val="center"/>
              <w:rPr>
                <w:sz w:val="21"/>
                <w:szCs w:val="20"/>
              </w:rPr>
            </w:pPr>
            <w:r>
              <w:rPr>
                <w:rFonts w:hint="eastAsia"/>
                <w:sz w:val="21"/>
                <w:szCs w:val="20"/>
              </w:rPr>
              <w:t>近期</w:t>
            </w:r>
            <w:r>
              <w:rPr>
                <w:rFonts w:ascii="Segoe UI Symbol" w:hAnsi="Segoe UI Symbol" w:cs="Segoe UI Symbol"/>
                <w:sz w:val="21"/>
                <w:szCs w:val="20"/>
              </w:rPr>
              <w:t>☑</w:t>
            </w:r>
          </w:p>
        </w:tc>
        <w:tc>
          <w:tcPr>
            <w:tcW w:w="1651" w:type="dxa"/>
            <w:gridSpan w:val="2"/>
            <w:vAlign w:val="center"/>
          </w:tcPr>
          <w:p w14:paraId="3120995F">
            <w:pPr>
              <w:adjustRightInd w:val="0"/>
              <w:snapToGrid w:val="0"/>
              <w:spacing w:line="240" w:lineRule="auto"/>
              <w:ind w:firstLine="0" w:firstLineChars="0"/>
              <w:jc w:val="center"/>
              <w:rPr>
                <w:sz w:val="21"/>
                <w:szCs w:val="20"/>
              </w:rPr>
            </w:pPr>
            <w:r>
              <w:rPr>
                <w:rFonts w:hint="eastAsia"/>
                <w:sz w:val="21"/>
                <w:szCs w:val="20"/>
              </w:rPr>
              <w:t>中期</w:t>
            </w:r>
            <w:r>
              <w:rPr>
                <w:rFonts w:hint="eastAsia" w:ascii="Segoe UI Emoji" w:hAnsi="Segoe UI Emoji" w:eastAsia="Segoe UI Emoji" w:cs="Segoe UI Emoji"/>
                <w:sz w:val="21"/>
                <w:szCs w:val="20"/>
              </w:rPr>
              <w:t>□</w:t>
            </w:r>
          </w:p>
        </w:tc>
        <w:tc>
          <w:tcPr>
            <w:tcW w:w="1651" w:type="dxa"/>
            <w:gridSpan w:val="2"/>
            <w:vAlign w:val="center"/>
          </w:tcPr>
          <w:p w14:paraId="76576285">
            <w:pPr>
              <w:adjustRightInd w:val="0"/>
              <w:snapToGrid w:val="0"/>
              <w:spacing w:line="240" w:lineRule="auto"/>
              <w:ind w:firstLine="0" w:firstLineChars="0"/>
              <w:jc w:val="center"/>
              <w:rPr>
                <w:sz w:val="21"/>
                <w:szCs w:val="20"/>
              </w:rPr>
            </w:pPr>
            <w:r>
              <w:rPr>
                <w:rFonts w:hint="eastAsia"/>
                <w:sz w:val="21"/>
                <w:szCs w:val="20"/>
              </w:rPr>
              <w:t>远期</w:t>
            </w:r>
            <w:r>
              <w:rPr>
                <w:rFonts w:hint="eastAsia" w:ascii="Segoe UI Emoji" w:hAnsi="Segoe UI Emoji" w:eastAsia="Segoe UI Emoji" w:cs="Segoe UI Emoji"/>
                <w:sz w:val="21"/>
                <w:szCs w:val="20"/>
              </w:rPr>
              <w:t>□</w:t>
            </w:r>
          </w:p>
        </w:tc>
      </w:tr>
      <w:tr w14:paraId="0AD05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2411202E">
            <w:pPr>
              <w:adjustRightInd w:val="0"/>
              <w:snapToGrid w:val="0"/>
              <w:spacing w:line="240" w:lineRule="auto"/>
              <w:ind w:firstLine="0" w:firstLineChars="0"/>
              <w:jc w:val="center"/>
              <w:rPr>
                <w:sz w:val="21"/>
                <w:szCs w:val="20"/>
              </w:rPr>
            </w:pPr>
          </w:p>
        </w:tc>
        <w:tc>
          <w:tcPr>
            <w:tcW w:w="1276" w:type="dxa"/>
            <w:vAlign w:val="center"/>
          </w:tcPr>
          <w:p w14:paraId="1B33823F">
            <w:pPr>
              <w:adjustRightInd w:val="0"/>
              <w:snapToGrid w:val="0"/>
              <w:spacing w:line="240" w:lineRule="auto"/>
              <w:ind w:firstLine="0" w:firstLineChars="0"/>
              <w:jc w:val="center"/>
              <w:rPr>
                <w:sz w:val="21"/>
                <w:szCs w:val="20"/>
              </w:rPr>
            </w:pPr>
            <w:r>
              <w:rPr>
                <w:rFonts w:hint="eastAsia"/>
                <w:sz w:val="21"/>
                <w:szCs w:val="20"/>
              </w:rPr>
              <w:t>现状调查方法</w:t>
            </w:r>
          </w:p>
        </w:tc>
        <w:tc>
          <w:tcPr>
            <w:tcW w:w="6603" w:type="dxa"/>
            <w:gridSpan w:val="9"/>
            <w:vAlign w:val="center"/>
          </w:tcPr>
          <w:p w14:paraId="0233F07E">
            <w:pPr>
              <w:adjustRightInd w:val="0"/>
              <w:snapToGrid w:val="0"/>
              <w:spacing w:line="240" w:lineRule="auto"/>
              <w:ind w:firstLine="0" w:firstLineChars="0"/>
              <w:jc w:val="center"/>
              <w:rPr>
                <w:sz w:val="21"/>
                <w:szCs w:val="20"/>
              </w:rPr>
            </w:pPr>
            <w:r>
              <w:rPr>
                <w:rFonts w:hint="eastAsia"/>
                <w:sz w:val="21"/>
                <w:szCs w:val="20"/>
              </w:rPr>
              <w:t>现场实测法</w:t>
            </w:r>
            <w:r>
              <w:rPr>
                <w:rFonts w:ascii="Segoe UI Symbol" w:hAnsi="Segoe UI Symbol" w:cs="Segoe UI Symbol"/>
                <w:sz w:val="21"/>
                <w:szCs w:val="20"/>
              </w:rPr>
              <w:t>☑</w:t>
            </w:r>
            <w:r>
              <w:rPr>
                <w:sz w:val="21"/>
                <w:szCs w:val="20"/>
              </w:rPr>
              <w:t xml:space="preserve">      </w:t>
            </w:r>
            <w:r>
              <w:rPr>
                <w:rFonts w:hint="eastAsia"/>
                <w:sz w:val="21"/>
                <w:szCs w:val="20"/>
              </w:rPr>
              <w:t>现场实测加模型计算法</w:t>
            </w:r>
            <w:r>
              <w:rPr>
                <w:rFonts w:hint="eastAsia" w:ascii="Segoe UI Emoji" w:hAnsi="Segoe UI Emoji" w:eastAsia="Segoe UI Emoji" w:cs="Segoe UI Emoji"/>
                <w:sz w:val="21"/>
                <w:szCs w:val="20"/>
              </w:rPr>
              <w:t>□</w:t>
            </w:r>
            <w:r>
              <w:rPr>
                <w:rFonts w:hint="eastAsia" w:ascii="Segoe UI Emoji" w:hAnsi="Segoe UI Emoji" w:eastAsia="等线" w:cs="Segoe UI Emoji"/>
                <w:sz w:val="21"/>
                <w:szCs w:val="20"/>
              </w:rPr>
              <w:t xml:space="preserve"> </w:t>
            </w:r>
            <w:r>
              <w:rPr>
                <w:rFonts w:ascii="Segoe UI Emoji" w:hAnsi="Segoe UI Emoji" w:eastAsia="等线" w:cs="Segoe UI Emoji"/>
                <w:sz w:val="21"/>
                <w:szCs w:val="20"/>
              </w:rPr>
              <w:t xml:space="preserve">       </w:t>
            </w:r>
            <w:r>
              <w:rPr>
                <w:rFonts w:hint="eastAsia"/>
                <w:sz w:val="21"/>
                <w:szCs w:val="20"/>
              </w:rPr>
              <w:t>收集资料</w:t>
            </w:r>
            <w:r>
              <w:rPr>
                <w:rFonts w:hint="eastAsia" w:ascii="Segoe UI Emoji" w:hAnsi="Segoe UI Emoji" w:eastAsia="Segoe UI Emoji" w:cs="Segoe UI Emoji"/>
                <w:sz w:val="21"/>
                <w:szCs w:val="20"/>
              </w:rPr>
              <w:t>□</w:t>
            </w:r>
          </w:p>
        </w:tc>
      </w:tr>
      <w:tr w14:paraId="23DF9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14E98C93">
            <w:pPr>
              <w:adjustRightInd w:val="0"/>
              <w:snapToGrid w:val="0"/>
              <w:spacing w:line="240" w:lineRule="auto"/>
              <w:ind w:firstLine="0" w:firstLineChars="0"/>
              <w:jc w:val="center"/>
              <w:rPr>
                <w:sz w:val="21"/>
                <w:szCs w:val="20"/>
              </w:rPr>
            </w:pPr>
          </w:p>
        </w:tc>
        <w:tc>
          <w:tcPr>
            <w:tcW w:w="1276" w:type="dxa"/>
            <w:vAlign w:val="center"/>
          </w:tcPr>
          <w:p w14:paraId="37A58E8E">
            <w:pPr>
              <w:adjustRightInd w:val="0"/>
              <w:snapToGrid w:val="0"/>
              <w:spacing w:line="240" w:lineRule="auto"/>
              <w:ind w:firstLine="0" w:firstLineChars="0"/>
              <w:jc w:val="center"/>
              <w:rPr>
                <w:sz w:val="21"/>
                <w:szCs w:val="20"/>
              </w:rPr>
            </w:pPr>
            <w:r>
              <w:rPr>
                <w:rFonts w:hint="eastAsia"/>
                <w:sz w:val="21"/>
                <w:szCs w:val="20"/>
              </w:rPr>
              <w:t>现状评价</w:t>
            </w:r>
          </w:p>
        </w:tc>
        <w:tc>
          <w:tcPr>
            <w:tcW w:w="3301" w:type="dxa"/>
            <w:gridSpan w:val="5"/>
            <w:vAlign w:val="center"/>
          </w:tcPr>
          <w:p w14:paraId="14078941">
            <w:pPr>
              <w:adjustRightInd w:val="0"/>
              <w:snapToGrid w:val="0"/>
              <w:spacing w:line="240" w:lineRule="auto"/>
              <w:ind w:firstLine="0" w:firstLineChars="0"/>
              <w:jc w:val="center"/>
              <w:rPr>
                <w:sz w:val="21"/>
                <w:szCs w:val="20"/>
              </w:rPr>
            </w:pPr>
            <w:r>
              <w:rPr>
                <w:rFonts w:hint="eastAsia"/>
                <w:sz w:val="21"/>
                <w:szCs w:val="20"/>
              </w:rPr>
              <w:t>达标百分比</w:t>
            </w:r>
          </w:p>
        </w:tc>
        <w:tc>
          <w:tcPr>
            <w:tcW w:w="3302" w:type="dxa"/>
            <w:gridSpan w:val="4"/>
            <w:vAlign w:val="center"/>
          </w:tcPr>
          <w:p w14:paraId="18556906">
            <w:pPr>
              <w:adjustRightInd w:val="0"/>
              <w:snapToGrid w:val="0"/>
              <w:spacing w:line="240" w:lineRule="auto"/>
              <w:ind w:firstLine="0" w:firstLineChars="0"/>
              <w:jc w:val="center"/>
              <w:rPr>
                <w:sz w:val="21"/>
                <w:szCs w:val="20"/>
              </w:rPr>
            </w:pPr>
            <w:r>
              <w:rPr>
                <w:rFonts w:hint="eastAsia"/>
                <w:sz w:val="21"/>
                <w:szCs w:val="20"/>
              </w:rPr>
              <w:t>1</w:t>
            </w:r>
            <w:r>
              <w:rPr>
                <w:sz w:val="21"/>
                <w:szCs w:val="20"/>
              </w:rPr>
              <w:t>00</w:t>
            </w:r>
            <w:r>
              <w:rPr>
                <w:rFonts w:hint="eastAsia"/>
                <w:sz w:val="21"/>
                <w:szCs w:val="20"/>
              </w:rPr>
              <w:t>%</w:t>
            </w:r>
          </w:p>
        </w:tc>
      </w:tr>
      <w:tr w14:paraId="02D47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Align w:val="center"/>
          </w:tcPr>
          <w:p w14:paraId="051EADEF">
            <w:pPr>
              <w:adjustRightInd w:val="0"/>
              <w:snapToGrid w:val="0"/>
              <w:spacing w:line="240" w:lineRule="auto"/>
              <w:ind w:firstLine="0" w:firstLineChars="0"/>
              <w:jc w:val="center"/>
              <w:rPr>
                <w:sz w:val="21"/>
                <w:szCs w:val="20"/>
              </w:rPr>
            </w:pPr>
            <w:r>
              <w:rPr>
                <w:rFonts w:hint="eastAsia"/>
                <w:sz w:val="21"/>
                <w:szCs w:val="20"/>
              </w:rPr>
              <w:t>噪声源调查</w:t>
            </w:r>
          </w:p>
        </w:tc>
        <w:tc>
          <w:tcPr>
            <w:tcW w:w="1276" w:type="dxa"/>
            <w:vAlign w:val="center"/>
          </w:tcPr>
          <w:p w14:paraId="7BA662B7">
            <w:pPr>
              <w:adjustRightInd w:val="0"/>
              <w:snapToGrid w:val="0"/>
              <w:spacing w:line="240" w:lineRule="auto"/>
              <w:ind w:firstLine="0" w:firstLineChars="0"/>
              <w:jc w:val="center"/>
              <w:rPr>
                <w:sz w:val="21"/>
                <w:szCs w:val="20"/>
              </w:rPr>
            </w:pPr>
            <w:r>
              <w:rPr>
                <w:rFonts w:hint="eastAsia"/>
                <w:sz w:val="21"/>
                <w:szCs w:val="20"/>
              </w:rPr>
              <w:t>噪声源调查方法</w:t>
            </w:r>
          </w:p>
        </w:tc>
        <w:tc>
          <w:tcPr>
            <w:tcW w:w="6603" w:type="dxa"/>
            <w:gridSpan w:val="9"/>
            <w:vAlign w:val="center"/>
          </w:tcPr>
          <w:p w14:paraId="4AABAAB4">
            <w:pPr>
              <w:adjustRightInd w:val="0"/>
              <w:snapToGrid w:val="0"/>
              <w:spacing w:line="240" w:lineRule="auto"/>
              <w:ind w:firstLine="0" w:firstLineChars="0"/>
              <w:jc w:val="center"/>
              <w:rPr>
                <w:sz w:val="21"/>
                <w:szCs w:val="20"/>
              </w:rPr>
            </w:pPr>
            <w:r>
              <w:rPr>
                <w:rFonts w:hint="eastAsia"/>
                <w:sz w:val="21"/>
                <w:szCs w:val="20"/>
              </w:rPr>
              <w:t>现场实测法</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已有资料</w:t>
            </w:r>
            <w:r>
              <w:rPr>
                <w:rFonts w:ascii="Segoe UI Symbol" w:hAnsi="Segoe UI Symbol" w:cs="Segoe UI Symbol"/>
                <w:sz w:val="21"/>
                <w:szCs w:val="20"/>
              </w:rPr>
              <w:t>☑</w:t>
            </w:r>
            <w:r>
              <w:rPr>
                <w:rFonts w:hint="eastAsia" w:ascii="Segoe UI Emoji" w:hAnsi="Segoe UI Emoji" w:eastAsia="等线" w:cs="Segoe UI Emoji"/>
                <w:sz w:val="21"/>
                <w:szCs w:val="20"/>
              </w:rPr>
              <w:t xml:space="preserve"> </w:t>
            </w:r>
            <w:r>
              <w:rPr>
                <w:rFonts w:ascii="Segoe UI Emoji" w:hAnsi="Segoe UI Emoji" w:eastAsia="等线" w:cs="Segoe UI Emoji"/>
                <w:sz w:val="21"/>
                <w:szCs w:val="20"/>
              </w:rPr>
              <w:t xml:space="preserve">       </w:t>
            </w:r>
            <w:r>
              <w:rPr>
                <w:rFonts w:hint="eastAsia"/>
                <w:sz w:val="21"/>
                <w:szCs w:val="20"/>
              </w:rPr>
              <w:t>研究成果</w:t>
            </w:r>
            <w:r>
              <w:rPr>
                <w:rFonts w:hint="eastAsia" w:ascii="Segoe UI Emoji" w:hAnsi="Segoe UI Emoji" w:eastAsia="Segoe UI Emoji" w:cs="Segoe UI Emoji"/>
                <w:sz w:val="21"/>
                <w:szCs w:val="20"/>
              </w:rPr>
              <w:t>□</w:t>
            </w:r>
          </w:p>
        </w:tc>
      </w:tr>
      <w:tr w14:paraId="66DF9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restart"/>
            <w:vAlign w:val="center"/>
          </w:tcPr>
          <w:p w14:paraId="13ECFAB2">
            <w:pPr>
              <w:adjustRightInd w:val="0"/>
              <w:snapToGrid w:val="0"/>
              <w:spacing w:line="240" w:lineRule="auto"/>
              <w:ind w:firstLine="0" w:firstLineChars="0"/>
              <w:jc w:val="center"/>
              <w:rPr>
                <w:sz w:val="21"/>
                <w:szCs w:val="20"/>
              </w:rPr>
            </w:pPr>
            <w:r>
              <w:rPr>
                <w:rFonts w:hint="eastAsia"/>
                <w:sz w:val="21"/>
                <w:szCs w:val="20"/>
              </w:rPr>
              <w:t>声环境影响预测与评价</w:t>
            </w:r>
          </w:p>
        </w:tc>
        <w:tc>
          <w:tcPr>
            <w:tcW w:w="1276" w:type="dxa"/>
            <w:vAlign w:val="center"/>
          </w:tcPr>
          <w:p w14:paraId="454451B9">
            <w:pPr>
              <w:adjustRightInd w:val="0"/>
              <w:snapToGrid w:val="0"/>
              <w:spacing w:line="240" w:lineRule="auto"/>
              <w:ind w:firstLine="0" w:firstLineChars="0"/>
              <w:jc w:val="center"/>
              <w:rPr>
                <w:sz w:val="21"/>
                <w:szCs w:val="20"/>
              </w:rPr>
            </w:pPr>
            <w:r>
              <w:rPr>
                <w:rFonts w:hint="eastAsia"/>
                <w:sz w:val="21"/>
                <w:szCs w:val="20"/>
              </w:rPr>
              <w:t>预测模型</w:t>
            </w:r>
          </w:p>
        </w:tc>
        <w:tc>
          <w:tcPr>
            <w:tcW w:w="6603" w:type="dxa"/>
            <w:gridSpan w:val="9"/>
            <w:vAlign w:val="center"/>
          </w:tcPr>
          <w:p w14:paraId="24FAA753">
            <w:pPr>
              <w:adjustRightInd w:val="0"/>
              <w:snapToGrid w:val="0"/>
              <w:spacing w:line="240" w:lineRule="auto"/>
              <w:ind w:firstLine="0" w:firstLineChars="0"/>
              <w:jc w:val="center"/>
              <w:rPr>
                <w:sz w:val="21"/>
                <w:szCs w:val="20"/>
              </w:rPr>
            </w:pPr>
            <w:r>
              <w:rPr>
                <w:rFonts w:hint="eastAsia"/>
                <w:sz w:val="21"/>
                <w:szCs w:val="20"/>
              </w:rPr>
              <w:t>导则推荐模型</w:t>
            </w:r>
            <w:r>
              <w:rPr>
                <w:rFonts w:ascii="Segoe UI Symbol" w:hAnsi="Segoe UI Symbol" w:cs="Segoe UI Symbol"/>
                <w:sz w:val="21"/>
                <w:szCs w:val="20"/>
              </w:rPr>
              <w:t>☑</w:t>
            </w:r>
            <w:r>
              <w:rPr>
                <w:sz w:val="21"/>
                <w:szCs w:val="20"/>
              </w:rPr>
              <w:t xml:space="preserve">         </w:t>
            </w:r>
            <w:r>
              <w:rPr>
                <w:rFonts w:hint="eastAsia"/>
                <w:sz w:val="21"/>
                <w:szCs w:val="20"/>
              </w:rPr>
              <w:t>其他</w:t>
            </w:r>
            <w:r>
              <w:rPr>
                <w:rFonts w:hint="eastAsia" w:ascii="Segoe UI Emoji" w:hAnsi="Segoe UI Emoji" w:eastAsia="Segoe UI Emoji" w:cs="Segoe UI Emoji"/>
                <w:sz w:val="21"/>
                <w:szCs w:val="20"/>
              </w:rPr>
              <w:t>□</w:t>
            </w:r>
          </w:p>
        </w:tc>
      </w:tr>
      <w:tr w14:paraId="4C0F2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6EBBCA3E">
            <w:pPr>
              <w:adjustRightInd w:val="0"/>
              <w:snapToGrid w:val="0"/>
              <w:spacing w:line="240" w:lineRule="auto"/>
              <w:ind w:firstLine="0" w:firstLineChars="0"/>
              <w:jc w:val="center"/>
              <w:rPr>
                <w:sz w:val="21"/>
                <w:szCs w:val="20"/>
              </w:rPr>
            </w:pPr>
          </w:p>
        </w:tc>
        <w:tc>
          <w:tcPr>
            <w:tcW w:w="1276" w:type="dxa"/>
            <w:vAlign w:val="center"/>
          </w:tcPr>
          <w:p w14:paraId="6CE92F89">
            <w:pPr>
              <w:adjustRightInd w:val="0"/>
              <w:snapToGrid w:val="0"/>
              <w:spacing w:line="240" w:lineRule="auto"/>
              <w:ind w:firstLine="0" w:firstLineChars="0"/>
              <w:jc w:val="center"/>
              <w:rPr>
                <w:sz w:val="21"/>
                <w:szCs w:val="20"/>
              </w:rPr>
            </w:pPr>
            <w:r>
              <w:rPr>
                <w:rFonts w:hint="eastAsia"/>
                <w:sz w:val="21"/>
                <w:szCs w:val="20"/>
              </w:rPr>
              <w:t>预测范围</w:t>
            </w:r>
          </w:p>
        </w:tc>
        <w:tc>
          <w:tcPr>
            <w:tcW w:w="6603" w:type="dxa"/>
            <w:gridSpan w:val="9"/>
            <w:vAlign w:val="center"/>
          </w:tcPr>
          <w:p w14:paraId="73C19FD6">
            <w:pPr>
              <w:adjustRightInd w:val="0"/>
              <w:snapToGrid w:val="0"/>
              <w:spacing w:line="240" w:lineRule="auto"/>
              <w:ind w:firstLine="0" w:firstLineChars="0"/>
              <w:jc w:val="center"/>
              <w:rPr>
                <w:sz w:val="21"/>
                <w:szCs w:val="20"/>
              </w:rPr>
            </w:pPr>
            <w:r>
              <w:rPr>
                <w:rFonts w:hint="eastAsia"/>
                <w:sz w:val="21"/>
                <w:szCs w:val="20"/>
              </w:rPr>
              <w:t>2</w:t>
            </w:r>
            <w:r>
              <w:rPr>
                <w:sz w:val="21"/>
                <w:szCs w:val="20"/>
              </w:rPr>
              <w:t>00</w:t>
            </w:r>
            <w:r>
              <w:rPr>
                <w:rFonts w:hint="eastAsia"/>
                <w:sz w:val="21"/>
                <w:szCs w:val="20"/>
              </w:rPr>
              <w:t>m</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大于2</w:t>
            </w:r>
            <w:r>
              <w:rPr>
                <w:sz w:val="21"/>
                <w:szCs w:val="20"/>
              </w:rPr>
              <w:t>00</w:t>
            </w:r>
            <w:r>
              <w:rPr>
                <w:rFonts w:hint="eastAsia"/>
                <w:sz w:val="21"/>
                <w:szCs w:val="20"/>
              </w:rPr>
              <w:t>m</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小于2</w:t>
            </w:r>
            <w:r>
              <w:rPr>
                <w:sz w:val="21"/>
                <w:szCs w:val="20"/>
              </w:rPr>
              <w:t>00</w:t>
            </w:r>
            <w:r>
              <w:rPr>
                <w:rFonts w:hint="eastAsia"/>
                <w:sz w:val="21"/>
                <w:szCs w:val="20"/>
              </w:rPr>
              <w:t>m</w:t>
            </w:r>
            <w:r>
              <w:rPr>
                <w:rFonts w:ascii="Segoe UI Symbol" w:hAnsi="Segoe UI Symbol" w:cs="Segoe UI Symbol"/>
                <w:sz w:val="21"/>
                <w:szCs w:val="20"/>
              </w:rPr>
              <w:t>☑</w:t>
            </w:r>
          </w:p>
        </w:tc>
      </w:tr>
      <w:tr w14:paraId="16845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5EA37D01">
            <w:pPr>
              <w:adjustRightInd w:val="0"/>
              <w:snapToGrid w:val="0"/>
              <w:spacing w:line="240" w:lineRule="auto"/>
              <w:ind w:firstLine="0" w:firstLineChars="0"/>
              <w:jc w:val="center"/>
              <w:rPr>
                <w:sz w:val="21"/>
                <w:szCs w:val="20"/>
              </w:rPr>
            </w:pPr>
          </w:p>
        </w:tc>
        <w:tc>
          <w:tcPr>
            <w:tcW w:w="1276" w:type="dxa"/>
            <w:vAlign w:val="center"/>
          </w:tcPr>
          <w:p w14:paraId="638ECC25">
            <w:pPr>
              <w:adjustRightInd w:val="0"/>
              <w:snapToGrid w:val="0"/>
              <w:spacing w:line="240" w:lineRule="auto"/>
              <w:ind w:firstLine="0" w:firstLineChars="0"/>
              <w:jc w:val="center"/>
              <w:rPr>
                <w:sz w:val="21"/>
                <w:szCs w:val="20"/>
              </w:rPr>
            </w:pPr>
            <w:r>
              <w:rPr>
                <w:rFonts w:hint="eastAsia"/>
                <w:sz w:val="21"/>
                <w:szCs w:val="20"/>
              </w:rPr>
              <w:t>预测因子</w:t>
            </w:r>
          </w:p>
        </w:tc>
        <w:tc>
          <w:tcPr>
            <w:tcW w:w="6603" w:type="dxa"/>
            <w:gridSpan w:val="9"/>
            <w:vAlign w:val="center"/>
          </w:tcPr>
          <w:p w14:paraId="4927C20F">
            <w:pPr>
              <w:adjustRightInd w:val="0"/>
              <w:snapToGrid w:val="0"/>
              <w:spacing w:line="240" w:lineRule="auto"/>
              <w:ind w:firstLine="0" w:firstLineChars="0"/>
              <w:jc w:val="center"/>
              <w:rPr>
                <w:sz w:val="21"/>
                <w:szCs w:val="20"/>
              </w:rPr>
            </w:pPr>
            <w:r>
              <w:rPr>
                <w:rFonts w:hint="eastAsia"/>
                <w:sz w:val="21"/>
                <w:szCs w:val="20"/>
              </w:rPr>
              <w:t>等效连续A声级</w:t>
            </w:r>
            <w:r>
              <w:rPr>
                <w:rFonts w:ascii="Segoe UI Symbol" w:hAnsi="Segoe UI Symbol" w:cs="Segoe UI Symbol"/>
                <w:sz w:val="21"/>
                <w:szCs w:val="20"/>
              </w:rPr>
              <w:t>☑</w:t>
            </w:r>
            <w:r>
              <w:rPr>
                <w:sz w:val="21"/>
                <w:szCs w:val="20"/>
              </w:rPr>
              <w:t xml:space="preserve">    </w:t>
            </w:r>
            <w:r>
              <w:rPr>
                <w:rFonts w:hint="eastAsia"/>
                <w:sz w:val="21"/>
                <w:szCs w:val="20"/>
              </w:rPr>
              <w:t>最大A声级</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计权等效连续感觉噪声级</w:t>
            </w:r>
            <w:r>
              <w:rPr>
                <w:rFonts w:hint="eastAsia" w:ascii="Segoe UI Emoji" w:hAnsi="Segoe UI Emoji" w:eastAsia="Segoe UI Emoji" w:cs="Segoe UI Emoji"/>
                <w:sz w:val="21"/>
                <w:szCs w:val="20"/>
              </w:rPr>
              <w:t>□</w:t>
            </w:r>
          </w:p>
        </w:tc>
      </w:tr>
      <w:tr w14:paraId="14AFB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6B1BC88D">
            <w:pPr>
              <w:adjustRightInd w:val="0"/>
              <w:snapToGrid w:val="0"/>
              <w:spacing w:line="240" w:lineRule="auto"/>
              <w:ind w:firstLine="0" w:firstLineChars="0"/>
              <w:jc w:val="center"/>
              <w:rPr>
                <w:sz w:val="21"/>
                <w:szCs w:val="20"/>
              </w:rPr>
            </w:pPr>
          </w:p>
        </w:tc>
        <w:tc>
          <w:tcPr>
            <w:tcW w:w="1276" w:type="dxa"/>
            <w:vAlign w:val="center"/>
          </w:tcPr>
          <w:p w14:paraId="660602C5">
            <w:pPr>
              <w:adjustRightInd w:val="0"/>
              <w:snapToGrid w:val="0"/>
              <w:spacing w:line="240" w:lineRule="auto"/>
              <w:ind w:firstLine="0" w:firstLineChars="0"/>
              <w:jc w:val="center"/>
              <w:rPr>
                <w:sz w:val="21"/>
                <w:szCs w:val="20"/>
              </w:rPr>
            </w:pPr>
            <w:r>
              <w:rPr>
                <w:rFonts w:hint="eastAsia"/>
                <w:sz w:val="21"/>
                <w:szCs w:val="20"/>
              </w:rPr>
              <w:t>厂界噪声贡献</w:t>
            </w:r>
          </w:p>
        </w:tc>
        <w:tc>
          <w:tcPr>
            <w:tcW w:w="6603" w:type="dxa"/>
            <w:gridSpan w:val="9"/>
            <w:vAlign w:val="center"/>
          </w:tcPr>
          <w:p w14:paraId="7A3651E1">
            <w:pPr>
              <w:adjustRightInd w:val="0"/>
              <w:snapToGrid w:val="0"/>
              <w:spacing w:line="240" w:lineRule="auto"/>
              <w:ind w:firstLine="0" w:firstLineChars="0"/>
              <w:jc w:val="center"/>
              <w:rPr>
                <w:sz w:val="21"/>
                <w:szCs w:val="20"/>
              </w:rPr>
            </w:pPr>
            <w:r>
              <w:rPr>
                <w:rFonts w:hint="eastAsia"/>
                <w:sz w:val="21"/>
                <w:szCs w:val="20"/>
              </w:rPr>
              <w:t>达标</w:t>
            </w:r>
            <w:r>
              <w:rPr>
                <w:rFonts w:ascii="Segoe UI Symbol" w:hAnsi="Segoe UI Symbol" w:cs="Segoe UI Symbol"/>
                <w:sz w:val="21"/>
                <w:szCs w:val="20"/>
              </w:rPr>
              <w:t>☑</w:t>
            </w:r>
            <w:r>
              <w:rPr>
                <w:sz w:val="21"/>
                <w:szCs w:val="20"/>
              </w:rPr>
              <w:t xml:space="preserve">         </w:t>
            </w:r>
            <w:r>
              <w:rPr>
                <w:rFonts w:hint="eastAsia"/>
                <w:sz w:val="21"/>
                <w:szCs w:val="20"/>
              </w:rPr>
              <w:t>不达标</w:t>
            </w:r>
            <w:r>
              <w:rPr>
                <w:rFonts w:hint="eastAsia" w:ascii="Segoe UI Emoji" w:hAnsi="Segoe UI Emoji" w:eastAsia="Segoe UI Emoji" w:cs="Segoe UI Emoji"/>
                <w:sz w:val="21"/>
                <w:szCs w:val="20"/>
              </w:rPr>
              <w:t>□</w:t>
            </w:r>
          </w:p>
        </w:tc>
      </w:tr>
      <w:tr w14:paraId="32D92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175FD971">
            <w:pPr>
              <w:adjustRightInd w:val="0"/>
              <w:snapToGrid w:val="0"/>
              <w:spacing w:line="240" w:lineRule="auto"/>
              <w:ind w:firstLine="0" w:firstLineChars="0"/>
              <w:jc w:val="center"/>
              <w:rPr>
                <w:sz w:val="21"/>
                <w:szCs w:val="20"/>
              </w:rPr>
            </w:pPr>
          </w:p>
        </w:tc>
        <w:tc>
          <w:tcPr>
            <w:tcW w:w="1276" w:type="dxa"/>
            <w:vAlign w:val="center"/>
          </w:tcPr>
          <w:p w14:paraId="47A3706D">
            <w:pPr>
              <w:adjustRightInd w:val="0"/>
              <w:snapToGrid w:val="0"/>
              <w:spacing w:line="240" w:lineRule="auto"/>
              <w:ind w:firstLine="0" w:firstLineChars="0"/>
              <w:jc w:val="center"/>
              <w:rPr>
                <w:sz w:val="21"/>
                <w:szCs w:val="20"/>
              </w:rPr>
            </w:pPr>
            <w:r>
              <w:rPr>
                <w:rFonts w:hint="eastAsia"/>
                <w:sz w:val="21"/>
                <w:szCs w:val="20"/>
              </w:rPr>
              <w:t>声环境保护目标处噪声值</w:t>
            </w:r>
          </w:p>
        </w:tc>
        <w:tc>
          <w:tcPr>
            <w:tcW w:w="6603" w:type="dxa"/>
            <w:gridSpan w:val="9"/>
            <w:vAlign w:val="center"/>
          </w:tcPr>
          <w:p w14:paraId="2A9FF5B4">
            <w:pPr>
              <w:adjustRightInd w:val="0"/>
              <w:snapToGrid w:val="0"/>
              <w:spacing w:line="240" w:lineRule="auto"/>
              <w:ind w:firstLine="0" w:firstLineChars="0"/>
              <w:jc w:val="center"/>
              <w:rPr>
                <w:sz w:val="21"/>
                <w:szCs w:val="20"/>
              </w:rPr>
            </w:pPr>
            <w:r>
              <w:rPr>
                <w:rFonts w:hint="eastAsia"/>
                <w:sz w:val="21"/>
                <w:szCs w:val="20"/>
              </w:rPr>
              <w:t>达标</w:t>
            </w:r>
            <w:r>
              <w:rPr>
                <w:rFonts w:ascii="Segoe UI Symbol" w:hAnsi="Segoe UI Symbol" w:cs="Segoe UI Symbol"/>
                <w:sz w:val="21"/>
                <w:szCs w:val="20"/>
              </w:rPr>
              <w:t>☑</w:t>
            </w:r>
            <w:r>
              <w:rPr>
                <w:sz w:val="21"/>
                <w:szCs w:val="20"/>
              </w:rPr>
              <w:t xml:space="preserve">         </w:t>
            </w:r>
            <w:r>
              <w:rPr>
                <w:rFonts w:hint="eastAsia"/>
                <w:sz w:val="21"/>
                <w:szCs w:val="20"/>
              </w:rPr>
              <w:t>不达标</w:t>
            </w:r>
            <w:r>
              <w:rPr>
                <w:rFonts w:hint="eastAsia" w:ascii="Segoe UI Emoji" w:hAnsi="Segoe UI Emoji" w:eastAsia="Segoe UI Emoji" w:cs="Segoe UI Emoji"/>
                <w:sz w:val="21"/>
                <w:szCs w:val="20"/>
              </w:rPr>
              <w:t>□</w:t>
            </w:r>
          </w:p>
        </w:tc>
      </w:tr>
      <w:tr w14:paraId="0BD04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restart"/>
            <w:vAlign w:val="center"/>
          </w:tcPr>
          <w:p w14:paraId="78CEB989">
            <w:pPr>
              <w:adjustRightInd w:val="0"/>
              <w:snapToGrid w:val="0"/>
              <w:spacing w:line="240" w:lineRule="auto"/>
              <w:ind w:firstLine="0" w:firstLineChars="0"/>
              <w:jc w:val="center"/>
              <w:rPr>
                <w:sz w:val="21"/>
                <w:szCs w:val="20"/>
              </w:rPr>
            </w:pPr>
            <w:r>
              <w:rPr>
                <w:rFonts w:hint="eastAsia"/>
                <w:sz w:val="21"/>
                <w:szCs w:val="20"/>
              </w:rPr>
              <w:t>环境监测计划</w:t>
            </w:r>
          </w:p>
        </w:tc>
        <w:tc>
          <w:tcPr>
            <w:tcW w:w="1276" w:type="dxa"/>
            <w:vAlign w:val="center"/>
          </w:tcPr>
          <w:p w14:paraId="194B147F">
            <w:pPr>
              <w:adjustRightInd w:val="0"/>
              <w:snapToGrid w:val="0"/>
              <w:spacing w:line="240" w:lineRule="auto"/>
              <w:ind w:firstLine="0" w:firstLineChars="0"/>
              <w:jc w:val="center"/>
              <w:rPr>
                <w:sz w:val="21"/>
                <w:szCs w:val="20"/>
              </w:rPr>
            </w:pPr>
            <w:r>
              <w:rPr>
                <w:rFonts w:hint="eastAsia"/>
                <w:sz w:val="21"/>
                <w:szCs w:val="20"/>
              </w:rPr>
              <w:t>排放监测</w:t>
            </w:r>
          </w:p>
        </w:tc>
        <w:tc>
          <w:tcPr>
            <w:tcW w:w="6603" w:type="dxa"/>
            <w:gridSpan w:val="9"/>
            <w:vAlign w:val="center"/>
          </w:tcPr>
          <w:p w14:paraId="55CE3E76">
            <w:pPr>
              <w:adjustRightInd w:val="0"/>
              <w:snapToGrid w:val="0"/>
              <w:spacing w:line="240" w:lineRule="auto"/>
              <w:ind w:firstLine="0" w:firstLineChars="0"/>
              <w:jc w:val="center"/>
              <w:rPr>
                <w:sz w:val="21"/>
                <w:szCs w:val="20"/>
              </w:rPr>
            </w:pPr>
            <w:r>
              <w:rPr>
                <w:rFonts w:hint="eastAsia"/>
                <w:sz w:val="21"/>
                <w:szCs w:val="20"/>
              </w:rPr>
              <w:t>厂界监测</w:t>
            </w:r>
            <w:r>
              <w:rPr>
                <w:rFonts w:ascii="Segoe UI Symbol" w:hAnsi="Segoe UI Symbol" w:cs="Segoe UI Symbol"/>
                <w:sz w:val="21"/>
                <w:szCs w:val="20"/>
              </w:rPr>
              <w:t>☑</w:t>
            </w:r>
            <w:r>
              <w:rPr>
                <w:sz w:val="21"/>
                <w:szCs w:val="20"/>
              </w:rPr>
              <w:t xml:space="preserve">  </w:t>
            </w:r>
            <w:r>
              <w:rPr>
                <w:rFonts w:hint="eastAsia"/>
                <w:sz w:val="21"/>
                <w:szCs w:val="20"/>
              </w:rPr>
              <w:t>固定位置监测</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自动监测</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手动检测</w:t>
            </w:r>
            <w:r>
              <w:rPr>
                <w:rFonts w:hint="eastAsia" w:ascii="Segoe UI Emoji" w:hAnsi="Segoe UI Emoji" w:eastAsia="Segoe UI Emoji" w:cs="Segoe UI Emoji"/>
                <w:sz w:val="21"/>
                <w:szCs w:val="20"/>
              </w:rPr>
              <w:t>□</w:t>
            </w:r>
            <w:r>
              <w:rPr>
                <w:sz w:val="21"/>
                <w:szCs w:val="20"/>
              </w:rPr>
              <w:t xml:space="preserve">  </w:t>
            </w:r>
            <w:r>
              <w:rPr>
                <w:rFonts w:hint="eastAsia"/>
                <w:sz w:val="21"/>
                <w:szCs w:val="20"/>
              </w:rPr>
              <w:t>无监测</w:t>
            </w:r>
            <w:r>
              <w:rPr>
                <w:rFonts w:hint="eastAsia" w:ascii="Segoe UI Emoji" w:hAnsi="Segoe UI Emoji" w:eastAsia="Segoe UI Emoji" w:cs="Segoe UI Emoji"/>
                <w:sz w:val="21"/>
                <w:szCs w:val="20"/>
              </w:rPr>
              <w:t>□</w:t>
            </w:r>
          </w:p>
        </w:tc>
      </w:tr>
      <w:tr w14:paraId="4B5AE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Merge w:val="continue"/>
            <w:vAlign w:val="center"/>
          </w:tcPr>
          <w:p w14:paraId="58E3447E">
            <w:pPr>
              <w:adjustRightInd w:val="0"/>
              <w:snapToGrid w:val="0"/>
              <w:spacing w:line="240" w:lineRule="auto"/>
              <w:ind w:firstLine="0" w:firstLineChars="0"/>
              <w:jc w:val="center"/>
              <w:rPr>
                <w:sz w:val="21"/>
                <w:szCs w:val="20"/>
              </w:rPr>
            </w:pPr>
          </w:p>
        </w:tc>
        <w:tc>
          <w:tcPr>
            <w:tcW w:w="1276" w:type="dxa"/>
            <w:vAlign w:val="center"/>
          </w:tcPr>
          <w:p w14:paraId="24CCD0D8">
            <w:pPr>
              <w:adjustRightInd w:val="0"/>
              <w:snapToGrid w:val="0"/>
              <w:spacing w:line="240" w:lineRule="auto"/>
              <w:ind w:firstLine="0" w:firstLineChars="0"/>
              <w:jc w:val="center"/>
              <w:rPr>
                <w:sz w:val="21"/>
                <w:szCs w:val="20"/>
              </w:rPr>
            </w:pPr>
            <w:r>
              <w:rPr>
                <w:rFonts w:hint="eastAsia"/>
                <w:sz w:val="21"/>
                <w:szCs w:val="20"/>
              </w:rPr>
              <w:t>声环境保护目标处噪声监测</w:t>
            </w:r>
          </w:p>
        </w:tc>
        <w:tc>
          <w:tcPr>
            <w:tcW w:w="2693" w:type="dxa"/>
            <w:gridSpan w:val="4"/>
            <w:vAlign w:val="center"/>
          </w:tcPr>
          <w:p w14:paraId="28FCAB68">
            <w:pPr>
              <w:adjustRightInd w:val="0"/>
              <w:snapToGrid w:val="0"/>
              <w:spacing w:line="240" w:lineRule="auto"/>
              <w:ind w:firstLine="0" w:firstLineChars="0"/>
              <w:jc w:val="center"/>
              <w:rPr>
                <w:sz w:val="21"/>
                <w:szCs w:val="20"/>
              </w:rPr>
            </w:pPr>
            <w:r>
              <w:rPr>
                <w:rFonts w:hint="eastAsia"/>
                <w:sz w:val="21"/>
                <w:szCs w:val="20"/>
              </w:rPr>
              <w:t>监测因子：（等效连续A声级）</w:t>
            </w:r>
          </w:p>
        </w:tc>
        <w:tc>
          <w:tcPr>
            <w:tcW w:w="1709" w:type="dxa"/>
            <w:gridSpan w:val="2"/>
            <w:vAlign w:val="center"/>
          </w:tcPr>
          <w:p w14:paraId="56181C4C">
            <w:pPr>
              <w:adjustRightInd w:val="0"/>
              <w:snapToGrid w:val="0"/>
              <w:spacing w:line="240" w:lineRule="auto"/>
              <w:ind w:firstLine="0" w:firstLineChars="0"/>
              <w:jc w:val="center"/>
              <w:rPr>
                <w:sz w:val="21"/>
                <w:szCs w:val="20"/>
              </w:rPr>
            </w:pPr>
            <w:r>
              <w:rPr>
                <w:rFonts w:hint="eastAsia"/>
                <w:sz w:val="21"/>
                <w:szCs w:val="20"/>
              </w:rPr>
              <w:t>监测点位数（</w:t>
            </w:r>
            <w:r>
              <w:rPr>
                <w:sz w:val="21"/>
                <w:szCs w:val="20"/>
              </w:rPr>
              <w:t>4</w:t>
            </w:r>
            <w:r>
              <w:rPr>
                <w:rFonts w:hint="eastAsia"/>
                <w:sz w:val="21"/>
                <w:szCs w:val="20"/>
              </w:rPr>
              <w:t>个）</w:t>
            </w:r>
          </w:p>
        </w:tc>
        <w:tc>
          <w:tcPr>
            <w:tcW w:w="2201" w:type="dxa"/>
            <w:gridSpan w:val="3"/>
            <w:vAlign w:val="center"/>
          </w:tcPr>
          <w:p w14:paraId="579E5145">
            <w:pPr>
              <w:adjustRightInd w:val="0"/>
              <w:snapToGrid w:val="0"/>
              <w:spacing w:line="240" w:lineRule="auto"/>
              <w:ind w:firstLine="0" w:firstLineChars="0"/>
              <w:jc w:val="center"/>
              <w:rPr>
                <w:sz w:val="21"/>
                <w:szCs w:val="20"/>
              </w:rPr>
            </w:pPr>
            <w:r>
              <w:rPr>
                <w:rFonts w:hint="eastAsia"/>
                <w:sz w:val="21"/>
                <w:szCs w:val="20"/>
              </w:rPr>
              <w:t>无监测</w:t>
            </w:r>
            <w:r>
              <w:rPr>
                <w:rFonts w:hint="eastAsia" w:ascii="Segoe UI Emoji" w:hAnsi="Segoe UI Emoji" w:eastAsia="Segoe UI Emoji" w:cs="Segoe UI Emoji"/>
                <w:sz w:val="21"/>
                <w:szCs w:val="20"/>
              </w:rPr>
              <w:t>□</w:t>
            </w:r>
          </w:p>
        </w:tc>
      </w:tr>
      <w:tr w14:paraId="78C78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51" w:type="dxa"/>
            <w:vAlign w:val="center"/>
          </w:tcPr>
          <w:p w14:paraId="18576663">
            <w:pPr>
              <w:adjustRightInd w:val="0"/>
              <w:snapToGrid w:val="0"/>
              <w:spacing w:line="240" w:lineRule="auto"/>
              <w:ind w:firstLine="0" w:firstLineChars="0"/>
              <w:jc w:val="center"/>
              <w:rPr>
                <w:sz w:val="21"/>
                <w:szCs w:val="20"/>
              </w:rPr>
            </w:pPr>
            <w:r>
              <w:rPr>
                <w:rFonts w:hint="eastAsia"/>
                <w:sz w:val="21"/>
                <w:szCs w:val="20"/>
              </w:rPr>
              <w:t>评价结论</w:t>
            </w:r>
          </w:p>
        </w:tc>
        <w:tc>
          <w:tcPr>
            <w:tcW w:w="1276" w:type="dxa"/>
            <w:vAlign w:val="center"/>
          </w:tcPr>
          <w:p w14:paraId="7BD8A947">
            <w:pPr>
              <w:adjustRightInd w:val="0"/>
              <w:snapToGrid w:val="0"/>
              <w:spacing w:line="240" w:lineRule="auto"/>
              <w:ind w:firstLine="0" w:firstLineChars="0"/>
              <w:jc w:val="center"/>
              <w:rPr>
                <w:sz w:val="21"/>
                <w:szCs w:val="20"/>
              </w:rPr>
            </w:pPr>
            <w:r>
              <w:rPr>
                <w:rFonts w:hint="eastAsia"/>
                <w:sz w:val="21"/>
                <w:szCs w:val="20"/>
              </w:rPr>
              <w:t>环境影响</w:t>
            </w:r>
          </w:p>
        </w:tc>
        <w:tc>
          <w:tcPr>
            <w:tcW w:w="6603" w:type="dxa"/>
            <w:gridSpan w:val="9"/>
            <w:vAlign w:val="center"/>
          </w:tcPr>
          <w:p w14:paraId="427EE393">
            <w:pPr>
              <w:adjustRightInd w:val="0"/>
              <w:snapToGrid w:val="0"/>
              <w:spacing w:line="240" w:lineRule="auto"/>
              <w:ind w:firstLine="0" w:firstLineChars="0"/>
              <w:jc w:val="center"/>
              <w:rPr>
                <w:sz w:val="21"/>
                <w:szCs w:val="20"/>
              </w:rPr>
            </w:pPr>
            <w:r>
              <w:rPr>
                <w:rFonts w:hint="eastAsia"/>
                <w:sz w:val="21"/>
                <w:szCs w:val="20"/>
              </w:rPr>
              <w:t>可行</w:t>
            </w:r>
            <w:r>
              <w:rPr>
                <w:rFonts w:ascii="Segoe UI Symbol" w:hAnsi="Segoe UI Symbol" w:cs="Segoe UI Symbol"/>
                <w:sz w:val="21"/>
                <w:szCs w:val="20"/>
              </w:rPr>
              <w:t>☑</w:t>
            </w:r>
            <w:r>
              <w:rPr>
                <w:sz w:val="21"/>
                <w:szCs w:val="20"/>
              </w:rPr>
              <w:t xml:space="preserve">          </w:t>
            </w:r>
            <w:r>
              <w:rPr>
                <w:rFonts w:hint="eastAsia"/>
                <w:sz w:val="21"/>
                <w:szCs w:val="20"/>
              </w:rPr>
              <w:t>不可行</w:t>
            </w:r>
            <w:r>
              <w:rPr>
                <w:rFonts w:hint="eastAsia" w:ascii="Segoe UI Emoji" w:hAnsi="Segoe UI Emoji" w:eastAsia="Segoe UI Emoji" w:cs="Segoe UI Emoji"/>
                <w:sz w:val="21"/>
                <w:szCs w:val="20"/>
              </w:rPr>
              <w:t>□</w:t>
            </w:r>
          </w:p>
        </w:tc>
      </w:tr>
      <w:tr w14:paraId="79A3B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730" w:type="dxa"/>
            <w:gridSpan w:val="11"/>
            <w:vAlign w:val="center"/>
          </w:tcPr>
          <w:p w14:paraId="1826838B">
            <w:pPr>
              <w:adjustRightInd w:val="0"/>
              <w:snapToGrid w:val="0"/>
              <w:spacing w:line="240" w:lineRule="auto"/>
              <w:ind w:firstLine="0" w:firstLineChars="0"/>
              <w:rPr>
                <w:sz w:val="21"/>
                <w:szCs w:val="20"/>
              </w:rPr>
            </w:pPr>
            <w:r>
              <w:rPr>
                <w:rFonts w:hint="eastAsia"/>
                <w:sz w:val="21"/>
                <w:szCs w:val="20"/>
              </w:rPr>
              <w:t>注：“</w:t>
            </w:r>
            <w:r>
              <w:rPr>
                <w:rFonts w:hint="eastAsia" w:ascii="Segoe UI Emoji" w:hAnsi="Segoe UI Emoji" w:eastAsia="Segoe UI Emoji" w:cs="Segoe UI Emoji"/>
                <w:sz w:val="21"/>
                <w:szCs w:val="20"/>
              </w:rPr>
              <w:t>□</w:t>
            </w:r>
            <w:r>
              <w:rPr>
                <w:rFonts w:hint="eastAsia"/>
                <w:sz w:val="21"/>
                <w:szCs w:val="20"/>
              </w:rPr>
              <w:t xml:space="preserve">”为勾选项，可√；“（ </w:t>
            </w:r>
            <w:r>
              <w:rPr>
                <w:sz w:val="21"/>
                <w:szCs w:val="20"/>
              </w:rPr>
              <w:t xml:space="preserve">  </w:t>
            </w:r>
            <w:r>
              <w:rPr>
                <w:rFonts w:hint="eastAsia"/>
                <w:sz w:val="21"/>
                <w:szCs w:val="20"/>
              </w:rPr>
              <w:t>）”为内容填写项。</w:t>
            </w:r>
          </w:p>
        </w:tc>
      </w:tr>
    </w:tbl>
    <w:p w14:paraId="22E8F579">
      <w:pPr>
        <w:pStyle w:val="41"/>
      </w:pPr>
      <w:bookmarkStart w:id="494" w:name="_Toc152864230"/>
      <w:r>
        <w:rPr>
          <w:rFonts w:hint="eastAsia"/>
        </w:rPr>
        <w:t>固体废物环境影响分析</w:t>
      </w:r>
      <w:bookmarkEnd w:id="494"/>
    </w:p>
    <w:p w14:paraId="437D9E85">
      <w:pPr>
        <w:pStyle w:val="43"/>
      </w:pPr>
      <w:bookmarkStart w:id="495" w:name="_Toc81214130"/>
      <w:bookmarkStart w:id="496" w:name="_Toc77007834"/>
      <w:bookmarkStart w:id="497" w:name="_Toc80973562"/>
      <w:bookmarkStart w:id="498" w:name="_Toc79515507"/>
      <w:bookmarkStart w:id="499" w:name="_Toc152864231"/>
      <w:bookmarkStart w:id="500" w:name="_Toc82518818"/>
      <w:bookmarkStart w:id="501" w:name="_Toc80193136"/>
      <w:r>
        <w:rPr>
          <w:rFonts w:hint="eastAsia"/>
        </w:rPr>
        <w:t>固体废物可能造成的环境影响</w:t>
      </w:r>
      <w:bookmarkEnd w:id="495"/>
      <w:bookmarkEnd w:id="496"/>
      <w:bookmarkEnd w:id="497"/>
      <w:bookmarkEnd w:id="498"/>
      <w:bookmarkEnd w:id="499"/>
      <w:bookmarkEnd w:id="500"/>
      <w:bookmarkEnd w:id="501"/>
    </w:p>
    <w:p w14:paraId="5E3B73DB">
      <w:pPr>
        <w:pStyle w:val="45"/>
        <w:spacing w:before="65" w:after="65"/>
      </w:pPr>
      <w:r>
        <w:rPr>
          <w:rFonts w:hint="eastAsia"/>
        </w:rPr>
        <w:t>对大气的影响</w:t>
      </w:r>
    </w:p>
    <w:p w14:paraId="4B78B2B8">
      <w:pPr>
        <w:ind w:firstLine="480"/>
      </w:pPr>
      <w:r>
        <w:rPr>
          <w:rFonts w:hint="eastAsia"/>
        </w:rPr>
        <w:t>固体废物中的细微颗粒物在长期堆存时，因表面干燥会随风引起扬尘，</w:t>
      </w:r>
      <w:r>
        <w:t>对</w:t>
      </w:r>
      <w:r>
        <w:rPr>
          <w:rFonts w:hint="eastAsia"/>
        </w:rPr>
        <w:t>周围</w:t>
      </w:r>
      <w:r>
        <w:t>大气环境造成危害。</w:t>
      </w:r>
    </w:p>
    <w:p w14:paraId="4F8F1E43">
      <w:pPr>
        <w:ind w:firstLine="480"/>
      </w:pPr>
      <w:r>
        <w:t>本项目固体废物全部入库储存，不露天堆置，不会产生大风扬尘造成的二次</w:t>
      </w:r>
      <w:r>
        <w:rPr>
          <w:rFonts w:hint="eastAsia"/>
        </w:rPr>
        <w:t>污</w:t>
      </w:r>
      <w:r>
        <w:t>染，本项目固体废物存储过程对周围环境空气质量影响较小</w:t>
      </w:r>
      <w:r>
        <w:rPr>
          <w:rFonts w:hint="eastAsia"/>
        </w:rPr>
        <w:t>。</w:t>
      </w:r>
    </w:p>
    <w:p w14:paraId="6124E785">
      <w:pPr>
        <w:pStyle w:val="45"/>
        <w:spacing w:before="65" w:after="65"/>
      </w:pPr>
      <w:r>
        <w:rPr>
          <w:rFonts w:hint="eastAsia"/>
        </w:rPr>
        <w:t>对地表水的影响</w:t>
      </w:r>
    </w:p>
    <w:p w14:paraId="009CAE0B">
      <w:pPr>
        <w:ind w:firstLine="480"/>
      </w:pPr>
      <w:r>
        <w:rPr>
          <w:rFonts w:hint="eastAsia"/>
        </w:rPr>
        <w:t>如果直接向水域倾倒固体废物，不但容易堵塞水流，减少水域面积，而且固体废物进入水体，还会影响水生生物生存和水资源的利用。废物任意堆放或填埋，经雨水浸淋，其渗出的渗滤液会污染土地、河川、湖泊和地下水。本项目固体废物全部采用密封容器包装后入库储存，并且能够做到安全妥善处置。本项目固体废物不会进入地表水体，对地表水体无影响。</w:t>
      </w:r>
    </w:p>
    <w:p w14:paraId="583C2DF6">
      <w:pPr>
        <w:pStyle w:val="45"/>
        <w:spacing w:before="65" w:after="65"/>
      </w:pPr>
      <w:r>
        <w:rPr>
          <w:rFonts w:hint="eastAsia"/>
        </w:rPr>
        <w:t>对地下水、土壤的影响</w:t>
      </w:r>
    </w:p>
    <w:p w14:paraId="660E2108">
      <w:pPr>
        <w:ind w:firstLine="480"/>
      </w:pPr>
      <w:r>
        <w:rPr>
          <w:rFonts w:hint="eastAsia"/>
        </w:rPr>
        <w:t>固体废物及其渗滤液中所含有的有害物质常能改变土质和土壤结构，影响土壤中微生物的活动，有碍植物的生长，而且使有毒有害物质在植物机体内积蓄。</w:t>
      </w:r>
    </w:p>
    <w:p w14:paraId="5B613988">
      <w:pPr>
        <w:ind w:firstLine="480"/>
      </w:pPr>
      <w:r>
        <w:rPr>
          <w:rFonts w:hint="eastAsia"/>
        </w:rPr>
        <w:t>本项目产生的固体废物均为一般工业固废，对各类固体废物堆放场所，对地面进行全面硬化和防渗漏处理，防渗漏措施按照《石油化工工程防渗技术规范》（GB/T50934-2013）要求进行了分区防渗，通过采取以上措施可确保固体废物堆放不会对地下水、土壤产生影响。</w:t>
      </w:r>
    </w:p>
    <w:p w14:paraId="780EDE86">
      <w:pPr>
        <w:ind w:firstLine="480"/>
      </w:pPr>
      <w:r>
        <w:rPr>
          <w:rFonts w:hint="eastAsia"/>
        </w:rPr>
        <w:t>综上所述，固废处置遵循分类原则、减量化原则、无公害化原则与集中相结合的原则，对工程产生的固废根据种类不同、污染性质不同，对其进行分类收集，定向处置。在加强管理，并在落实好各项污染防治措施和固体废物安全处置措施的前提下，本项目固体废物处置措施可行，处置方向明确，本项目固体废物不会对外环境造成明显影响。</w:t>
      </w:r>
    </w:p>
    <w:p w14:paraId="594FE7BE">
      <w:pPr>
        <w:pStyle w:val="43"/>
      </w:pPr>
      <w:bookmarkStart w:id="502" w:name="_Toc152864232"/>
      <w:bookmarkStart w:id="503" w:name="_Toc82518819"/>
      <w:r>
        <w:rPr>
          <w:rFonts w:hint="eastAsia"/>
        </w:rPr>
        <w:t>危险废物</w:t>
      </w:r>
      <w:r>
        <w:t>污染防治措施分析</w:t>
      </w:r>
      <w:bookmarkEnd w:id="502"/>
      <w:bookmarkEnd w:id="503"/>
    </w:p>
    <w:p w14:paraId="2EA306A1">
      <w:pPr>
        <w:ind w:firstLine="480"/>
      </w:pPr>
      <w:r>
        <w:rPr>
          <w:rFonts w:hint="eastAsia"/>
          <w:lang w:val="zh-CN"/>
        </w:rPr>
        <w:t>本项目固体废物主要为润滑油生产过程中产生的</w:t>
      </w:r>
      <w:r>
        <w:rPr>
          <w:rFonts w:hint="eastAsia"/>
        </w:rPr>
        <w:t>白土废渣（9</w:t>
      </w:r>
      <w:r>
        <w:t>00-249-08</w:t>
      </w:r>
      <w:r>
        <w:rPr>
          <w:rFonts w:hint="eastAsia"/>
        </w:rPr>
        <w:t>）</w:t>
      </w:r>
      <w:r>
        <w:t>、</w:t>
      </w:r>
      <w:r>
        <w:rPr>
          <w:rFonts w:hint="eastAsia"/>
        </w:rPr>
        <w:t>废活性炭（9</w:t>
      </w:r>
      <w:r>
        <w:t>00-039-49</w:t>
      </w:r>
      <w:r>
        <w:rPr>
          <w:rFonts w:hint="eastAsia"/>
        </w:rPr>
        <w:t>）、废导热油（9</w:t>
      </w:r>
      <w:r>
        <w:t>00-249-08</w:t>
      </w:r>
      <w:r>
        <w:rPr>
          <w:rFonts w:hint="eastAsia"/>
        </w:rPr>
        <w:t>）、污泥（9</w:t>
      </w:r>
      <w:r>
        <w:t>00-210-08</w:t>
      </w:r>
      <w:r>
        <w:rPr>
          <w:rFonts w:hint="eastAsia"/>
        </w:rPr>
        <w:t>）</w:t>
      </w:r>
      <w:r>
        <w:rPr>
          <w:rFonts w:hint="eastAsia"/>
          <w:lang w:val="zh-CN"/>
        </w:rPr>
        <w:t>，属于危险废物，根据工程分析，年产生量见表3</w:t>
      </w:r>
      <w:r>
        <w:rPr>
          <w:lang w:val="zh-CN"/>
        </w:rPr>
        <w:t>.5-1</w:t>
      </w:r>
      <w:r>
        <w:rPr>
          <w:rFonts w:hint="eastAsia"/>
          <w:lang w:val="zh-CN"/>
        </w:rPr>
        <w:t>，</w:t>
      </w:r>
      <w:r>
        <w:rPr>
          <w:rFonts w:hint="eastAsia"/>
        </w:rPr>
        <w:t>厂区设置危险废物暂存库1座，位于厂区厂区西北区域，长9.0m、宽4.0m、高3.95m，为丙类库房，主要用于本项目危险废物的分类暂存。</w:t>
      </w:r>
    </w:p>
    <w:p w14:paraId="27813DEA">
      <w:pPr>
        <w:ind w:firstLine="480"/>
      </w:pPr>
      <w:r>
        <w:rPr>
          <w:rFonts w:hint="eastAsia"/>
        </w:rPr>
        <w:t>本项目在厂区</w:t>
      </w:r>
      <w:r>
        <w:t>2#</w:t>
      </w:r>
      <w:r>
        <w:rPr>
          <w:rFonts w:hint="eastAsia"/>
        </w:rPr>
        <w:t>罐区西北侧设置危险废物暂存库1座，长9.0m、宽4.0m、高3.95m，占地面积为3</w:t>
      </w:r>
      <w:r>
        <w:t>6</w:t>
      </w:r>
      <w:r>
        <w:rPr>
          <w:rFonts w:hint="eastAsia"/>
        </w:rPr>
        <w:t>m</w:t>
      </w:r>
      <w:r>
        <w:rPr>
          <w:vertAlign w:val="superscript"/>
        </w:rPr>
        <w:t>2</w:t>
      </w:r>
      <w:r>
        <w:rPr>
          <w:rFonts w:hint="eastAsia"/>
        </w:rPr>
        <w:t>，按照《危险废物贮存污染控制标准》（GB</w:t>
      </w:r>
      <w:r>
        <w:t>18597-2023</w:t>
      </w:r>
      <w:r>
        <w:rPr>
          <w:rFonts w:hint="eastAsia"/>
        </w:rPr>
        <w:t>）中的要求：“6.1.4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vertAlign w:val="superscript"/>
        </w:rPr>
        <w:t>-7</w:t>
      </w:r>
      <w:r>
        <w:rPr>
          <w:rFonts w:hint="eastAsia"/>
        </w:rPr>
        <w:t>cm/s），或至少2mm厚高密度聚乙烯膜等人工防渗材料（渗透系数不大于10</w:t>
      </w:r>
      <w:r>
        <w:rPr>
          <w:rFonts w:hint="eastAsia"/>
          <w:vertAlign w:val="superscript"/>
        </w:rPr>
        <w:t>-10</w:t>
      </w:r>
      <w:r>
        <w:rPr>
          <w:rFonts w:hint="eastAsia"/>
        </w:rPr>
        <w:t>cm/s），或其他防渗性能等效的材料。”危废暂存间采用2</w:t>
      </w:r>
      <w:r>
        <w:t>.5</w:t>
      </w:r>
      <w:r>
        <w:rPr>
          <w:rFonts w:hint="eastAsia"/>
        </w:rPr>
        <w:t>mm高密度聚乙烯膜防渗材料进行重点防渗，防渗系数不大于10</w:t>
      </w:r>
      <w:r>
        <w:rPr>
          <w:rFonts w:hint="eastAsia"/>
          <w:vertAlign w:val="superscript"/>
        </w:rPr>
        <w:t>-10</w:t>
      </w:r>
      <w:r>
        <w:rPr>
          <w:rFonts w:hint="eastAsia"/>
        </w:rPr>
        <w:t>cm/s。</w:t>
      </w:r>
    </w:p>
    <w:p w14:paraId="29286256">
      <w:pPr>
        <w:ind w:firstLine="480"/>
      </w:pPr>
      <w:r>
        <w:rPr>
          <w:rFonts w:hint="eastAsia"/>
        </w:rPr>
        <w:t>危险废物在产生处用专用容器收集后在厂区内倒运至危废仓库暂存，定期委托有资质单位进行清运和处置，对周围环境影响较小，风险可控。</w:t>
      </w:r>
    </w:p>
    <w:p w14:paraId="69274461">
      <w:pPr>
        <w:adjustRightInd w:val="0"/>
        <w:snapToGrid w:val="0"/>
        <w:ind w:firstLine="480"/>
        <w:rPr>
          <w:szCs w:val="24"/>
        </w:rPr>
      </w:pPr>
      <w:r>
        <w:rPr>
          <w:rFonts w:hint="eastAsia"/>
          <w:szCs w:val="24"/>
        </w:rPr>
        <w:t>危险废物临时贮存库严格按照《危险废物贮存污染控制标准》（GB18597-20</w:t>
      </w:r>
      <w:r>
        <w:rPr>
          <w:szCs w:val="24"/>
        </w:rPr>
        <w:t>23</w:t>
      </w:r>
      <w:r>
        <w:rPr>
          <w:rFonts w:hint="eastAsia"/>
          <w:szCs w:val="24"/>
        </w:rPr>
        <w:t>）中的相关要求进行设计施工，设计原则及要求如下：</w:t>
      </w:r>
    </w:p>
    <w:p w14:paraId="1C0F7C9A">
      <w:pPr>
        <w:adjustRightInd w:val="0"/>
        <w:snapToGrid w:val="0"/>
        <w:ind w:firstLine="480"/>
        <w:rPr>
          <w:szCs w:val="24"/>
        </w:rPr>
      </w:pPr>
      <w:r>
        <w:rPr>
          <w:rFonts w:hint="eastAsia"/>
          <w:szCs w:val="24"/>
        </w:rPr>
        <w:t>①产生、收集、贮存、利用、处置危险废物的单位应建造危险废物贮存设施或设置贮存场所，并根据需要选择贮存设施类型。</w:t>
      </w:r>
    </w:p>
    <w:p w14:paraId="5ED62CEE">
      <w:pPr>
        <w:adjustRightInd w:val="0"/>
        <w:snapToGrid w:val="0"/>
        <w:ind w:firstLine="480"/>
        <w:rPr>
          <w:szCs w:val="24"/>
        </w:rPr>
      </w:pPr>
      <w:r>
        <w:rPr>
          <w:rFonts w:hint="eastAsia" w:ascii="宋体" w:hAnsi="宋体" w:cs="宋体"/>
          <w:szCs w:val="24"/>
        </w:rPr>
        <w:t>②</w:t>
      </w:r>
      <w:r>
        <w:rPr>
          <w:rFonts w:hint="eastAsia"/>
          <w:szCs w:val="24"/>
        </w:rPr>
        <w:t>贮存危险废物应根据危险废物的类别、数量、形态、物理化学性质和环境风险等因素，确定贮存设施或场所类型和规模。</w:t>
      </w:r>
    </w:p>
    <w:p w14:paraId="6BEBB83A">
      <w:pPr>
        <w:adjustRightInd w:val="0"/>
        <w:snapToGrid w:val="0"/>
        <w:ind w:firstLine="480"/>
        <w:rPr>
          <w:szCs w:val="24"/>
        </w:rPr>
      </w:pPr>
      <w:r>
        <w:rPr>
          <w:rFonts w:hint="eastAsia" w:ascii="宋体" w:hAnsi="宋体" w:cs="宋体"/>
          <w:szCs w:val="24"/>
        </w:rPr>
        <w:t>③</w:t>
      </w:r>
      <w:r>
        <w:rPr>
          <w:rFonts w:hint="eastAsia"/>
          <w:szCs w:val="24"/>
        </w:rPr>
        <w:t>贮存危险废物应根据危险废物的类别、形态、物理化学性质和污染防治要求进行分类贮存，且应避免危险废物与不相容的物质或材料接触。</w:t>
      </w:r>
    </w:p>
    <w:p w14:paraId="47C60AC5">
      <w:pPr>
        <w:adjustRightInd w:val="0"/>
        <w:snapToGrid w:val="0"/>
        <w:ind w:firstLine="480"/>
        <w:rPr>
          <w:szCs w:val="24"/>
        </w:rPr>
      </w:pPr>
      <w:r>
        <w:rPr>
          <w:rFonts w:hint="eastAsia" w:ascii="宋体" w:hAnsi="宋体" w:cs="宋体"/>
          <w:szCs w:val="24"/>
        </w:rPr>
        <w:t>④</w:t>
      </w:r>
      <w:r>
        <w:rPr>
          <w:rFonts w:hint="eastAsia"/>
          <w:szCs w:val="24"/>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0FD0EE1D">
      <w:pPr>
        <w:adjustRightInd w:val="0"/>
        <w:snapToGrid w:val="0"/>
        <w:ind w:firstLine="480"/>
        <w:rPr>
          <w:szCs w:val="24"/>
        </w:rPr>
      </w:pPr>
      <w:r>
        <w:rPr>
          <w:rFonts w:hint="eastAsia" w:ascii="宋体" w:hAnsi="宋体" w:cs="宋体"/>
          <w:szCs w:val="24"/>
        </w:rPr>
        <w:t>⑤</w:t>
      </w:r>
      <w:r>
        <w:rPr>
          <w:rFonts w:hint="eastAsia"/>
          <w:szCs w:val="24"/>
        </w:rPr>
        <w:t>危险废物贮存过程产生的液态废物和固态废物应分类收集，按其环境管理要求妥善处理。</w:t>
      </w:r>
    </w:p>
    <w:p w14:paraId="68DF9075">
      <w:pPr>
        <w:adjustRightInd w:val="0"/>
        <w:snapToGrid w:val="0"/>
        <w:ind w:firstLine="480"/>
        <w:rPr>
          <w:szCs w:val="24"/>
        </w:rPr>
      </w:pPr>
      <w:r>
        <w:rPr>
          <w:rFonts w:hint="eastAsia" w:ascii="宋体" w:hAnsi="宋体" w:cs="宋体"/>
          <w:szCs w:val="24"/>
        </w:rPr>
        <w:t>⑥</w:t>
      </w:r>
      <w:r>
        <w:rPr>
          <w:rFonts w:hint="eastAsia"/>
          <w:szCs w:val="24"/>
        </w:rPr>
        <w:t>贮存设施或场所、容器和包装物应按 HJ1276 要求设置危险废物存设施或场所标志、危险废物贮存分区标志和危险废物标签等危险废物识别标志。</w:t>
      </w:r>
    </w:p>
    <w:p w14:paraId="25A19A6D">
      <w:pPr>
        <w:adjustRightInd w:val="0"/>
        <w:snapToGrid w:val="0"/>
        <w:ind w:firstLine="480"/>
        <w:rPr>
          <w:szCs w:val="24"/>
        </w:rPr>
      </w:pPr>
      <w:r>
        <w:rPr>
          <w:rFonts w:hint="eastAsia" w:ascii="宋体" w:hAnsi="宋体" w:cs="宋体"/>
          <w:szCs w:val="24"/>
        </w:rPr>
        <w:t>⑦</w:t>
      </w:r>
      <w:r>
        <w:rPr>
          <w:rFonts w:hint="eastAsia"/>
          <w:szCs w:val="24"/>
        </w:rPr>
        <w:t>HJ 1259 规定的危险废物环境重点监管单位，应采用电子地磅、电子标签、电子管理台账等技术手段对危险废物贮存过程进行信息化管理，确保数据完整、真实、准确;采用视频监控的应确保监控画面清晰，视频记录保存时间至少为 3 个月。</w:t>
      </w:r>
    </w:p>
    <w:p w14:paraId="48D200A1">
      <w:pPr>
        <w:adjustRightInd w:val="0"/>
        <w:snapToGrid w:val="0"/>
        <w:ind w:firstLine="480"/>
        <w:rPr>
          <w:szCs w:val="24"/>
        </w:rPr>
      </w:pPr>
      <w:r>
        <w:rPr>
          <w:rFonts w:hint="eastAsia" w:ascii="宋体" w:hAnsi="宋体" w:cs="宋体"/>
          <w:szCs w:val="24"/>
        </w:rPr>
        <w:t>⑧</w:t>
      </w:r>
      <w:r>
        <w:rPr>
          <w:rFonts w:hint="eastAsia"/>
          <w:szCs w:val="24"/>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753B07C9">
      <w:pPr>
        <w:adjustRightInd w:val="0"/>
        <w:snapToGrid w:val="0"/>
        <w:ind w:firstLine="480"/>
        <w:rPr>
          <w:szCs w:val="24"/>
        </w:rPr>
      </w:pPr>
      <w:r>
        <w:rPr>
          <w:rFonts w:hint="eastAsia" w:ascii="宋体" w:hAnsi="宋体" w:cs="宋体"/>
          <w:szCs w:val="24"/>
        </w:rPr>
        <w:t>⑨</w:t>
      </w:r>
      <w:r>
        <w:rPr>
          <w:rFonts w:hint="eastAsia"/>
          <w:szCs w:val="24"/>
        </w:rPr>
        <w:t>在常温常压下易爆、易燃及排出有毒气体的危险废物应进行预处理，使之稳定后贮存，否则应按易爆、易燃危险品亡存</w:t>
      </w:r>
    </w:p>
    <w:p w14:paraId="043AD105">
      <w:pPr>
        <w:adjustRightInd w:val="0"/>
        <w:snapToGrid w:val="0"/>
        <w:ind w:firstLine="480"/>
        <w:rPr>
          <w:szCs w:val="24"/>
        </w:rPr>
      </w:pPr>
      <w:r>
        <w:rPr>
          <w:rFonts w:hint="eastAsia" w:ascii="宋体" w:hAnsi="宋体" w:cs="宋体"/>
          <w:szCs w:val="24"/>
        </w:rPr>
        <w:t>⑩</w:t>
      </w:r>
      <w:r>
        <w:rPr>
          <w:rFonts w:hint="eastAsia"/>
          <w:szCs w:val="24"/>
        </w:rPr>
        <w:t>危险废物贮存除应满足环境保护相关要求外，还应执行国家安全生产职业健康、交通运输、消防等法律法规和标准的相关要求。</w:t>
      </w:r>
    </w:p>
    <w:p w14:paraId="6AD962B8">
      <w:pPr>
        <w:pStyle w:val="41"/>
      </w:pPr>
      <w:bookmarkStart w:id="504" w:name="_Toc152864233"/>
      <w:r>
        <w:rPr>
          <w:rFonts w:hint="eastAsia"/>
        </w:rPr>
        <w:t>土壤环境影响评价</w:t>
      </w:r>
      <w:bookmarkEnd w:id="504"/>
    </w:p>
    <w:p w14:paraId="4AC2E422">
      <w:pPr>
        <w:pStyle w:val="43"/>
      </w:pPr>
      <w:bookmarkStart w:id="505" w:name="_Toc82518821"/>
      <w:bookmarkStart w:id="506" w:name="_Toc79515509"/>
      <w:bookmarkStart w:id="507" w:name="_Toc81214132"/>
      <w:bookmarkStart w:id="508" w:name="_Toc80973564"/>
      <w:bookmarkStart w:id="509" w:name="_Toc77007836"/>
      <w:bookmarkStart w:id="510" w:name="_Toc152864234"/>
      <w:bookmarkStart w:id="511" w:name="_Toc80193138"/>
      <w:r>
        <w:rPr>
          <w:rFonts w:hint="eastAsia"/>
        </w:rPr>
        <w:t>土壤环境影响识别</w:t>
      </w:r>
      <w:bookmarkEnd w:id="505"/>
      <w:bookmarkEnd w:id="506"/>
      <w:bookmarkEnd w:id="507"/>
      <w:bookmarkEnd w:id="508"/>
      <w:bookmarkEnd w:id="509"/>
      <w:bookmarkEnd w:id="510"/>
      <w:bookmarkEnd w:id="511"/>
    </w:p>
    <w:p w14:paraId="426BF446">
      <w:pPr>
        <w:pStyle w:val="45"/>
        <w:spacing w:before="65" w:after="65"/>
      </w:pPr>
      <w:r>
        <w:rPr>
          <w:rFonts w:hint="eastAsia"/>
        </w:rPr>
        <w:t>土壤影响类别识别</w:t>
      </w:r>
    </w:p>
    <w:p w14:paraId="4754E388">
      <w:pPr>
        <w:ind w:firstLine="480"/>
      </w:pPr>
      <w:r>
        <w:rPr>
          <w:rFonts w:hint="eastAsia"/>
        </w:rPr>
        <w:t>根据《环境影响评价技术导则土壤环境（试行）》（HJ964-2018）附录 A，本项目属于“制造业—石油、化工”行业中的“石油加工”，土壤环境影响评价项目类别为</w:t>
      </w:r>
      <w:r>
        <w:t>Ⅰ</w:t>
      </w:r>
      <w:r>
        <w:rPr>
          <w:rFonts w:hint="eastAsia"/>
        </w:rPr>
        <w:t>类。</w:t>
      </w:r>
    </w:p>
    <w:p w14:paraId="17FA02AE">
      <w:pPr>
        <w:ind w:firstLine="480"/>
      </w:pPr>
      <w:r>
        <w:rPr>
          <w:rFonts w:hint="eastAsia"/>
        </w:rPr>
        <w:t>本项目土壤环境影响类型为“污染影响型”，运营期对土壤环境的影响途径主要为“垂直入渗”影响。</w:t>
      </w:r>
    </w:p>
    <w:p w14:paraId="2205A5C0">
      <w:pPr>
        <w:pStyle w:val="45"/>
        <w:spacing w:before="65" w:after="65"/>
      </w:pPr>
      <w:r>
        <w:rPr>
          <w:rFonts w:hint="eastAsia"/>
        </w:rPr>
        <w:t>影响类型和途径识别</w:t>
      </w:r>
    </w:p>
    <w:p w14:paraId="43B332AA">
      <w:pPr>
        <w:ind w:firstLine="480"/>
      </w:pPr>
      <w:r>
        <w:rPr>
          <w:rFonts w:hint="eastAsia"/>
        </w:rPr>
        <w:t>根据工程分析可知，本项目施工期主要为土方施工、厂房建设及设备安装，主要污染物为施工期扬尘，不涉及土壤污染影响。本项目运营期对土壤环境的影响主要为储罐破裂，油类物质泄漏进入土壤，进而污染土壤环境；正常情况下，本项目使用的原料减线油等不会形成地表漫流，事故状态下油类物质泄漏进入土壤，使土壤环境受到污染，对土壤环境的潜在影响是垂直入渗。</w:t>
      </w:r>
    </w:p>
    <w:p w14:paraId="186E3A84">
      <w:pPr>
        <w:ind w:firstLine="480"/>
      </w:pPr>
      <w:r>
        <w:rPr>
          <w:rFonts w:hint="eastAsia"/>
        </w:rPr>
        <w:t>本项目的原料或产品泄漏可能造成土壤污染，主要为污染影响类型项目。综上，建设项目土壤环境影响类型与影响途径识别见下表。</w:t>
      </w:r>
    </w:p>
    <w:p w14:paraId="106DE107">
      <w:pPr>
        <w:pStyle w:val="47"/>
        <w:spacing w:before="65"/>
      </w:pPr>
      <w:r>
        <w:rPr>
          <w:rFonts w:hint="eastAsia"/>
        </w:rPr>
        <w:t>表5</w:t>
      </w:r>
      <w:r>
        <w:t>.6-1   建设项目土壤环境影响类型与影响途径识别表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1330"/>
        <w:gridCol w:w="1346"/>
        <w:gridCol w:w="1194"/>
        <w:gridCol w:w="1198"/>
        <w:gridCol w:w="749"/>
        <w:gridCol w:w="747"/>
        <w:gridCol w:w="747"/>
        <w:gridCol w:w="748"/>
        <w:gridCol w:w="671"/>
      </w:tblGrid>
      <w:tr w14:paraId="05699E9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60" w:hRule="exact"/>
        </w:trPr>
        <w:tc>
          <w:tcPr>
            <w:tcW w:w="762" w:type="pct"/>
            <w:vMerge w:val="restart"/>
            <w:shd w:val="clear" w:color="auto" w:fill="auto"/>
            <w:vAlign w:val="center"/>
          </w:tcPr>
          <w:p w14:paraId="517319C0">
            <w:pPr>
              <w:pStyle w:val="58"/>
              <w:adjustRightInd w:val="0"/>
              <w:snapToGrid w:val="0"/>
              <w:jc w:val="center"/>
              <w:rPr>
                <w:rFonts w:ascii="宋体" w:hAnsi="宋体" w:cs="宋体"/>
                <w:sz w:val="21"/>
                <w:szCs w:val="21"/>
              </w:rPr>
            </w:pPr>
            <w:r>
              <w:rPr>
                <w:rFonts w:ascii="宋体" w:hAnsi="宋体" w:cs="宋体"/>
                <w:sz w:val="21"/>
                <w:szCs w:val="21"/>
              </w:rPr>
              <w:t>不同时段</w:t>
            </w:r>
          </w:p>
        </w:tc>
        <w:tc>
          <w:tcPr>
            <w:tcW w:w="2570" w:type="pct"/>
            <w:gridSpan w:val="4"/>
            <w:shd w:val="clear" w:color="auto" w:fill="auto"/>
            <w:vAlign w:val="center"/>
          </w:tcPr>
          <w:p w14:paraId="618B4A17">
            <w:pPr>
              <w:pStyle w:val="58"/>
              <w:adjustRightInd w:val="0"/>
              <w:snapToGrid w:val="0"/>
              <w:jc w:val="center"/>
              <w:rPr>
                <w:rFonts w:ascii="宋体" w:hAnsi="宋体" w:cs="宋体"/>
                <w:sz w:val="21"/>
                <w:szCs w:val="21"/>
              </w:rPr>
            </w:pPr>
            <w:r>
              <w:rPr>
                <w:rFonts w:ascii="宋体" w:hAnsi="宋体" w:cs="宋体"/>
                <w:sz w:val="21"/>
                <w:szCs w:val="21"/>
              </w:rPr>
              <w:t>污染影响型</w:t>
            </w:r>
          </w:p>
        </w:tc>
        <w:tc>
          <w:tcPr>
            <w:tcW w:w="1667" w:type="pct"/>
            <w:gridSpan w:val="4"/>
            <w:shd w:val="clear" w:color="auto" w:fill="auto"/>
            <w:vAlign w:val="center"/>
          </w:tcPr>
          <w:p w14:paraId="201CA8E7">
            <w:pPr>
              <w:pStyle w:val="58"/>
              <w:adjustRightInd w:val="0"/>
              <w:snapToGrid w:val="0"/>
              <w:jc w:val="center"/>
              <w:rPr>
                <w:rFonts w:ascii="宋体" w:hAnsi="宋体" w:cs="宋体"/>
                <w:sz w:val="21"/>
                <w:szCs w:val="21"/>
              </w:rPr>
            </w:pPr>
            <w:r>
              <w:rPr>
                <w:rFonts w:ascii="宋体" w:hAnsi="宋体" w:cs="宋体"/>
                <w:sz w:val="21"/>
                <w:szCs w:val="21"/>
              </w:rPr>
              <w:t>生态影响型</w:t>
            </w:r>
          </w:p>
        </w:tc>
      </w:tr>
      <w:tr w14:paraId="1C02751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52" w:hRule="exact"/>
        </w:trPr>
        <w:tc>
          <w:tcPr>
            <w:tcW w:w="762" w:type="pct"/>
            <w:vMerge w:val="continue"/>
            <w:shd w:val="clear" w:color="auto" w:fill="auto"/>
            <w:vAlign w:val="center"/>
          </w:tcPr>
          <w:p w14:paraId="0A77A904">
            <w:pPr>
              <w:adjustRightInd w:val="0"/>
              <w:snapToGrid w:val="0"/>
              <w:spacing w:line="240" w:lineRule="auto"/>
              <w:ind w:firstLine="0" w:firstLineChars="0"/>
              <w:jc w:val="center"/>
              <w:rPr>
                <w:sz w:val="21"/>
                <w:szCs w:val="21"/>
              </w:rPr>
            </w:pPr>
          </w:p>
        </w:tc>
        <w:tc>
          <w:tcPr>
            <w:tcW w:w="771" w:type="pct"/>
            <w:shd w:val="clear" w:color="auto" w:fill="auto"/>
            <w:vAlign w:val="center"/>
          </w:tcPr>
          <w:p w14:paraId="05CA9DC4">
            <w:pPr>
              <w:pStyle w:val="58"/>
              <w:adjustRightInd w:val="0"/>
              <w:snapToGrid w:val="0"/>
              <w:jc w:val="center"/>
              <w:rPr>
                <w:rFonts w:ascii="宋体" w:hAnsi="宋体" w:cs="宋体"/>
                <w:sz w:val="21"/>
                <w:szCs w:val="21"/>
              </w:rPr>
            </w:pPr>
            <w:r>
              <w:rPr>
                <w:rFonts w:ascii="宋体" w:hAnsi="宋体" w:cs="宋体"/>
                <w:sz w:val="21"/>
                <w:szCs w:val="21"/>
              </w:rPr>
              <w:t>大气沉降</w:t>
            </w:r>
          </w:p>
        </w:tc>
        <w:tc>
          <w:tcPr>
            <w:tcW w:w="684" w:type="pct"/>
            <w:shd w:val="clear" w:color="auto" w:fill="auto"/>
            <w:vAlign w:val="center"/>
          </w:tcPr>
          <w:p w14:paraId="07DFD5F8">
            <w:pPr>
              <w:pStyle w:val="58"/>
              <w:adjustRightInd w:val="0"/>
              <w:snapToGrid w:val="0"/>
              <w:jc w:val="center"/>
              <w:rPr>
                <w:rFonts w:ascii="宋体" w:hAnsi="宋体" w:cs="宋体"/>
                <w:sz w:val="21"/>
                <w:szCs w:val="21"/>
              </w:rPr>
            </w:pPr>
            <w:r>
              <w:rPr>
                <w:rFonts w:ascii="宋体" w:hAnsi="宋体" w:cs="宋体"/>
                <w:sz w:val="21"/>
                <w:szCs w:val="21"/>
              </w:rPr>
              <w:t>地面漫流</w:t>
            </w:r>
          </w:p>
        </w:tc>
        <w:tc>
          <w:tcPr>
            <w:tcW w:w="686" w:type="pct"/>
            <w:shd w:val="clear" w:color="auto" w:fill="auto"/>
            <w:vAlign w:val="center"/>
          </w:tcPr>
          <w:p w14:paraId="124AB5AD">
            <w:pPr>
              <w:pStyle w:val="58"/>
              <w:adjustRightInd w:val="0"/>
              <w:snapToGrid w:val="0"/>
              <w:jc w:val="center"/>
              <w:rPr>
                <w:rFonts w:ascii="宋体" w:hAnsi="宋体" w:cs="宋体"/>
                <w:sz w:val="21"/>
                <w:szCs w:val="21"/>
              </w:rPr>
            </w:pPr>
            <w:r>
              <w:rPr>
                <w:rFonts w:ascii="宋体" w:hAnsi="宋体" w:cs="宋体"/>
                <w:sz w:val="21"/>
                <w:szCs w:val="21"/>
              </w:rPr>
              <w:t>垂直入渗</w:t>
            </w:r>
          </w:p>
        </w:tc>
        <w:tc>
          <w:tcPr>
            <w:tcW w:w="429" w:type="pct"/>
            <w:shd w:val="clear" w:color="auto" w:fill="auto"/>
            <w:vAlign w:val="center"/>
          </w:tcPr>
          <w:p w14:paraId="5830A933">
            <w:pPr>
              <w:pStyle w:val="58"/>
              <w:adjustRightInd w:val="0"/>
              <w:snapToGrid w:val="0"/>
              <w:jc w:val="center"/>
              <w:rPr>
                <w:rFonts w:ascii="宋体" w:hAnsi="宋体" w:cs="宋体"/>
                <w:sz w:val="21"/>
                <w:szCs w:val="21"/>
              </w:rPr>
            </w:pPr>
            <w:r>
              <w:rPr>
                <w:rFonts w:ascii="宋体" w:hAnsi="宋体" w:cs="宋体"/>
                <w:sz w:val="21"/>
                <w:szCs w:val="21"/>
              </w:rPr>
              <w:t>其他</w:t>
            </w:r>
          </w:p>
        </w:tc>
        <w:tc>
          <w:tcPr>
            <w:tcW w:w="428" w:type="pct"/>
            <w:shd w:val="clear" w:color="auto" w:fill="auto"/>
            <w:vAlign w:val="center"/>
          </w:tcPr>
          <w:p w14:paraId="6A67A93B">
            <w:pPr>
              <w:pStyle w:val="58"/>
              <w:adjustRightInd w:val="0"/>
              <w:snapToGrid w:val="0"/>
              <w:jc w:val="center"/>
              <w:rPr>
                <w:rFonts w:ascii="宋体" w:hAnsi="宋体" w:cs="宋体"/>
                <w:sz w:val="21"/>
                <w:szCs w:val="21"/>
              </w:rPr>
            </w:pPr>
            <w:r>
              <w:rPr>
                <w:rFonts w:ascii="宋体" w:hAnsi="宋体" w:cs="宋体"/>
                <w:sz w:val="21"/>
                <w:szCs w:val="21"/>
              </w:rPr>
              <w:t>盐化</w:t>
            </w:r>
          </w:p>
        </w:tc>
        <w:tc>
          <w:tcPr>
            <w:tcW w:w="428" w:type="pct"/>
            <w:shd w:val="clear" w:color="auto" w:fill="auto"/>
            <w:vAlign w:val="center"/>
          </w:tcPr>
          <w:p w14:paraId="3A9B1684">
            <w:pPr>
              <w:pStyle w:val="58"/>
              <w:adjustRightInd w:val="0"/>
              <w:snapToGrid w:val="0"/>
              <w:jc w:val="center"/>
              <w:rPr>
                <w:rFonts w:ascii="宋体" w:hAnsi="宋体" w:cs="宋体"/>
                <w:sz w:val="21"/>
                <w:szCs w:val="21"/>
              </w:rPr>
            </w:pPr>
            <w:r>
              <w:rPr>
                <w:rFonts w:ascii="宋体" w:hAnsi="宋体" w:cs="宋体"/>
                <w:sz w:val="21"/>
                <w:szCs w:val="21"/>
              </w:rPr>
              <w:t>碱化</w:t>
            </w:r>
          </w:p>
        </w:tc>
        <w:tc>
          <w:tcPr>
            <w:tcW w:w="428" w:type="pct"/>
            <w:shd w:val="clear" w:color="auto" w:fill="auto"/>
            <w:vAlign w:val="center"/>
          </w:tcPr>
          <w:p w14:paraId="58E786BA">
            <w:pPr>
              <w:pStyle w:val="58"/>
              <w:adjustRightInd w:val="0"/>
              <w:snapToGrid w:val="0"/>
              <w:jc w:val="center"/>
              <w:rPr>
                <w:rFonts w:ascii="宋体" w:hAnsi="宋体" w:cs="宋体"/>
                <w:sz w:val="21"/>
                <w:szCs w:val="21"/>
              </w:rPr>
            </w:pPr>
            <w:r>
              <w:rPr>
                <w:rFonts w:ascii="宋体" w:hAnsi="宋体" w:cs="宋体"/>
                <w:sz w:val="21"/>
                <w:szCs w:val="21"/>
              </w:rPr>
              <w:t>酸化</w:t>
            </w:r>
          </w:p>
        </w:tc>
        <w:tc>
          <w:tcPr>
            <w:tcW w:w="384" w:type="pct"/>
            <w:shd w:val="clear" w:color="auto" w:fill="auto"/>
            <w:vAlign w:val="center"/>
          </w:tcPr>
          <w:p w14:paraId="76DDC9A0">
            <w:pPr>
              <w:pStyle w:val="58"/>
              <w:adjustRightInd w:val="0"/>
              <w:snapToGrid w:val="0"/>
              <w:jc w:val="center"/>
              <w:rPr>
                <w:rFonts w:ascii="宋体" w:hAnsi="宋体" w:cs="宋体"/>
                <w:sz w:val="21"/>
                <w:szCs w:val="21"/>
              </w:rPr>
            </w:pPr>
            <w:r>
              <w:rPr>
                <w:rFonts w:ascii="宋体" w:hAnsi="宋体" w:cs="宋体"/>
                <w:sz w:val="21"/>
                <w:szCs w:val="21"/>
              </w:rPr>
              <w:t>其他</w:t>
            </w:r>
          </w:p>
        </w:tc>
      </w:tr>
      <w:tr w14:paraId="11C287D1">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50" w:hRule="exact"/>
        </w:trPr>
        <w:tc>
          <w:tcPr>
            <w:tcW w:w="762" w:type="pct"/>
            <w:shd w:val="clear" w:color="auto" w:fill="auto"/>
            <w:vAlign w:val="center"/>
          </w:tcPr>
          <w:p w14:paraId="75D64E42">
            <w:pPr>
              <w:pStyle w:val="58"/>
              <w:adjustRightInd w:val="0"/>
              <w:snapToGrid w:val="0"/>
              <w:jc w:val="center"/>
              <w:rPr>
                <w:rFonts w:ascii="宋体" w:hAnsi="宋体" w:cs="宋体"/>
                <w:sz w:val="21"/>
                <w:szCs w:val="21"/>
              </w:rPr>
            </w:pPr>
            <w:r>
              <w:rPr>
                <w:rFonts w:ascii="宋体" w:hAnsi="宋体" w:cs="宋体"/>
                <w:sz w:val="21"/>
                <w:szCs w:val="21"/>
              </w:rPr>
              <w:t>建设期</w:t>
            </w:r>
          </w:p>
        </w:tc>
        <w:tc>
          <w:tcPr>
            <w:tcW w:w="771" w:type="pct"/>
            <w:shd w:val="clear" w:color="auto" w:fill="auto"/>
            <w:vAlign w:val="center"/>
          </w:tcPr>
          <w:p w14:paraId="63B844C4">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w:t>
            </w:r>
          </w:p>
        </w:tc>
        <w:tc>
          <w:tcPr>
            <w:tcW w:w="684" w:type="pct"/>
            <w:shd w:val="clear" w:color="auto" w:fill="auto"/>
            <w:vAlign w:val="center"/>
          </w:tcPr>
          <w:p w14:paraId="3E432704">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w:t>
            </w:r>
          </w:p>
        </w:tc>
        <w:tc>
          <w:tcPr>
            <w:tcW w:w="686" w:type="pct"/>
            <w:shd w:val="clear" w:color="auto" w:fill="auto"/>
            <w:vAlign w:val="center"/>
          </w:tcPr>
          <w:p w14:paraId="35783AFA">
            <w:pPr>
              <w:pStyle w:val="58"/>
              <w:adjustRightInd w:val="0"/>
              <w:snapToGrid w:val="0"/>
              <w:jc w:val="center"/>
              <w:rPr>
                <w:rFonts w:ascii="Times New Roman" w:hAnsi="Times New Roman" w:eastAsia="Times New Roman"/>
                <w:sz w:val="21"/>
                <w:szCs w:val="21"/>
              </w:rPr>
            </w:pPr>
            <w:r>
              <w:rPr>
                <w:rFonts w:ascii="Times New Roman"/>
                <w:sz w:val="21"/>
                <w:szCs w:val="21"/>
              </w:rPr>
              <w:t>/</w:t>
            </w:r>
          </w:p>
        </w:tc>
        <w:tc>
          <w:tcPr>
            <w:tcW w:w="429" w:type="pct"/>
            <w:shd w:val="clear" w:color="auto" w:fill="auto"/>
            <w:vAlign w:val="center"/>
          </w:tcPr>
          <w:p w14:paraId="363234CA">
            <w:pPr>
              <w:pStyle w:val="58"/>
              <w:adjustRightInd w:val="0"/>
              <w:snapToGrid w:val="0"/>
              <w:jc w:val="center"/>
              <w:rPr>
                <w:rFonts w:ascii="Times New Roman" w:hAnsi="Times New Roman" w:eastAsia="Times New Roman"/>
                <w:sz w:val="21"/>
                <w:szCs w:val="21"/>
              </w:rPr>
            </w:pPr>
            <w:r>
              <w:rPr>
                <w:rFonts w:ascii="Times New Roman"/>
                <w:sz w:val="21"/>
                <w:szCs w:val="21"/>
              </w:rPr>
              <w:t>/</w:t>
            </w:r>
          </w:p>
        </w:tc>
        <w:tc>
          <w:tcPr>
            <w:tcW w:w="428" w:type="pct"/>
            <w:shd w:val="clear" w:color="auto" w:fill="auto"/>
            <w:vAlign w:val="center"/>
          </w:tcPr>
          <w:p w14:paraId="64ADC724">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lang w:eastAsia="zh-CN"/>
              </w:rPr>
              <w:t>/</w:t>
            </w:r>
          </w:p>
        </w:tc>
        <w:tc>
          <w:tcPr>
            <w:tcW w:w="428" w:type="pct"/>
            <w:shd w:val="clear" w:color="auto" w:fill="auto"/>
            <w:vAlign w:val="center"/>
          </w:tcPr>
          <w:p w14:paraId="28D582FF">
            <w:pPr>
              <w:pStyle w:val="58"/>
              <w:adjustRightInd w:val="0"/>
              <w:snapToGrid w:val="0"/>
              <w:jc w:val="center"/>
              <w:rPr>
                <w:rFonts w:ascii="Times New Roman" w:hAnsi="Times New Roman" w:eastAsia="Times New Roman"/>
                <w:sz w:val="21"/>
                <w:szCs w:val="21"/>
              </w:rPr>
            </w:pPr>
            <w:r>
              <w:rPr>
                <w:rFonts w:ascii="Times New Roman"/>
                <w:sz w:val="21"/>
                <w:szCs w:val="21"/>
              </w:rPr>
              <w:t>/</w:t>
            </w:r>
          </w:p>
        </w:tc>
        <w:tc>
          <w:tcPr>
            <w:tcW w:w="428" w:type="pct"/>
            <w:shd w:val="clear" w:color="auto" w:fill="auto"/>
            <w:vAlign w:val="center"/>
          </w:tcPr>
          <w:p w14:paraId="50FC1D8F">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lang w:eastAsia="zh-CN"/>
              </w:rPr>
              <w:t>/</w:t>
            </w:r>
          </w:p>
        </w:tc>
        <w:tc>
          <w:tcPr>
            <w:tcW w:w="384" w:type="pct"/>
            <w:shd w:val="clear" w:color="auto" w:fill="auto"/>
            <w:vAlign w:val="center"/>
          </w:tcPr>
          <w:p w14:paraId="67C9B290">
            <w:pPr>
              <w:pStyle w:val="58"/>
              <w:adjustRightInd w:val="0"/>
              <w:snapToGrid w:val="0"/>
              <w:jc w:val="center"/>
              <w:rPr>
                <w:rFonts w:ascii="Times New Roman" w:hAnsi="Times New Roman" w:eastAsia="Times New Roman"/>
                <w:sz w:val="21"/>
                <w:szCs w:val="21"/>
              </w:rPr>
            </w:pPr>
            <w:r>
              <w:rPr>
                <w:rFonts w:ascii="Times New Roman"/>
                <w:sz w:val="21"/>
                <w:szCs w:val="21"/>
              </w:rPr>
              <w:t>/</w:t>
            </w:r>
          </w:p>
        </w:tc>
      </w:tr>
      <w:tr w14:paraId="0DCF9FB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50" w:hRule="exact"/>
        </w:trPr>
        <w:tc>
          <w:tcPr>
            <w:tcW w:w="762" w:type="pct"/>
            <w:shd w:val="clear" w:color="auto" w:fill="auto"/>
            <w:vAlign w:val="center"/>
          </w:tcPr>
          <w:p w14:paraId="049BA7A6">
            <w:pPr>
              <w:pStyle w:val="58"/>
              <w:adjustRightInd w:val="0"/>
              <w:snapToGrid w:val="0"/>
              <w:jc w:val="center"/>
              <w:rPr>
                <w:rFonts w:ascii="宋体" w:hAnsi="宋体" w:cs="宋体"/>
                <w:sz w:val="21"/>
                <w:szCs w:val="21"/>
              </w:rPr>
            </w:pPr>
            <w:r>
              <w:rPr>
                <w:rFonts w:ascii="宋体" w:hAnsi="宋体" w:cs="宋体"/>
                <w:sz w:val="21"/>
                <w:szCs w:val="21"/>
              </w:rPr>
              <w:t>运营期</w:t>
            </w:r>
          </w:p>
        </w:tc>
        <w:tc>
          <w:tcPr>
            <w:tcW w:w="771" w:type="pct"/>
            <w:shd w:val="clear" w:color="auto" w:fill="auto"/>
            <w:vAlign w:val="center"/>
          </w:tcPr>
          <w:p w14:paraId="4DB25E26">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w:t>
            </w:r>
          </w:p>
        </w:tc>
        <w:tc>
          <w:tcPr>
            <w:tcW w:w="684" w:type="pct"/>
            <w:shd w:val="clear" w:color="auto" w:fill="auto"/>
            <w:vAlign w:val="center"/>
          </w:tcPr>
          <w:p w14:paraId="4780A474">
            <w:pPr>
              <w:pStyle w:val="58"/>
              <w:adjustRightInd w:val="0"/>
              <w:snapToGrid w:val="0"/>
              <w:jc w:val="center"/>
              <w:rPr>
                <w:rFonts w:ascii="Times New Roman" w:hAnsi="Times New Roman" w:eastAsia="Times New Roman"/>
                <w:sz w:val="21"/>
                <w:szCs w:val="21"/>
              </w:rPr>
            </w:pPr>
            <w:r>
              <w:rPr>
                <w:rFonts w:ascii="Times New Roman"/>
                <w:sz w:val="21"/>
                <w:szCs w:val="21"/>
              </w:rPr>
              <w:t>/</w:t>
            </w:r>
          </w:p>
        </w:tc>
        <w:tc>
          <w:tcPr>
            <w:tcW w:w="686" w:type="pct"/>
            <w:shd w:val="clear" w:color="auto" w:fill="auto"/>
            <w:vAlign w:val="center"/>
          </w:tcPr>
          <w:p w14:paraId="5B09780B">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rPr>
              <w:t>√</w:t>
            </w:r>
          </w:p>
        </w:tc>
        <w:tc>
          <w:tcPr>
            <w:tcW w:w="429" w:type="pct"/>
            <w:shd w:val="clear" w:color="auto" w:fill="auto"/>
            <w:vAlign w:val="center"/>
          </w:tcPr>
          <w:p w14:paraId="32165ADE">
            <w:pPr>
              <w:pStyle w:val="58"/>
              <w:adjustRightInd w:val="0"/>
              <w:snapToGrid w:val="0"/>
              <w:jc w:val="center"/>
              <w:rPr>
                <w:rFonts w:ascii="Times New Roman" w:hAnsi="Times New Roman" w:eastAsia="Times New Roman"/>
                <w:sz w:val="21"/>
                <w:szCs w:val="21"/>
              </w:rPr>
            </w:pPr>
            <w:r>
              <w:rPr>
                <w:rFonts w:ascii="Times New Roman"/>
                <w:sz w:val="21"/>
                <w:szCs w:val="21"/>
              </w:rPr>
              <w:t>/</w:t>
            </w:r>
          </w:p>
        </w:tc>
        <w:tc>
          <w:tcPr>
            <w:tcW w:w="428" w:type="pct"/>
            <w:shd w:val="clear" w:color="auto" w:fill="auto"/>
            <w:vAlign w:val="center"/>
          </w:tcPr>
          <w:p w14:paraId="66F12E77">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lang w:eastAsia="zh-CN"/>
              </w:rPr>
              <w:t>/</w:t>
            </w:r>
          </w:p>
        </w:tc>
        <w:tc>
          <w:tcPr>
            <w:tcW w:w="428" w:type="pct"/>
            <w:shd w:val="clear" w:color="auto" w:fill="auto"/>
            <w:vAlign w:val="center"/>
          </w:tcPr>
          <w:p w14:paraId="30EF88BE">
            <w:pPr>
              <w:pStyle w:val="58"/>
              <w:adjustRightInd w:val="0"/>
              <w:snapToGrid w:val="0"/>
              <w:jc w:val="center"/>
              <w:rPr>
                <w:rFonts w:ascii="Times New Roman" w:hAnsi="Times New Roman" w:eastAsia="Times New Roman"/>
                <w:sz w:val="21"/>
                <w:szCs w:val="21"/>
              </w:rPr>
            </w:pPr>
            <w:r>
              <w:rPr>
                <w:rFonts w:ascii="Times New Roman"/>
                <w:sz w:val="21"/>
                <w:szCs w:val="21"/>
              </w:rPr>
              <w:t>/</w:t>
            </w:r>
          </w:p>
        </w:tc>
        <w:tc>
          <w:tcPr>
            <w:tcW w:w="428" w:type="pct"/>
            <w:shd w:val="clear" w:color="auto" w:fill="auto"/>
            <w:vAlign w:val="center"/>
          </w:tcPr>
          <w:p w14:paraId="5072E99D">
            <w:pPr>
              <w:pStyle w:val="58"/>
              <w:adjustRightInd w:val="0"/>
              <w:snapToGrid w:val="0"/>
              <w:jc w:val="center"/>
              <w:rPr>
                <w:rFonts w:ascii="Times New Roman" w:hAnsi="Times New Roman" w:eastAsia="Times New Roman"/>
                <w:sz w:val="21"/>
                <w:szCs w:val="21"/>
              </w:rPr>
            </w:pPr>
            <w:r>
              <w:rPr>
                <w:rFonts w:ascii="Times New Roman" w:hAnsi="Times New Roman" w:eastAsia="Times New Roman"/>
                <w:sz w:val="21"/>
                <w:szCs w:val="21"/>
                <w:lang w:eastAsia="zh-CN"/>
              </w:rPr>
              <w:t>/</w:t>
            </w:r>
          </w:p>
        </w:tc>
        <w:tc>
          <w:tcPr>
            <w:tcW w:w="384" w:type="pct"/>
            <w:shd w:val="clear" w:color="auto" w:fill="auto"/>
            <w:vAlign w:val="center"/>
          </w:tcPr>
          <w:p w14:paraId="104F6216">
            <w:pPr>
              <w:pStyle w:val="58"/>
              <w:adjustRightInd w:val="0"/>
              <w:snapToGrid w:val="0"/>
              <w:jc w:val="center"/>
              <w:rPr>
                <w:rFonts w:ascii="Times New Roman" w:hAnsi="Times New Roman" w:eastAsia="Times New Roman"/>
                <w:sz w:val="21"/>
                <w:szCs w:val="21"/>
              </w:rPr>
            </w:pPr>
            <w:r>
              <w:rPr>
                <w:rFonts w:ascii="Times New Roman"/>
                <w:sz w:val="21"/>
                <w:szCs w:val="21"/>
              </w:rPr>
              <w:t>/</w:t>
            </w:r>
          </w:p>
        </w:tc>
      </w:tr>
      <w:tr w14:paraId="31CC38C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62" w:hRule="exact"/>
        </w:trPr>
        <w:tc>
          <w:tcPr>
            <w:tcW w:w="5000" w:type="pct"/>
            <w:gridSpan w:val="9"/>
            <w:shd w:val="clear" w:color="auto" w:fill="auto"/>
            <w:vAlign w:val="center"/>
          </w:tcPr>
          <w:p w14:paraId="088E0C3C">
            <w:pPr>
              <w:pStyle w:val="58"/>
              <w:adjustRightInd w:val="0"/>
              <w:snapToGrid w:val="0"/>
              <w:jc w:val="center"/>
              <w:rPr>
                <w:rFonts w:ascii="宋体" w:hAnsi="宋体" w:cs="宋体"/>
                <w:sz w:val="21"/>
                <w:szCs w:val="21"/>
                <w:lang w:eastAsia="zh-CN"/>
              </w:rPr>
            </w:pPr>
            <w:r>
              <w:rPr>
                <w:rFonts w:ascii="宋体" w:hAnsi="宋体" w:cs="宋体"/>
                <w:sz w:val="21"/>
                <w:szCs w:val="21"/>
                <w:lang w:eastAsia="zh-CN"/>
              </w:rPr>
              <w:t>注：在可能产生的土壤环境影响类型处打</w:t>
            </w:r>
            <w:r>
              <w:rPr>
                <w:rFonts w:ascii="Times New Roman" w:hAnsi="Times New Roman" w:eastAsia="Times New Roman"/>
                <w:sz w:val="21"/>
                <w:szCs w:val="21"/>
                <w:lang w:eastAsia="zh-CN"/>
              </w:rPr>
              <w:t>“√”</w:t>
            </w:r>
            <w:r>
              <w:rPr>
                <w:rFonts w:ascii="宋体" w:hAnsi="宋体" w:cs="宋体"/>
                <w:sz w:val="21"/>
                <w:szCs w:val="21"/>
                <w:lang w:eastAsia="zh-CN"/>
              </w:rPr>
              <w:t>，列表未涵盖的可自行设计</w:t>
            </w:r>
          </w:p>
        </w:tc>
      </w:tr>
    </w:tbl>
    <w:p w14:paraId="34E9F189">
      <w:pPr>
        <w:ind w:firstLine="480"/>
      </w:pPr>
      <w:r>
        <w:t>由</w:t>
      </w:r>
      <w:r>
        <w:rPr>
          <w:rFonts w:hint="eastAsia"/>
        </w:rPr>
        <w:t>表5</w:t>
      </w:r>
      <w:r>
        <w:t>.6-1可知，本项目影响途径主要为运营期垂直入渗，具体影响源及影响因子识别情况见</w:t>
      </w:r>
      <w:r>
        <w:rPr>
          <w:rFonts w:hint="eastAsia"/>
        </w:rPr>
        <w:t>下表</w:t>
      </w:r>
      <w:r>
        <w:t>。</w:t>
      </w:r>
    </w:p>
    <w:p w14:paraId="66D6733E">
      <w:pPr>
        <w:pStyle w:val="47"/>
        <w:spacing w:before="65"/>
      </w:pPr>
      <w:r>
        <w:rPr>
          <w:rFonts w:hint="eastAsia"/>
        </w:rPr>
        <w:t>表5</w:t>
      </w:r>
      <w:r>
        <w:t>.6-2   本项目土壤环境影响源及影响因子识别表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1179"/>
        <w:gridCol w:w="1496"/>
        <w:gridCol w:w="1046"/>
        <w:gridCol w:w="2097"/>
        <w:gridCol w:w="1926"/>
        <w:gridCol w:w="986"/>
      </w:tblGrid>
      <w:tr w14:paraId="0061488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0" w:hRule="atLeast"/>
          <w:jc w:val="center"/>
        </w:trPr>
        <w:tc>
          <w:tcPr>
            <w:tcW w:w="675" w:type="pct"/>
            <w:shd w:val="clear" w:color="auto" w:fill="auto"/>
            <w:vAlign w:val="center"/>
          </w:tcPr>
          <w:p w14:paraId="7033E6AE">
            <w:pPr>
              <w:pStyle w:val="58"/>
              <w:adjustRightInd w:val="0"/>
              <w:snapToGrid w:val="0"/>
              <w:jc w:val="center"/>
              <w:rPr>
                <w:rFonts w:ascii="宋体" w:hAnsi="宋体" w:cs="宋体"/>
                <w:sz w:val="21"/>
                <w:szCs w:val="21"/>
              </w:rPr>
            </w:pPr>
            <w:r>
              <w:rPr>
                <w:rFonts w:ascii="宋体" w:hAnsi="宋体" w:cs="宋体"/>
                <w:sz w:val="21"/>
                <w:szCs w:val="21"/>
              </w:rPr>
              <w:t>污染源</w:t>
            </w:r>
          </w:p>
        </w:tc>
        <w:tc>
          <w:tcPr>
            <w:tcW w:w="857" w:type="pct"/>
            <w:shd w:val="clear" w:color="auto" w:fill="auto"/>
            <w:vAlign w:val="center"/>
          </w:tcPr>
          <w:p w14:paraId="42A03DB5">
            <w:pPr>
              <w:pStyle w:val="58"/>
              <w:adjustRightInd w:val="0"/>
              <w:snapToGrid w:val="0"/>
              <w:jc w:val="center"/>
              <w:rPr>
                <w:rFonts w:ascii="宋体" w:hAnsi="宋体" w:cs="宋体"/>
                <w:sz w:val="21"/>
                <w:szCs w:val="21"/>
              </w:rPr>
            </w:pPr>
            <w:r>
              <w:rPr>
                <w:rFonts w:ascii="宋体" w:hAnsi="宋体" w:cs="宋体"/>
                <w:sz w:val="21"/>
                <w:szCs w:val="21"/>
              </w:rPr>
              <w:t>工艺流程</w:t>
            </w:r>
            <w:r>
              <w:rPr>
                <w:rFonts w:ascii="Times New Roman" w:hAnsi="Times New Roman" w:eastAsia="Times New Roman"/>
                <w:sz w:val="21"/>
                <w:szCs w:val="21"/>
              </w:rPr>
              <w:t>/</w:t>
            </w:r>
            <w:r>
              <w:rPr>
                <w:rFonts w:ascii="宋体" w:hAnsi="宋体" w:cs="宋体"/>
                <w:sz w:val="21"/>
                <w:szCs w:val="21"/>
              </w:rPr>
              <w:t>节点</w:t>
            </w:r>
          </w:p>
        </w:tc>
        <w:tc>
          <w:tcPr>
            <w:tcW w:w="599" w:type="pct"/>
            <w:shd w:val="clear" w:color="auto" w:fill="auto"/>
            <w:vAlign w:val="center"/>
          </w:tcPr>
          <w:p w14:paraId="5109C55E">
            <w:pPr>
              <w:pStyle w:val="58"/>
              <w:adjustRightInd w:val="0"/>
              <w:snapToGrid w:val="0"/>
              <w:jc w:val="center"/>
              <w:rPr>
                <w:rFonts w:ascii="宋体" w:hAnsi="宋体" w:cs="宋体"/>
                <w:sz w:val="21"/>
                <w:szCs w:val="21"/>
              </w:rPr>
            </w:pPr>
            <w:r>
              <w:rPr>
                <w:rFonts w:ascii="宋体" w:hAnsi="宋体" w:cs="宋体"/>
                <w:sz w:val="21"/>
                <w:szCs w:val="21"/>
              </w:rPr>
              <w:t>污染途径</w:t>
            </w:r>
          </w:p>
        </w:tc>
        <w:tc>
          <w:tcPr>
            <w:tcW w:w="1201" w:type="pct"/>
            <w:shd w:val="clear" w:color="auto" w:fill="auto"/>
            <w:vAlign w:val="center"/>
          </w:tcPr>
          <w:p w14:paraId="2B952039">
            <w:pPr>
              <w:pStyle w:val="58"/>
              <w:adjustRightInd w:val="0"/>
              <w:snapToGrid w:val="0"/>
              <w:jc w:val="center"/>
              <w:rPr>
                <w:rFonts w:ascii="宋体" w:hAnsi="宋体" w:cs="宋体"/>
                <w:sz w:val="21"/>
                <w:szCs w:val="21"/>
              </w:rPr>
            </w:pPr>
            <w:r>
              <w:rPr>
                <w:rFonts w:ascii="宋体" w:hAnsi="宋体" w:cs="宋体"/>
                <w:sz w:val="21"/>
                <w:szCs w:val="21"/>
              </w:rPr>
              <w:t>全部污染物指标</w:t>
            </w:r>
          </w:p>
        </w:tc>
        <w:tc>
          <w:tcPr>
            <w:tcW w:w="1103" w:type="pct"/>
            <w:shd w:val="clear" w:color="auto" w:fill="auto"/>
            <w:vAlign w:val="center"/>
          </w:tcPr>
          <w:p w14:paraId="3021A20D">
            <w:pPr>
              <w:pStyle w:val="58"/>
              <w:adjustRightInd w:val="0"/>
              <w:snapToGrid w:val="0"/>
              <w:jc w:val="center"/>
              <w:rPr>
                <w:rFonts w:ascii="宋体" w:hAnsi="宋体" w:cs="宋体"/>
                <w:sz w:val="21"/>
                <w:szCs w:val="21"/>
              </w:rPr>
            </w:pPr>
            <w:r>
              <w:rPr>
                <w:rFonts w:ascii="宋体" w:hAnsi="宋体" w:cs="宋体"/>
                <w:sz w:val="21"/>
                <w:szCs w:val="21"/>
              </w:rPr>
              <w:t>特征因子</w:t>
            </w:r>
          </w:p>
        </w:tc>
        <w:tc>
          <w:tcPr>
            <w:tcW w:w="565" w:type="pct"/>
            <w:shd w:val="clear" w:color="auto" w:fill="auto"/>
            <w:vAlign w:val="center"/>
          </w:tcPr>
          <w:p w14:paraId="300D0FF3">
            <w:pPr>
              <w:pStyle w:val="58"/>
              <w:adjustRightInd w:val="0"/>
              <w:snapToGrid w:val="0"/>
              <w:jc w:val="center"/>
              <w:rPr>
                <w:rFonts w:ascii="宋体" w:hAnsi="宋体" w:cs="宋体"/>
                <w:sz w:val="21"/>
                <w:szCs w:val="21"/>
              </w:rPr>
            </w:pPr>
            <w:r>
              <w:rPr>
                <w:rFonts w:ascii="宋体" w:hAnsi="宋体" w:cs="宋体"/>
                <w:sz w:val="21"/>
                <w:szCs w:val="21"/>
              </w:rPr>
              <w:t>备注</w:t>
            </w:r>
          </w:p>
        </w:tc>
      </w:tr>
      <w:tr w14:paraId="4488344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0" w:hRule="atLeast"/>
          <w:jc w:val="center"/>
        </w:trPr>
        <w:tc>
          <w:tcPr>
            <w:tcW w:w="675" w:type="pct"/>
            <w:shd w:val="clear" w:color="auto" w:fill="auto"/>
            <w:vAlign w:val="center"/>
          </w:tcPr>
          <w:p w14:paraId="21FCDC43">
            <w:pPr>
              <w:pStyle w:val="58"/>
              <w:adjustRightInd w:val="0"/>
              <w:snapToGrid w:val="0"/>
              <w:jc w:val="center"/>
              <w:rPr>
                <w:rFonts w:ascii="宋体" w:hAnsi="宋体" w:cs="宋体"/>
                <w:sz w:val="21"/>
                <w:szCs w:val="21"/>
              </w:rPr>
            </w:pPr>
            <w:r>
              <w:rPr>
                <w:rFonts w:hint="eastAsia" w:ascii="宋体" w:hAnsi="宋体" w:cs="宋体"/>
                <w:sz w:val="21"/>
                <w:szCs w:val="21"/>
                <w:lang w:eastAsia="zh-CN"/>
              </w:rPr>
              <w:t>储罐</w:t>
            </w:r>
          </w:p>
        </w:tc>
        <w:tc>
          <w:tcPr>
            <w:tcW w:w="857" w:type="pct"/>
            <w:shd w:val="clear" w:color="auto" w:fill="auto"/>
            <w:vAlign w:val="center"/>
          </w:tcPr>
          <w:p w14:paraId="56D688BE">
            <w:pPr>
              <w:pStyle w:val="58"/>
              <w:adjustRightInd w:val="0"/>
              <w:snapToGrid w:val="0"/>
              <w:jc w:val="center"/>
              <w:rPr>
                <w:rFonts w:ascii="宋体" w:hAnsi="宋体" w:cs="宋体"/>
                <w:sz w:val="21"/>
                <w:szCs w:val="21"/>
              </w:rPr>
            </w:pPr>
            <w:r>
              <w:rPr>
                <w:rFonts w:hint="eastAsia" w:ascii="宋体" w:hAnsi="宋体" w:cs="宋体"/>
                <w:sz w:val="21"/>
                <w:szCs w:val="21"/>
                <w:lang w:eastAsia="zh-CN"/>
              </w:rPr>
              <w:t>暂存</w:t>
            </w:r>
          </w:p>
        </w:tc>
        <w:tc>
          <w:tcPr>
            <w:tcW w:w="599" w:type="pct"/>
            <w:shd w:val="clear" w:color="auto" w:fill="auto"/>
            <w:vAlign w:val="center"/>
          </w:tcPr>
          <w:p w14:paraId="5EBF68AE">
            <w:pPr>
              <w:pStyle w:val="58"/>
              <w:adjustRightInd w:val="0"/>
              <w:snapToGrid w:val="0"/>
              <w:jc w:val="center"/>
              <w:rPr>
                <w:rFonts w:ascii="宋体" w:hAnsi="宋体" w:cs="宋体"/>
                <w:sz w:val="21"/>
                <w:szCs w:val="21"/>
              </w:rPr>
            </w:pPr>
            <w:r>
              <w:rPr>
                <w:rFonts w:ascii="宋体" w:hAnsi="宋体" w:cs="宋体"/>
                <w:sz w:val="21"/>
                <w:szCs w:val="21"/>
              </w:rPr>
              <w:t>垂直入渗</w:t>
            </w:r>
          </w:p>
        </w:tc>
        <w:tc>
          <w:tcPr>
            <w:tcW w:w="1201" w:type="pct"/>
            <w:shd w:val="clear" w:color="auto" w:fill="auto"/>
            <w:vAlign w:val="center"/>
          </w:tcPr>
          <w:p w14:paraId="57ECF4EA">
            <w:pPr>
              <w:pStyle w:val="58"/>
              <w:adjustRightInd w:val="0"/>
              <w:snapToGrid w:val="0"/>
              <w:jc w:val="center"/>
              <w:rPr>
                <w:rFonts w:ascii="宋体" w:hAnsi="宋体" w:cs="宋体"/>
                <w:sz w:val="21"/>
                <w:szCs w:val="21"/>
              </w:rPr>
            </w:pPr>
            <w:r>
              <w:rPr>
                <w:rFonts w:hint="eastAsia" w:ascii="宋体" w:hAnsi="宋体" w:cs="宋体"/>
                <w:sz w:val="21"/>
                <w:szCs w:val="21"/>
                <w:lang w:eastAsia="zh-CN"/>
              </w:rPr>
              <w:t>减线油、润滑油</w:t>
            </w:r>
          </w:p>
        </w:tc>
        <w:tc>
          <w:tcPr>
            <w:tcW w:w="1103" w:type="pct"/>
            <w:shd w:val="clear" w:color="auto" w:fill="auto"/>
            <w:vAlign w:val="center"/>
          </w:tcPr>
          <w:p w14:paraId="3331FC51">
            <w:pPr>
              <w:pStyle w:val="58"/>
              <w:adjustRightInd w:val="0"/>
              <w:snapToGrid w:val="0"/>
              <w:jc w:val="center"/>
              <w:rPr>
                <w:rFonts w:ascii="宋体" w:hAnsi="宋体" w:cs="宋体"/>
                <w:sz w:val="21"/>
                <w:szCs w:val="21"/>
              </w:rPr>
            </w:pPr>
            <w:r>
              <w:rPr>
                <w:rFonts w:hint="eastAsia" w:ascii="宋体" w:hAnsi="宋体" w:cs="宋体"/>
                <w:sz w:val="21"/>
                <w:szCs w:val="21"/>
                <w:lang w:eastAsia="zh-CN"/>
              </w:rPr>
              <w:t>石油烃</w:t>
            </w:r>
          </w:p>
        </w:tc>
        <w:tc>
          <w:tcPr>
            <w:tcW w:w="565" w:type="pct"/>
            <w:shd w:val="clear" w:color="auto" w:fill="auto"/>
            <w:vAlign w:val="center"/>
          </w:tcPr>
          <w:p w14:paraId="4FA03958">
            <w:pPr>
              <w:pStyle w:val="58"/>
              <w:adjustRightInd w:val="0"/>
              <w:snapToGrid w:val="0"/>
              <w:jc w:val="center"/>
              <w:rPr>
                <w:rFonts w:ascii="宋体" w:hAnsi="宋体" w:cs="宋体"/>
                <w:sz w:val="21"/>
                <w:szCs w:val="21"/>
              </w:rPr>
            </w:pPr>
            <w:r>
              <w:rPr>
                <w:rFonts w:ascii="宋体" w:hAnsi="宋体" w:cs="宋体"/>
                <w:sz w:val="21"/>
                <w:szCs w:val="21"/>
              </w:rPr>
              <w:t>事故工况</w:t>
            </w:r>
          </w:p>
        </w:tc>
      </w:tr>
    </w:tbl>
    <w:p w14:paraId="7F54D9B5">
      <w:pPr>
        <w:pStyle w:val="14"/>
        <w:spacing w:before="49" w:line="338" w:lineRule="auto"/>
        <w:ind w:right="109" w:firstLine="480"/>
      </w:pPr>
      <w:r>
        <w:t>由</w:t>
      </w:r>
      <w:r>
        <w:rPr>
          <w:rFonts w:hint="eastAsia"/>
        </w:rPr>
        <w:t>表5</w:t>
      </w:r>
      <w:r>
        <w:t>.6-2可知，本项目对土壤的潜在污染源主要为生产装置区、储罐区</w:t>
      </w:r>
      <w:r>
        <w:rPr>
          <w:spacing w:val="-3"/>
        </w:rPr>
        <w:t>等事故状态垂直入渗对土壤的影响，选取</w:t>
      </w:r>
      <w:r>
        <w:rPr>
          <w:spacing w:val="-3"/>
          <w:lang w:val="en-US"/>
        </w:rPr>
        <w:t>石油</w:t>
      </w:r>
      <w:r>
        <w:rPr>
          <w:rFonts w:hint="eastAsia"/>
          <w:spacing w:val="-3"/>
          <w:lang w:val="en-US"/>
        </w:rPr>
        <w:t>烃</w:t>
      </w:r>
      <w:r>
        <w:rPr>
          <w:spacing w:val="-3"/>
        </w:rPr>
        <w:t>为特征污染因子。</w:t>
      </w:r>
    </w:p>
    <w:p w14:paraId="198EFD12">
      <w:pPr>
        <w:pStyle w:val="43"/>
      </w:pPr>
      <w:bookmarkStart w:id="512" w:name="_Toc79515511"/>
      <w:bookmarkStart w:id="513" w:name="_Toc80973565"/>
      <w:bookmarkStart w:id="514" w:name="_Toc80193140"/>
      <w:bookmarkStart w:id="515" w:name="_Toc152864235"/>
      <w:bookmarkStart w:id="516" w:name="_Toc77007838"/>
      <w:bookmarkStart w:id="517" w:name="_Toc81214133"/>
      <w:bookmarkStart w:id="518" w:name="_Toc82518822"/>
      <w:r>
        <w:rPr>
          <w:rFonts w:hint="eastAsia"/>
        </w:rPr>
        <w:t>正常工况下土壤环境影响分析</w:t>
      </w:r>
      <w:bookmarkEnd w:id="512"/>
      <w:bookmarkEnd w:id="513"/>
      <w:bookmarkEnd w:id="514"/>
      <w:bookmarkEnd w:id="515"/>
      <w:bookmarkEnd w:id="516"/>
      <w:bookmarkEnd w:id="517"/>
      <w:bookmarkEnd w:id="518"/>
    </w:p>
    <w:p w14:paraId="25BFCB0F">
      <w:pPr>
        <w:ind w:firstLine="480"/>
      </w:pPr>
      <w:r>
        <w:rPr>
          <w:rFonts w:hint="eastAsia"/>
        </w:rPr>
        <w:t>本项目投运后经垂直入渗对土壤环境的影响：本项目设置有生产装置、收集储罐、半成品储罐、产品储罐等，这些设施若防护不当会造成物料、污染物等的泄漏，通过垂直入渗途径污染土壤。本项目根据场地特性和项目特征，进行了分区防渗，涉及储罐的区域设置围堰内均为重点防渗区，可有效避免物料及污染物等发生跑冒滴漏现象污染土壤。事故状态下，产生的废水排入本项目新建的事故池，在事故消除后，对其进行回收或中和处理。确保了事故排水和消防水的收集，因此，若发生物料泄漏，不会直接与土壤接触下渗或随雨水外流污染土壤环境。采取一系列措施后，本项目经垂直入渗对土壤环境的影响较小。</w:t>
      </w:r>
    </w:p>
    <w:p w14:paraId="0F2157EC">
      <w:pPr>
        <w:pStyle w:val="43"/>
      </w:pPr>
      <w:bookmarkStart w:id="519" w:name="_Toc80193141"/>
      <w:bookmarkStart w:id="520" w:name="_Toc77007839"/>
      <w:bookmarkStart w:id="521" w:name="_Toc80973566"/>
      <w:bookmarkStart w:id="522" w:name="_Toc82518823"/>
      <w:bookmarkStart w:id="523" w:name="_Toc81214134"/>
      <w:bookmarkStart w:id="524" w:name="_Toc79515512"/>
      <w:bookmarkStart w:id="525" w:name="_Toc152864236"/>
      <w:r>
        <w:rPr>
          <w:rFonts w:hint="eastAsia"/>
        </w:rPr>
        <w:t>非正常工况土壤环境影响预测与评价</w:t>
      </w:r>
      <w:bookmarkEnd w:id="519"/>
      <w:bookmarkEnd w:id="520"/>
      <w:bookmarkEnd w:id="521"/>
      <w:bookmarkEnd w:id="522"/>
      <w:bookmarkEnd w:id="523"/>
      <w:bookmarkEnd w:id="524"/>
      <w:bookmarkEnd w:id="525"/>
    </w:p>
    <w:p w14:paraId="3A2AAD13">
      <w:pPr>
        <w:ind w:firstLine="480"/>
      </w:pPr>
      <w:r>
        <w:rPr>
          <w:rFonts w:hint="eastAsia"/>
        </w:rPr>
        <w:t>本项目实施后，由于严格按照要求采取防渗措施，在正常工况下不会发生油类物质泄漏进入土壤。因此，垂直入渗造成土壤污染主要为事故状态下，油类物质进入土壤，对土壤环境造成的影响，导致土壤污染。</w:t>
      </w:r>
    </w:p>
    <w:p w14:paraId="77F7E736">
      <w:pPr>
        <w:pStyle w:val="45"/>
        <w:spacing w:before="65" w:after="65"/>
      </w:pPr>
      <w:r>
        <w:rPr>
          <w:rFonts w:hint="eastAsia"/>
        </w:rPr>
        <w:t>预测范围</w:t>
      </w:r>
    </w:p>
    <w:p w14:paraId="590C9287">
      <w:pPr>
        <w:ind w:firstLine="480"/>
      </w:pPr>
      <w:r>
        <w:rPr>
          <w:rFonts w:hint="eastAsia"/>
        </w:rPr>
        <w:t>根据《环境影响评价技术导则 土壤环境（试行）》（HJ964-2018），结合项目特点，本项目土壤评价等级为二级评价，预测范围为项目占地范围内及占地范围外200m范围内。</w:t>
      </w:r>
    </w:p>
    <w:p w14:paraId="50D20A41">
      <w:pPr>
        <w:pStyle w:val="45"/>
        <w:spacing w:before="65" w:after="65"/>
      </w:pPr>
      <w:r>
        <w:rPr>
          <w:rFonts w:hint="eastAsia"/>
        </w:rPr>
        <w:t>预测时段</w:t>
      </w:r>
    </w:p>
    <w:p w14:paraId="0162768F">
      <w:pPr>
        <w:ind w:firstLine="480"/>
      </w:pPr>
      <w:r>
        <w:rPr>
          <w:rFonts w:hint="eastAsia"/>
        </w:rPr>
        <w:t>预测时段重点为本项目运营期。</w:t>
      </w:r>
    </w:p>
    <w:p w14:paraId="68B7F379">
      <w:pPr>
        <w:pStyle w:val="45"/>
        <w:spacing w:before="65" w:after="65"/>
      </w:pPr>
      <w:r>
        <w:rPr>
          <w:rFonts w:hint="eastAsia"/>
        </w:rPr>
        <w:t>情景设置</w:t>
      </w:r>
    </w:p>
    <w:p w14:paraId="4DB51289">
      <w:pPr>
        <w:ind w:firstLine="480"/>
      </w:pPr>
      <w:r>
        <w:rPr>
          <w:rFonts w:hint="eastAsia"/>
        </w:rPr>
        <w:t>本次评价以储罐泄漏并引发火灾，为扑灭火灾产生的消防废水，防渗层破裂，消防废水混合泄漏的原料油发生垂直入渗，影响土壤，污染因子以</w:t>
      </w:r>
      <w:r>
        <w:rPr>
          <w:spacing w:val="-3"/>
        </w:rPr>
        <w:t>石油</w:t>
      </w:r>
      <w:r>
        <w:rPr>
          <w:rFonts w:hint="eastAsia"/>
          <w:spacing w:val="-3"/>
        </w:rPr>
        <w:t>烃</w:t>
      </w:r>
      <w:r>
        <w:rPr>
          <w:rFonts w:hint="eastAsia"/>
        </w:rPr>
        <w:t>为主。</w:t>
      </w:r>
    </w:p>
    <w:p w14:paraId="1982EC21">
      <w:pPr>
        <w:pStyle w:val="45"/>
        <w:spacing w:before="65" w:after="65"/>
      </w:pPr>
      <w:r>
        <w:rPr>
          <w:rFonts w:hint="eastAsia"/>
        </w:rPr>
        <w:t>预测与评价因子</w:t>
      </w:r>
    </w:p>
    <w:p w14:paraId="0A50EEDF">
      <w:pPr>
        <w:ind w:firstLine="480"/>
      </w:pPr>
      <w:r>
        <w:t>本项目为污染影响型建设项目，根据环境影响识别出的特征因子</w:t>
      </w:r>
      <w:r>
        <w:rPr>
          <w:rFonts w:hint="eastAsia"/>
        </w:rPr>
        <w:t>，</w:t>
      </w:r>
      <w:r>
        <w:t>选取</w:t>
      </w:r>
      <w:r>
        <w:rPr>
          <w:rFonts w:hint="eastAsia"/>
        </w:rPr>
        <w:t>土壤石油烃</w:t>
      </w:r>
      <w:r>
        <w:t>为预测因子。</w:t>
      </w:r>
    </w:p>
    <w:p w14:paraId="56F4BCBD">
      <w:pPr>
        <w:pStyle w:val="45"/>
        <w:spacing w:before="65" w:after="65"/>
      </w:pPr>
      <w:r>
        <w:rPr>
          <w:rFonts w:hint="eastAsia"/>
        </w:rPr>
        <w:t>预测评价标准</w:t>
      </w:r>
    </w:p>
    <w:p w14:paraId="2307ED32">
      <w:pPr>
        <w:ind w:firstLine="480"/>
      </w:pPr>
      <w:r>
        <w:rPr>
          <w:rFonts w:hint="eastAsia"/>
        </w:rPr>
        <w:t>《土壤环境质量 建设用地土壤污染风险管控质量标准（试行）》（GB36600-2018）表2筛选值-第二类用地：石油烃（C</w:t>
      </w:r>
      <w:r>
        <w:rPr>
          <w:vertAlign w:val="subscript"/>
        </w:rPr>
        <w:t>10</w:t>
      </w:r>
      <w:r>
        <w:rPr>
          <w:rFonts w:hint="eastAsia"/>
        </w:rPr>
        <w:t>～C</w:t>
      </w:r>
      <w:r>
        <w:rPr>
          <w:vertAlign w:val="subscript"/>
        </w:rPr>
        <w:t>40</w:t>
      </w:r>
      <w:r>
        <w:rPr>
          <w:rFonts w:hint="eastAsia"/>
        </w:rPr>
        <w:t>）4</w:t>
      </w:r>
      <w:r>
        <w:t>500mg/</w:t>
      </w:r>
      <w:r>
        <w:rPr>
          <w:rFonts w:hint="eastAsia"/>
        </w:rPr>
        <w:t>k</w:t>
      </w:r>
      <w:r>
        <w:t>g</w:t>
      </w:r>
      <w:r>
        <w:rPr>
          <w:rFonts w:hint="eastAsia"/>
        </w:rPr>
        <w:t>。</w:t>
      </w:r>
    </w:p>
    <w:p w14:paraId="29ABEA6F">
      <w:pPr>
        <w:pStyle w:val="45"/>
        <w:spacing w:before="65" w:after="65"/>
      </w:pPr>
      <w:r>
        <w:rPr>
          <w:rFonts w:hint="eastAsia"/>
        </w:rPr>
        <w:t>预测与评价方法</w:t>
      </w:r>
    </w:p>
    <w:p w14:paraId="65A58B1D">
      <w:pPr>
        <w:ind w:firstLine="480"/>
      </w:pPr>
      <w:r>
        <w:rPr>
          <w:rFonts w:hint="eastAsia"/>
        </w:rPr>
        <w:t>本项目土壤环境影响属于污染影响型建设项目，根据《环境影响评价技术导则 土壤环境（试行）》（HJ964-2018），采用附录E中预测方法二判定本项目事故状态下污染物是否能穿透包气带，具体如下：</w:t>
      </w:r>
    </w:p>
    <w:p w14:paraId="2F6A458B">
      <w:pPr>
        <w:ind w:firstLine="480"/>
      </w:pPr>
      <w:r>
        <w:rPr>
          <w:rFonts w:hint="eastAsia"/>
        </w:rPr>
        <w:t>一维非饱和溶质运移模型预测方法：</w:t>
      </w:r>
    </w:p>
    <w:p w14:paraId="5AECAF43">
      <w:pPr>
        <w:spacing w:line="240" w:lineRule="auto"/>
        <w:ind w:firstLine="0" w:firstLineChars="0"/>
        <w:jc w:val="center"/>
      </w:pPr>
      <w:r>
        <w:rPr>
          <w:position w:val="-30"/>
        </w:rPr>
        <w:object>
          <v:shape id="_x0000_i1036" o:spt="75" type="#_x0000_t75" style="height:36pt;width:164.25pt;" o:ole="t" filled="f" o:preferrelative="t" stroked="f" coordsize="21600,21600">
            <v:path/>
            <v:fill on="f" focussize="0,0"/>
            <v:stroke on="f" joinstyle="miter"/>
            <v:imagedata r:id="rId97" o:title=""/>
            <o:lock v:ext="edit" aspectratio="t"/>
            <w10:wrap type="none"/>
            <w10:anchorlock/>
          </v:shape>
          <o:OLEObject Type="Embed" ProgID="Equation.3" ShapeID="_x0000_i1036" DrawAspect="Content" ObjectID="_1468075736" r:id="rId96">
            <o:LockedField>false</o:LockedField>
          </o:OLEObject>
        </w:object>
      </w:r>
    </w:p>
    <w:p w14:paraId="3D427C3B">
      <w:pPr>
        <w:ind w:firstLine="480"/>
      </w:pPr>
      <w:r>
        <w:rPr>
          <w:rFonts w:hint="eastAsia"/>
        </w:rPr>
        <w:t>式中：C——污染物介质中的浓度，mg</w:t>
      </w:r>
      <w:r>
        <w:t>/</w:t>
      </w:r>
      <w:r>
        <w:rPr>
          <w:rFonts w:hint="eastAsia"/>
        </w:rPr>
        <w:t>L，本项目取苯胺类2</w:t>
      </w:r>
      <w:r>
        <w:t>60</w:t>
      </w:r>
      <w:r>
        <w:rPr>
          <w:rFonts w:hint="eastAsia"/>
        </w:rPr>
        <w:t>mg</w:t>
      </w:r>
      <w:r>
        <w:t>/</w:t>
      </w:r>
      <w:r>
        <w:rPr>
          <w:rFonts w:hint="eastAsia"/>
        </w:rPr>
        <w:t>L；</w:t>
      </w:r>
    </w:p>
    <w:p w14:paraId="16DB8C26">
      <w:pPr>
        <w:ind w:firstLine="480"/>
      </w:pPr>
      <w:r>
        <w:rPr>
          <w:rFonts w:hint="eastAsia"/>
        </w:rPr>
        <w:t xml:space="preserve"> </w:t>
      </w:r>
      <w:r>
        <w:t xml:space="preserve">     </w:t>
      </w:r>
      <w:r>
        <w:rPr>
          <w:rFonts w:hint="eastAsia"/>
        </w:rPr>
        <w:t>D——弥散系数，m</w:t>
      </w:r>
      <w:r>
        <w:rPr>
          <w:vertAlign w:val="superscript"/>
        </w:rPr>
        <w:t>2</w:t>
      </w:r>
      <w:r>
        <w:t>/d</w:t>
      </w:r>
      <w:r>
        <w:rPr>
          <w:rFonts w:hint="eastAsia"/>
        </w:rPr>
        <w:t>，根据前文取值0</w:t>
      </w:r>
      <w:r>
        <w:t>.05</w:t>
      </w:r>
      <w:r>
        <w:rPr>
          <w:rFonts w:hint="eastAsia"/>
        </w:rPr>
        <w:t>；</w:t>
      </w:r>
    </w:p>
    <w:p w14:paraId="4BCC5BD3">
      <w:pPr>
        <w:ind w:firstLine="480"/>
        <w:rPr>
          <w:lang w:val="zh-CN" w:eastAsia="zh-CN"/>
        </w:rPr>
      </w:pPr>
      <w:r>
        <w:rPr>
          <w:rFonts w:hint="eastAsia"/>
        </w:rPr>
        <w:t xml:space="preserve"> </w:t>
      </w:r>
      <w:r>
        <w:t xml:space="preserve">     </w:t>
      </w:r>
      <w:r>
        <w:rPr>
          <w:rFonts w:hint="eastAsia"/>
        </w:rPr>
        <w:t>q——渗流速率，m</w:t>
      </w:r>
      <w:r>
        <w:t>/d</w:t>
      </w:r>
      <w:r>
        <w:rPr>
          <w:rFonts w:hint="eastAsia"/>
        </w:rPr>
        <w:t>，取值</w:t>
      </w:r>
      <w:r>
        <w:rPr>
          <w:rFonts w:hint="eastAsia"/>
          <w:lang w:val="zh-CN" w:eastAsia="zh-CN"/>
        </w:rPr>
        <w:t>1.47×10</w:t>
      </w:r>
      <w:r>
        <w:rPr>
          <w:rFonts w:hint="eastAsia"/>
          <w:vertAlign w:val="superscript"/>
          <w:lang w:val="zh-CN" w:eastAsia="zh-CN"/>
        </w:rPr>
        <w:t>-3</w:t>
      </w:r>
      <w:r>
        <w:rPr>
          <w:rFonts w:hint="eastAsia"/>
          <w:lang w:val="zh-CN"/>
        </w:rPr>
        <w:t>；</w:t>
      </w:r>
    </w:p>
    <w:p w14:paraId="7E51C528">
      <w:pPr>
        <w:ind w:firstLine="480"/>
      </w:pPr>
      <w:r>
        <w:rPr>
          <w:rFonts w:hint="eastAsia"/>
        </w:rPr>
        <w:t xml:space="preserve"> </w:t>
      </w:r>
      <w:r>
        <w:t xml:space="preserve">     </w:t>
      </w:r>
      <w:r>
        <w:rPr>
          <w:rFonts w:hint="eastAsia"/>
        </w:rPr>
        <w:t>z——沿z轴的距离，m；</w:t>
      </w:r>
    </w:p>
    <w:p w14:paraId="1FC63FFA">
      <w:pPr>
        <w:ind w:firstLine="480"/>
      </w:pPr>
      <w:r>
        <w:rPr>
          <w:rFonts w:hint="eastAsia"/>
        </w:rPr>
        <w:t xml:space="preserve"> </w:t>
      </w:r>
      <w:r>
        <w:t xml:space="preserve">     </w:t>
      </w:r>
      <w:r>
        <w:rPr>
          <w:rFonts w:hint="eastAsia"/>
        </w:rPr>
        <w:t>t——时间变量，d；</w:t>
      </w:r>
    </w:p>
    <w:p w14:paraId="2BF70B74">
      <w:pPr>
        <w:ind w:firstLine="480"/>
      </w:pPr>
      <w:r>
        <w:rPr>
          <w:rFonts w:hint="eastAsia"/>
        </w:rPr>
        <w:t xml:space="preserve"> </w:t>
      </w:r>
      <w:r>
        <w:t xml:space="preserve">     θ</w:t>
      </w:r>
      <w:r>
        <w:rPr>
          <w:rFonts w:hint="eastAsia"/>
        </w:rPr>
        <w:t>——土壤含水率，%，根据现状检测值为2。</w:t>
      </w:r>
    </w:p>
    <w:p w14:paraId="2AAEF5E2">
      <w:pPr>
        <w:pStyle w:val="45"/>
        <w:spacing w:before="65" w:after="65"/>
      </w:pPr>
      <w:r>
        <w:rPr>
          <w:rFonts w:hint="eastAsia"/>
        </w:rPr>
        <w:t>预测结果</w:t>
      </w:r>
    </w:p>
    <w:p w14:paraId="2711BB74">
      <w:pPr>
        <w:ind w:firstLine="480"/>
      </w:pPr>
      <w:r>
        <w:rPr>
          <w:rFonts w:hint="eastAsia"/>
        </w:rPr>
        <w:t>根据初始条件和边界条件进行预测，得出模型上边界（及包气带部分）流量随时间的变化曲线，预测结果如下：</w:t>
      </w:r>
    </w:p>
    <w:p w14:paraId="1A544ECC">
      <w:pPr>
        <w:spacing w:line="240" w:lineRule="auto"/>
        <w:ind w:firstLine="0" w:firstLineChars="0"/>
        <w:jc w:val="center"/>
      </w:pPr>
    </w:p>
    <w:p w14:paraId="4227691D">
      <w:pPr>
        <w:ind w:firstLine="480"/>
      </w:pPr>
      <w:r>
        <w:rPr>
          <w:rFonts w:hint="eastAsia"/>
        </w:rPr>
        <w:t>根据预测结果可知，正常状态下泄漏废水通过垂直入渗将会穿透包气带，污染物可能影响到的深度为</w:t>
      </w:r>
      <w:r>
        <w:t>9.87</w:t>
      </w:r>
      <w:r>
        <w:rPr>
          <w:rFonts w:hint="eastAsia"/>
        </w:rPr>
        <w:t>m。</w:t>
      </w:r>
    </w:p>
    <w:p w14:paraId="550C2501">
      <w:pPr>
        <w:ind w:firstLine="480"/>
      </w:pPr>
      <w:r>
        <w:rPr>
          <w:rFonts w:hint="eastAsia"/>
        </w:rPr>
        <w:t>根据地下水流向、污染源分布情况及污染物在地下水中的扩散形式以及《环境影响评价技术导则 地下水环境》（HJ610-2016）的要求。要求企业在厂区及其周边区域布设3个地下水污染监控井，建立地下水污染监控预警体系，对本工程所在地周围的地下水水质进行定期监测，以便及时准确的反馈工程建设区域地下水水质状况。通过对各污染源有相应有效的措施进行处理，对厂区及其周边区域地下水质进行定期监测，本工程对周边土壤环境的的影响较小。</w:t>
      </w:r>
    </w:p>
    <w:p w14:paraId="7EFE820E">
      <w:pPr>
        <w:pStyle w:val="45"/>
        <w:spacing w:before="65" w:after="65"/>
      </w:pPr>
      <w:r>
        <w:rPr>
          <w:rFonts w:hint="eastAsia"/>
        </w:rPr>
        <w:t>小结</w:t>
      </w:r>
    </w:p>
    <w:p w14:paraId="6D2FC50F">
      <w:pPr>
        <w:ind w:firstLine="480"/>
      </w:pPr>
      <w:r>
        <w:rPr>
          <w:rFonts w:hint="eastAsia"/>
        </w:rPr>
        <w:t>本项目在正常运行的情况下，在做好各区域防渗的基础上，原、辅材料、产</w:t>
      </w:r>
      <w:r>
        <w:t>品及废水向地下渗透将得到有效地控制，对土壤环境的影响较小。事故工况下物</w:t>
      </w:r>
      <w:r>
        <w:rPr>
          <w:spacing w:val="-111"/>
        </w:rPr>
        <w:t xml:space="preserve"> </w:t>
      </w:r>
      <w:r>
        <w:t>料渗入对土壤有一定影响，要求建设单位加强管理和维护，同时加强工人的培训</w:t>
      </w:r>
      <w:r>
        <w:rPr>
          <w:spacing w:val="-111"/>
        </w:rPr>
        <w:t xml:space="preserve"> </w:t>
      </w:r>
      <w:r>
        <w:t>和管理，减少泄漏事故的发生。因此，本项目的建设对土壤环境的影响有限，其</w:t>
      </w:r>
      <w:r>
        <w:rPr>
          <w:spacing w:val="-111"/>
        </w:rPr>
        <w:t xml:space="preserve"> </w:t>
      </w:r>
      <w:r>
        <w:t>污染影响在可接受范围内。</w:t>
      </w:r>
    </w:p>
    <w:p w14:paraId="708BC88B">
      <w:pPr>
        <w:pStyle w:val="43"/>
      </w:pPr>
      <w:bookmarkStart w:id="526" w:name="_Toc80973567"/>
      <w:bookmarkStart w:id="527" w:name="_Toc77007840"/>
      <w:bookmarkStart w:id="528" w:name="_Toc81214135"/>
      <w:bookmarkStart w:id="529" w:name="_Toc80193142"/>
      <w:bookmarkStart w:id="530" w:name="_Toc79515513"/>
      <w:bookmarkStart w:id="531" w:name="_Toc152864237"/>
      <w:bookmarkStart w:id="532" w:name="_Toc82518824"/>
      <w:r>
        <w:rPr>
          <w:rFonts w:hint="eastAsia"/>
        </w:rPr>
        <w:t>土壤环境影响评价自查表</w:t>
      </w:r>
      <w:bookmarkEnd w:id="526"/>
      <w:bookmarkEnd w:id="527"/>
      <w:bookmarkEnd w:id="528"/>
      <w:bookmarkEnd w:id="529"/>
      <w:bookmarkEnd w:id="530"/>
      <w:bookmarkEnd w:id="531"/>
      <w:bookmarkEnd w:id="532"/>
    </w:p>
    <w:p w14:paraId="08762862">
      <w:pPr>
        <w:ind w:firstLine="480"/>
      </w:pPr>
      <w:r>
        <w:rPr>
          <w:rFonts w:hint="eastAsia"/>
        </w:rPr>
        <w:t>根据预测结果可知，本项目占地范围内各评价因子均满足相关土壤风险管控标准要求，从土壤环境影响的角度，项目建设是可行的。土壤环境影响评价自查见下表。</w:t>
      </w:r>
    </w:p>
    <w:p w14:paraId="091A8C25">
      <w:pPr>
        <w:pStyle w:val="47"/>
        <w:spacing w:before="65"/>
      </w:pPr>
      <w:r>
        <w:rPr>
          <w:rFonts w:hint="eastAsia"/>
        </w:rPr>
        <w:t>表5</w:t>
      </w:r>
      <w:r>
        <w:t xml:space="preserve">.6-4   </w:t>
      </w:r>
      <w:r>
        <w:rPr>
          <w:rFonts w:hint="eastAsia"/>
        </w:rPr>
        <w:t>土壤环境影响评价自查表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34"/>
        <w:gridCol w:w="1577"/>
        <w:gridCol w:w="966"/>
        <w:gridCol w:w="396"/>
        <w:gridCol w:w="1301"/>
        <w:gridCol w:w="1301"/>
        <w:gridCol w:w="910"/>
        <w:gridCol w:w="1063"/>
        <w:gridCol w:w="782"/>
      </w:tblGrid>
      <w:tr w14:paraId="3A8136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52" w:type="pct"/>
            <w:gridSpan w:val="2"/>
            <w:tcMar>
              <w:left w:w="0" w:type="dxa"/>
              <w:right w:w="0" w:type="dxa"/>
            </w:tcMar>
            <w:vAlign w:val="center"/>
          </w:tcPr>
          <w:p w14:paraId="01FE61AA">
            <w:pPr>
              <w:adjustRightInd w:val="0"/>
              <w:snapToGrid w:val="0"/>
              <w:spacing w:line="240" w:lineRule="auto"/>
              <w:ind w:firstLine="0" w:firstLineChars="0"/>
              <w:jc w:val="center"/>
              <w:rPr>
                <w:sz w:val="21"/>
                <w:szCs w:val="21"/>
              </w:rPr>
            </w:pPr>
            <w:r>
              <w:rPr>
                <w:sz w:val="21"/>
                <w:szCs w:val="21"/>
              </w:rPr>
              <w:t>工作内容</w:t>
            </w:r>
          </w:p>
        </w:tc>
        <w:tc>
          <w:tcPr>
            <w:tcW w:w="3400" w:type="pct"/>
            <w:gridSpan w:val="6"/>
            <w:tcMar>
              <w:left w:w="0" w:type="dxa"/>
              <w:right w:w="0" w:type="dxa"/>
            </w:tcMar>
            <w:vAlign w:val="center"/>
          </w:tcPr>
          <w:p w14:paraId="5FE28699">
            <w:pPr>
              <w:adjustRightInd w:val="0"/>
              <w:snapToGrid w:val="0"/>
              <w:spacing w:line="240" w:lineRule="auto"/>
              <w:ind w:firstLine="0" w:firstLineChars="0"/>
              <w:jc w:val="center"/>
              <w:rPr>
                <w:sz w:val="21"/>
                <w:szCs w:val="21"/>
              </w:rPr>
            </w:pPr>
            <w:r>
              <w:rPr>
                <w:sz w:val="21"/>
                <w:szCs w:val="21"/>
              </w:rPr>
              <w:t>完成情况</w:t>
            </w:r>
          </w:p>
        </w:tc>
        <w:tc>
          <w:tcPr>
            <w:tcW w:w="448" w:type="pct"/>
            <w:tcMar>
              <w:left w:w="0" w:type="dxa"/>
              <w:right w:w="0" w:type="dxa"/>
            </w:tcMar>
            <w:vAlign w:val="center"/>
          </w:tcPr>
          <w:p w14:paraId="58A9FC25">
            <w:pPr>
              <w:adjustRightInd w:val="0"/>
              <w:snapToGrid w:val="0"/>
              <w:spacing w:line="240" w:lineRule="auto"/>
              <w:ind w:firstLine="0" w:firstLineChars="0"/>
              <w:jc w:val="center"/>
              <w:rPr>
                <w:sz w:val="21"/>
                <w:szCs w:val="21"/>
              </w:rPr>
            </w:pPr>
            <w:r>
              <w:rPr>
                <w:sz w:val="21"/>
                <w:szCs w:val="21"/>
              </w:rPr>
              <w:t>备注</w:t>
            </w:r>
          </w:p>
        </w:tc>
      </w:tr>
      <w:tr w14:paraId="61B116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restart"/>
            <w:tcMar>
              <w:left w:w="0" w:type="dxa"/>
              <w:right w:w="0" w:type="dxa"/>
            </w:tcMar>
            <w:vAlign w:val="center"/>
          </w:tcPr>
          <w:p w14:paraId="73581D3B">
            <w:pPr>
              <w:adjustRightInd w:val="0"/>
              <w:snapToGrid w:val="0"/>
              <w:spacing w:line="240" w:lineRule="auto"/>
              <w:ind w:firstLine="0" w:firstLineChars="0"/>
              <w:jc w:val="center"/>
              <w:rPr>
                <w:sz w:val="21"/>
                <w:szCs w:val="21"/>
              </w:rPr>
            </w:pPr>
            <w:r>
              <w:rPr>
                <w:sz w:val="21"/>
                <w:szCs w:val="21"/>
              </w:rPr>
              <w:t>影</w:t>
            </w:r>
          </w:p>
          <w:p w14:paraId="1403F13E">
            <w:pPr>
              <w:adjustRightInd w:val="0"/>
              <w:snapToGrid w:val="0"/>
              <w:spacing w:line="240" w:lineRule="auto"/>
              <w:ind w:firstLine="0" w:firstLineChars="0"/>
              <w:jc w:val="center"/>
              <w:rPr>
                <w:sz w:val="21"/>
                <w:szCs w:val="21"/>
              </w:rPr>
            </w:pPr>
            <w:r>
              <w:rPr>
                <w:sz w:val="21"/>
                <w:szCs w:val="21"/>
              </w:rPr>
              <w:t>响</w:t>
            </w:r>
          </w:p>
          <w:p w14:paraId="51590BBE">
            <w:pPr>
              <w:adjustRightInd w:val="0"/>
              <w:snapToGrid w:val="0"/>
              <w:spacing w:line="240" w:lineRule="auto"/>
              <w:ind w:firstLine="0" w:firstLineChars="0"/>
              <w:jc w:val="center"/>
              <w:rPr>
                <w:sz w:val="21"/>
                <w:szCs w:val="21"/>
              </w:rPr>
            </w:pPr>
            <w:r>
              <w:rPr>
                <w:sz w:val="21"/>
                <w:szCs w:val="21"/>
              </w:rPr>
              <w:t>识</w:t>
            </w:r>
          </w:p>
          <w:p w14:paraId="62AE0DD2">
            <w:pPr>
              <w:adjustRightInd w:val="0"/>
              <w:snapToGrid w:val="0"/>
              <w:spacing w:line="240" w:lineRule="auto"/>
              <w:ind w:firstLine="0" w:firstLineChars="0"/>
              <w:jc w:val="center"/>
              <w:rPr>
                <w:sz w:val="21"/>
                <w:szCs w:val="21"/>
              </w:rPr>
            </w:pPr>
            <w:r>
              <w:rPr>
                <w:sz w:val="21"/>
                <w:szCs w:val="21"/>
              </w:rPr>
              <w:t>别</w:t>
            </w:r>
          </w:p>
        </w:tc>
        <w:tc>
          <w:tcPr>
            <w:tcW w:w="903" w:type="pct"/>
            <w:tcMar>
              <w:left w:w="0" w:type="dxa"/>
              <w:right w:w="0" w:type="dxa"/>
            </w:tcMar>
            <w:vAlign w:val="center"/>
          </w:tcPr>
          <w:p w14:paraId="0209492D">
            <w:pPr>
              <w:adjustRightInd w:val="0"/>
              <w:snapToGrid w:val="0"/>
              <w:spacing w:line="240" w:lineRule="auto"/>
              <w:ind w:firstLine="0" w:firstLineChars="0"/>
              <w:jc w:val="center"/>
              <w:rPr>
                <w:sz w:val="21"/>
                <w:szCs w:val="21"/>
              </w:rPr>
            </w:pPr>
            <w:r>
              <w:rPr>
                <w:sz w:val="21"/>
                <w:szCs w:val="21"/>
              </w:rPr>
              <w:t>影响类型</w:t>
            </w:r>
          </w:p>
        </w:tc>
        <w:tc>
          <w:tcPr>
            <w:tcW w:w="3400" w:type="pct"/>
            <w:gridSpan w:val="6"/>
            <w:tcMar>
              <w:left w:w="0" w:type="dxa"/>
              <w:right w:w="0" w:type="dxa"/>
            </w:tcMar>
            <w:vAlign w:val="center"/>
          </w:tcPr>
          <w:p w14:paraId="58011A89">
            <w:pPr>
              <w:adjustRightInd w:val="0"/>
              <w:snapToGrid w:val="0"/>
              <w:spacing w:line="240" w:lineRule="auto"/>
              <w:ind w:firstLine="0" w:firstLineChars="0"/>
              <w:jc w:val="center"/>
              <w:rPr>
                <w:sz w:val="21"/>
                <w:szCs w:val="21"/>
              </w:rPr>
            </w:pPr>
            <w:r>
              <w:rPr>
                <w:sz w:val="21"/>
                <w:szCs w:val="21"/>
              </w:rPr>
              <w:t>污染影响型</w:t>
            </w:r>
            <w:r>
              <w:rPr>
                <w:rFonts w:ascii="Segoe UI Emoji" w:hAnsi="Segoe UI Emoji" w:cs="Segoe UI Emoji"/>
                <w:sz w:val="21"/>
                <w:szCs w:val="21"/>
              </w:rPr>
              <w:t>☑</w:t>
            </w:r>
            <w:r>
              <w:rPr>
                <w:sz w:val="21"/>
                <w:szCs w:val="21"/>
              </w:rPr>
              <w:t>；生态影响型</w:t>
            </w:r>
            <w:r>
              <w:rPr>
                <w:rFonts w:hint="eastAsia"/>
                <w:sz w:val="21"/>
                <w:szCs w:val="21"/>
              </w:rPr>
              <w:t>□</w:t>
            </w:r>
            <w:r>
              <w:rPr>
                <w:sz w:val="21"/>
                <w:szCs w:val="21"/>
              </w:rPr>
              <w:t>；两种兼有</w:t>
            </w:r>
            <w:r>
              <w:rPr>
                <w:rFonts w:hint="eastAsia"/>
                <w:sz w:val="21"/>
                <w:szCs w:val="21"/>
              </w:rPr>
              <w:t>□</w:t>
            </w:r>
          </w:p>
        </w:tc>
        <w:tc>
          <w:tcPr>
            <w:tcW w:w="448" w:type="pct"/>
            <w:tcMar>
              <w:left w:w="0" w:type="dxa"/>
              <w:right w:w="0" w:type="dxa"/>
            </w:tcMar>
            <w:vAlign w:val="center"/>
          </w:tcPr>
          <w:p w14:paraId="2D08F447">
            <w:pPr>
              <w:adjustRightInd w:val="0"/>
              <w:snapToGrid w:val="0"/>
              <w:spacing w:line="240" w:lineRule="auto"/>
              <w:ind w:firstLine="0" w:firstLineChars="0"/>
              <w:jc w:val="center"/>
              <w:rPr>
                <w:sz w:val="21"/>
                <w:szCs w:val="21"/>
              </w:rPr>
            </w:pPr>
            <w:r>
              <w:rPr>
                <w:sz w:val="21"/>
                <w:szCs w:val="21"/>
              </w:rPr>
              <w:t>/</w:t>
            </w:r>
          </w:p>
        </w:tc>
      </w:tr>
      <w:tr w14:paraId="4DDA50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43752519">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6378B0E3">
            <w:pPr>
              <w:adjustRightInd w:val="0"/>
              <w:snapToGrid w:val="0"/>
              <w:spacing w:line="240" w:lineRule="auto"/>
              <w:ind w:firstLine="0" w:firstLineChars="0"/>
              <w:jc w:val="center"/>
              <w:rPr>
                <w:sz w:val="21"/>
                <w:szCs w:val="21"/>
              </w:rPr>
            </w:pPr>
            <w:r>
              <w:rPr>
                <w:sz w:val="21"/>
                <w:szCs w:val="21"/>
              </w:rPr>
              <w:t>土地利用类型</w:t>
            </w:r>
          </w:p>
        </w:tc>
        <w:tc>
          <w:tcPr>
            <w:tcW w:w="3400" w:type="pct"/>
            <w:gridSpan w:val="6"/>
            <w:tcMar>
              <w:left w:w="0" w:type="dxa"/>
              <w:right w:w="0" w:type="dxa"/>
            </w:tcMar>
            <w:vAlign w:val="center"/>
          </w:tcPr>
          <w:p w14:paraId="6E759DBC">
            <w:pPr>
              <w:adjustRightInd w:val="0"/>
              <w:snapToGrid w:val="0"/>
              <w:spacing w:line="240" w:lineRule="auto"/>
              <w:ind w:firstLine="0" w:firstLineChars="0"/>
              <w:jc w:val="center"/>
              <w:rPr>
                <w:sz w:val="21"/>
                <w:szCs w:val="21"/>
              </w:rPr>
            </w:pPr>
            <w:r>
              <w:rPr>
                <w:sz w:val="21"/>
                <w:szCs w:val="21"/>
              </w:rPr>
              <w:t>建设用地</w:t>
            </w:r>
            <w:r>
              <w:rPr>
                <w:rFonts w:ascii="Segoe UI Emoji" w:hAnsi="Segoe UI Emoji" w:cs="Segoe UI Emoji"/>
                <w:sz w:val="21"/>
                <w:szCs w:val="21"/>
              </w:rPr>
              <w:t>☑</w:t>
            </w:r>
            <w:r>
              <w:rPr>
                <w:sz w:val="21"/>
                <w:szCs w:val="21"/>
              </w:rPr>
              <w:t>；农用地</w:t>
            </w:r>
            <w:r>
              <w:rPr>
                <w:rFonts w:hint="eastAsia"/>
                <w:sz w:val="21"/>
                <w:szCs w:val="21"/>
              </w:rPr>
              <w:t>□</w:t>
            </w:r>
            <w:r>
              <w:rPr>
                <w:sz w:val="21"/>
                <w:szCs w:val="21"/>
              </w:rPr>
              <w:t>；未利用地</w:t>
            </w:r>
            <w:r>
              <w:rPr>
                <w:rFonts w:hint="eastAsia"/>
                <w:sz w:val="21"/>
                <w:szCs w:val="21"/>
              </w:rPr>
              <w:t>□</w:t>
            </w:r>
          </w:p>
        </w:tc>
        <w:tc>
          <w:tcPr>
            <w:tcW w:w="448" w:type="pct"/>
            <w:tcMar>
              <w:left w:w="0" w:type="dxa"/>
              <w:right w:w="0" w:type="dxa"/>
            </w:tcMar>
            <w:vAlign w:val="center"/>
          </w:tcPr>
          <w:p w14:paraId="505CACEF">
            <w:pPr>
              <w:adjustRightInd w:val="0"/>
              <w:snapToGrid w:val="0"/>
              <w:spacing w:line="240" w:lineRule="auto"/>
              <w:ind w:firstLine="0" w:firstLineChars="0"/>
              <w:jc w:val="center"/>
              <w:rPr>
                <w:sz w:val="21"/>
                <w:szCs w:val="21"/>
              </w:rPr>
            </w:pPr>
            <w:r>
              <w:rPr>
                <w:sz w:val="21"/>
                <w:szCs w:val="21"/>
              </w:rPr>
              <w:t>/</w:t>
            </w:r>
          </w:p>
        </w:tc>
      </w:tr>
      <w:tr w14:paraId="6F6BCD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3DBBA82E">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2269AC06">
            <w:pPr>
              <w:adjustRightInd w:val="0"/>
              <w:snapToGrid w:val="0"/>
              <w:spacing w:line="240" w:lineRule="auto"/>
              <w:ind w:firstLine="0" w:firstLineChars="0"/>
              <w:jc w:val="center"/>
              <w:rPr>
                <w:sz w:val="21"/>
                <w:szCs w:val="21"/>
              </w:rPr>
            </w:pPr>
            <w:r>
              <w:rPr>
                <w:sz w:val="21"/>
                <w:szCs w:val="21"/>
              </w:rPr>
              <w:t>占地规模</w:t>
            </w:r>
          </w:p>
        </w:tc>
        <w:tc>
          <w:tcPr>
            <w:tcW w:w="3400" w:type="pct"/>
            <w:gridSpan w:val="6"/>
            <w:tcMar>
              <w:left w:w="0" w:type="dxa"/>
              <w:right w:w="0" w:type="dxa"/>
            </w:tcMar>
            <w:vAlign w:val="center"/>
          </w:tcPr>
          <w:p w14:paraId="335AC0DC">
            <w:pPr>
              <w:adjustRightInd w:val="0"/>
              <w:snapToGrid w:val="0"/>
              <w:spacing w:line="240" w:lineRule="auto"/>
              <w:ind w:firstLine="0" w:firstLineChars="0"/>
              <w:jc w:val="center"/>
              <w:rPr>
                <w:sz w:val="21"/>
                <w:szCs w:val="21"/>
              </w:rPr>
            </w:pPr>
            <w:r>
              <w:rPr>
                <w:sz w:val="21"/>
                <w:szCs w:val="21"/>
              </w:rPr>
              <w:t>（6.61716）hm</w:t>
            </w:r>
            <w:r>
              <w:rPr>
                <w:sz w:val="21"/>
                <w:szCs w:val="21"/>
                <w:vertAlign w:val="superscript"/>
              </w:rPr>
              <w:t>2</w:t>
            </w:r>
          </w:p>
        </w:tc>
        <w:tc>
          <w:tcPr>
            <w:tcW w:w="448" w:type="pct"/>
            <w:tcMar>
              <w:left w:w="0" w:type="dxa"/>
              <w:right w:w="0" w:type="dxa"/>
            </w:tcMar>
            <w:vAlign w:val="center"/>
          </w:tcPr>
          <w:p w14:paraId="6DC628AD">
            <w:pPr>
              <w:adjustRightInd w:val="0"/>
              <w:snapToGrid w:val="0"/>
              <w:spacing w:line="240" w:lineRule="auto"/>
              <w:ind w:firstLine="0" w:firstLineChars="0"/>
              <w:jc w:val="center"/>
              <w:rPr>
                <w:sz w:val="21"/>
                <w:szCs w:val="21"/>
              </w:rPr>
            </w:pPr>
          </w:p>
        </w:tc>
      </w:tr>
      <w:tr w14:paraId="57B62F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00105EFF">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5A9756DB">
            <w:pPr>
              <w:adjustRightInd w:val="0"/>
              <w:snapToGrid w:val="0"/>
              <w:spacing w:line="240" w:lineRule="auto"/>
              <w:ind w:firstLine="0" w:firstLineChars="0"/>
              <w:jc w:val="center"/>
              <w:rPr>
                <w:sz w:val="21"/>
                <w:szCs w:val="21"/>
              </w:rPr>
            </w:pPr>
            <w:r>
              <w:rPr>
                <w:sz w:val="21"/>
                <w:szCs w:val="21"/>
              </w:rPr>
              <w:t>敏感目标信息</w:t>
            </w:r>
          </w:p>
        </w:tc>
        <w:tc>
          <w:tcPr>
            <w:tcW w:w="3400" w:type="pct"/>
            <w:gridSpan w:val="6"/>
            <w:tcMar>
              <w:left w:w="0" w:type="dxa"/>
              <w:right w:w="0" w:type="dxa"/>
            </w:tcMar>
            <w:vAlign w:val="center"/>
          </w:tcPr>
          <w:p w14:paraId="41D8F298">
            <w:pPr>
              <w:adjustRightInd w:val="0"/>
              <w:snapToGrid w:val="0"/>
              <w:spacing w:line="240" w:lineRule="auto"/>
              <w:ind w:firstLine="0" w:firstLineChars="0"/>
              <w:jc w:val="center"/>
              <w:rPr>
                <w:sz w:val="21"/>
                <w:szCs w:val="21"/>
              </w:rPr>
            </w:pPr>
            <w:r>
              <w:rPr>
                <w:sz w:val="21"/>
                <w:szCs w:val="21"/>
              </w:rPr>
              <w:t>敏感目标（无）、方位（      ）、距离（      ）</w:t>
            </w:r>
          </w:p>
        </w:tc>
        <w:tc>
          <w:tcPr>
            <w:tcW w:w="448" w:type="pct"/>
            <w:tcMar>
              <w:left w:w="0" w:type="dxa"/>
              <w:right w:w="0" w:type="dxa"/>
            </w:tcMar>
            <w:vAlign w:val="center"/>
          </w:tcPr>
          <w:p w14:paraId="08CF8360">
            <w:pPr>
              <w:adjustRightInd w:val="0"/>
              <w:snapToGrid w:val="0"/>
              <w:spacing w:line="240" w:lineRule="auto"/>
              <w:ind w:firstLine="0" w:firstLineChars="0"/>
              <w:jc w:val="center"/>
              <w:rPr>
                <w:sz w:val="21"/>
                <w:szCs w:val="21"/>
              </w:rPr>
            </w:pPr>
          </w:p>
        </w:tc>
      </w:tr>
      <w:tr w14:paraId="267BE8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6DADFB2D">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3B03BD8B">
            <w:pPr>
              <w:adjustRightInd w:val="0"/>
              <w:snapToGrid w:val="0"/>
              <w:spacing w:line="240" w:lineRule="auto"/>
              <w:ind w:firstLine="0" w:firstLineChars="0"/>
              <w:jc w:val="center"/>
              <w:rPr>
                <w:sz w:val="21"/>
                <w:szCs w:val="21"/>
              </w:rPr>
            </w:pPr>
            <w:r>
              <w:rPr>
                <w:sz w:val="21"/>
                <w:szCs w:val="21"/>
              </w:rPr>
              <w:t>影响途径</w:t>
            </w:r>
          </w:p>
        </w:tc>
        <w:tc>
          <w:tcPr>
            <w:tcW w:w="3400" w:type="pct"/>
            <w:gridSpan w:val="6"/>
            <w:tcMar>
              <w:left w:w="0" w:type="dxa"/>
              <w:right w:w="0" w:type="dxa"/>
            </w:tcMar>
            <w:vAlign w:val="center"/>
          </w:tcPr>
          <w:p w14:paraId="406546E0">
            <w:pPr>
              <w:adjustRightInd w:val="0"/>
              <w:snapToGrid w:val="0"/>
              <w:spacing w:line="240" w:lineRule="auto"/>
              <w:ind w:firstLine="0" w:firstLineChars="0"/>
              <w:jc w:val="center"/>
              <w:rPr>
                <w:sz w:val="21"/>
                <w:szCs w:val="21"/>
              </w:rPr>
            </w:pPr>
            <w:r>
              <w:rPr>
                <w:sz w:val="21"/>
                <w:szCs w:val="21"/>
              </w:rPr>
              <w:t>大气沉降</w:t>
            </w:r>
            <w:r>
              <w:rPr>
                <w:rFonts w:ascii="Segoe UI Emoji" w:hAnsi="Segoe UI Emoji" w:cs="Segoe UI Emoji"/>
                <w:sz w:val="21"/>
                <w:szCs w:val="21"/>
              </w:rPr>
              <w:t>☑</w:t>
            </w:r>
            <w:r>
              <w:rPr>
                <w:sz w:val="21"/>
                <w:szCs w:val="21"/>
              </w:rPr>
              <w:t>；地面漫流</w:t>
            </w:r>
            <w:r>
              <w:rPr>
                <w:rFonts w:hint="eastAsia"/>
                <w:sz w:val="21"/>
                <w:szCs w:val="21"/>
              </w:rPr>
              <w:t>□；</w:t>
            </w:r>
            <w:r>
              <w:rPr>
                <w:sz w:val="21"/>
                <w:szCs w:val="21"/>
              </w:rPr>
              <w:t>垂直入渗</w:t>
            </w:r>
            <w:r>
              <w:rPr>
                <w:rFonts w:ascii="Segoe UI Emoji" w:hAnsi="Segoe UI Emoji" w:cs="Segoe UI Emoji"/>
                <w:sz w:val="21"/>
                <w:szCs w:val="21"/>
              </w:rPr>
              <w:t>☑</w:t>
            </w:r>
            <w:r>
              <w:rPr>
                <w:sz w:val="21"/>
                <w:szCs w:val="21"/>
              </w:rPr>
              <w:t>；地下水位</w:t>
            </w:r>
            <w:r>
              <w:rPr>
                <w:rFonts w:hint="eastAsia"/>
                <w:sz w:val="21"/>
                <w:szCs w:val="21"/>
              </w:rPr>
              <w:t>□</w:t>
            </w:r>
            <w:r>
              <w:rPr>
                <w:sz w:val="21"/>
                <w:szCs w:val="21"/>
              </w:rPr>
              <w:t>；其他（）</w:t>
            </w:r>
          </w:p>
        </w:tc>
        <w:tc>
          <w:tcPr>
            <w:tcW w:w="448" w:type="pct"/>
            <w:tcMar>
              <w:left w:w="0" w:type="dxa"/>
              <w:right w:w="0" w:type="dxa"/>
            </w:tcMar>
            <w:vAlign w:val="center"/>
          </w:tcPr>
          <w:p w14:paraId="06DCC800">
            <w:pPr>
              <w:adjustRightInd w:val="0"/>
              <w:snapToGrid w:val="0"/>
              <w:spacing w:line="240" w:lineRule="auto"/>
              <w:ind w:firstLine="0" w:firstLineChars="0"/>
              <w:jc w:val="center"/>
              <w:rPr>
                <w:sz w:val="21"/>
                <w:szCs w:val="21"/>
              </w:rPr>
            </w:pPr>
          </w:p>
        </w:tc>
      </w:tr>
      <w:tr w14:paraId="3BCE2A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321DAEB1">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3EFFC9B1">
            <w:pPr>
              <w:adjustRightInd w:val="0"/>
              <w:snapToGrid w:val="0"/>
              <w:spacing w:line="240" w:lineRule="auto"/>
              <w:ind w:firstLine="0" w:firstLineChars="0"/>
              <w:jc w:val="center"/>
              <w:rPr>
                <w:sz w:val="21"/>
                <w:szCs w:val="21"/>
              </w:rPr>
            </w:pPr>
            <w:r>
              <w:rPr>
                <w:sz w:val="21"/>
                <w:szCs w:val="21"/>
              </w:rPr>
              <w:t>全部污染物</w:t>
            </w:r>
          </w:p>
        </w:tc>
        <w:tc>
          <w:tcPr>
            <w:tcW w:w="3400" w:type="pct"/>
            <w:gridSpan w:val="6"/>
            <w:tcMar>
              <w:left w:w="0" w:type="dxa"/>
              <w:right w:w="0" w:type="dxa"/>
            </w:tcMar>
            <w:vAlign w:val="center"/>
          </w:tcPr>
          <w:p w14:paraId="48114AF5">
            <w:pPr>
              <w:adjustRightInd w:val="0"/>
              <w:snapToGrid w:val="0"/>
              <w:spacing w:line="240" w:lineRule="auto"/>
              <w:ind w:firstLine="0" w:firstLineChars="0"/>
              <w:jc w:val="center"/>
              <w:rPr>
                <w:sz w:val="21"/>
                <w:szCs w:val="21"/>
              </w:rPr>
            </w:pPr>
            <w:r>
              <w:rPr>
                <w:rFonts w:hint="eastAsia"/>
                <w:sz w:val="21"/>
                <w:szCs w:val="21"/>
              </w:rPr>
              <w:t>COD、BOD</w:t>
            </w:r>
            <w:r>
              <w:rPr>
                <w:sz w:val="21"/>
                <w:szCs w:val="21"/>
                <w:vertAlign w:val="subscript"/>
              </w:rPr>
              <w:t>5</w:t>
            </w:r>
            <w:r>
              <w:rPr>
                <w:rFonts w:hint="eastAsia"/>
                <w:sz w:val="21"/>
                <w:szCs w:val="21"/>
              </w:rPr>
              <w:t>、氯化物、SS、石油烃</w:t>
            </w:r>
          </w:p>
        </w:tc>
        <w:tc>
          <w:tcPr>
            <w:tcW w:w="448" w:type="pct"/>
            <w:tcMar>
              <w:left w:w="0" w:type="dxa"/>
              <w:right w:w="0" w:type="dxa"/>
            </w:tcMar>
            <w:vAlign w:val="center"/>
          </w:tcPr>
          <w:p w14:paraId="03171B0B">
            <w:pPr>
              <w:adjustRightInd w:val="0"/>
              <w:snapToGrid w:val="0"/>
              <w:spacing w:line="240" w:lineRule="auto"/>
              <w:ind w:firstLine="0" w:firstLineChars="0"/>
              <w:jc w:val="center"/>
              <w:rPr>
                <w:sz w:val="21"/>
                <w:szCs w:val="21"/>
              </w:rPr>
            </w:pPr>
          </w:p>
        </w:tc>
      </w:tr>
      <w:tr w14:paraId="13A325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566A7348">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4B18DEA9">
            <w:pPr>
              <w:adjustRightInd w:val="0"/>
              <w:snapToGrid w:val="0"/>
              <w:spacing w:line="240" w:lineRule="auto"/>
              <w:ind w:firstLine="0" w:firstLineChars="0"/>
              <w:jc w:val="center"/>
              <w:rPr>
                <w:sz w:val="21"/>
                <w:szCs w:val="21"/>
              </w:rPr>
            </w:pPr>
            <w:r>
              <w:rPr>
                <w:sz w:val="21"/>
                <w:szCs w:val="21"/>
              </w:rPr>
              <w:t>特征因子</w:t>
            </w:r>
          </w:p>
        </w:tc>
        <w:tc>
          <w:tcPr>
            <w:tcW w:w="3400" w:type="pct"/>
            <w:gridSpan w:val="6"/>
            <w:tcMar>
              <w:left w:w="0" w:type="dxa"/>
              <w:right w:w="0" w:type="dxa"/>
            </w:tcMar>
            <w:vAlign w:val="center"/>
          </w:tcPr>
          <w:p w14:paraId="54003E2F">
            <w:pPr>
              <w:adjustRightInd w:val="0"/>
              <w:snapToGrid w:val="0"/>
              <w:spacing w:line="240" w:lineRule="auto"/>
              <w:ind w:firstLine="0" w:firstLineChars="0"/>
              <w:jc w:val="center"/>
              <w:rPr>
                <w:sz w:val="21"/>
                <w:szCs w:val="21"/>
              </w:rPr>
            </w:pPr>
            <w:r>
              <w:rPr>
                <w:rFonts w:hint="eastAsia"/>
                <w:sz w:val="21"/>
                <w:szCs w:val="21"/>
              </w:rPr>
              <w:t>石油烃</w:t>
            </w:r>
          </w:p>
        </w:tc>
        <w:tc>
          <w:tcPr>
            <w:tcW w:w="448" w:type="pct"/>
            <w:tcMar>
              <w:left w:w="0" w:type="dxa"/>
              <w:right w:w="0" w:type="dxa"/>
            </w:tcMar>
            <w:vAlign w:val="center"/>
          </w:tcPr>
          <w:p w14:paraId="298031B5">
            <w:pPr>
              <w:adjustRightInd w:val="0"/>
              <w:snapToGrid w:val="0"/>
              <w:spacing w:line="240" w:lineRule="auto"/>
              <w:ind w:firstLine="0" w:firstLineChars="0"/>
              <w:jc w:val="center"/>
              <w:rPr>
                <w:sz w:val="21"/>
                <w:szCs w:val="21"/>
              </w:rPr>
            </w:pPr>
          </w:p>
        </w:tc>
      </w:tr>
      <w:tr w14:paraId="143EB6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16577200">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5815B7F5">
            <w:pPr>
              <w:adjustRightInd w:val="0"/>
              <w:snapToGrid w:val="0"/>
              <w:spacing w:line="240" w:lineRule="auto"/>
              <w:ind w:firstLine="0" w:firstLineChars="0"/>
              <w:jc w:val="center"/>
              <w:rPr>
                <w:sz w:val="21"/>
                <w:szCs w:val="21"/>
              </w:rPr>
            </w:pPr>
            <w:r>
              <w:rPr>
                <w:sz w:val="21"/>
                <w:szCs w:val="21"/>
              </w:rPr>
              <w:t>所属土壤环境影响评价项目类别</w:t>
            </w:r>
          </w:p>
        </w:tc>
        <w:tc>
          <w:tcPr>
            <w:tcW w:w="3400" w:type="pct"/>
            <w:gridSpan w:val="6"/>
            <w:tcMar>
              <w:left w:w="0" w:type="dxa"/>
              <w:right w:w="0" w:type="dxa"/>
            </w:tcMar>
            <w:vAlign w:val="center"/>
          </w:tcPr>
          <w:p w14:paraId="13E4AD3E">
            <w:pPr>
              <w:adjustRightInd w:val="0"/>
              <w:snapToGrid w:val="0"/>
              <w:spacing w:line="240" w:lineRule="auto"/>
              <w:ind w:firstLine="0" w:firstLineChars="0"/>
              <w:jc w:val="center"/>
              <w:rPr>
                <w:sz w:val="21"/>
                <w:szCs w:val="21"/>
              </w:rPr>
            </w:pPr>
            <w:r>
              <w:rPr>
                <w:sz w:val="21"/>
                <w:szCs w:val="21"/>
              </w:rPr>
              <w:t>Ⅰ类</w:t>
            </w:r>
            <w:r>
              <w:rPr>
                <w:rFonts w:ascii="Segoe UI Emoji" w:hAnsi="Segoe UI Emoji" w:cs="Segoe UI Emoji"/>
                <w:sz w:val="21"/>
                <w:szCs w:val="21"/>
              </w:rPr>
              <w:t>☑</w:t>
            </w:r>
            <w:r>
              <w:rPr>
                <w:sz w:val="21"/>
                <w:szCs w:val="21"/>
              </w:rPr>
              <w:t>；Ⅱ类</w:t>
            </w:r>
            <w:r>
              <w:rPr>
                <w:rFonts w:hint="eastAsia"/>
                <w:sz w:val="21"/>
                <w:szCs w:val="21"/>
              </w:rPr>
              <w:t>□</w:t>
            </w:r>
            <w:r>
              <w:rPr>
                <w:sz w:val="21"/>
                <w:szCs w:val="21"/>
              </w:rPr>
              <w:t>；Ⅲ类</w:t>
            </w:r>
            <w:r>
              <w:rPr>
                <w:rFonts w:hint="eastAsia"/>
                <w:sz w:val="21"/>
                <w:szCs w:val="21"/>
              </w:rPr>
              <w:t>□</w:t>
            </w:r>
            <w:r>
              <w:rPr>
                <w:sz w:val="21"/>
                <w:szCs w:val="21"/>
              </w:rPr>
              <w:t>；Ⅳ类</w:t>
            </w:r>
            <w:r>
              <w:rPr>
                <w:rFonts w:hint="eastAsia"/>
                <w:sz w:val="21"/>
                <w:szCs w:val="21"/>
              </w:rPr>
              <w:t>□</w:t>
            </w:r>
          </w:p>
        </w:tc>
        <w:tc>
          <w:tcPr>
            <w:tcW w:w="448" w:type="pct"/>
            <w:tcMar>
              <w:left w:w="0" w:type="dxa"/>
              <w:right w:w="0" w:type="dxa"/>
            </w:tcMar>
            <w:vAlign w:val="center"/>
          </w:tcPr>
          <w:p w14:paraId="5BF822DF">
            <w:pPr>
              <w:adjustRightInd w:val="0"/>
              <w:snapToGrid w:val="0"/>
              <w:spacing w:line="240" w:lineRule="auto"/>
              <w:ind w:firstLine="0" w:firstLineChars="0"/>
              <w:jc w:val="center"/>
              <w:rPr>
                <w:sz w:val="21"/>
                <w:szCs w:val="21"/>
              </w:rPr>
            </w:pPr>
          </w:p>
        </w:tc>
      </w:tr>
      <w:tr w14:paraId="617BA5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323A243B">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7EEE2CFB">
            <w:pPr>
              <w:adjustRightInd w:val="0"/>
              <w:snapToGrid w:val="0"/>
              <w:spacing w:line="240" w:lineRule="auto"/>
              <w:ind w:firstLine="0" w:firstLineChars="0"/>
              <w:jc w:val="center"/>
              <w:rPr>
                <w:sz w:val="21"/>
                <w:szCs w:val="21"/>
              </w:rPr>
            </w:pPr>
            <w:r>
              <w:rPr>
                <w:sz w:val="21"/>
                <w:szCs w:val="21"/>
              </w:rPr>
              <w:t>敏感程度</w:t>
            </w:r>
          </w:p>
        </w:tc>
        <w:tc>
          <w:tcPr>
            <w:tcW w:w="3400" w:type="pct"/>
            <w:gridSpan w:val="6"/>
            <w:tcMar>
              <w:left w:w="0" w:type="dxa"/>
              <w:right w:w="0" w:type="dxa"/>
            </w:tcMar>
            <w:vAlign w:val="center"/>
          </w:tcPr>
          <w:p w14:paraId="4C3C7005">
            <w:pPr>
              <w:adjustRightInd w:val="0"/>
              <w:snapToGrid w:val="0"/>
              <w:spacing w:line="240" w:lineRule="auto"/>
              <w:ind w:firstLine="0" w:firstLineChars="0"/>
              <w:jc w:val="center"/>
              <w:rPr>
                <w:sz w:val="21"/>
                <w:szCs w:val="21"/>
              </w:rPr>
            </w:pPr>
            <w:r>
              <w:rPr>
                <w:sz w:val="21"/>
                <w:szCs w:val="21"/>
              </w:rPr>
              <w:t>敏感</w:t>
            </w:r>
            <w:r>
              <w:rPr>
                <w:rFonts w:hint="eastAsia"/>
                <w:sz w:val="21"/>
                <w:szCs w:val="21"/>
              </w:rPr>
              <w:t>□</w:t>
            </w:r>
            <w:r>
              <w:rPr>
                <w:sz w:val="21"/>
                <w:szCs w:val="21"/>
              </w:rPr>
              <w:t>；较敏感</w:t>
            </w:r>
            <w:r>
              <w:rPr>
                <w:rFonts w:hint="eastAsia"/>
                <w:sz w:val="21"/>
                <w:szCs w:val="21"/>
              </w:rPr>
              <w:t>□</w:t>
            </w:r>
            <w:r>
              <w:rPr>
                <w:sz w:val="21"/>
                <w:szCs w:val="21"/>
              </w:rPr>
              <w:t>；不敏感</w:t>
            </w:r>
            <w:r>
              <w:rPr>
                <w:rFonts w:ascii="Segoe UI Emoji" w:hAnsi="Segoe UI Emoji" w:cs="Segoe UI Emoji"/>
                <w:sz w:val="21"/>
                <w:szCs w:val="21"/>
              </w:rPr>
              <w:t>☑</w:t>
            </w:r>
          </w:p>
        </w:tc>
        <w:tc>
          <w:tcPr>
            <w:tcW w:w="448" w:type="pct"/>
            <w:tcMar>
              <w:left w:w="0" w:type="dxa"/>
              <w:right w:w="0" w:type="dxa"/>
            </w:tcMar>
            <w:vAlign w:val="center"/>
          </w:tcPr>
          <w:p w14:paraId="745B5266">
            <w:pPr>
              <w:adjustRightInd w:val="0"/>
              <w:snapToGrid w:val="0"/>
              <w:spacing w:line="240" w:lineRule="auto"/>
              <w:ind w:firstLine="0" w:firstLineChars="0"/>
              <w:jc w:val="center"/>
              <w:rPr>
                <w:sz w:val="21"/>
                <w:szCs w:val="21"/>
              </w:rPr>
            </w:pPr>
          </w:p>
        </w:tc>
      </w:tr>
      <w:tr w14:paraId="5F0BF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52" w:type="pct"/>
            <w:gridSpan w:val="2"/>
            <w:tcMar>
              <w:left w:w="0" w:type="dxa"/>
              <w:right w:w="0" w:type="dxa"/>
            </w:tcMar>
            <w:vAlign w:val="center"/>
          </w:tcPr>
          <w:p w14:paraId="5AC61348">
            <w:pPr>
              <w:adjustRightInd w:val="0"/>
              <w:snapToGrid w:val="0"/>
              <w:spacing w:line="240" w:lineRule="auto"/>
              <w:ind w:firstLine="0" w:firstLineChars="0"/>
              <w:jc w:val="center"/>
              <w:rPr>
                <w:sz w:val="21"/>
                <w:szCs w:val="21"/>
              </w:rPr>
            </w:pPr>
            <w:r>
              <w:rPr>
                <w:sz w:val="21"/>
                <w:szCs w:val="21"/>
              </w:rPr>
              <w:t>评价工作等级</w:t>
            </w:r>
          </w:p>
        </w:tc>
        <w:tc>
          <w:tcPr>
            <w:tcW w:w="3400" w:type="pct"/>
            <w:gridSpan w:val="6"/>
            <w:tcMar>
              <w:left w:w="0" w:type="dxa"/>
              <w:right w:w="0" w:type="dxa"/>
            </w:tcMar>
            <w:vAlign w:val="center"/>
          </w:tcPr>
          <w:p w14:paraId="165D5E56">
            <w:pPr>
              <w:adjustRightInd w:val="0"/>
              <w:snapToGrid w:val="0"/>
              <w:spacing w:line="240" w:lineRule="auto"/>
              <w:ind w:firstLine="0" w:firstLineChars="0"/>
              <w:jc w:val="center"/>
              <w:rPr>
                <w:sz w:val="21"/>
                <w:szCs w:val="21"/>
              </w:rPr>
            </w:pPr>
            <w:r>
              <w:rPr>
                <w:sz w:val="21"/>
                <w:szCs w:val="21"/>
              </w:rPr>
              <w:t>一级</w:t>
            </w:r>
            <w:r>
              <w:rPr>
                <w:rFonts w:hint="eastAsia"/>
                <w:sz w:val="21"/>
                <w:szCs w:val="21"/>
              </w:rPr>
              <w:t>□</w:t>
            </w:r>
            <w:r>
              <w:rPr>
                <w:sz w:val="21"/>
                <w:szCs w:val="21"/>
              </w:rPr>
              <w:t>；二级</w:t>
            </w:r>
            <w:r>
              <w:rPr>
                <w:rFonts w:ascii="Segoe UI Emoji" w:hAnsi="Segoe UI Emoji" w:cs="Segoe UI Emoji"/>
                <w:sz w:val="21"/>
                <w:szCs w:val="21"/>
              </w:rPr>
              <w:t>☑</w:t>
            </w:r>
            <w:r>
              <w:rPr>
                <w:sz w:val="21"/>
                <w:szCs w:val="21"/>
              </w:rPr>
              <w:t>；三级</w:t>
            </w:r>
            <w:r>
              <w:rPr>
                <w:rFonts w:hint="eastAsia"/>
                <w:sz w:val="21"/>
                <w:szCs w:val="21"/>
              </w:rPr>
              <w:t>□</w:t>
            </w:r>
          </w:p>
        </w:tc>
        <w:tc>
          <w:tcPr>
            <w:tcW w:w="448" w:type="pct"/>
            <w:tcMar>
              <w:left w:w="0" w:type="dxa"/>
              <w:right w:w="0" w:type="dxa"/>
            </w:tcMar>
            <w:vAlign w:val="center"/>
          </w:tcPr>
          <w:p w14:paraId="18B305D8">
            <w:pPr>
              <w:adjustRightInd w:val="0"/>
              <w:snapToGrid w:val="0"/>
              <w:spacing w:line="240" w:lineRule="auto"/>
              <w:ind w:firstLine="0" w:firstLineChars="0"/>
              <w:jc w:val="center"/>
              <w:rPr>
                <w:sz w:val="21"/>
                <w:szCs w:val="21"/>
              </w:rPr>
            </w:pPr>
          </w:p>
        </w:tc>
      </w:tr>
      <w:tr w14:paraId="1CCE92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restart"/>
            <w:tcMar>
              <w:left w:w="0" w:type="dxa"/>
              <w:right w:w="0" w:type="dxa"/>
            </w:tcMar>
            <w:vAlign w:val="center"/>
          </w:tcPr>
          <w:p w14:paraId="3501FAF5">
            <w:pPr>
              <w:adjustRightInd w:val="0"/>
              <w:snapToGrid w:val="0"/>
              <w:spacing w:line="240" w:lineRule="auto"/>
              <w:ind w:firstLine="0" w:firstLineChars="0"/>
              <w:jc w:val="center"/>
              <w:rPr>
                <w:sz w:val="21"/>
                <w:szCs w:val="21"/>
              </w:rPr>
            </w:pPr>
            <w:r>
              <w:rPr>
                <w:sz w:val="21"/>
                <w:szCs w:val="21"/>
              </w:rPr>
              <w:t>现状调查内容</w:t>
            </w:r>
          </w:p>
        </w:tc>
        <w:tc>
          <w:tcPr>
            <w:tcW w:w="903" w:type="pct"/>
            <w:tcMar>
              <w:left w:w="0" w:type="dxa"/>
              <w:right w:w="0" w:type="dxa"/>
            </w:tcMar>
            <w:vAlign w:val="center"/>
          </w:tcPr>
          <w:p w14:paraId="3D8CC37E">
            <w:pPr>
              <w:adjustRightInd w:val="0"/>
              <w:snapToGrid w:val="0"/>
              <w:spacing w:line="240" w:lineRule="auto"/>
              <w:ind w:firstLine="0" w:firstLineChars="0"/>
              <w:jc w:val="center"/>
              <w:rPr>
                <w:sz w:val="21"/>
                <w:szCs w:val="21"/>
              </w:rPr>
            </w:pPr>
            <w:r>
              <w:rPr>
                <w:sz w:val="21"/>
                <w:szCs w:val="21"/>
              </w:rPr>
              <w:t>资料收集</w:t>
            </w:r>
          </w:p>
        </w:tc>
        <w:tc>
          <w:tcPr>
            <w:tcW w:w="3400" w:type="pct"/>
            <w:gridSpan w:val="6"/>
            <w:tcMar>
              <w:left w:w="0" w:type="dxa"/>
              <w:right w:w="0" w:type="dxa"/>
            </w:tcMar>
            <w:vAlign w:val="center"/>
          </w:tcPr>
          <w:p w14:paraId="180922BF">
            <w:pPr>
              <w:adjustRightInd w:val="0"/>
              <w:snapToGrid w:val="0"/>
              <w:spacing w:line="240" w:lineRule="auto"/>
              <w:ind w:firstLine="0" w:firstLineChars="0"/>
              <w:jc w:val="center"/>
              <w:rPr>
                <w:sz w:val="21"/>
                <w:szCs w:val="21"/>
              </w:rPr>
            </w:pPr>
            <w:r>
              <w:rPr>
                <w:sz w:val="21"/>
                <w:szCs w:val="21"/>
              </w:rPr>
              <w:t>a）</w:t>
            </w:r>
            <w:r>
              <w:rPr>
                <w:rFonts w:ascii="Segoe UI Emoji" w:hAnsi="Segoe UI Emoji" w:cs="Segoe UI Emoji"/>
                <w:sz w:val="21"/>
                <w:szCs w:val="21"/>
              </w:rPr>
              <w:t>☑</w:t>
            </w:r>
            <w:r>
              <w:rPr>
                <w:sz w:val="21"/>
                <w:szCs w:val="21"/>
              </w:rPr>
              <w:t>；b）</w:t>
            </w:r>
            <w:r>
              <w:rPr>
                <w:rFonts w:ascii="Segoe UI Emoji" w:hAnsi="Segoe UI Emoji" w:cs="Segoe UI Emoji"/>
                <w:sz w:val="21"/>
                <w:szCs w:val="21"/>
              </w:rPr>
              <w:t>☑</w:t>
            </w:r>
            <w:r>
              <w:rPr>
                <w:sz w:val="21"/>
                <w:szCs w:val="21"/>
              </w:rPr>
              <w:t>；c）</w:t>
            </w:r>
            <w:r>
              <w:rPr>
                <w:rFonts w:ascii="Segoe UI Emoji" w:hAnsi="Segoe UI Emoji" w:cs="Segoe UI Emoji"/>
                <w:sz w:val="21"/>
                <w:szCs w:val="21"/>
              </w:rPr>
              <w:t>☑</w:t>
            </w:r>
            <w:r>
              <w:rPr>
                <w:sz w:val="21"/>
                <w:szCs w:val="21"/>
              </w:rPr>
              <w:t>；d）</w:t>
            </w:r>
            <w:r>
              <w:rPr>
                <w:rFonts w:hint="eastAsia"/>
                <w:sz w:val="21"/>
                <w:szCs w:val="21"/>
              </w:rPr>
              <w:t>□</w:t>
            </w:r>
          </w:p>
        </w:tc>
        <w:tc>
          <w:tcPr>
            <w:tcW w:w="448" w:type="pct"/>
            <w:tcMar>
              <w:left w:w="0" w:type="dxa"/>
              <w:right w:w="0" w:type="dxa"/>
            </w:tcMar>
            <w:vAlign w:val="center"/>
          </w:tcPr>
          <w:p w14:paraId="3BF9EEF7">
            <w:pPr>
              <w:adjustRightInd w:val="0"/>
              <w:snapToGrid w:val="0"/>
              <w:spacing w:line="240" w:lineRule="auto"/>
              <w:ind w:firstLine="0" w:firstLineChars="0"/>
              <w:jc w:val="center"/>
              <w:rPr>
                <w:sz w:val="21"/>
                <w:szCs w:val="21"/>
              </w:rPr>
            </w:pPr>
          </w:p>
        </w:tc>
      </w:tr>
      <w:tr w14:paraId="24C3D0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5DC3C790">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3B9E2D2C">
            <w:pPr>
              <w:adjustRightInd w:val="0"/>
              <w:snapToGrid w:val="0"/>
              <w:spacing w:line="240" w:lineRule="auto"/>
              <w:ind w:firstLine="0" w:firstLineChars="0"/>
              <w:jc w:val="center"/>
              <w:rPr>
                <w:sz w:val="21"/>
                <w:szCs w:val="21"/>
              </w:rPr>
            </w:pPr>
            <w:r>
              <w:rPr>
                <w:sz w:val="21"/>
                <w:szCs w:val="21"/>
              </w:rPr>
              <w:t>理化特性</w:t>
            </w:r>
          </w:p>
        </w:tc>
        <w:tc>
          <w:tcPr>
            <w:tcW w:w="3400" w:type="pct"/>
            <w:gridSpan w:val="6"/>
            <w:tcMar>
              <w:left w:w="0" w:type="dxa"/>
              <w:right w:w="0" w:type="dxa"/>
            </w:tcMar>
            <w:vAlign w:val="center"/>
          </w:tcPr>
          <w:p w14:paraId="21BC42C5">
            <w:pPr>
              <w:adjustRightInd w:val="0"/>
              <w:snapToGrid w:val="0"/>
              <w:spacing w:line="240" w:lineRule="auto"/>
              <w:ind w:firstLine="0" w:firstLineChars="0"/>
              <w:jc w:val="center"/>
              <w:rPr>
                <w:sz w:val="21"/>
                <w:szCs w:val="21"/>
              </w:rPr>
            </w:pPr>
            <w:r>
              <w:rPr>
                <w:sz w:val="21"/>
                <w:szCs w:val="21"/>
              </w:rPr>
              <w:t>未调查</w:t>
            </w:r>
          </w:p>
        </w:tc>
        <w:tc>
          <w:tcPr>
            <w:tcW w:w="448" w:type="pct"/>
            <w:tcMar>
              <w:left w:w="0" w:type="dxa"/>
              <w:right w:w="0" w:type="dxa"/>
            </w:tcMar>
            <w:vAlign w:val="center"/>
          </w:tcPr>
          <w:p w14:paraId="7C0B721A">
            <w:pPr>
              <w:adjustRightInd w:val="0"/>
              <w:snapToGrid w:val="0"/>
              <w:spacing w:line="240" w:lineRule="auto"/>
              <w:ind w:firstLine="0" w:firstLineChars="0"/>
              <w:jc w:val="center"/>
              <w:rPr>
                <w:sz w:val="21"/>
                <w:szCs w:val="21"/>
              </w:rPr>
            </w:pPr>
          </w:p>
        </w:tc>
      </w:tr>
      <w:tr w14:paraId="3FE71A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0177DE58">
            <w:pPr>
              <w:widowControl/>
              <w:adjustRightInd w:val="0"/>
              <w:snapToGrid w:val="0"/>
              <w:spacing w:line="240" w:lineRule="auto"/>
              <w:ind w:firstLine="0" w:firstLineChars="0"/>
              <w:jc w:val="center"/>
              <w:rPr>
                <w:sz w:val="21"/>
                <w:szCs w:val="21"/>
              </w:rPr>
            </w:pPr>
          </w:p>
        </w:tc>
        <w:tc>
          <w:tcPr>
            <w:tcW w:w="903" w:type="pct"/>
            <w:vMerge w:val="restart"/>
            <w:tcMar>
              <w:left w:w="0" w:type="dxa"/>
              <w:right w:w="0" w:type="dxa"/>
            </w:tcMar>
            <w:vAlign w:val="center"/>
          </w:tcPr>
          <w:p w14:paraId="45F58687">
            <w:pPr>
              <w:adjustRightInd w:val="0"/>
              <w:snapToGrid w:val="0"/>
              <w:spacing w:line="240" w:lineRule="auto"/>
              <w:ind w:firstLine="0" w:firstLineChars="0"/>
              <w:jc w:val="center"/>
              <w:rPr>
                <w:sz w:val="21"/>
                <w:szCs w:val="21"/>
              </w:rPr>
            </w:pPr>
            <w:r>
              <w:rPr>
                <w:sz w:val="21"/>
                <w:szCs w:val="21"/>
              </w:rPr>
              <w:t>现状监测点位</w:t>
            </w:r>
          </w:p>
        </w:tc>
        <w:tc>
          <w:tcPr>
            <w:tcW w:w="780" w:type="pct"/>
            <w:gridSpan w:val="2"/>
            <w:tcMar>
              <w:left w:w="0" w:type="dxa"/>
              <w:right w:w="0" w:type="dxa"/>
            </w:tcMar>
            <w:vAlign w:val="center"/>
          </w:tcPr>
          <w:p w14:paraId="6FFE1137">
            <w:pPr>
              <w:adjustRightInd w:val="0"/>
              <w:snapToGrid w:val="0"/>
              <w:spacing w:line="240" w:lineRule="auto"/>
              <w:ind w:firstLine="0" w:firstLineChars="0"/>
              <w:jc w:val="center"/>
              <w:rPr>
                <w:sz w:val="21"/>
                <w:szCs w:val="21"/>
              </w:rPr>
            </w:pPr>
          </w:p>
        </w:tc>
        <w:tc>
          <w:tcPr>
            <w:tcW w:w="745" w:type="pct"/>
            <w:tcMar>
              <w:left w:w="0" w:type="dxa"/>
              <w:right w:w="0" w:type="dxa"/>
            </w:tcMar>
            <w:vAlign w:val="center"/>
          </w:tcPr>
          <w:p w14:paraId="13EBBDD8">
            <w:pPr>
              <w:adjustRightInd w:val="0"/>
              <w:snapToGrid w:val="0"/>
              <w:spacing w:line="240" w:lineRule="auto"/>
              <w:ind w:firstLine="0" w:firstLineChars="0"/>
              <w:jc w:val="center"/>
              <w:rPr>
                <w:sz w:val="21"/>
                <w:szCs w:val="21"/>
              </w:rPr>
            </w:pPr>
            <w:r>
              <w:rPr>
                <w:sz w:val="21"/>
                <w:szCs w:val="21"/>
              </w:rPr>
              <w:t>占地范围内</w:t>
            </w:r>
          </w:p>
        </w:tc>
        <w:tc>
          <w:tcPr>
            <w:tcW w:w="745" w:type="pct"/>
            <w:tcMar>
              <w:left w:w="0" w:type="dxa"/>
              <w:right w:w="0" w:type="dxa"/>
            </w:tcMar>
            <w:vAlign w:val="center"/>
          </w:tcPr>
          <w:p w14:paraId="480D07DB">
            <w:pPr>
              <w:adjustRightInd w:val="0"/>
              <w:snapToGrid w:val="0"/>
              <w:spacing w:line="240" w:lineRule="auto"/>
              <w:ind w:firstLine="0" w:firstLineChars="0"/>
              <w:jc w:val="center"/>
              <w:rPr>
                <w:sz w:val="21"/>
                <w:szCs w:val="21"/>
              </w:rPr>
            </w:pPr>
            <w:r>
              <w:rPr>
                <w:sz w:val="21"/>
                <w:szCs w:val="21"/>
              </w:rPr>
              <w:t>占地范围外</w:t>
            </w:r>
          </w:p>
        </w:tc>
        <w:tc>
          <w:tcPr>
            <w:tcW w:w="1130" w:type="pct"/>
            <w:gridSpan w:val="2"/>
            <w:tcMar>
              <w:left w:w="0" w:type="dxa"/>
              <w:right w:w="0" w:type="dxa"/>
            </w:tcMar>
            <w:vAlign w:val="center"/>
          </w:tcPr>
          <w:p w14:paraId="4BB061A7">
            <w:pPr>
              <w:adjustRightInd w:val="0"/>
              <w:snapToGrid w:val="0"/>
              <w:spacing w:line="240" w:lineRule="auto"/>
              <w:ind w:firstLine="0" w:firstLineChars="0"/>
              <w:jc w:val="center"/>
              <w:rPr>
                <w:sz w:val="21"/>
                <w:szCs w:val="21"/>
              </w:rPr>
            </w:pPr>
            <w:r>
              <w:rPr>
                <w:sz w:val="21"/>
                <w:szCs w:val="21"/>
              </w:rPr>
              <w:t>深度</w:t>
            </w:r>
          </w:p>
        </w:tc>
        <w:tc>
          <w:tcPr>
            <w:tcW w:w="448" w:type="pct"/>
            <w:vMerge w:val="restart"/>
            <w:tcMar>
              <w:left w:w="0" w:type="dxa"/>
              <w:right w:w="0" w:type="dxa"/>
            </w:tcMar>
            <w:vAlign w:val="center"/>
          </w:tcPr>
          <w:p w14:paraId="02593458">
            <w:pPr>
              <w:adjustRightInd w:val="0"/>
              <w:snapToGrid w:val="0"/>
              <w:spacing w:line="240" w:lineRule="auto"/>
              <w:ind w:firstLine="0" w:firstLineChars="0"/>
              <w:jc w:val="center"/>
              <w:rPr>
                <w:sz w:val="21"/>
                <w:szCs w:val="21"/>
              </w:rPr>
            </w:pPr>
            <w:r>
              <w:rPr>
                <w:rFonts w:hint="eastAsia"/>
                <w:sz w:val="21"/>
                <w:szCs w:val="21"/>
              </w:rPr>
              <w:t>/</w:t>
            </w:r>
          </w:p>
        </w:tc>
      </w:tr>
      <w:tr w14:paraId="268122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4864CD88">
            <w:pPr>
              <w:widowControl/>
              <w:adjustRightInd w:val="0"/>
              <w:snapToGrid w:val="0"/>
              <w:spacing w:line="240" w:lineRule="auto"/>
              <w:ind w:firstLine="0" w:firstLineChars="0"/>
              <w:jc w:val="center"/>
              <w:rPr>
                <w:sz w:val="21"/>
                <w:szCs w:val="21"/>
              </w:rPr>
            </w:pPr>
          </w:p>
        </w:tc>
        <w:tc>
          <w:tcPr>
            <w:tcW w:w="903" w:type="pct"/>
            <w:vMerge w:val="continue"/>
            <w:tcMar>
              <w:left w:w="0" w:type="dxa"/>
              <w:right w:w="0" w:type="dxa"/>
            </w:tcMar>
            <w:vAlign w:val="center"/>
          </w:tcPr>
          <w:p w14:paraId="4539F349">
            <w:pPr>
              <w:widowControl/>
              <w:adjustRightInd w:val="0"/>
              <w:snapToGrid w:val="0"/>
              <w:spacing w:line="240" w:lineRule="auto"/>
              <w:ind w:firstLine="0" w:firstLineChars="0"/>
              <w:jc w:val="center"/>
              <w:rPr>
                <w:sz w:val="21"/>
                <w:szCs w:val="21"/>
              </w:rPr>
            </w:pPr>
          </w:p>
        </w:tc>
        <w:tc>
          <w:tcPr>
            <w:tcW w:w="780" w:type="pct"/>
            <w:gridSpan w:val="2"/>
            <w:tcMar>
              <w:left w:w="0" w:type="dxa"/>
              <w:right w:w="0" w:type="dxa"/>
            </w:tcMar>
            <w:vAlign w:val="center"/>
          </w:tcPr>
          <w:p w14:paraId="4EA1B399">
            <w:pPr>
              <w:adjustRightInd w:val="0"/>
              <w:snapToGrid w:val="0"/>
              <w:spacing w:line="240" w:lineRule="auto"/>
              <w:ind w:firstLine="0" w:firstLineChars="0"/>
              <w:jc w:val="center"/>
              <w:rPr>
                <w:sz w:val="21"/>
                <w:szCs w:val="21"/>
              </w:rPr>
            </w:pPr>
            <w:r>
              <w:rPr>
                <w:sz w:val="21"/>
                <w:szCs w:val="21"/>
              </w:rPr>
              <w:t>表层样点数</w:t>
            </w:r>
          </w:p>
        </w:tc>
        <w:tc>
          <w:tcPr>
            <w:tcW w:w="745" w:type="pct"/>
            <w:tcMar>
              <w:left w:w="0" w:type="dxa"/>
              <w:right w:w="0" w:type="dxa"/>
            </w:tcMar>
            <w:vAlign w:val="center"/>
          </w:tcPr>
          <w:p w14:paraId="3E014F3C">
            <w:pPr>
              <w:adjustRightInd w:val="0"/>
              <w:snapToGrid w:val="0"/>
              <w:spacing w:line="240" w:lineRule="auto"/>
              <w:ind w:firstLine="0" w:firstLineChars="0"/>
              <w:jc w:val="center"/>
              <w:rPr>
                <w:sz w:val="21"/>
                <w:szCs w:val="21"/>
              </w:rPr>
            </w:pPr>
            <w:r>
              <w:rPr>
                <w:sz w:val="21"/>
                <w:szCs w:val="21"/>
              </w:rPr>
              <w:t>1</w:t>
            </w:r>
          </w:p>
        </w:tc>
        <w:tc>
          <w:tcPr>
            <w:tcW w:w="745" w:type="pct"/>
            <w:tcMar>
              <w:left w:w="0" w:type="dxa"/>
              <w:right w:w="0" w:type="dxa"/>
            </w:tcMar>
            <w:vAlign w:val="center"/>
          </w:tcPr>
          <w:p w14:paraId="14AE6090">
            <w:pPr>
              <w:adjustRightInd w:val="0"/>
              <w:snapToGrid w:val="0"/>
              <w:spacing w:line="240" w:lineRule="auto"/>
              <w:ind w:firstLine="0" w:firstLineChars="0"/>
              <w:jc w:val="center"/>
              <w:rPr>
                <w:sz w:val="21"/>
                <w:szCs w:val="21"/>
              </w:rPr>
            </w:pPr>
            <w:r>
              <w:rPr>
                <w:sz w:val="21"/>
                <w:szCs w:val="21"/>
              </w:rPr>
              <w:t>2</w:t>
            </w:r>
          </w:p>
        </w:tc>
        <w:tc>
          <w:tcPr>
            <w:tcW w:w="1130" w:type="pct"/>
            <w:gridSpan w:val="2"/>
            <w:tcMar>
              <w:left w:w="0" w:type="dxa"/>
              <w:right w:w="0" w:type="dxa"/>
            </w:tcMar>
            <w:vAlign w:val="center"/>
          </w:tcPr>
          <w:p w14:paraId="0EA3279A">
            <w:pPr>
              <w:adjustRightInd w:val="0"/>
              <w:snapToGrid w:val="0"/>
              <w:spacing w:line="240" w:lineRule="auto"/>
              <w:ind w:firstLine="0" w:firstLineChars="0"/>
              <w:jc w:val="center"/>
              <w:rPr>
                <w:sz w:val="21"/>
                <w:szCs w:val="21"/>
              </w:rPr>
            </w:pPr>
            <w:r>
              <w:rPr>
                <w:sz w:val="21"/>
                <w:szCs w:val="21"/>
              </w:rPr>
              <w:t>0-0.2m</w:t>
            </w:r>
          </w:p>
        </w:tc>
        <w:tc>
          <w:tcPr>
            <w:tcW w:w="448" w:type="pct"/>
            <w:vMerge w:val="continue"/>
            <w:tcMar>
              <w:left w:w="0" w:type="dxa"/>
              <w:right w:w="0" w:type="dxa"/>
            </w:tcMar>
            <w:vAlign w:val="center"/>
          </w:tcPr>
          <w:p w14:paraId="291677C7">
            <w:pPr>
              <w:widowControl/>
              <w:adjustRightInd w:val="0"/>
              <w:snapToGrid w:val="0"/>
              <w:spacing w:line="240" w:lineRule="auto"/>
              <w:ind w:firstLine="0" w:firstLineChars="0"/>
              <w:jc w:val="center"/>
              <w:rPr>
                <w:sz w:val="21"/>
                <w:szCs w:val="21"/>
              </w:rPr>
            </w:pPr>
          </w:p>
        </w:tc>
      </w:tr>
      <w:tr w14:paraId="6639D4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516AD1AC">
            <w:pPr>
              <w:widowControl/>
              <w:adjustRightInd w:val="0"/>
              <w:snapToGrid w:val="0"/>
              <w:spacing w:line="240" w:lineRule="auto"/>
              <w:ind w:firstLine="0" w:firstLineChars="0"/>
              <w:jc w:val="center"/>
              <w:rPr>
                <w:sz w:val="21"/>
                <w:szCs w:val="21"/>
              </w:rPr>
            </w:pPr>
          </w:p>
        </w:tc>
        <w:tc>
          <w:tcPr>
            <w:tcW w:w="903" w:type="pct"/>
            <w:vMerge w:val="continue"/>
            <w:tcMar>
              <w:left w:w="0" w:type="dxa"/>
              <w:right w:w="0" w:type="dxa"/>
            </w:tcMar>
            <w:vAlign w:val="center"/>
          </w:tcPr>
          <w:p w14:paraId="5B67603A">
            <w:pPr>
              <w:widowControl/>
              <w:adjustRightInd w:val="0"/>
              <w:snapToGrid w:val="0"/>
              <w:spacing w:line="240" w:lineRule="auto"/>
              <w:ind w:firstLine="0" w:firstLineChars="0"/>
              <w:jc w:val="center"/>
              <w:rPr>
                <w:sz w:val="21"/>
                <w:szCs w:val="21"/>
              </w:rPr>
            </w:pPr>
          </w:p>
        </w:tc>
        <w:tc>
          <w:tcPr>
            <w:tcW w:w="780" w:type="pct"/>
            <w:gridSpan w:val="2"/>
            <w:tcMar>
              <w:left w:w="0" w:type="dxa"/>
              <w:right w:w="0" w:type="dxa"/>
            </w:tcMar>
            <w:vAlign w:val="center"/>
          </w:tcPr>
          <w:p w14:paraId="187B01D3">
            <w:pPr>
              <w:adjustRightInd w:val="0"/>
              <w:snapToGrid w:val="0"/>
              <w:spacing w:line="240" w:lineRule="auto"/>
              <w:ind w:firstLine="0" w:firstLineChars="0"/>
              <w:jc w:val="center"/>
              <w:rPr>
                <w:sz w:val="21"/>
                <w:szCs w:val="21"/>
              </w:rPr>
            </w:pPr>
            <w:r>
              <w:rPr>
                <w:rFonts w:hint="eastAsia"/>
                <w:sz w:val="21"/>
                <w:szCs w:val="21"/>
              </w:rPr>
              <w:t>柱状样</w:t>
            </w:r>
          </w:p>
        </w:tc>
        <w:tc>
          <w:tcPr>
            <w:tcW w:w="745" w:type="pct"/>
            <w:tcMar>
              <w:left w:w="0" w:type="dxa"/>
              <w:right w:w="0" w:type="dxa"/>
            </w:tcMar>
            <w:vAlign w:val="center"/>
          </w:tcPr>
          <w:p w14:paraId="26CD82E1">
            <w:pPr>
              <w:adjustRightInd w:val="0"/>
              <w:snapToGrid w:val="0"/>
              <w:spacing w:line="240" w:lineRule="auto"/>
              <w:ind w:firstLine="0" w:firstLineChars="0"/>
              <w:jc w:val="center"/>
              <w:rPr>
                <w:sz w:val="21"/>
                <w:szCs w:val="21"/>
              </w:rPr>
            </w:pPr>
            <w:r>
              <w:rPr>
                <w:sz w:val="21"/>
                <w:szCs w:val="21"/>
              </w:rPr>
              <w:t>3</w:t>
            </w:r>
          </w:p>
        </w:tc>
        <w:tc>
          <w:tcPr>
            <w:tcW w:w="745" w:type="pct"/>
            <w:tcMar>
              <w:left w:w="0" w:type="dxa"/>
              <w:right w:w="0" w:type="dxa"/>
            </w:tcMar>
            <w:vAlign w:val="center"/>
          </w:tcPr>
          <w:p w14:paraId="2CD8AD84">
            <w:pPr>
              <w:adjustRightInd w:val="0"/>
              <w:snapToGrid w:val="0"/>
              <w:spacing w:line="240" w:lineRule="auto"/>
              <w:ind w:firstLine="0" w:firstLineChars="0"/>
              <w:jc w:val="center"/>
              <w:rPr>
                <w:sz w:val="21"/>
                <w:szCs w:val="21"/>
              </w:rPr>
            </w:pPr>
            <w:r>
              <w:rPr>
                <w:sz w:val="21"/>
                <w:szCs w:val="21"/>
              </w:rPr>
              <w:t>0</w:t>
            </w:r>
          </w:p>
        </w:tc>
        <w:tc>
          <w:tcPr>
            <w:tcW w:w="1130" w:type="pct"/>
            <w:gridSpan w:val="2"/>
            <w:tcMar>
              <w:left w:w="0" w:type="dxa"/>
              <w:right w:w="0" w:type="dxa"/>
            </w:tcMar>
            <w:vAlign w:val="center"/>
          </w:tcPr>
          <w:p w14:paraId="152FCAB6">
            <w:pPr>
              <w:adjustRightInd w:val="0"/>
              <w:snapToGrid w:val="0"/>
              <w:spacing w:line="240" w:lineRule="auto"/>
              <w:ind w:firstLine="0" w:firstLineChars="0"/>
              <w:jc w:val="center"/>
              <w:rPr>
                <w:sz w:val="21"/>
                <w:szCs w:val="21"/>
              </w:rPr>
            </w:pPr>
            <w:r>
              <w:rPr>
                <w:rFonts w:hint="eastAsia"/>
                <w:sz w:val="21"/>
                <w:szCs w:val="21"/>
              </w:rPr>
              <w:t>0</w:t>
            </w:r>
            <w:r>
              <w:rPr>
                <w:sz w:val="21"/>
                <w:szCs w:val="21"/>
              </w:rPr>
              <w:t>-3</w:t>
            </w:r>
          </w:p>
        </w:tc>
        <w:tc>
          <w:tcPr>
            <w:tcW w:w="448" w:type="pct"/>
            <w:vMerge w:val="continue"/>
            <w:tcMar>
              <w:left w:w="0" w:type="dxa"/>
              <w:right w:w="0" w:type="dxa"/>
            </w:tcMar>
            <w:vAlign w:val="center"/>
          </w:tcPr>
          <w:p w14:paraId="556CD039">
            <w:pPr>
              <w:widowControl/>
              <w:adjustRightInd w:val="0"/>
              <w:snapToGrid w:val="0"/>
              <w:spacing w:line="240" w:lineRule="auto"/>
              <w:ind w:firstLine="0" w:firstLineChars="0"/>
              <w:jc w:val="center"/>
              <w:rPr>
                <w:sz w:val="21"/>
                <w:szCs w:val="21"/>
              </w:rPr>
            </w:pPr>
          </w:p>
        </w:tc>
      </w:tr>
      <w:tr w14:paraId="584D89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35413F82">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37AD0618">
            <w:pPr>
              <w:adjustRightInd w:val="0"/>
              <w:snapToGrid w:val="0"/>
              <w:spacing w:line="240" w:lineRule="auto"/>
              <w:ind w:firstLine="0" w:firstLineChars="0"/>
              <w:jc w:val="center"/>
              <w:rPr>
                <w:sz w:val="21"/>
                <w:szCs w:val="21"/>
              </w:rPr>
            </w:pPr>
            <w:r>
              <w:rPr>
                <w:sz w:val="21"/>
                <w:szCs w:val="21"/>
              </w:rPr>
              <w:t>现状监测因子</w:t>
            </w:r>
          </w:p>
        </w:tc>
        <w:tc>
          <w:tcPr>
            <w:tcW w:w="3400" w:type="pct"/>
            <w:gridSpan w:val="6"/>
            <w:tcMar>
              <w:left w:w="0" w:type="dxa"/>
              <w:right w:w="0" w:type="dxa"/>
            </w:tcMar>
            <w:vAlign w:val="center"/>
          </w:tcPr>
          <w:p w14:paraId="60ED685C">
            <w:pPr>
              <w:adjustRightInd w:val="0"/>
              <w:snapToGrid w:val="0"/>
              <w:spacing w:line="240" w:lineRule="auto"/>
              <w:ind w:firstLine="0" w:firstLineChars="0"/>
              <w:jc w:val="center"/>
              <w:rPr>
                <w:sz w:val="21"/>
                <w:szCs w:val="21"/>
              </w:rPr>
            </w:pPr>
            <w:r>
              <w:rPr>
                <w:sz w:val="21"/>
                <w:szCs w:val="21"/>
              </w:rPr>
              <w:t>GB36600中表1基本45项</w:t>
            </w:r>
          </w:p>
        </w:tc>
        <w:tc>
          <w:tcPr>
            <w:tcW w:w="448" w:type="pct"/>
            <w:tcMar>
              <w:left w:w="0" w:type="dxa"/>
              <w:right w:w="0" w:type="dxa"/>
            </w:tcMar>
            <w:vAlign w:val="center"/>
          </w:tcPr>
          <w:p w14:paraId="2A1319FC">
            <w:pPr>
              <w:adjustRightInd w:val="0"/>
              <w:snapToGrid w:val="0"/>
              <w:spacing w:line="240" w:lineRule="auto"/>
              <w:ind w:firstLine="0" w:firstLineChars="0"/>
              <w:jc w:val="center"/>
              <w:rPr>
                <w:sz w:val="21"/>
                <w:szCs w:val="21"/>
              </w:rPr>
            </w:pPr>
          </w:p>
        </w:tc>
      </w:tr>
      <w:tr w14:paraId="5B1DAF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0" w:hRule="atLeast"/>
          <w:jc w:val="center"/>
        </w:trPr>
        <w:tc>
          <w:tcPr>
            <w:tcW w:w="249" w:type="pct"/>
            <w:vMerge w:val="restart"/>
            <w:tcMar>
              <w:left w:w="0" w:type="dxa"/>
              <w:right w:w="0" w:type="dxa"/>
            </w:tcMar>
            <w:vAlign w:val="center"/>
          </w:tcPr>
          <w:p w14:paraId="32279CA5">
            <w:pPr>
              <w:adjustRightInd w:val="0"/>
              <w:snapToGrid w:val="0"/>
              <w:spacing w:line="240" w:lineRule="auto"/>
              <w:ind w:firstLine="0" w:firstLineChars="0"/>
              <w:jc w:val="center"/>
              <w:rPr>
                <w:sz w:val="21"/>
                <w:szCs w:val="21"/>
              </w:rPr>
            </w:pPr>
            <w:r>
              <w:rPr>
                <w:sz w:val="21"/>
                <w:szCs w:val="21"/>
              </w:rPr>
              <w:t>现状评价</w:t>
            </w:r>
          </w:p>
        </w:tc>
        <w:tc>
          <w:tcPr>
            <w:tcW w:w="903" w:type="pct"/>
            <w:tcMar>
              <w:left w:w="0" w:type="dxa"/>
              <w:right w:w="0" w:type="dxa"/>
            </w:tcMar>
            <w:vAlign w:val="center"/>
          </w:tcPr>
          <w:p w14:paraId="13819972">
            <w:pPr>
              <w:adjustRightInd w:val="0"/>
              <w:snapToGrid w:val="0"/>
              <w:spacing w:line="240" w:lineRule="auto"/>
              <w:ind w:firstLine="0" w:firstLineChars="0"/>
              <w:jc w:val="center"/>
              <w:rPr>
                <w:sz w:val="21"/>
                <w:szCs w:val="21"/>
              </w:rPr>
            </w:pPr>
            <w:r>
              <w:rPr>
                <w:sz w:val="21"/>
                <w:szCs w:val="21"/>
              </w:rPr>
              <w:t>评价因子</w:t>
            </w:r>
          </w:p>
        </w:tc>
        <w:tc>
          <w:tcPr>
            <w:tcW w:w="3400" w:type="pct"/>
            <w:gridSpan w:val="6"/>
            <w:tcMar>
              <w:left w:w="0" w:type="dxa"/>
              <w:right w:w="0" w:type="dxa"/>
            </w:tcMar>
            <w:vAlign w:val="center"/>
          </w:tcPr>
          <w:p w14:paraId="099D80A1">
            <w:pPr>
              <w:adjustRightInd w:val="0"/>
              <w:snapToGrid w:val="0"/>
              <w:spacing w:line="240" w:lineRule="auto"/>
              <w:ind w:firstLine="0" w:firstLineChars="0"/>
              <w:jc w:val="center"/>
              <w:rPr>
                <w:sz w:val="21"/>
                <w:szCs w:val="21"/>
              </w:rPr>
            </w:pPr>
            <w:r>
              <w:rPr>
                <w:sz w:val="21"/>
                <w:szCs w:val="21"/>
              </w:rPr>
              <w:t>GB36600中表1基本45项</w:t>
            </w:r>
          </w:p>
        </w:tc>
        <w:tc>
          <w:tcPr>
            <w:tcW w:w="448" w:type="pct"/>
            <w:tcMar>
              <w:left w:w="0" w:type="dxa"/>
              <w:right w:w="0" w:type="dxa"/>
            </w:tcMar>
            <w:vAlign w:val="center"/>
          </w:tcPr>
          <w:p w14:paraId="317D8FDF">
            <w:pPr>
              <w:adjustRightInd w:val="0"/>
              <w:snapToGrid w:val="0"/>
              <w:spacing w:line="240" w:lineRule="auto"/>
              <w:ind w:firstLine="0" w:firstLineChars="0"/>
              <w:jc w:val="center"/>
              <w:rPr>
                <w:sz w:val="21"/>
                <w:szCs w:val="21"/>
              </w:rPr>
            </w:pPr>
          </w:p>
        </w:tc>
      </w:tr>
      <w:tr w14:paraId="71FD30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0C68B49D">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39566A8E">
            <w:pPr>
              <w:adjustRightInd w:val="0"/>
              <w:snapToGrid w:val="0"/>
              <w:spacing w:line="240" w:lineRule="auto"/>
              <w:ind w:firstLine="0" w:firstLineChars="0"/>
              <w:jc w:val="center"/>
              <w:rPr>
                <w:sz w:val="21"/>
                <w:szCs w:val="21"/>
              </w:rPr>
            </w:pPr>
            <w:r>
              <w:rPr>
                <w:sz w:val="21"/>
                <w:szCs w:val="21"/>
              </w:rPr>
              <w:t>评价标准</w:t>
            </w:r>
          </w:p>
        </w:tc>
        <w:tc>
          <w:tcPr>
            <w:tcW w:w="3400" w:type="pct"/>
            <w:gridSpan w:val="6"/>
            <w:tcMar>
              <w:left w:w="0" w:type="dxa"/>
              <w:right w:w="0" w:type="dxa"/>
            </w:tcMar>
            <w:vAlign w:val="center"/>
          </w:tcPr>
          <w:p w14:paraId="1D4DD3C4">
            <w:pPr>
              <w:adjustRightInd w:val="0"/>
              <w:snapToGrid w:val="0"/>
              <w:spacing w:line="240" w:lineRule="auto"/>
              <w:ind w:firstLine="0" w:firstLineChars="0"/>
              <w:jc w:val="center"/>
              <w:rPr>
                <w:sz w:val="21"/>
                <w:szCs w:val="21"/>
              </w:rPr>
            </w:pPr>
            <w:r>
              <w:rPr>
                <w:sz w:val="21"/>
                <w:szCs w:val="21"/>
              </w:rPr>
              <w:t>GB15618</w:t>
            </w:r>
            <w:r>
              <w:rPr>
                <w:rFonts w:hint="eastAsia"/>
                <w:sz w:val="21"/>
                <w:szCs w:val="21"/>
              </w:rPr>
              <w:t>□</w:t>
            </w:r>
            <w:r>
              <w:rPr>
                <w:sz w:val="21"/>
                <w:szCs w:val="21"/>
              </w:rPr>
              <w:t>；GB36600</w:t>
            </w:r>
            <w:r>
              <w:rPr>
                <w:rFonts w:ascii="Segoe UI Emoji" w:hAnsi="Segoe UI Emoji" w:cs="Segoe UI Emoji"/>
                <w:sz w:val="21"/>
                <w:szCs w:val="21"/>
              </w:rPr>
              <w:t>☑</w:t>
            </w:r>
            <w:r>
              <w:rPr>
                <w:sz w:val="21"/>
                <w:szCs w:val="21"/>
              </w:rPr>
              <w:t>；表D.1</w:t>
            </w:r>
            <w:r>
              <w:rPr>
                <w:rFonts w:hint="eastAsia"/>
                <w:sz w:val="21"/>
                <w:szCs w:val="21"/>
              </w:rPr>
              <w:t>□</w:t>
            </w:r>
            <w:r>
              <w:rPr>
                <w:sz w:val="21"/>
                <w:szCs w:val="21"/>
              </w:rPr>
              <w:t>；表D.2</w:t>
            </w:r>
            <w:r>
              <w:rPr>
                <w:rFonts w:ascii="Segoe UI Emoji" w:hAnsi="Segoe UI Emoji" w:cs="Segoe UI Emoji"/>
                <w:sz w:val="21"/>
                <w:szCs w:val="21"/>
              </w:rPr>
              <w:t>☑</w:t>
            </w:r>
            <w:r>
              <w:rPr>
                <w:sz w:val="21"/>
                <w:szCs w:val="21"/>
              </w:rPr>
              <w:t>；其他（）</w:t>
            </w:r>
          </w:p>
        </w:tc>
        <w:tc>
          <w:tcPr>
            <w:tcW w:w="448" w:type="pct"/>
            <w:tcMar>
              <w:left w:w="0" w:type="dxa"/>
              <w:right w:w="0" w:type="dxa"/>
            </w:tcMar>
            <w:vAlign w:val="center"/>
          </w:tcPr>
          <w:p w14:paraId="35BBAB7C">
            <w:pPr>
              <w:adjustRightInd w:val="0"/>
              <w:snapToGrid w:val="0"/>
              <w:spacing w:line="240" w:lineRule="auto"/>
              <w:ind w:firstLine="0" w:firstLineChars="0"/>
              <w:jc w:val="center"/>
              <w:rPr>
                <w:sz w:val="21"/>
                <w:szCs w:val="21"/>
              </w:rPr>
            </w:pPr>
          </w:p>
        </w:tc>
      </w:tr>
      <w:tr w14:paraId="2855C7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3545FE9D">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1509BDDD">
            <w:pPr>
              <w:adjustRightInd w:val="0"/>
              <w:snapToGrid w:val="0"/>
              <w:spacing w:line="240" w:lineRule="auto"/>
              <w:ind w:firstLine="0" w:firstLineChars="0"/>
              <w:jc w:val="center"/>
              <w:rPr>
                <w:sz w:val="21"/>
                <w:szCs w:val="21"/>
              </w:rPr>
            </w:pPr>
            <w:r>
              <w:rPr>
                <w:sz w:val="21"/>
                <w:szCs w:val="21"/>
              </w:rPr>
              <w:t>现状评价结论</w:t>
            </w:r>
          </w:p>
        </w:tc>
        <w:tc>
          <w:tcPr>
            <w:tcW w:w="3400" w:type="pct"/>
            <w:gridSpan w:val="6"/>
            <w:tcMar>
              <w:left w:w="0" w:type="dxa"/>
              <w:right w:w="0" w:type="dxa"/>
            </w:tcMar>
            <w:vAlign w:val="center"/>
          </w:tcPr>
          <w:p w14:paraId="2DF47175">
            <w:pPr>
              <w:adjustRightInd w:val="0"/>
              <w:snapToGrid w:val="0"/>
              <w:spacing w:line="240" w:lineRule="auto"/>
              <w:ind w:firstLine="0" w:firstLineChars="0"/>
              <w:jc w:val="center"/>
              <w:rPr>
                <w:sz w:val="21"/>
                <w:szCs w:val="21"/>
              </w:rPr>
            </w:pPr>
            <w:r>
              <w:rPr>
                <w:sz w:val="21"/>
                <w:szCs w:val="21"/>
              </w:rPr>
              <w:t>项目区土壤满足《土壤环境质量 建设用地土壤污染风险管控标准（试行）》（GB36600-2018）中筛选值第二类标准限值。</w:t>
            </w:r>
          </w:p>
        </w:tc>
        <w:tc>
          <w:tcPr>
            <w:tcW w:w="448" w:type="pct"/>
            <w:tcMar>
              <w:left w:w="0" w:type="dxa"/>
              <w:right w:w="0" w:type="dxa"/>
            </w:tcMar>
            <w:vAlign w:val="center"/>
          </w:tcPr>
          <w:p w14:paraId="19507D30">
            <w:pPr>
              <w:adjustRightInd w:val="0"/>
              <w:snapToGrid w:val="0"/>
              <w:spacing w:line="240" w:lineRule="auto"/>
              <w:ind w:firstLine="0" w:firstLineChars="0"/>
              <w:jc w:val="center"/>
              <w:rPr>
                <w:sz w:val="21"/>
                <w:szCs w:val="21"/>
              </w:rPr>
            </w:pPr>
          </w:p>
        </w:tc>
      </w:tr>
      <w:tr w14:paraId="5D2EC6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restart"/>
            <w:tcMar>
              <w:left w:w="0" w:type="dxa"/>
              <w:right w:w="0" w:type="dxa"/>
            </w:tcMar>
            <w:vAlign w:val="center"/>
          </w:tcPr>
          <w:p w14:paraId="5D38C126">
            <w:pPr>
              <w:adjustRightInd w:val="0"/>
              <w:snapToGrid w:val="0"/>
              <w:spacing w:line="240" w:lineRule="auto"/>
              <w:ind w:firstLine="0" w:firstLineChars="0"/>
              <w:jc w:val="center"/>
              <w:rPr>
                <w:sz w:val="21"/>
                <w:szCs w:val="21"/>
              </w:rPr>
            </w:pPr>
            <w:r>
              <w:rPr>
                <w:sz w:val="21"/>
                <w:szCs w:val="21"/>
              </w:rPr>
              <w:t>影响预测</w:t>
            </w:r>
          </w:p>
        </w:tc>
        <w:tc>
          <w:tcPr>
            <w:tcW w:w="903" w:type="pct"/>
            <w:tcMar>
              <w:left w:w="0" w:type="dxa"/>
              <w:right w:w="0" w:type="dxa"/>
            </w:tcMar>
            <w:vAlign w:val="center"/>
          </w:tcPr>
          <w:p w14:paraId="3BF163B8">
            <w:pPr>
              <w:adjustRightInd w:val="0"/>
              <w:snapToGrid w:val="0"/>
              <w:spacing w:line="240" w:lineRule="auto"/>
              <w:ind w:firstLine="0" w:firstLineChars="0"/>
              <w:jc w:val="center"/>
              <w:rPr>
                <w:sz w:val="21"/>
                <w:szCs w:val="21"/>
              </w:rPr>
            </w:pPr>
            <w:r>
              <w:rPr>
                <w:sz w:val="21"/>
                <w:szCs w:val="21"/>
              </w:rPr>
              <w:t>预测因子</w:t>
            </w:r>
          </w:p>
        </w:tc>
        <w:tc>
          <w:tcPr>
            <w:tcW w:w="3400" w:type="pct"/>
            <w:gridSpan w:val="6"/>
            <w:tcMar>
              <w:left w:w="0" w:type="dxa"/>
              <w:right w:w="0" w:type="dxa"/>
            </w:tcMar>
            <w:vAlign w:val="center"/>
          </w:tcPr>
          <w:p w14:paraId="4C7BC2F8">
            <w:pPr>
              <w:adjustRightInd w:val="0"/>
              <w:snapToGrid w:val="0"/>
              <w:spacing w:line="240" w:lineRule="auto"/>
              <w:ind w:firstLine="0" w:firstLineChars="0"/>
              <w:jc w:val="center"/>
              <w:rPr>
                <w:sz w:val="21"/>
                <w:szCs w:val="21"/>
              </w:rPr>
            </w:pPr>
            <w:r>
              <w:rPr>
                <w:rFonts w:hint="eastAsia"/>
                <w:sz w:val="21"/>
                <w:szCs w:val="21"/>
              </w:rPr>
              <w:t>石油烃</w:t>
            </w:r>
          </w:p>
        </w:tc>
        <w:tc>
          <w:tcPr>
            <w:tcW w:w="448" w:type="pct"/>
            <w:tcMar>
              <w:left w:w="0" w:type="dxa"/>
              <w:right w:w="0" w:type="dxa"/>
            </w:tcMar>
            <w:vAlign w:val="center"/>
          </w:tcPr>
          <w:p w14:paraId="530E7260">
            <w:pPr>
              <w:adjustRightInd w:val="0"/>
              <w:snapToGrid w:val="0"/>
              <w:spacing w:line="240" w:lineRule="auto"/>
              <w:ind w:firstLine="0" w:firstLineChars="0"/>
              <w:jc w:val="center"/>
              <w:rPr>
                <w:sz w:val="21"/>
                <w:szCs w:val="21"/>
              </w:rPr>
            </w:pPr>
          </w:p>
        </w:tc>
      </w:tr>
      <w:tr w14:paraId="6E5A05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05782B85">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2B505601">
            <w:pPr>
              <w:adjustRightInd w:val="0"/>
              <w:snapToGrid w:val="0"/>
              <w:spacing w:line="240" w:lineRule="auto"/>
              <w:ind w:firstLine="0" w:firstLineChars="0"/>
              <w:jc w:val="center"/>
              <w:rPr>
                <w:sz w:val="21"/>
                <w:szCs w:val="21"/>
              </w:rPr>
            </w:pPr>
            <w:r>
              <w:rPr>
                <w:sz w:val="21"/>
                <w:szCs w:val="21"/>
              </w:rPr>
              <w:t>预测方法</w:t>
            </w:r>
          </w:p>
        </w:tc>
        <w:tc>
          <w:tcPr>
            <w:tcW w:w="3400" w:type="pct"/>
            <w:gridSpan w:val="6"/>
            <w:tcMar>
              <w:left w:w="0" w:type="dxa"/>
              <w:right w:w="0" w:type="dxa"/>
            </w:tcMar>
            <w:vAlign w:val="center"/>
          </w:tcPr>
          <w:p w14:paraId="3DBAB18E">
            <w:pPr>
              <w:adjustRightInd w:val="0"/>
              <w:snapToGrid w:val="0"/>
              <w:spacing w:line="240" w:lineRule="auto"/>
              <w:ind w:firstLine="0" w:firstLineChars="0"/>
              <w:jc w:val="center"/>
              <w:rPr>
                <w:sz w:val="21"/>
                <w:szCs w:val="21"/>
              </w:rPr>
            </w:pPr>
            <w:r>
              <w:rPr>
                <w:sz w:val="21"/>
                <w:szCs w:val="21"/>
              </w:rPr>
              <w:t>附录E</w:t>
            </w:r>
            <w:r>
              <w:rPr>
                <w:rFonts w:ascii="Segoe UI Emoji" w:hAnsi="Segoe UI Emoji" w:cs="Segoe UI Emoji"/>
                <w:sz w:val="21"/>
                <w:szCs w:val="21"/>
              </w:rPr>
              <w:t>☑</w:t>
            </w:r>
            <w:r>
              <w:rPr>
                <w:sz w:val="21"/>
                <w:szCs w:val="21"/>
              </w:rPr>
              <w:t>；附录F</w:t>
            </w:r>
            <w:r>
              <w:rPr>
                <w:rFonts w:hint="eastAsia"/>
                <w:sz w:val="21"/>
                <w:szCs w:val="21"/>
              </w:rPr>
              <w:t>□</w:t>
            </w:r>
            <w:r>
              <w:rPr>
                <w:sz w:val="21"/>
                <w:szCs w:val="21"/>
              </w:rPr>
              <w:t>；其他</w:t>
            </w:r>
            <w:r>
              <w:rPr>
                <w:rFonts w:hint="eastAsia"/>
                <w:sz w:val="21"/>
                <w:szCs w:val="21"/>
              </w:rPr>
              <w:t>□</w:t>
            </w:r>
          </w:p>
        </w:tc>
        <w:tc>
          <w:tcPr>
            <w:tcW w:w="448" w:type="pct"/>
            <w:tcMar>
              <w:left w:w="0" w:type="dxa"/>
              <w:right w:w="0" w:type="dxa"/>
            </w:tcMar>
            <w:vAlign w:val="center"/>
          </w:tcPr>
          <w:p w14:paraId="72322F45">
            <w:pPr>
              <w:adjustRightInd w:val="0"/>
              <w:snapToGrid w:val="0"/>
              <w:spacing w:line="240" w:lineRule="auto"/>
              <w:ind w:firstLine="0" w:firstLineChars="0"/>
              <w:jc w:val="center"/>
              <w:rPr>
                <w:sz w:val="21"/>
                <w:szCs w:val="21"/>
              </w:rPr>
            </w:pPr>
          </w:p>
        </w:tc>
      </w:tr>
      <w:tr w14:paraId="4E8B38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61F954BE">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37267313">
            <w:pPr>
              <w:adjustRightInd w:val="0"/>
              <w:snapToGrid w:val="0"/>
              <w:spacing w:line="240" w:lineRule="auto"/>
              <w:ind w:firstLine="0" w:firstLineChars="0"/>
              <w:jc w:val="center"/>
              <w:rPr>
                <w:sz w:val="21"/>
                <w:szCs w:val="21"/>
              </w:rPr>
            </w:pPr>
            <w:r>
              <w:rPr>
                <w:sz w:val="21"/>
                <w:szCs w:val="21"/>
              </w:rPr>
              <w:t>预测分析内容</w:t>
            </w:r>
          </w:p>
        </w:tc>
        <w:tc>
          <w:tcPr>
            <w:tcW w:w="3400" w:type="pct"/>
            <w:gridSpan w:val="6"/>
            <w:tcMar>
              <w:left w:w="0" w:type="dxa"/>
              <w:right w:w="0" w:type="dxa"/>
            </w:tcMar>
            <w:vAlign w:val="center"/>
          </w:tcPr>
          <w:p w14:paraId="018AE004">
            <w:pPr>
              <w:adjustRightInd w:val="0"/>
              <w:snapToGrid w:val="0"/>
              <w:spacing w:line="240" w:lineRule="auto"/>
              <w:ind w:firstLine="0" w:firstLineChars="0"/>
              <w:jc w:val="center"/>
              <w:rPr>
                <w:sz w:val="21"/>
                <w:szCs w:val="21"/>
              </w:rPr>
            </w:pPr>
            <w:r>
              <w:rPr>
                <w:sz w:val="21"/>
                <w:szCs w:val="21"/>
              </w:rPr>
              <w:t>影响范围（</w:t>
            </w:r>
            <w:r>
              <w:rPr>
                <w:rFonts w:hint="eastAsia"/>
                <w:sz w:val="21"/>
                <w:szCs w:val="21"/>
              </w:rPr>
              <w:t>评价范围</w:t>
            </w:r>
            <w:r>
              <w:rPr>
                <w:sz w:val="21"/>
                <w:szCs w:val="21"/>
              </w:rPr>
              <w:t>）</w:t>
            </w:r>
          </w:p>
          <w:p w14:paraId="686467E7">
            <w:pPr>
              <w:adjustRightInd w:val="0"/>
              <w:snapToGrid w:val="0"/>
              <w:spacing w:line="240" w:lineRule="auto"/>
              <w:ind w:firstLine="0" w:firstLineChars="0"/>
              <w:jc w:val="center"/>
              <w:rPr>
                <w:sz w:val="21"/>
                <w:szCs w:val="21"/>
              </w:rPr>
            </w:pPr>
            <w:r>
              <w:rPr>
                <w:sz w:val="21"/>
                <w:szCs w:val="21"/>
              </w:rPr>
              <w:t>影响程度（</w:t>
            </w:r>
            <w:r>
              <w:rPr>
                <w:rFonts w:hint="eastAsia"/>
                <w:sz w:val="21"/>
                <w:szCs w:val="21"/>
              </w:rPr>
              <w:t>5</w:t>
            </w:r>
            <w:r>
              <w:rPr>
                <w:sz w:val="21"/>
                <w:szCs w:val="21"/>
              </w:rPr>
              <w:t>9</w:t>
            </w:r>
            <w:r>
              <w:rPr>
                <w:rFonts w:hint="eastAsia"/>
                <w:sz w:val="21"/>
                <w:szCs w:val="21"/>
              </w:rPr>
              <w:t>mg</w:t>
            </w:r>
            <w:r>
              <w:rPr>
                <w:sz w:val="21"/>
                <w:szCs w:val="21"/>
              </w:rPr>
              <w:t>/</w:t>
            </w:r>
            <w:r>
              <w:rPr>
                <w:rFonts w:hint="eastAsia"/>
                <w:sz w:val="21"/>
                <w:szCs w:val="21"/>
              </w:rPr>
              <w:t>kg</w:t>
            </w:r>
            <w:r>
              <w:rPr>
                <w:sz w:val="21"/>
                <w:szCs w:val="21"/>
              </w:rPr>
              <w:t>）</w:t>
            </w:r>
          </w:p>
        </w:tc>
        <w:tc>
          <w:tcPr>
            <w:tcW w:w="448" w:type="pct"/>
            <w:tcMar>
              <w:left w:w="0" w:type="dxa"/>
              <w:right w:w="0" w:type="dxa"/>
            </w:tcMar>
            <w:vAlign w:val="center"/>
          </w:tcPr>
          <w:p w14:paraId="0E12A56A">
            <w:pPr>
              <w:adjustRightInd w:val="0"/>
              <w:snapToGrid w:val="0"/>
              <w:spacing w:line="240" w:lineRule="auto"/>
              <w:ind w:firstLine="0" w:firstLineChars="0"/>
              <w:jc w:val="center"/>
              <w:rPr>
                <w:sz w:val="21"/>
                <w:szCs w:val="21"/>
              </w:rPr>
            </w:pPr>
          </w:p>
        </w:tc>
      </w:tr>
      <w:tr w14:paraId="6D4E71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4D0518E5">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68791F10">
            <w:pPr>
              <w:adjustRightInd w:val="0"/>
              <w:snapToGrid w:val="0"/>
              <w:spacing w:line="240" w:lineRule="auto"/>
              <w:ind w:firstLine="0" w:firstLineChars="0"/>
              <w:jc w:val="center"/>
              <w:rPr>
                <w:sz w:val="21"/>
                <w:szCs w:val="21"/>
              </w:rPr>
            </w:pPr>
            <w:r>
              <w:rPr>
                <w:sz w:val="21"/>
                <w:szCs w:val="21"/>
              </w:rPr>
              <w:t>预测结论</w:t>
            </w:r>
          </w:p>
        </w:tc>
        <w:tc>
          <w:tcPr>
            <w:tcW w:w="3400" w:type="pct"/>
            <w:gridSpan w:val="6"/>
            <w:tcMar>
              <w:left w:w="0" w:type="dxa"/>
              <w:right w:w="0" w:type="dxa"/>
            </w:tcMar>
            <w:vAlign w:val="center"/>
          </w:tcPr>
          <w:p w14:paraId="35C6411D">
            <w:pPr>
              <w:adjustRightInd w:val="0"/>
              <w:snapToGrid w:val="0"/>
              <w:spacing w:line="240" w:lineRule="auto"/>
              <w:ind w:firstLine="0" w:firstLineChars="0"/>
              <w:jc w:val="center"/>
              <w:rPr>
                <w:sz w:val="21"/>
                <w:szCs w:val="21"/>
              </w:rPr>
            </w:pPr>
            <w:r>
              <w:rPr>
                <w:sz w:val="21"/>
                <w:szCs w:val="21"/>
              </w:rPr>
              <w:t>达标结论：a）</w:t>
            </w:r>
            <w:r>
              <w:rPr>
                <w:rFonts w:ascii="Segoe UI Emoji" w:hAnsi="Segoe UI Emoji" w:cs="Segoe UI Emoji"/>
                <w:sz w:val="21"/>
                <w:szCs w:val="21"/>
              </w:rPr>
              <w:t>☑</w:t>
            </w:r>
            <w:r>
              <w:rPr>
                <w:sz w:val="21"/>
                <w:szCs w:val="21"/>
              </w:rPr>
              <w:t>；b）</w:t>
            </w:r>
            <w:r>
              <w:rPr>
                <w:rFonts w:ascii="Segoe UI Emoji" w:hAnsi="Segoe UI Emoji" w:cs="Segoe UI Emoji"/>
                <w:sz w:val="21"/>
                <w:szCs w:val="21"/>
              </w:rPr>
              <w:t>☑</w:t>
            </w:r>
            <w:r>
              <w:rPr>
                <w:sz w:val="21"/>
                <w:szCs w:val="21"/>
              </w:rPr>
              <w:t>；c）</w:t>
            </w:r>
            <w:r>
              <w:rPr>
                <w:rFonts w:ascii="Segoe UI Emoji" w:hAnsi="Segoe UI Emoji" w:cs="Segoe UI Emoji"/>
                <w:sz w:val="21"/>
                <w:szCs w:val="21"/>
              </w:rPr>
              <w:t>☑</w:t>
            </w:r>
          </w:p>
          <w:p w14:paraId="03503403">
            <w:pPr>
              <w:adjustRightInd w:val="0"/>
              <w:snapToGrid w:val="0"/>
              <w:spacing w:line="240" w:lineRule="auto"/>
              <w:ind w:firstLine="0" w:firstLineChars="0"/>
              <w:jc w:val="center"/>
              <w:rPr>
                <w:sz w:val="21"/>
                <w:szCs w:val="21"/>
              </w:rPr>
            </w:pPr>
            <w:r>
              <w:rPr>
                <w:sz w:val="21"/>
                <w:szCs w:val="21"/>
              </w:rPr>
              <w:t>不达标结论：a）</w:t>
            </w:r>
            <w:r>
              <w:rPr>
                <w:rFonts w:hint="eastAsia"/>
                <w:sz w:val="21"/>
                <w:szCs w:val="21"/>
              </w:rPr>
              <w:t>□</w:t>
            </w:r>
            <w:r>
              <w:rPr>
                <w:sz w:val="21"/>
                <w:szCs w:val="21"/>
              </w:rPr>
              <w:t>；b）</w:t>
            </w:r>
            <w:r>
              <w:rPr>
                <w:rFonts w:hint="eastAsia"/>
                <w:sz w:val="21"/>
                <w:szCs w:val="21"/>
              </w:rPr>
              <w:t>□</w:t>
            </w:r>
          </w:p>
        </w:tc>
        <w:tc>
          <w:tcPr>
            <w:tcW w:w="448" w:type="pct"/>
            <w:tcMar>
              <w:left w:w="0" w:type="dxa"/>
              <w:right w:w="0" w:type="dxa"/>
            </w:tcMar>
            <w:vAlign w:val="center"/>
          </w:tcPr>
          <w:p w14:paraId="60A344A7">
            <w:pPr>
              <w:adjustRightInd w:val="0"/>
              <w:snapToGrid w:val="0"/>
              <w:spacing w:line="240" w:lineRule="auto"/>
              <w:ind w:firstLine="0" w:firstLineChars="0"/>
              <w:jc w:val="center"/>
              <w:rPr>
                <w:sz w:val="21"/>
                <w:szCs w:val="21"/>
              </w:rPr>
            </w:pPr>
          </w:p>
        </w:tc>
      </w:tr>
      <w:tr w14:paraId="2C65E9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restart"/>
            <w:tcMar>
              <w:left w:w="0" w:type="dxa"/>
              <w:right w:w="0" w:type="dxa"/>
            </w:tcMar>
            <w:vAlign w:val="center"/>
          </w:tcPr>
          <w:p w14:paraId="3021FD7C">
            <w:pPr>
              <w:adjustRightInd w:val="0"/>
              <w:snapToGrid w:val="0"/>
              <w:spacing w:line="240" w:lineRule="auto"/>
              <w:ind w:firstLine="0" w:firstLineChars="0"/>
              <w:jc w:val="center"/>
              <w:rPr>
                <w:sz w:val="21"/>
                <w:szCs w:val="21"/>
              </w:rPr>
            </w:pPr>
            <w:r>
              <w:rPr>
                <w:sz w:val="21"/>
                <w:szCs w:val="21"/>
              </w:rPr>
              <w:t>防治措施</w:t>
            </w:r>
          </w:p>
        </w:tc>
        <w:tc>
          <w:tcPr>
            <w:tcW w:w="903" w:type="pct"/>
            <w:tcMar>
              <w:left w:w="0" w:type="dxa"/>
              <w:right w:w="0" w:type="dxa"/>
            </w:tcMar>
            <w:vAlign w:val="center"/>
          </w:tcPr>
          <w:p w14:paraId="4659A182">
            <w:pPr>
              <w:adjustRightInd w:val="0"/>
              <w:snapToGrid w:val="0"/>
              <w:spacing w:line="240" w:lineRule="auto"/>
              <w:ind w:firstLine="0" w:firstLineChars="0"/>
              <w:jc w:val="center"/>
              <w:rPr>
                <w:sz w:val="21"/>
                <w:szCs w:val="21"/>
              </w:rPr>
            </w:pPr>
            <w:r>
              <w:rPr>
                <w:sz w:val="21"/>
                <w:szCs w:val="21"/>
              </w:rPr>
              <w:t>防控措施</w:t>
            </w:r>
          </w:p>
        </w:tc>
        <w:tc>
          <w:tcPr>
            <w:tcW w:w="3400" w:type="pct"/>
            <w:gridSpan w:val="6"/>
            <w:tcMar>
              <w:left w:w="0" w:type="dxa"/>
              <w:right w:w="0" w:type="dxa"/>
            </w:tcMar>
            <w:vAlign w:val="center"/>
          </w:tcPr>
          <w:p w14:paraId="504F5EA6">
            <w:pPr>
              <w:adjustRightInd w:val="0"/>
              <w:snapToGrid w:val="0"/>
              <w:spacing w:line="240" w:lineRule="auto"/>
              <w:ind w:firstLine="0" w:firstLineChars="0"/>
              <w:jc w:val="center"/>
              <w:rPr>
                <w:sz w:val="21"/>
                <w:szCs w:val="21"/>
              </w:rPr>
            </w:pPr>
            <w:r>
              <w:rPr>
                <w:sz w:val="21"/>
                <w:szCs w:val="21"/>
              </w:rPr>
              <w:t>土壤环境质量现状保障</w:t>
            </w:r>
            <w:r>
              <w:rPr>
                <w:rFonts w:hint="eastAsia"/>
                <w:sz w:val="21"/>
                <w:szCs w:val="21"/>
              </w:rPr>
              <w:t>□</w:t>
            </w:r>
            <w:r>
              <w:rPr>
                <w:sz w:val="21"/>
                <w:szCs w:val="21"/>
              </w:rPr>
              <w:t>；源头控制</w:t>
            </w:r>
            <w:r>
              <w:rPr>
                <w:rFonts w:ascii="Segoe UI Emoji" w:hAnsi="Segoe UI Emoji" w:cs="Segoe UI Emoji"/>
                <w:sz w:val="21"/>
                <w:szCs w:val="21"/>
              </w:rPr>
              <w:t>☑</w:t>
            </w:r>
            <w:r>
              <w:rPr>
                <w:sz w:val="21"/>
                <w:szCs w:val="21"/>
              </w:rPr>
              <w:t>；过程防控</w:t>
            </w:r>
            <w:r>
              <w:rPr>
                <w:rFonts w:ascii="Segoe UI Emoji" w:hAnsi="Segoe UI Emoji" w:cs="Segoe UI Emoji"/>
                <w:sz w:val="21"/>
                <w:szCs w:val="21"/>
              </w:rPr>
              <w:t>☑</w:t>
            </w:r>
            <w:r>
              <w:rPr>
                <w:sz w:val="21"/>
                <w:szCs w:val="21"/>
              </w:rPr>
              <w:t>；其他（）</w:t>
            </w:r>
          </w:p>
        </w:tc>
        <w:tc>
          <w:tcPr>
            <w:tcW w:w="448" w:type="pct"/>
            <w:tcMar>
              <w:left w:w="0" w:type="dxa"/>
              <w:right w:w="0" w:type="dxa"/>
            </w:tcMar>
            <w:vAlign w:val="center"/>
          </w:tcPr>
          <w:p w14:paraId="24294371">
            <w:pPr>
              <w:adjustRightInd w:val="0"/>
              <w:snapToGrid w:val="0"/>
              <w:spacing w:line="240" w:lineRule="auto"/>
              <w:ind w:firstLine="0" w:firstLineChars="0"/>
              <w:jc w:val="center"/>
              <w:rPr>
                <w:sz w:val="21"/>
                <w:szCs w:val="21"/>
              </w:rPr>
            </w:pPr>
          </w:p>
        </w:tc>
      </w:tr>
      <w:tr w14:paraId="6DD307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4AF5E65A">
            <w:pPr>
              <w:widowControl/>
              <w:adjustRightInd w:val="0"/>
              <w:snapToGrid w:val="0"/>
              <w:spacing w:line="240" w:lineRule="auto"/>
              <w:ind w:firstLine="0" w:firstLineChars="0"/>
              <w:jc w:val="center"/>
              <w:rPr>
                <w:sz w:val="21"/>
                <w:szCs w:val="21"/>
              </w:rPr>
            </w:pPr>
          </w:p>
        </w:tc>
        <w:tc>
          <w:tcPr>
            <w:tcW w:w="903" w:type="pct"/>
            <w:vMerge w:val="restart"/>
            <w:tcMar>
              <w:left w:w="0" w:type="dxa"/>
              <w:right w:w="0" w:type="dxa"/>
            </w:tcMar>
            <w:vAlign w:val="center"/>
          </w:tcPr>
          <w:p w14:paraId="5F0AD74C">
            <w:pPr>
              <w:adjustRightInd w:val="0"/>
              <w:snapToGrid w:val="0"/>
              <w:spacing w:line="240" w:lineRule="auto"/>
              <w:ind w:firstLine="0" w:firstLineChars="0"/>
              <w:jc w:val="center"/>
              <w:rPr>
                <w:sz w:val="21"/>
                <w:szCs w:val="21"/>
              </w:rPr>
            </w:pPr>
            <w:r>
              <w:rPr>
                <w:sz w:val="21"/>
                <w:szCs w:val="21"/>
              </w:rPr>
              <w:t>跟踪监测</w:t>
            </w:r>
          </w:p>
        </w:tc>
        <w:tc>
          <w:tcPr>
            <w:tcW w:w="553" w:type="pct"/>
            <w:tcMar>
              <w:left w:w="0" w:type="dxa"/>
              <w:right w:w="0" w:type="dxa"/>
            </w:tcMar>
            <w:vAlign w:val="center"/>
          </w:tcPr>
          <w:p w14:paraId="2E7B697A">
            <w:pPr>
              <w:adjustRightInd w:val="0"/>
              <w:snapToGrid w:val="0"/>
              <w:spacing w:line="240" w:lineRule="auto"/>
              <w:ind w:firstLine="0" w:firstLineChars="0"/>
              <w:jc w:val="center"/>
              <w:rPr>
                <w:sz w:val="21"/>
                <w:szCs w:val="21"/>
              </w:rPr>
            </w:pPr>
            <w:r>
              <w:rPr>
                <w:sz w:val="21"/>
                <w:szCs w:val="21"/>
              </w:rPr>
              <w:t>监测点数</w:t>
            </w:r>
          </w:p>
        </w:tc>
        <w:tc>
          <w:tcPr>
            <w:tcW w:w="2238" w:type="pct"/>
            <w:gridSpan w:val="4"/>
            <w:tcMar>
              <w:left w:w="0" w:type="dxa"/>
              <w:right w:w="0" w:type="dxa"/>
            </w:tcMar>
            <w:vAlign w:val="center"/>
          </w:tcPr>
          <w:p w14:paraId="45B38DFD">
            <w:pPr>
              <w:adjustRightInd w:val="0"/>
              <w:snapToGrid w:val="0"/>
              <w:spacing w:line="240" w:lineRule="auto"/>
              <w:ind w:firstLine="0" w:firstLineChars="0"/>
              <w:jc w:val="center"/>
              <w:rPr>
                <w:sz w:val="21"/>
                <w:szCs w:val="21"/>
              </w:rPr>
            </w:pPr>
            <w:r>
              <w:rPr>
                <w:sz w:val="21"/>
                <w:szCs w:val="21"/>
              </w:rPr>
              <w:t>监测指标</w:t>
            </w:r>
          </w:p>
        </w:tc>
        <w:tc>
          <w:tcPr>
            <w:tcW w:w="609" w:type="pct"/>
            <w:tcMar>
              <w:left w:w="0" w:type="dxa"/>
              <w:right w:w="0" w:type="dxa"/>
            </w:tcMar>
            <w:vAlign w:val="center"/>
          </w:tcPr>
          <w:p w14:paraId="3FD8036A">
            <w:pPr>
              <w:adjustRightInd w:val="0"/>
              <w:snapToGrid w:val="0"/>
              <w:spacing w:line="240" w:lineRule="auto"/>
              <w:ind w:firstLine="0" w:firstLineChars="0"/>
              <w:jc w:val="center"/>
              <w:rPr>
                <w:sz w:val="21"/>
                <w:szCs w:val="21"/>
              </w:rPr>
            </w:pPr>
            <w:r>
              <w:rPr>
                <w:sz w:val="21"/>
                <w:szCs w:val="21"/>
              </w:rPr>
              <w:t>监测频次</w:t>
            </w:r>
          </w:p>
        </w:tc>
        <w:tc>
          <w:tcPr>
            <w:tcW w:w="448" w:type="pct"/>
            <w:vMerge w:val="restart"/>
            <w:tcMar>
              <w:left w:w="0" w:type="dxa"/>
              <w:right w:w="0" w:type="dxa"/>
            </w:tcMar>
            <w:vAlign w:val="center"/>
          </w:tcPr>
          <w:p w14:paraId="7480B219">
            <w:pPr>
              <w:adjustRightInd w:val="0"/>
              <w:snapToGrid w:val="0"/>
              <w:spacing w:line="240" w:lineRule="auto"/>
              <w:ind w:firstLine="0" w:firstLineChars="0"/>
              <w:jc w:val="center"/>
              <w:rPr>
                <w:sz w:val="21"/>
                <w:szCs w:val="21"/>
              </w:rPr>
            </w:pPr>
          </w:p>
        </w:tc>
      </w:tr>
      <w:tr w14:paraId="7AD383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015DE316">
            <w:pPr>
              <w:widowControl/>
              <w:adjustRightInd w:val="0"/>
              <w:snapToGrid w:val="0"/>
              <w:spacing w:line="240" w:lineRule="auto"/>
              <w:ind w:firstLine="0" w:firstLineChars="0"/>
              <w:jc w:val="center"/>
              <w:rPr>
                <w:sz w:val="21"/>
                <w:szCs w:val="21"/>
              </w:rPr>
            </w:pPr>
          </w:p>
        </w:tc>
        <w:tc>
          <w:tcPr>
            <w:tcW w:w="903" w:type="pct"/>
            <w:vMerge w:val="continue"/>
            <w:tcMar>
              <w:left w:w="0" w:type="dxa"/>
              <w:right w:w="0" w:type="dxa"/>
            </w:tcMar>
            <w:vAlign w:val="center"/>
          </w:tcPr>
          <w:p w14:paraId="036600BA">
            <w:pPr>
              <w:widowControl/>
              <w:adjustRightInd w:val="0"/>
              <w:snapToGrid w:val="0"/>
              <w:spacing w:line="240" w:lineRule="auto"/>
              <w:ind w:firstLine="0" w:firstLineChars="0"/>
              <w:jc w:val="center"/>
              <w:rPr>
                <w:sz w:val="21"/>
                <w:szCs w:val="21"/>
              </w:rPr>
            </w:pPr>
          </w:p>
        </w:tc>
        <w:tc>
          <w:tcPr>
            <w:tcW w:w="553" w:type="pct"/>
            <w:tcMar>
              <w:left w:w="0" w:type="dxa"/>
              <w:right w:w="0" w:type="dxa"/>
            </w:tcMar>
            <w:vAlign w:val="center"/>
          </w:tcPr>
          <w:p w14:paraId="41B95B46">
            <w:pPr>
              <w:adjustRightInd w:val="0"/>
              <w:snapToGrid w:val="0"/>
              <w:spacing w:line="240" w:lineRule="auto"/>
              <w:ind w:firstLine="0" w:firstLineChars="0"/>
              <w:jc w:val="center"/>
              <w:rPr>
                <w:sz w:val="21"/>
                <w:szCs w:val="21"/>
              </w:rPr>
            </w:pPr>
            <w:r>
              <w:rPr>
                <w:rFonts w:hint="eastAsia"/>
                <w:sz w:val="21"/>
                <w:szCs w:val="21"/>
              </w:rPr>
              <w:t>1</w:t>
            </w:r>
          </w:p>
        </w:tc>
        <w:tc>
          <w:tcPr>
            <w:tcW w:w="2238" w:type="pct"/>
            <w:gridSpan w:val="4"/>
            <w:tcMar>
              <w:left w:w="0" w:type="dxa"/>
              <w:right w:w="0" w:type="dxa"/>
            </w:tcMar>
            <w:vAlign w:val="center"/>
          </w:tcPr>
          <w:p w14:paraId="11370E55">
            <w:pPr>
              <w:adjustRightInd w:val="0"/>
              <w:snapToGrid w:val="0"/>
              <w:spacing w:line="240" w:lineRule="auto"/>
              <w:ind w:firstLine="0" w:firstLineChars="0"/>
              <w:jc w:val="center"/>
              <w:rPr>
                <w:sz w:val="21"/>
                <w:szCs w:val="21"/>
              </w:rPr>
            </w:pPr>
            <w:r>
              <w:rPr>
                <w:rFonts w:hint="eastAsia"/>
                <w:sz w:val="21"/>
                <w:szCs w:val="21"/>
              </w:rPr>
              <w:t>pH、</w:t>
            </w:r>
            <w:r>
              <w:rPr>
                <w:sz w:val="21"/>
                <w:szCs w:val="21"/>
              </w:rPr>
              <w:t>砷、镉、铬（六价）、铜、铅、汞、镍</w:t>
            </w:r>
            <w:r>
              <w:rPr>
                <w:rFonts w:hint="eastAsia"/>
                <w:sz w:val="21"/>
                <w:szCs w:val="21"/>
              </w:rPr>
              <w:t>、石油烃</w:t>
            </w:r>
          </w:p>
        </w:tc>
        <w:tc>
          <w:tcPr>
            <w:tcW w:w="609" w:type="pct"/>
            <w:tcMar>
              <w:left w:w="0" w:type="dxa"/>
              <w:right w:w="0" w:type="dxa"/>
            </w:tcMar>
            <w:vAlign w:val="center"/>
          </w:tcPr>
          <w:p w14:paraId="0580C6CA">
            <w:pPr>
              <w:adjustRightInd w:val="0"/>
              <w:snapToGrid w:val="0"/>
              <w:spacing w:line="240" w:lineRule="auto"/>
              <w:ind w:firstLine="0" w:firstLineChars="0"/>
              <w:jc w:val="center"/>
              <w:rPr>
                <w:sz w:val="21"/>
                <w:szCs w:val="21"/>
              </w:rPr>
            </w:pPr>
            <w:r>
              <w:rPr>
                <w:rFonts w:hint="eastAsia"/>
                <w:sz w:val="21"/>
                <w:szCs w:val="21"/>
              </w:rPr>
              <w:t>1次/年</w:t>
            </w:r>
          </w:p>
        </w:tc>
        <w:tc>
          <w:tcPr>
            <w:tcW w:w="448" w:type="pct"/>
            <w:vMerge w:val="continue"/>
            <w:tcMar>
              <w:left w:w="0" w:type="dxa"/>
              <w:right w:w="0" w:type="dxa"/>
            </w:tcMar>
            <w:vAlign w:val="center"/>
          </w:tcPr>
          <w:p w14:paraId="0B8B4053">
            <w:pPr>
              <w:widowControl/>
              <w:adjustRightInd w:val="0"/>
              <w:snapToGrid w:val="0"/>
              <w:spacing w:line="240" w:lineRule="auto"/>
              <w:ind w:firstLine="0" w:firstLineChars="0"/>
              <w:jc w:val="center"/>
              <w:rPr>
                <w:sz w:val="21"/>
                <w:szCs w:val="21"/>
              </w:rPr>
            </w:pPr>
          </w:p>
        </w:tc>
      </w:tr>
      <w:tr w14:paraId="42A42D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49" w:type="pct"/>
            <w:vMerge w:val="continue"/>
            <w:tcMar>
              <w:left w:w="0" w:type="dxa"/>
              <w:right w:w="0" w:type="dxa"/>
            </w:tcMar>
            <w:vAlign w:val="center"/>
          </w:tcPr>
          <w:p w14:paraId="2EAD6534">
            <w:pPr>
              <w:widowControl/>
              <w:adjustRightInd w:val="0"/>
              <w:snapToGrid w:val="0"/>
              <w:spacing w:line="240" w:lineRule="auto"/>
              <w:ind w:firstLine="0" w:firstLineChars="0"/>
              <w:jc w:val="center"/>
              <w:rPr>
                <w:sz w:val="21"/>
                <w:szCs w:val="21"/>
              </w:rPr>
            </w:pPr>
          </w:p>
        </w:tc>
        <w:tc>
          <w:tcPr>
            <w:tcW w:w="903" w:type="pct"/>
            <w:tcMar>
              <w:left w:w="0" w:type="dxa"/>
              <w:right w:w="0" w:type="dxa"/>
            </w:tcMar>
            <w:vAlign w:val="center"/>
          </w:tcPr>
          <w:p w14:paraId="1BF92234">
            <w:pPr>
              <w:adjustRightInd w:val="0"/>
              <w:snapToGrid w:val="0"/>
              <w:spacing w:line="240" w:lineRule="auto"/>
              <w:ind w:firstLine="0" w:firstLineChars="0"/>
              <w:jc w:val="center"/>
              <w:rPr>
                <w:sz w:val="21"/>
                <w:szCs w:val="21"/>
              </w:rPr>
            </w:pPr>
            <w:r>
              <w:rPr>
                <w:sz w:val="21"/>
                <w:szCs w:val="21"/>
              </w:rPr>
              <w:t>信息公开指标</w:t>
            </w:r>
          </w:p>
        </w:tc>
        <w:tc>
          <w:tcPr>
            <w:tcW w:w="3400" w:type="pct"/>
            <w:gridSpan w:val="6"/>
            <w:tcMar>
              <w:left w:w="0" w:type="dxa"/>
              <w:right w:w="0" w:type="dxa"/>
            </w:tcMar>
            <w:vAlign w:val="center"/>
          </w:tcPr>
          <w:p w14:paraId="60B2AFAC">
            <w:pPr>
              <w:adjustRightInd w:val="0"/>
              <w:snapToGrid w:val="0"/>
              <w:spacing w:line="240" w:lineRule="auto"/>
              <w:ind w:firstLine="0" w:firstLineChars="0"/>
              <w:jc w:val="center"/>
              <w:rPr>
                <w:sz w:val="21"/>
                <w:szCs w:val="21"/>
              </w:rPr>
            </w:pPr>
            <w:r>
              <w:rPr>
                <w:rFonts w:hint="eastAsia"/>
                <w:sz w:val="21"/>
                <w:szCs w:val="21"/>
              </w:rPr>
              <w:t>pH、</w:t>
            </w:r>
            <w:r>
              <w:rPr>
                <w:sz w:val="21"/>
                <w:szCs w:val="21"/>
              </w:rPr>
              <w:t>砷、镉、铬（六价）、铜、铅、汞、镍</w:t>
            </w:r>
            <w:r>
              <w:rPr>
                <w:rFonts w:hint="eastAsia"/>
                <w:sz w:val="21"/>
                <w:szCs w:val="21"/>
              </w:rPr>
              <w:t>、石油烃</w:t>
            </w:r>
          </w:p>
        </w:tc>
        <w:tc>
          <w:tcPr>
            <w:tcW w:w="448" w:type="pct"/>
            <w:vMerge w:val="continue"/>
            <w:tcMar>
              <w:left w:w="0" w:type="dxa"/>
              <w:right w:w="0" w:type="dxa"/>
            </w:tcMar>
            <w:vAlign w:val="center"/>
          </w:tcPr>
          <w:p w14:paraId="4C0406E8">
            <w:pPr>
              <w:widowControl/>
              <w:adjustRightInd w:val="0"/>
              <w:snapToGrid w:val="0"/>
              <w:spacing w:line="240" w:lineRule="auto"/>
              <w:ind w:firstLine="0" w:firstLineChars="0"/>
              <w:jc w:val="center"/>
              <w:rPr>
                <w:sz w:val="21"/>
                <w:szCs w:val="21"/>
              </w:rPr>
            </w:pPr>
          </w:p>
        </w:tc>
      </w:tr>
      <w:tr w14:paraId="637AC3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52" w:type="pct"/>
            <w:gridSpan w:val="2"/>
            <w:tcMar>
              <w:left w:w="0" w:type="dxa"/>
              <w:right w:w="0" w:type="dxa"/>
            </w:tcMar>
            <w:vAlign w:val="center"/>
          </w:tcPr>
          <w:p w14:paraId="74CAFF5F">
            <w:pPr>
              <w:adjustRightInd w:val="0"/>
              <w:snapToGrid w:val="0"/>
              <w:spacing w:line="240" w:lineRule="auto"/>
              <w:ind w:firstLine="0" w:firstLineChars="0"/>
              <w:jc w:val="center"/>
              <w:rPr>
                <w:sz w:val="21"/>
                <w:szCs w:val="21"/>
              </w:rPr>
            </w:pPr>
            <w:r>
              <w:rPr>
                <w:sz w:val="21"/>
                <w:szCs w:val="21"/>
              </w:rPr>
              <w:t>评价结论</w:t>
            </w:r>
          </w:p>
        </w:tc>
        <w:tc>
          <w:tcPr>
            <w:tcW w:w="3400" w:type="pct"/>
            <w:gridSpan w:val="6"/>
            <w:tcMar>
              <w:left w:w="0" w:type="dxa"/>
              <w:right w:w="0" w:type="dxa"/>
            </w:tcMar>
            <w:vAlign w:val="center"/>
          </w:tcPr>
          <w:p w14:paraId="47A43121">
            <w:pPr>
              <w:adjustRightInd w:val="0"/>
              <w:snapToGrid w:val="0"/>
              <w:spacing w:line="240" w:lineRule="auto"/>
              <w:ind w:firstLine="0" w:firstLineChars="0"/>
              <w:jc w:val="center"/>
              <w:rPr>
                <w:sz w:val="21"/>
                <w:szCs w:val="21"/>
              </w:rPr>
            </w:pPr>
            <w:r>
              <w:rPr>
                <w:sz w:val="21"/>
                <w:szCs w:val="21"/>
              </w:rPr>
              <w:t>土壤环境影响可接受，区域土壤环境质量不因本项目的建设恶化。</w:t>
            </w:r>
          </w:p>
        </w:tc>
        <w:tc>
          <w:tcPr>
            <w:tcW w:w="448" w:type="pct"/>
            <w:tcMar>
              <w:left w:w="0" w:type="dxa"/>
              <w:right w:w="0" w:type="dxa"/>
            </w:tcMar>
            <w:vAlign w:val="center"/>
          </w:tcPr>
          <w:p w14:paraId="5614B9E4">
            <w:pPr>
              <w:adjustRightInd w:val="0"/>
              <w:snapToGrid w:val="0"/>
              <w:spacing w:line="240" w:lineRule="auto"/>
              <w:ind w:firstLine="0" w:firstLineChars="0"/>
              <w:jc w:val="center"/>
              <w:rPr>
                <w:sz w:val="21"/>
                <w:szCs w:val="21"/>
              </w:rPr>
            </w:pPr>
          </w:p>
        </w:tc>
      </w:tr>
    </w:tbl>
    <w:p w14:paraId="3679AE78">
      <w:pPr>
        <w:pStyle w:val="41"/>
      </w:pPr>
      <w:bookmarkStart w:id="533" w:name="_Toc152864238"/>
      <w:r>
        <w:rPr>
          <w:rFonts w:hint="eastAsia"/>
        </w:rPr>
        <w:t>环境风险分析</w:t>
      </w:r>
      <w:bookmarkEnd w:id="533"/>
    </w:p>
    <w:p w14:paraId="17A44C44">
      <w:pPr>
        <w:pStyle w:val="43"/>
      </w:pPr>
      <w:bookmarkStart w:id="534" w:name="_Toc81214137"/>
      <w:bookmarkStart w:id="535" w:name="_Toc80973569"/>
      <w:bookmarkStart w:id="536" w:name="_Toc80193144"/>
      <w:bookmarkStart w:id="537" w:name="_Toc77007842"/>
      <w:bookmarkStart w:id="538" w:name="_Toc152864239"/>
      <w:bookmarkStart w:id="539" w:name="_Toc82518826"/>
      <w:bookmarkStart w:id="540" w:name="_Toc79515515"/>
      <w:r>
        <w:rPr>
          <w:rFonts w:hint="eastAsia"/>
        </w:rPr>
        <w:t>环境风险评价等级判定</w:t>
      </w:r>
      <w:bookmarkEnd w:id="534"/>
      <w:bookmarkEnd w:id="535"/>
      <w:bookmarkEnd w:id="536"/>
      <w:bookmarkEnd w:id="537"/>
      <w:bookmarkEnd w:id="538"/>
      <w:bookmarkEnd w:id="539"/>
      <w:bookmarkEnd w:id="540"/>
    </w:p>
    <w:p w14:paraId="7BDCD98F">
      <w:pPr>
        <w:ind w:firstLine="480"/>
      </w:pPr>
      <w:r>
        <w:rPr>
          <w:rFonts w:hint="eastAsia"/>
        </w:rPr>
        <w:t>依据《建设项目环境风险评价技术导则》（HJ169-2018）的有关规定，根据建设项目所涉及的物质危险性、功能单元和重大危险源判定结果，以及建设项目周围的环境敏感程度等因素来确定项目环境风险评价等级。具体评价等级划分见下表。</w:t>
      </w:r>
    </w:p>
    <w:p w14:paraId="317CA99A">
      <w:pPr>
        <w:pStyle w:val="47"/>
        <w:spacing w:before="65"/>
      </w:pPr>
      <w:r>
        <w:rPr>
          <w:rFonts w:hint="eastAsia"/>
        </w:rPr>
        <w:t>表5</w:t>
      </w:r>
      <w:r>
        <w:t>.7-1   风险评价等级划分表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71"/>
        <w:gridCol w:w="1790"/>
        <w:gridCol w:w="1790"/>
        <w:gridCol w:w="1791"/>
        <w:gridCol w:w="1788"/>
      </w:tblGrid>
      <w:tr w14:paraId="1C2721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0" w:hRule="atLeast"/>
          <w:jc w:val="center"/>
        </w:trPr>
        <w:tc>
          <w:tcPr>
            <w:tcW w:w="900" w:type="pct"/>
            <w:tcMar>
              <w:left w:w="0" w:type="dxa"/>
              <w:right w:w="0" w:type="dxa"/>
            </w:tcMar>
            <w:vAlign w:val="center"/>
          </w:tcPr>
          <w:p w14:paraId="4C876BB1">
            <w:pPr>
              <w:adjustRightInd w:val="0"/>
              <w:snapToGrid w:val="0"/>
              <w:spacing w:line="240" w:lineRule="auto"/>
              <w:ind w:firstLine="0" w:firstLineChars="0"/>
              <w:jc w:val="center"/>
              <w:rPr>
                <w:sz w:val="21"/>
                <w:szCs w:val="20"/>
              </w:rPr>
            </w:pPr>
            <w:r>
              <w:rPr>
                <w:sz w:val="21"/>
                <w:szCs w:val="20"/>
              </w:rPr>
              <w:t>环境风险潜势</w:t>
            </w:r>
          </w:p>
        </w:tc>
        <w:tc>
          <w:tcPr>
            <w:tcW w:w="1025" w:type="pct"/>
            <w:shd w:val="clear" w:color="auto" w:fill="auto"/>
            <w:tcMar>
              <w:left w:w="0" w:type="dxa"/>
              <w:right w:w="0" w:type="dxa"/>
            </w:tcMar>
            <w:vAlign w:val="center"/>
          </w:tcPr>
          <w:p w14:paraId="319D2DD9">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4 \* ROMAN \* MERGEFORMAT </w:instrText>
            </w:r>
            <w:r>
              <w:rPr>
                <w:sz w:val="21"/>
                <w:szCs w:val="20"/>
              </w:rPr>
              <w:fldChar w:fldCharType="separate"/>
            </w:r>
            <w:r>
              <w:rPr>
                <w:sz w:val="21"/>
                <w:szCs w:val="20"/>
              </w:rPr>
              <w:t>IV</w:t>
            </w:r>
            <w:r>
              <w:rPr>
                <w:sz w:val="21"/>
                <w:szCs w:val="20"/>
              </w:rPr>
              <w:fldChar w:fldCharType="end"/>
            </w:r>
            <w:r>
              <w:rPr>
                <w:sz w:val="21"/>
                <w:szCs w:val="20"/>
              </w:rPr>
              <w:t>、</w:t>
            </w:r>
            <w:r>
              <w:rPr>
                <w:sz w:val="21"/>
                <w:szCs w:val="20"/>
              </w:rPr>
              <w:fldChar w:fldCharType="begin"/>
            </w:r>
            <w:r>
              <w:rPr>
                <w:sz w:val="21"/>
                <w:szCs w:val="20"/>
              </w:rPr>
              <w:instrText xml:space="preserve"> = 4 \* ROMAN \* MERGEFORMAT </w:instrText>
            </w:r>
            <w:r>
              <w:rPr>
                <w:sz w:val="21"/>
                <w:szCs w:val="20"/>
              </w:rPr>
              <w:fldChar w:fldCharType="separate"/>
            </w:r>
            <w:r>
              <w:rPr>
                <w:sz w:val="21"/>
                <w:szCs w:val="20"/>
              </w:rPr>
              <w:t>IV</w:t>
            </w:r>
            <w:r>
              <w:rPr>
                <w:sz w:val="21"/>
                <w:szCs w:val="20"/>
              </w:rPr>
              <w:fldChar w:fldCharType="end"/>
            </w:r>
            <w:r>
              <w:rPr>
                <w:sz w:val="21"/>
                <w:szCs w:val="20"/>
                <w:vertAlign w:val="superscript"/>
              </w:rPr>
              <w:t>+</w:t>
            </w:r>
          </w:p>
        </w:tc>
        <w:tc>
          <w:tcPr>
            <w:tcW w:w="1025" w:type="pct"/>
            <w:shd w:val="clear" w:color="auto" w:fill="auto"/>
            <w:tcMar>
              <w:left w:w="0" w:type="dxa"/>
              <w:right w:w="0" w:type="dxa"/>
            </w:tcMar>
            <w:vAlign w:val="center"/>
          </w:tcPr>
          <w:p w14:paraId="7F073E2F">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3 \* ROMAN \* MERGEFORMAT </w:instrText>
            </w:r>
            <w:r>
              <w:rPr>
                <w:sz w:val="21"/>
                <w:szCs w:val="20"/>
              </w:rPr>
              <w:fldChar w:fldCharType="separate"/>
            </w:r>
            <w:r>
              <w:rPr>
                <w:sz w:val="21"/>
                <w:szCs w:val="20"/>
              </w:rPr>
              <w:t>III</w:t>
            </w:r>
            <w:r>
              <w:rPr>
                <w:sz w:val="21"/>
                <w:szCs w:val="20"/>
              </w:rPr>
              <w:fldChar w:fldCharType="end"/>
            </w:r>
          </w:p>
        </w:tc>
        <w:tc>
          <w:tcPr>
            <w:tcW w:w="1026" w:type="pct"/>
            <w:shd w:val="clear" w:color="auto" w:fill="auto"/>
            <w:tcMar>
              <w:left w:w="0" w:type="dxa"/>
              <w:right w:w="0" w:type="dxa"/>
            </w:tcMar>
            <w:vAlign w:val="center"/>
          </w:tcPr>
          <w:p w14:paraId="0525A49F">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2 \* ROMAN \* MERGEFORMAT </w:instrText>
            </w:r>
            <w:r>
              <w:rPr>
                <w:sz w:val="21"/>
                <w:szCs w:val="20"/>
              </w:rPr>
              <w:fldChar w:fldCharType="separate"/>
            </w:r>
            <w:r>
              <w:rPr>
                <w:sz w:val="21"/>
                <w:szCs w:val="20"/>
              </w:rPr>
              <w:t>II</w:t>
            </w:r>
            <w:r>
              <w:rPr>
                <w:sz w:val="21"/>
                <w:szCs w:val="20"/>
              </w:rPr>
              <w:fldChar w:fldCharType="end"/>
            </w:r>
          </w:p>
        </w:tc>
        <w:tc>
          <w:tcPr>
            <w:tcW w:w="1024" w:type="pct"/>
            <w:shd w:val="clear" w:color="auto" w:fill="auto"/>
            <w:tcMar>
              <w:left w:w="0" w:type="dxa"/>
              <w:right w:w="0" w:type="dxa"/>
            </w:tcMar>
            <w:vAlign w:val="center"/>
          </w:tcPr>
          <w:p w14:paraId="0E0C911D">
            <w:pPr>
              <w:adjustRightInd w:val="0"/>
              <w:snapToGrid w:val="0"/>
              <w:spacing w:line="240" w:lineRule="auto"/>
              <w:ind w:firstLine="0" w:firstLineChars="0"/>
              <w:jc w:val="center"/>
              <w:rPr>
                <w:sz w:val="21"/>
                <w:szCs w:val="20"/>
              </w:rPr>
            </w:pPr>
            <w:r>
              <w:rPr>
                <w:sz w:val="21"/>
                <w:szCs w:val="20"/>
              </w:rPr>
              <w:fldChar w:fldCharType="begin"/>
            </w:r>
            <w:r>
              <w:rPr>
                <w:sz w:val="21"/>
                <w:szCs w:val="20"/>
              </w:rPr>
              <w:instrText xml:space="preserve"> = 1 \* ROMAN \* MERGEFORMAT </w:instrText>
            </w:r>
            <w:r>
              <w:rPr>
                <w:sz w:val="21"/>
                <w:szCs w:val="20"/>
              </w:rPr>
              <w:fldChar w:fldCharType="separate"/>
            </w:r>
            <w:r>
              <w:rPr>
                <w:sz w:val="21"/>
                <w:szCs w:val="20"/>
              </w:rPr>
              <w:t>I</w:t>
            </w:r>
            <w:r>
              <w:rPr>
                <w:sz w:val="21"/>
                <w:szCs w:val="20"/>
              </w:rPr>
              <w:fldChar w:fldCharType="end"/>
            </w:r>
          </w:p>
        </w:tc>
      </w:tr>
      <w:tr w14:paraId="3E5D92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900" w:type="pct"/>
            <w:tcMar>
              <w:left w:w="0" w:type="dxa"/>
              <w:right w:w="0" w:type="dxa"/>
            </w:tcMar>
            <w:vAlign w:val="center"/>
          </w:tcPr>
          <w:p w14:paraId="66FE3105">
            <w:pPr>
              <w:adjustRightInd w:val="0"/>
              <w:snapToGrid w:val="0"/>
              <w:spacing w:line="240" w:lineRule="auto"/>
              <w:ind w:firstLine="0" w:firstLineChars="0"/>
              <w:jc w:val="center"/>
              <w:rPr>
                <w:sz w:val="21"/>
                <w:szCs w:val="20"/>
              </w:rPr>
            </w:pPr>
            <w:r>
              <w:rPr>
                <w:sz w:val="21"/>
                <w:szCs w:val="20"/>
              </w:rPr>
              <w:t>评价工作等级</w:t>
            </w:r>
          </w:p>
        </w:tc>
        <w:tc>
          <w:tcPr>
            <w:tcW w:w="1025" w:type="pct"/>
            <w:tcMar>
              <w:left w:w="0" w:type="dxa"/>
              <w:right w:w="0" w:type="dxa"/>
            </w:tcMar>
            <w:vAlign w:val="center"/>
          </w:tcPr>
          <w:p w14:paraId="2AE79825">
            <w:pPr>
              <w:adjustRightInd w:val="0"/>
              <w:snapToGrid w:val="0"/>
              <w:spacing w:line="240" w:lineRule="auto"/>
              <w:ind w:firstLine="0" w:firstLineChars="0"/>
              <w:jc w:val="center"/>
              <w:rPr>
                <w:sz w:val="21"/>
                <w:szCs w:val="20"/>
              </w:rPr>
            </w:pPr>
            <w:r>
              <w:rPr>
                <w:sz w:val="21"/>
                <w:szCs w:val="20"/>
              </w:rPr>
              <w:t>一</w:t>
            </w:r>
          </w:p>
        </w:tc>
        <w:tc>
          <w:tcPr>
            <w:tcW w:w="1025" w:type="pct"/>
            <w:tcMar>
              <w:left w:w="0" w:type="dxa"/>
              <w:right w:w="0" w:type="dxa"/>
            </w:tcMar>
            <w:vAlign w:val="center"/>
          </w:tcPr>
          <w:p w14:paraId="62D1947C">
            <w:pPr>
              <w:adjustRightInd w:val="0"/>
              <w:snapToGrid w:val="0"/>
              <w:spacing w:line="240" w:lineRule="auto"/>
              <w:ind w:firstLine="0" w:firstLineChars="0"/>
              <w:jc w:val="center"/>
              <w:rPr>
                <w:sz w:val="21"/>
                <w:szCs w:val="20"/>
              </w:rPr>
            </w:pPr>
            <w:r>
              <w:rPr>
                <w:sz w:val="21"/>
                <w:szCs w:val="20"/>
              </w:rPr>
              <w:t>二</w:t>
            </w:r>
          </w:p>
        </w:tc>
        <w:tc>
          <w:tcPr>
            <w:tcW w:w="1026" w:type="pct"/>
            <w:tcMar>
              <w:left w:w="0" w:type="dxa"/>
              <w:right w:w="0" w:type="dxa"/>
            </w:tcMar>
            <w:vAlign w:val="center"/>
          </w:tcPr>
          <w:p w14:paraId="11785A75">
            <w:pPr>
              <w:adjustRightInd w:val="0"/>
              <w:snapToGrid w:val="0"/>
              <w:spacing w:line="240" w:lineRule="auto"/>
              <w:ind w:firstLine="0" w:firstLineChars="0"/>
              <w:jc w:val="center"/>
              <w:rPr>
                <w:sz w:val="21"/>
                <w:szCs w:val="20"/>
              </w:rPr>
            </w:pPr>
            <w:r>
              <w:rPr>
                <w:sz w:val="21"/>
                <w:szCs w:val="20"/>
              </w:rPr>
              <w:t>三</w:t>
            </w:r>
          </w:p>
        </w:tc>
        <w:tc>
          <w:tcPr>
            <w:tcW w:w="1024" w:type="pct"/>
            <w:tcMar>
              <w:left w:w="0" w:type="dxa"/>
              <w:right w:w="0" w:type="dxa"/>
            </w:tcMar>
            <w:vAlign w:val="center"/>
          </w:tcPr>
          <w:p w14:paraId="3C808A5E">
            <w:pPr>
              <w:adjustRightInd w:val="0"/>
              <w:snapToGrid w:val="0"/>
              <w:spacing w:line="240" w:lineRule="auto"/>
              <w:ind w:firstLine="0" w:firstLineChars="0"/>
              <w:jc w:val="center"/>
              <w:rPr>
                <w:sz w:val="21"/>
                <w:szCs w:val="20"/>
              </w:rPr>
            </w:pPr>
            <w:r>
              <w:rPr>
                <w:sz w:val="21"/>
                <w:szCs w:val="20"/>
              </w:rPr>
              <w:t>简单分析</w:t>
            </w:r>
            <w:r>
              <w:rPr>
                <w:sz w:val="21"/>
                <w:szCs w:val="20"/>
                <w:vertAlign w:val="superscript"/>
              </w:rPr>
              <w:t>a</w:t>
            </w:r>
          </w:p>
        </w:tc>
      </w:tr>
      <w:tr w14:paraId="457712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0" w:hRule="atLeast"/>
          <w:jc w:val="center"/>
        </w:trPr>
        <w:tc>
          <w:tcPr>
            <w:tcW w:w="5000" w:type="pct"/>
            <w:gridSpan w:val="5"/>
            <w:tcMar>
              <w:left w:w="0" w:type="dxa"/>
              <w:right w:w="0" w:type="dxa"/>
            </w:tcMar>
            <w:vAlign w:val="center"/>
          </w:tcPr>
          <w:p w14:paraId="66932C95">
            <w:pPr>
              <w:adjustRightInd w:val="0"/>
              <w:snapToGrid w:val="0"/>
              <w:spacing w:line="240" w:lineRule="auto"/>
              <w:ind w:firstLine="0" w:firstLineChars="0"/>
              <w:jc w:val="left"/>
              <w:rPr>
                <w:sz w:val="21"/>
                <w:szCs w:val="20"/>
              </w:rPr>
            </w:pPr>
            <w:r>
              <w:rPr>
                <w:sz w:val="21"/>
                <w:szCs w:val="20"/>
                <w:vertAlign w:val="superscript"/>
              </w:rPr>
              <w:t>a</w:t>
            </w:r>
            <w:r>
              <w:rPr>
                <w:sz w:val="21"/>
                <w:szCs w:val="20"/>
              </w:rPr>
              <w:t>是相对于详细评价工作内容而言，在描述危险物质、环境影响途径、环境危害后果、风险防范措施等方面给出定性的说明</w:t>
            </w:r>
          </w:p>
        </w:tc>
      </w:tr>
    </w:tbl>
    <w:p w14:paraId="4E86657C">
      <w:pPr>
        <w:pStyle w:val="45"/>
        <w:spacing w:before="65" w:after="65"/>
      </w:pPr>
      <w:r>
        <w:rPr>
          <w:rFonts w:hint="eastAsia"/>
        </w:rPr>
        <w:t>环境风险潜势判定</w:t>
      </w:r>
    </w:p>
    <w:p w14:paraId="48EA5B91">
      <w:pPr>
        <w:adjustRightInd w:val="0"/>
        <w:snapToGrid w:val="0"/>
        <w:spacing w:line="480" w:lineRule="exact"/>
        <w:ind w:firstLine="480"/>
      </w:pPr>
      <w:r>
        <w:rPr>
          <w:rFonts w:hint="eastAsia"/>
        </w:rPr>
        <w:t>根据建设项目涉及的物质和工艺系统的危险性及其所在地的环境敏感程度，结合事故情形下的环境影响途径，对建设项目潜在环境危害程度进行分析，见表</w:t>
      </w:r>
      <w:r>
        <w:t>5.7-2</w:t>
      </w:r>
      <w:r>
        <w:rPr>
          <w:rFonts w:hint="eastAsia"/>
        </w:rPr>
        <w:t>。</w:t>
      </w:r>
    </w:p>
    <w:p w14:paraId="4DC4EB2C">
      <w:pPr>
        <w:pStyle w:val="47"/>
        <w:spacing w:before="65"/>
      </w:pPr>
      <w:r>
        <w:rPr>
          <w:rFonts w:hint="eastAsia"/>
        </w:rPr>
        <w:t>表</w:t>
      </w:r>
      <w:r>
        <w:t xml:space="preserve">5.7-2   </w:t>
      </w:r>
      <w:r>
        <w:rPr>
          <w:rFonts w:hint="eastAsia"/>
        </w:rPr>
        <w:t>建设项目环境风险潜势划分表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1573"/>
        <w:gridCol w:w="1575"/>
        <w:gridCol w:w="1573"/>
        <w:gridCol w:w="1575"/>
      </w:tblGrid>
      <w:tr w14:paraId="55FDA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394" w:type="pct"/>
            <w:vMerge w:val="restart"/>
            <w:tcMar>
              <w:left w:w="0" w:type="dxa"/>
              <w:right w:w="0" w:type="dxa"/>
            </w:tcMar>
            <w:vAlign w:val="center"/>
          </w:tcPr>
          <w:p w14:paraId="74E4046D">
            <w:pPr>
              <w:adjustRightInd w:val="0"/>
              <w:snapToGrid w:val="0"/>
              <w:spacing w:line="240" w:lineRule="auto"/>
              <w:ind w:firstLine="0" w:firstLineChars="0"/>
              <w:jc w:val="center"/>
              <w:rPr>
                <w:bCs/>
                <w:sz w:val="21"/>
                <w:szCs w:val="21"/>
              </w:rPr>
            </w:pPr>
            <w:r>
              <w:rPr>
                <w:bCs/>
                <w:sz w:val="21"/>
                <w:szCs w:val="21"/>
              </w:rPr>
              <w:t>环境敏感程度（E）</w:t>
            </w:r>
          </w:p>
        </w:tc>
        <w:tc>
          <w:tcPr>
            <w:tcW w:w="3606" w:type="pct"/>
            <w:gridSpan w:val="4"/>
            <w:tcMar>
              <w:left w:w="0" w:type="dxa"/>
              <w:right w:w="0" w:type="dxa"/>
            </w:tcMar>
            <w:vAlign w:val="center"/>
          </w:tcPr>
          <w:p w14:paraId="7B3B6092">
            <w:pPr>
              <w:adjustRightInd w:val="0"/>
              <w:snapToGrid w:val="0"/>
              <w:spacing w:line="240" w:lineRule="auto"/>
              <w:ind w:firstLine="0" w:firstLineChars="0"/>
              <w:jc w:val="center"/>
              <w:rPr>
                <w:bCs/>
                <w:sz w:val="21"/>
                <w:szCs w:val="21"/>
              </w:rPr>
            </w:pPr>
            <w:r>
              <w:rPr>
                <w:bCs/>
                <w:sz w:val="21"/>
                <w:szCs w:val="21"/>
              </w:rPr>
              <w:t>危险物质及工艺系统危险性（P）</w:t>
            </w:r>
          </w:p>
        </w:tc>
      </w:tr>
      <w:tr w14:paraId="6F7F0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vMerge w:val="continue"/>
            <w:tcMar>
              <w:left w:w="0" w:type="dxa"/>
              <w:right w:w="0" w:type="dxa"/>
            </w:tcMar>
            <w:vAlign w:val="center"/>
          </w:tcPr>
          <w:p w14:paraId="41BE4056">
            <w:pPr>
              <w:adjustRightInd w:val="0"/>
              <w:snapToGrid w:val="0"/>
              <w:spacing w:line="240" w:lineRule="auto"/>
              <w:ind w:firstLine="0" w:firstLineChars="0"/>
              <w:jc w:val="center"/>
              <w:rPr>
                <w:bCs/>
                <w:sz w:val="21"/>
                <w:szCs w:val="21"/>
              </w:rPr>
            </w:pPr>
          </w:p>
        </w:tc>
        <w:tc>
          <w:tcPr>
            <w:tcW w:w="901" w:type="pct"/>
            <w:tcMar>
              <w:left w:w="0" w:type="dxa"/>
              <w:right w:w="0" w:type="dxa"/>
            </w:tcMar>
            <w:vAlign w:val="center"/>
          </w:tcPr>
          <w:p w14:paraId="0C724400">
            <w:pPr>
              <w:adjustRightInd w:val="0"/>
              <w:snapToGrid w:val="0"/>
              <w:spacing w:line="240" w:lineRule="auto"/>
              <w:ind w:firstLine="0" w:firstLineChars="0"/>
              <w:jc w:val="center"/>
              <w:rPr>
                <w:bCs/>
                <w:sz w:val="21"/>
                <w:szCs w:val="21"/>
              </w:rPr>
            </w:pPr>
            <w:r>
              <w:rPr>
                <w:bCs/>
                <w:sz w:val="21"/>
                <w:szCs w:val="21"/>
              </w:rPr>
              <w:t>极高危害（P1）</w:t>
            </w:r>
          </w:p>
        </w:tc>
        <w:tc>
          <w:tcPr>
            <w:tcW w:w="902" w:type="pct"/>
            <w:tcMar>
              <w:left w:w="0" w:type="dxa"/>
              <w:right w:w="0" w:type="dxa"/>
            </w:tcMar>
            <w:vAlign w:val="center"/>
          </w:tcPr>
          <w:p w14:paraId="12ED58B7">
            <w:pPr>
              <w:adjustRightInd w:val="0"/>
              <w:snapToGrid w:val="0"/>
              <w:spacing w:line="240" w:lineRule="auto"/>
              <w:ind w:firstLine="0" w:firstLineChars="0"/>
              <w:jc w:val="center"/>
              <w:rPr>
                <w:bCs/>
                <w:sz w:val="21"/>
                <w:szCs w:val="21"/>
              </w:rPr>
            </w:pPr>
            <w:r>
              <w:rPr>
                <w:bCs/>
                <w:sz w:val="21"/>
                <w:szCs w:val="21"/>
              </w:rPr>
              <w:t>高度危害（P2）</w:t>
            </w:r>
          </w:p>
        </w:tc>
        <w:tc>
          <w:tcPr>
            <w:tcW w:w="901" w:type="pct"/>
            <w:tcMar>
              <w:left w:w="0" w:type="dxa"/>
              <w:right w:w="0" w:type="dxa"/>
            </w:tcMar>
            <w:vAlign w:val="center"/>
          </w:tcPr>
          <w:p w14:paraId="6E8CF458">
            <w:pPr>
              <w:adjustRightInd w:val="0"/>
              <w:snapToGrid w:val="0"/>
              <w:spacing w:line="240" w:lineRule="auto"/>
              <w:ind w:firstLine="0" w:firstLineChars="0"/>
              <w:jc w:val="center"/>
              <w:rPr>
                <w:bCs/>
                <w:sz w:val="21"/>
                <w:szCs w:val="21"/>
              </w:rPr>
            </w:pPr>
            <w:r>
              <w:rPr>
                <w:bCs/>
                <w:sz w:val="21"/>
                <w:szCs w:val="21"/>
              </w:rPr>
              <w:t>中度危害（P3）</w:t>
            </w:r>
          </w:p>
        </w:tc>
        <w:tc>
          <w:tcPr>
            <w:tcW w:w="902" w:type="pct"/>
            <w:tcMar>
              <w:left w:w="0" w:type="dxa"/>
              <w:right w:w="0" w:type="dxa"/>
            </w:tcMar>
            <w:vAlign w:val="center"/>
          </w:tcPr>
          <w:p w14:paraId="38A47177">
            <w:pPr>
              <w:adjustRightInd w:val="0"/>
              <w:snapToGrid w:val="0"/>
              <w:spacing w:line="240" w:lineRule="auto"/>
              <w:ind w:firstLine="0" w:firstLineChars="0"/>
              <w:jc w:val="center"/>
              <w:rPr>
                <w:bCs/>
                <w:sz w:val="21"/>
                <w:szCs w:val="21"/>
              </w:rPr>
            </w:pPr>
            <w:r>
              <w:rPr>
                <w:bCs/>
                <w:sz w:val="21"/>
                <w:szCs w:val="21"/>
              </w:rPr>
              <w:t>轻度危害（P4）</w:t>
            </w:r>
          </w:p>
        </w:tc>
      </w:tr>
      <w:tr w14:paraId="0D945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tcMar>
              <w:left w:w="0" w:type="dxa"/>
              <w:right w:w="0" w:type="dxa"/>
            </w:tcMar>
            <w:vAlign w:val="center"/>
          </w:tcPr>
          <w:p w14:paraId="05D70B29">
            <w:pPr>
              <w:adjustRightInd w:val="0"/>
              <w:snapToGrid w:val="0"/>
              <w:spacing w:line="240" w:lineRule="auto"/>
              <w:ind w:firstLine="0" w:firstLineChars="0"/>
              <w:jc w:val="center"/>
              <w:rPr>
                <w:bCs/>
                <w:sz w:val="21"/>
                <w:szCs w:val="21"/>
              </w:rPr>
            </w:pPr>
            <w:r>
              <w:rPr>
                <w:bCs/>
                <w:sz w:val="21"/>
                <w:szCs w:val="21"/>
              </w:rPr>
              <w:t>环境高度敏感区（E1）</w:t>
            </w:r>
          </w:p>
        </w:tc>
        <w:tc>
          <w:tcPr>
            <w:tcW w:w="901" w:type="pct"/>
            <w:tcMar>
              <w:left w:w="0" w:type="dxa"/>
              <w:right w:w="0" w:type="dxa"/>
            </w:tcMar>
            <w:vAlign w:val="center"/>
          </w:tcPr>
          <w:p w14:paraId="10DD6B71">
            <w:pPr>
              <w:adjustRightInd w:val="0"/>
              <w:snapToGrid w:val="0"/>
              <w:spacing w:line="240" w:lineRule="auto"/>
              <w:ind w:firstLine="0" w:firstLineChars="0"/>
              <w:jc w:val="center"/>
              <w:rPr>
                <w:bCs/>
                <w:sz w:val="21"/>
                <w:szCs w:val="21"/>
              </w:rPr>
            </w:pPr>
            <w:r>
              <w:rPr>
                <w:bCs/>
                <w:sz w:val="21"/>
                <w:szCs w:val="21"/>
              </w:rPr>
              <w:t>Ⅳ</w:t>
            </w:r>
            <w:r>
              <w:rPr>
                <w:bCs/>
                <w:sz w:val="21"/>
                <w:szCs w:val="21"/>
                <w:vertAlign w:val="superscript"/>
              </w:rPr>
              <w:t>+</w:t>
            </w:r>
          </w:p>
        </w:tc>
        <w:tc>
          <w:tcPr>
            <w:tcW w:w="902" w:type="pct"/>
            <w:tcMar>
              <w:left w:w="0" w:type="dxa"/>
              <w:right w:w="0" w:type="dxa"/>
            </w:tcMar>
            <w:vAlign w:val="center"/>
          </w:tcPr>
          <w:p w14:paraId="0B8818BA">
            <w:pPr>
              <w:adjustRightInd w:val="0"/>
              <w:snapToGrid w:val="0"/>
              <w:spacing w:line="240" w:lineRule="auto"/>
              <w:ind w:firstLine="0" w:firstLineChars="0"/>
              <w:jc w:val="center"/>
              <w:rPr>
                <w:bCs/>
                <w:sz w:val="21"/>
                <w:szCs w:val="21"/>
              </w:rPr>
            </w:pPr>
            <w:r>
              <w:rPr>
                <w:bCs/>
                <w:sz w:val="21"/>
                <w:szCs w:val="21"/>
              </w:rPr>
              <w:t>Ⅳ</w:t>
            </w:r>
          </w:p>
        </w:tc>
        <w:tc>
          <w:tcPr>
            <w:tcW w:w="901" w:type="pct"/>
            <w:tcMar>
              <w:left w:w="0" w:type="dxa"/>
              <w:right w:w="0" w:type="dxa"/>
            </w:tcMar>
            <w:vAlign w:val="center"/>
          </w:tcPr>
          <w:p w14:paraId="60107EAE">
            <w:pPr>
              <w:adjustRightInd w:val="0"/>
              <w:snapToGrid w:val="0"/>
              <w:spacing w:line="240" w:lineRule="auto"/>
              <w:ind w:firstLine="0" w:firstLineChars="0"/>
              <w:jc w:val="center"/>
              <w:rPr>
                <w:bCs/>
                <w:sz w:val="21"/>
                <w:szCs w:val="21"/>
              </w:rPr>
            </w:pPr>
            <w:r>
              <w:rPr>
                <w:bCs/>
                <w:sz w:val="21"/>
                <w:szCs w:val="21"/>
              </w:rPr>
              <w:t>Ⅲ</w:t>
            </w:r>
          </w:p>
        </w:tc>
        <w:tc>
          <w:tcPr>
            <w:tcW w:w="902" w:type="pct"/>
            <w:tcMar>
              <w:left w:w="0" w:type="dxa"/>
              <w:right w:w="0" w:type="dxa"/>
            </w:tcMar>
            <w:vAlign w:val="center"/>
          </w:tcPr>
          <w:p w14:paraId="71D1CFEF">
            <w:pPr>
              <w:adjustRightInd w:val="0"/>
              <w:snapToGrid w:val="0"/>
              <w:spacing w:line="240" w:lineRule="auto"/>
              <w:ind w:firstLine="0" w:firstLineChars="0"/>
              <w:jc w:val="center"/>
              <w:rPr>
                <w:bCs/>
                <w:sz w:val="21"/>
                <w:szCs w:val="21"/>
              </w:rPr>
            </w:pPr>
            <w:r>
              <w:rPr>
                <w:bCs/>
                <w:sz w:val="21"/>
                <w:szCs w:val="21"/>
              </w:rPr>
              <w:t>Ⅲ</w:t>
            </w:r>
          </w:p>
        </w:tc>
      </w:tr>
      <w:tr w14:paraId="5E69C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tcMar>
              <w:left w:w="0" w:type="dxa"/>
              <w:right w:w="0" w:type="dxa"/>
            </w:tcMar>
            <w:vAlign w:val="center"/>
          </w:tcPr>
          <w:p w14:paraId="79390A95">
            <w:pPr>
              <w:adjustRightInd w:val="0"/>
              <w:snapToGrid w:val="0"/>
              <w:spacing w:line="240" w:lineRule="auto"/>
              <w:ind w:firstLine="0" w:firstLineChars="0"/>
              <w:jc w:val="center"/>
              <w:rPr>
                <w:bCs/>
                <w:sz w:val="21"/>
                <w:szCs w:val="21"/>
              </w:rPr>
            </w:pPr>
            <w:r>
              <w:rPr>
                <w:bCs/>
                <w:sz w:val="21"/>
                <w:szCs w:val="21"/>
              </w:rPr>
              <w:t>环境中毒敏感区（E2）</w:t>
            </w:r>
          </w:p>
        </w:tc>
        <w:tc>
          <w:tcPr>
            <w:tcW w:w="901" w:type="pct"/>
            <w:tcMar>
              <w:left w:w="0" w:type="dxa"/>
              <w:right w:w="0" w:type="dxa"/>
            </w:tcMar>
            <w:vAlign w:val="center"/>
          </w:tcPr>
          <w:p w14:paraId="05CBCEC9">
            <w:pPr>
              <w:adjustRightInd w:val="0"/>
              <w:snapToGrid w:val="0"/>
              <w:spacing w:line="240" w:lineRule="auto"/>
              <w:ind w:firstLine="0" w:firstLineChars="0"/>
              <w:jc w:val="center"/>
              <w:rPr>
                <w:bCs/>
                <w:sz w:val="21"/>
                <w:szCs w:val="21"/>
              </w:rPr>
            </w:pPr>
            <w:r>
              <w:rPr>
                <w:bCs/>
                <w:sz w:val="21"/>
                <w:szCs w:val="21"/>
              </w:rPr>
              <w:t>Ⅳ</w:t>
            </w:r>
          </w:p>
        </w:tc>
        <w:tc>
          <w:tcPr>
            <w:tcW w:w="902" w:type="pct"/>
            <w:tcMar>
              <w:left w:w="0" w:type="dxa"/>
              <w:right w:w="0" w:type="dxa"/>
            </w:tcMar>
            <w:vAlign w:val="center"/>
          </w:tcPr>
          <w:p w14:paraId="3785DD4F">
            <w:pPr>
              <w:adjustRightInd w:val="0"/>
              <w:snapToGrid w:val="0"/>
              <w:spacing w:line="240" w:lineRule="auto"/>
              <w:ind w:firstLine="0" w:firstLineChars="0"/>
              <w:jc w:val="center"/>
              <w:rPr>
                <w:bCs/>
                <w:sz w:val="21"/>
                <w:szCs w:val="21"/>
              </w:rPr>
            </w:pPr>
            <w:r>
              <w:rPr>
                <w:bCs/>
                <w:sz w:val="21"/>
                <w:szCs w:val="21"/>
              </w:rPr>
              <w:t>Ⅲ</w:t>
            </w:r>
          </w:p>
        </w:tc>
        <w:tc>
          <w:tcPr>
            <w:tcW w:w="901" w:type="pct"/>
            <w:tcMar>
              <w:left w:w="0" w:type="dxa"/>
              <w:right w:w="0" w:type="dxa"/>
            </w:tcMar>
            <w:vAlign w:val="center"/>
          </w:tcPr>
          <w:p w14:paraId="287C3D37">
            <w:pPr>
              <w:adjustRightInd w:val="0"/>
              <w:snapToGrid w:val="0"/>
              <w:spacing w:line="240" w:lineRule="auto"/>
              <w:ind w:firstLine="0" w:firstLineChars="0"/>
              <w:jc w:val="center"/>
              <w:rPr>
                <w:bCs/>
                <w:sz w:val="21"/>
                <w:szCs w:val="21"/>
              </w:rPr>
            </w:pPr>
            <w:r>
              <w:rPr>
                <w:bCs/>
                <w:sz w:val="21"/>
                <w:szCs w:val="21"/>
              </w:rPr>
              <w:t>Ⅲ</w:t>
            </w:r>
          </w:p>
        </w:tc>
        <w:tc>
          <w:tcPr>
            <w:tcW w:w="902" w:type="pct"/>
            <w:tcMar>
              <w:left w:w="0" w:type="dxa"/>
              <w:right w:w="0" w:type="dxa"/>
            </w:tcMar>
            <w:vAlign w:val="center"/>
          </w:tcPr>
          <w:p w14:paraId="48D8C655">
            <w:pPr>
              <w:adjustRightInd w:val="0"/>
              <w:snapToGrid w:val="0"/>
              <w:spacing w:line="240" w:lineRule="auto"/>
              <w:ind w:firstLine="0" w:firstLineChars="0"/>
              <w:jc w:val="center"/>
              <w:rPr>
                <w:bCs/>
                <w:sz w:val="21"/>
                <w:szCs w:val="21"/>
              </w:rPr>
            </w:pPr>
            <w:r>
              <w:rPr>
                <w:bCs/>
                <w:sz w:val="21"/>
                <w:szCs w:val="21"/>
              </w:rPr>
              <w:t>Ⅱ</w:t>
            </w:r>
          </w:p>
        </w:tc>
      </w:tr>
      <w:tr w14:paraId="193C9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tcMar>
              <w:left w:w="0" w:type="dxa"/>
              <w:right w:w="0" w:type="dxa"/>
            </w:tcMar>
            <w:vAlign w:val="center"/>
          </w:tcPr>
          <w:p w14:paraId="339B9944">
            <w:pPr>
              <w:adjustRightInd w:val="0"/>
              <w:snapToGrid w:val="0"/>
              <w:spacing w:line="240" w:lineRule="auto"/>
              <w:ind w:firstLine="0" w:firstLineChars="0"/>
              <w:jc w:val="center"/>
              <w:rPr>
                <w:bCs/>
                <w:sz w:val="21"/>
                <w:szCs w:val="21"/>
              </w:rPr>
            </w:pPr>
            <w:r>
              <w:rPr>
                <w:bCs/>
                <w:sz w:val="21"/>
                <w:szCs w:val="21"/>
              </w:rPr>
              <w:t>环境低度敏感区（E3）</w:t>
            </w:r>
          </w:p>
        </w:tc>
        <w:tc>
          <w:tcPr>
            <w:tcW w:w="901" w:type="pct"/>
            <w:tcMar>
              <w:left w:w="0" w:type="dxa"/>
              <w:right w:w="0" w:type="dxa"/>
            </w:tcMar>
            <w:vAlign w:val="center"/>
          </w:tcPr>
          <w:p w14:paraId="28722DB3">
            <w:pPr>
              <w:adjustRightInd w:val="0"/>
              <w:snapToGrid w:val="0"/>
              <w:spacing w:line="240" w:lineRule="auto"/>
              <w:ind w:firstLine="0" w:firstLineChars="0"/>
              <w:jc w:val="center"/>
              <w:rPr>
                <w:bCs/>
                <w:sz w:val="21"/>
                <w:szCs w:val="21"/>
              </w:rPr>
            </w:pPr>
            <w:r>
              <w:rPr>
                <w:bCs/>
                <w:sz w:val="21"/>
                <w:szCs w:val="21"/>
              </w:rPr>
              <w:t>Ⅲ</w:t>
            </w:r>
          </w:p>
        </w:tc>
        <w:tc>
          <w:tcPr>
            <w:tcW w:w="902" w:type="pct"/>
            <w:tcMar>
              <w:left w:w="0" w:type="dxa"/>
              <w:right w:w="0" w:type="dxa"/>
            </w:tcMar>
            <w:vAlign w:val="center"/>
          </w:tcPr>
          <w:p w14:paraId="5905FAE5">
            <w:pPr>
              <w:adjustRightInd w:val="0"/>
              <w:snapToGrid w:val="0"/>
              <w:spacing w:line="240" w:lineRule="auto"/>
              <w:ind w:firstLine="0" w:firstLineChars="0"/>
              <w:jc w:val="center"/>
              <w:rPr>
                <w:bCs/>
                <w:sz w:val="21"/>
                <w:szCs w:val="21"/>
              </w:rPr>
            </w:pPr>
            <w:r>
              <w:rPr>
                <w:bCs/>
                <w:sz w:val="21"/>
                <w:szCs w:val="21"/>
              </w:rPr>
              <w:t>Ⅲ</w:t>
            </w:r>
          </w:p>
        </w:tc>
        <w:tc>
          <w:tcPr>
            <w:tcW w:w="901" w:type="pct"/>
            <w:tcMar>
              <w:left w:w="0" w:type="dxa"/>
              <w:right w:w="0" w:type="dxa"/>
            </w:tcMar>
            <w:vAlign w:val="center"/>
          </w:tcPr>
          <w:p w14:paraId="403A186D">
            <w:pPr>
              <w:adjustRightInd w:val="0"/>
              <w:snapToGrid w:val="0"/>
              <w:spacing w:line="240" w:lineRule="auto"/>
              <w:ind w:firstLine="0" w:firstLineChars="0"/>
              <w:jc w:val="center"/>
              <w:rPr>
                <w:bCs/>
                <w:sz w:val="21"/>
                <w:szCs w:val="21"/>
              </w:rPr>
            </w:pPr>
            <w:r>
              <w:rPr>
                <w:bCs/>
                <w:sz w:val="21"/>
                <w:szCs w:val="21"/>
              </w:rPr>
              <w:t>Ⅱ</w:t>
            </w:r>
          </w:p>
        </w:tc>
        <w:tc>
          <w:tcPr>
            <w:tcW w:w="902" w:type="pct"/>
            <w:tcMar>
              <w:left w:w="0" w:type="dxa"/>
              <w:right w:w="0" w:type="dxa"/>
            </w:tcMar>
            <w:vAlign w:val="center"/>
          </w:tcPr>
          <w:p w14:paraId="7620A914">
            <w:pPr>
              <w:adjustRightInd w:val="0"/>
              <w:snapToGrid w:val="0"/>
              <w:spacing w:line="240" w:lineRule="auto"/>
              <w:ind w:firstLine="0" w:firstLineChars="0"/>
              <w:jc w:val="center"/>
              <w:rPr>
                <w:bCs/>
                <w:sz w:val="21"/>
                <w:szCs w:val="21"/>
              </w:rPr>
            </w:pPr>
            <w:r>
              <w:rPr>
                <w:bCs/>
                <w:sz w:val="21"/>
                <w:szCs w:val="21"/>
              </w:rPr>
              <w:t>Ⅰ</w:t>
            </w:r>
          </w:p>
        </w:tc>
      </w:tr>
      <w:tr w14:paraId="7F641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Mar>
              <w:left w:w="0" w:type="dxa"/>
              <w:right w:w="0" w:type="dxa"/>
            </w:tcMar>
            <w:vAlign w:val="center"/>
          </w:tcPr>
          <w:p w14:paraId="79BC8BC5">
            <w:pPr>
              <w:adjustRightInd w:val="0"/>
              <w:snapToGrid w:val="0"/>
              <w:spacing w:line="240" w:lineRule="auto"/>
              <w:ind w:firstLine="0" w:firstLineChars="0"/>
              <w:rPr>
                <w:bCs/>
                <w:sz w:val="21"/>
                <w:szCs w:val="21"/>
              </w:rPr>
            </w:pPr>
            <w:r>
              <w:rPr>
                <w:bCs/>
                <w:sz w:val="21"/>
                <w:szCs w:val="21"/>
              </w:rPr>
              <w:t>注：Ⅳ</w:t>
            </w:r>
            <w:r>
              <w:rPr>
                <w:bCs/>
                <w:sz w:val="21"/>
                <w:szCs w:val="21"/>
                <w:vertAlign w:val="superscript"/>
              </w:rPr>
              <w:t>+</w:t>
            </w:r>
            <w:r>
              <w:rPr>
                <w:bCs/>
                <w:sz w:val="21"/>
                <w:szCs w:val="21"/>
              </w:rPr>
              <w:t>为极高环境风险</w:t>
            </w:r>
          </w:p>
        </w:tc>
      </w:tr>
    </w:tbl>
    <w:p w14:paraId="538F88D2">
      <w:pPr>
        <w:adjustRightInd w:val="0"/>
        <w:snapToGrid w:val="0"/>
        <w:spacing w:line="480" w:lineRule="exact"/>
        <w:ind w:firstLine="480"/>
      </w:pPr>
      <w:r>
        <w:rPr>
          <w:rFonts w:hint="eastAsia"/>
        </w:rPr>
        <w:t>（</w:t>
      </w:r>
      <w:r>
        <w:t>1</w:t>
      </w:r>
      <w:r>
        <w:rPr>
          <w:rFonts w:hint="eastAsia"/>
        </w:rPr>
        <w:t>）危险物质及工艺系统危险性（P）的判定</w:t>
      </w:r>
    </w:p>
    <w:p w14:paraId="43B48B15">
      <w:pPr>
        <w:adjustRightInd w:val="0"/>
        <w:snapToGrid w:val="0"/>
        <w:spacing w:line="480" w:lineRule="exact"/>
        <w:ind w:firstLine="480"/>
      </w:pPr>
      <w:r>
        <w:rPr>
          <w:rFonts w:hint="eastAsia"/>
        </w:rPr>
        <w:t>定量分析危险物质数量与临界量的比值（Q）和所属行业及生产工艺特点（M），按照表</w:t>
      </w:r>
      <w:r>
        <w:t>5.7-3</w:t>
      </w:r>
      <w:r>
        <w:rPr>
          <w:rFonts w:hint="eastAsia"/>
        </w:rPr>
        <w:t>判定。</w:t>
      </w:r>
    </w:p>
    <w:p w14:paraId="6A10C6AF">
      <w:pPr>
        <w:pStyle w:val="47"/>
        <w:spacing w:before="65"/>
      </w:pPr>
      <w:r>
        <w:rPr>
          <w:rFonts w:hint="eastAsia"/>
        </w:rPr>
        <w:t>表</w:t>
      </w:r>
      <w:r>
        <w:t xml:space="preserve">5.7-3   </w:t>
      </w:r>
      <w:r>
        <w:rPr>
          <w:rFonts w:hint="eastAsia"/>
        </w:rPr>
        <w:t>危险物质及工艺系统危险性等级判定（P）</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229"/>
        <w:gridCol w:w="1625"/>
        <w:gridCol w:w="1626"/>
        <w:gridCol w:w="1626"/>
        <w:gridCol w:w="1624"/>
      </w:tblGrid>
      <w:tr w14:paraId="335400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77" w:type="pct"/>
            <w:vMerge w:val="restart"/>
            <w:tcMar>
              <w:left w:w="0" w:type="dxa"/>
              <w:right w:w="0" w:type="dxa"/>
            </w:tcMar>
            <w:vAlign w:val="center"/>
          </w:tcPr>
          <w:p w14:paraId="6E5F1CC6">
            <w:pPr>
              <w:pStyle w:val="90"/>
            </w:pPr>
            <w:r>
              <w:t>危险物质数量</w:t>
            </w:r>
          </w:p>
          <w:p w14:paraId="1EE56E3A">
            <w:pPr>
              <w:pStyle w:val="90"/>
            </w:pPr>
            <w:r>
              <w:t>与临界量比值（Q）</w:t>
            </w:r>
          </w:p>
        </w:tc>
        <w:tc>
          <w:tcPr>
            <w:tcW w:w="3723" w:type="pct"/>
            <w:gridSpan w:val="4"/>
            <w:tcMar>
              <w:left w:w="0" w:type="dxa"/>
              <w:right w:w="0" w:type="dxa"/>
            </w:tcMar>
            <w:vAlign w:val="center"/>
          </w:tcPr>
          <w:p w14:paraId="439B2EBA">
            <w:pPr>
              <w:pStyle w:val="90"/>
            </w:pPr>
            <w:r>
              <w:t>行业及生产工艺（M）</w:t>
            </w:r>
          </w:p>
        </w:tc>
      </w:tr>
      <w:tr w14:paraId="2AD589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77" w:type="pct"/>
            <w:vMerge w:val="continue"/>
            <w:tcMar>
              <w:left w:w="0" w:type="dxa"/>
              <w:right w:w="0" w:type="dxa"/>
            </w:tcMar>
            <w:vAlign w:val="center"/>
          </w:tcPr>
          <w:p w14:paraId="0445E23C">
            <w:pPr>
              <w:pStyle w:val="90"/>
            </w:pPr>
          </w:p>
        </w:tc>
        <w:tc>
          <w:tcPr>
            <w:tcW w:w="931" w:type="pct"/>
            <w:tcMar>
              <w:left w:w="0" w:type="dxa"/>
              <w:right w:w="0" w:type="dxa"/>
            </w:tcMar>
            <w:vAlign w:val="center"/>
          </w:tcPr>
          <w:p w14:paraId="4C48E8B2">
            <w:pPr>
              <w:pStyle w:val="90"/>
            </w:pPr>
            <w:r>
              <w:t>M1</w:t>
            </w:r>
          </w:p>
        </w:tc>
        <w:tc>
          <w:tcPr>
            <w:tcW w:w="931" w:type="pct"/>
            <w:tcMar>
              <w:left w:w="0" w:type="dxa"/>
              <w:right w:w="0" w:type="dxa"/>
            </w:tcMar>
            <w:vAlign w:val="center"/>
          </w:tcPr>
          <w:p w14:paraId="5711758B">
            <w:pPr>
              <w:pStyle w:val="90"/>
            </w:pPr>
            <w:r>
              <w:t>M2</w:t>
            </w:r>
          </w:p>
        </w:tc>
        <w:tc>
          <w:tcPr>
            <w:tcW w:w="931" w:type="pct"/>
            <w:tcMar>
              <w:left w:w="0" w:type="dxa"/>
              <w:right w:w="0" w:type="dxa"/>
            </w:tcMar>
            <w:vAlign w:val="center"/>
          </w:tcPr>
          <w:p w14:paraId="65F988E8">
            <w:pPr>
              <w:pStyle w:val="90"/>
            </w:pPr>
            <w:r>
              <w:t>M3</w:t>
            </w:r>
          </w:p>
        </w:tc>
        <w:tc>
          <w:tcPr>
            <w:tcW w:w="930" w:type="pct"/>
            <w:tcMar>
              <w:left w:w="0" w:type="dxa"/>
              <w:right w:w="0" w:type="dxa"/>
            </w:tcMar>
            <w:vAlign w:val="center"/>
          </w:tcPr>
          <w:p w14:paraId="10E0B31A">
            <w:pPr>
              <w:pStyle w:val="90"/>
            </w:pPr>
            <w:r>
              <w:t>M4</w:t>
            </w:r>
          </w:p>
        </w:tc>
      </w:tr>
      <w:tr w14:paraId="68DDDC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77" w:type="pct"/>
            <w:tcMar>
              <w:left w:w="0" w:type="dxa"/>
              <w:right w:w="0" w:type="dxa"/>
            </w:tcMar>
            <w:vAlign w:val="center"/>
          </w:tcPr>
          <w:p w14:paraId="46124324">
            <w:pPr>
              <w:pStyle w:val="90"/>
            </w:pPr>
            <w:bookmarkStart w:id="541" w:name="_Hlk14346593"/>
            <w:r>
              <w:t>Q≥100</w:t>
            </w:r>
            <w:bookmarkEnd w:id="541"/>
          </w:p>
        </w:tc>
        <w:tc>
          <w:tcPr>
            <w:tcW w:w="931" w:type="pct"/>
            <w:tcMar>
              <w:left w:w="0" w:type="dxa"/>
              <w:right w:w="0" w:type="dxa"/>
            </w:tcMar>
            <w:vAlign w:val="center"/>
          </w:tcPr>
          <w:p w14:paraId="3697CEB5">
            <w:pPr>
              <w:pStyle w:val="90"/>
            </w:pPr>
            <w:r>
              <w:t>P1</w:t>
            </w:r>
          </w:p>
        </w:tc>
        <w:tc>
          <w:tcPr>
            <w:tcW w:w="931" w:type="pct"/>
            <w:shd w:val="clear" w:color="auto" w:fill="auto"/>
            <w:tcMar>
              <w:left w:w="0" w:type="dxa"/>
              <w:right w:w="0" w:type="dxa"/>
            </w:tcMar>
            <w:vAlign w:val="center"/>
          </w:tcPr>
          <w:p w14:paraId="55AECF50">
            <w:pPr>
              <w:pStyle w:val="90"/>
            </w:pPr>
            <w:r>
              <w:t>P1</w:t>
            </w:r>
          </w:p>
        </w:tc>
        <w:tc>
          <w:tcPr>
            <w:tcW w:w="931" w:type="pct"/>
            <w:tcMar>
              <w:left w:w="0" w:type="dxa"/>
              <w:right w:w="0" w:type="dxa"/>
            </w:tcMar>
            <w:vAlign w:val="center"/>
          </w:tcPr>
          <w:p w14:paraId="39F39A71">
            <w:pPr>
              <w:pStyle w:val="90"/>
            </w:pPr>
            <w:r>
              <w:t>P2</w:t>
            </w:r>
          </w:p>
        </w:tc>
        <w:tc>
          <w:tcPr>
            <w:tcW w:w="930" w:type="pct"/>
            <w:tcMar>
              <w:left w:w="0" w:type="dxa"/>
              <w:right w:w="0" w:type="dxa"/>
            </w:tcMar>
            <w:vAlign w:val="center"/>
          </w:tcPr>
          <w:p w14:paraId="361F1151">
            <w:pPr>
              <w:pStyle w:val="90"/>
            </w:pPr>
            <w:r>
              <w:t>P3</w:t>
            </w:r>
          </w:p>
        </w:tc>
      </w:tr>
      <w:tr w14:paraId="457A37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77" w:type="pct"/>
            <w:tcMar>
              <w:left w:w="0" w:type="dxa"/>
              <w:right w:w="0" w:type="dxa"/>
            </w:tcMar>
            <w:vAlign w:val="center"/>
          </w:tcPr>
          <w:p w14:paraId="39A36BD2">
            <w:pPr>
              <w:pStyle w:val="90"/>
            </w:pPr>
            <w:r>
              <w:t>10≤Q＜100</w:t>
            </w:r>
          </w:p>
        </w:tc>
        <w:tc>
          <w:tcPr>
            <w:tcW w:w="931" w:type="pct"/>
            <w:tcMar>
              <w:left w:w="0" w:type="dxa"/>
              <w:right w:w="0" w:type="dxa"/>
            </w:tcMar>
            <w:vAlign w:val="center"/>
          </w:tcPr>
          <w:p w14:paraId="680A8FD5">
            <w:pPr>
              <w:pStyle w:val="90"/>
            </w:pPr>
            <w:r>
              <w:t>P1</w:t>
            </w:r>
          </w:p>
        </w:tc>
        <w:tc>
          <w:tcPr>
            <w:tcW w:w="931" w:type="pct"/>
            <w:shd w:val="clear" w:color="auto" w:fill="auto"/>
            <w:tcMar>
              <w:left w:w="0" w:type="dxa"/>
              <w:right w:w="0" w:type="dxa"/>
            </w:tcMar>
            <w:vAlign w:val="center"/>
          </w:tcPr>
          <w:p w14:paraId="58ACDD8F">
            <w:pPr>
              <w:pStyle w:val="90"/>
            </w:pPr>
            <w:r>
              <w:t>P2</w:t>
            </w:r>
          </w:p>
        </w:tc>
        <w:tc>
          <w:tcPr>
            <w:tcW w:w="931" w:type="pct"/>
            <w:tcMar>
              <w:left w:w="0" w:type="dxa"/>
              <w:right w:w="0" w:type="dxa"/>
            </w:tcMar>
            <w:vAlign w:val="center"/>
          </w:tcPr>
          <w:p w14:paraId="34629E13">
            <w:pPr>
              <w:pStyle w:val="90"/>
            </w:pPr>
            <w:r>
              <w:t>P3</w:t>
            </w:r>
          </w:p>
        </w:tc>
        <w:tc>
          <w:tcPr>
            <w:tcW w:w="930" w:type="pct"/>
            <w:tcMar>
              <w:left w:w="0" w:type="dxa"/>
              <w:right w:w="0" w:type="dxa"/>
            </w:tcMar>
            <w:vAlign w:val="center"/>
          </w:tcPr>
          <w:p w14:paraId="14AD1A1A">
            <w:pPr>
              <w:pStyle w:val="90"/>
            </w:pPr>
            <w:r>
              <w:t>P4</w:t>
            </w:r>
          </w:p>
        </w:tc>
      </w:tr>
      <w:tr w14:paraId="490427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77" w:type="pct"/>
            <w:tcMar>
              <w:left w:w="0" w:type="dxa"/>
              <w:right w:w="0" w:type="dxa"/>
            </w:tcMar>
            <w:vAlign w:val="center"/>
          </w:tcPr>
          <w:p w14:paraId="56533C75">
            <w:pPr>
              <w:pStyle w:val="90"/>
            </w:pPr>
            <w:r>
              <w:t>1≤Q＜10</w:t>
            </w:r>
          </w:p>
        </w:tc>
        <w:tc>
          <w:tcPr>
            <w:tcW w:w="931" w:type="pct"/>
            <w:tcMar>
              <w:left w:w="0" w:type="dxa"/>
              <w:right w:w="0" w:type="dxa"/>
            </w:tcMar>
            <w:vAlign w:val="center"/>
          </w:tcPr>
          <w:p w14:paraId="4DB45863">
            <w:pPr>
              <w:pStyle w:val="90"/>
            </w:pPr>
            <w:r>
              <w:t>P2</w:t>
            </w:r>
          </w:p>
        </w:tc>
        <w:tc>
          <w:tcPr>
            <w:tcW w:w="931" w:type="pct"/>
            <w:tcMar>
              <w:left w:w="0" w:type="dxa"/>
              <w:right w:w="0" w:type="dxa"/>
            </w:tcMar>
            <w:vAlign w:val="center"/>
          </w:tcPr>
          <w:p w14:paraId="0C1176B0">
            <w:pPr>
              <w:pStyle w:val="90"/>
            </w:pPr>
            <w:r>
              <w:t>P3</w:t>
            </w:r>
          </w:p>
        </w:tc>
        <w:tc>
          <w:tcPr>
            <w:tcW w:w="931" w:type="pct"/>
            <w:tcMar>
              <w:left w:w="0" w:type="dxa"/>
              <w:right w:w="0" w:type="dxa"/>
            </w:tcMar>
            <w:vAlign w:val="center"/>
          </w:tcPr>
          <w:p w14:paraId="12A3B983">
            <w:pPr>
              <w:pStyle w:val="90"/>
            </w:pPr>
            <w:r>
              <w:t>P4</w:t>
            </w:r>
          </w:p>
        </w:tc>
        <w:tc>
          <w:tcPr>
            <w:tcW w:w="930" w:type="pct"/>
            <w:tcMar>
              <w:left w:w="0" w:type="dxa"/>
              <w:right w:w="0" w:type="dxa"/>
            </w:tcMar>
            <w:vAlign w:val="center"/>
          </w:tcPr>
          <w:p w14:paraId="21D48480">
            <w:pPr>
              <w:pStyle w:val="90"/>
            </w:pPr>
            <w:r>
              <w:t>P4</w:t>
            </w:r>
          </w:p>
        </w:tc>
      </w:tr>
    </w:tbl>
    <w:p w14:paraId="08B95C5F">
      <w:pPr>
        <w:ind w:firstLine="480"/>
      </w:pPr>
      <w:r>
        <w:rPr>
          <w:rFonts w:hint="eastAsia"/>
        </w:rPr>
        <w:t>①危险物质数量与临界量比值（Q）</w:t>
      </w:r>
    </w:p>
    <w:p w14:paraId="69015584">
      <w:pPr>
        <w:ind w:firstLine="480"/>
      </w:pPr>
      <w:r>
        <w:rPr>
          <w:rFonts w:hint="eastAsia"/>
        </w:rPr>
        <w:t>计算所涉及的每种危险物质在厂界内的最大存在总量与其在《建设项目环境风险评价技术导则》（HJ</w:t>
      </w:r>
      <w:r>
        <w:t>169-2018</w:t>
      </w:r>
      <w:r>
        <w:rPr>
          <w:rFonts w:hint="eastAsia"/>
        </w:rPr>
        <w:t>）附录B中对应临界量的比值Q。</w:t>
      </w:r>
    </w:p>
    <w:p w14:paraId="68469174">
      <w:pPr>
        <w:ind w:firstLine="480"/>
      </w:pPr>
      <w:r>
        <w:rPr>
          <w:rFonts w:hint="eastAsia"/>
        </w:rPr>
        <w:t>当只涉及一种危险物质时，计算该物质的总量与其临界量比值，即为Q；</w:t>
      </w:r>
    </w:p>
    <w:p w14:paraId="09C27E82">
      <w:pPr>
        <w:ind w:firstLine="480"/>
      </w:pPr>
      <w:r>
        <w:rPr>
          <w:rFonts w:hint="eastAsia"/>
        </w:rPr>
        <w:t>当存在多种危险物质时，则按式①计算物质总量与其临界量比值（Q）；</w:t>
      </w:r>
    </w:p>
    <w:p w14:paraId="088A56CA">
      <w:pPr>
        <w:ind w:firstLine="0" w:firstLineChars="0"/>
        <w:jc w:val="center"/>
      </w:pPr>
      <w:r>
        <w:rPr>
          <w:position w:val="-30"/>
        </w:rPr>
        <w:drawing>
          <wp:inline distT="0" distB="0" distL="114300" distR="114300">
            <wp:extent cx="1514475" cy="447675"/>
            <wp:effectExtent l="0" t="0" r="0" b="8255"/>
            <wp:docPr id="4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7"/>
                    <pic:cNvPicPr>
                      <a:picLocks noChangeAspect="1"/>
                    </pic:cNvPicPr>
                  </pic:nvPicPr>
                  <pic:blipFill>
                    <a:blip r:embed="rId98"/>
                    <a:stretch>
                      <a:fillRect/>
                    </a:stretch>
                  </pic:blipFill>
                  <pic:spPr>
                    <a:xfrm>
                      <a:off x="0" y="0"/>
                      <a:ext cx="1514475" cy="447675"/>
                    </a:xfrm>
                    <a:prstGeom prst="rect">
                      <a:avLst/>
                    </a:prstGeom>
                    <a:noFill/>
                    <a:ln>
                      <a:noFill/>
                    </a:ln>
                  </pic:spPr>
                </pic:pic>
              </a:graphicData>
            </a:graphic>
          </wp:inline>
        </w:drawing>
      </w:r>
      <w:r>
        <w:t xml:space="preserve">      </w:t>
      </w:r>
      <w:r>
        <w:rPr>
          <w:rFonts w:hint="eastAsia" w:ascii="宋体" w:hAnsi="宋体" w:cs="宋体"/>
        </w:rPr>
        <w:t>①</w:t>
      </w:r>
    </w:p>
    <w:p w14:paraId="6213CA49">
      <w:pPr>
        <w:ind w:firstLine="480"/>
      </w:pPr>
      <w:r>
        <w:rPr>
          <w:rFonts w:hint="eastAsia"/>
        </w:rPr>
        <w:t>式中：q</w:t>
      </w:r>
      <w:r>
        <w:rPr>
          <w:vertAlign w:val="subscript"/>
        </w:rPr>
        <w:t>1</w:t>
      </w:r>
      <w:r>
        <w:rPr>
          <w:rFonts w:hint="eastAsia"/>
        </w:rPr>
        <w:t>，q</w:t>
      </w:r>
      <w:r>
        <w:rPr>
          <w:vertAlign w:val="subscript"/>
        </w:rPr>
        <w:t>2</w:t>
      </w:r>
      <w:r>
        <w:rPr>
          <w:rFonts w:hint="eastAsia"/>
        </w:rPr>
        <w:t>，……，q</w:t>
      </w:r>
      <w:r>
        <w:rPr>
          <w:rFonts w:hint="eastAsia"/>
          <w:vertAlign w:val="subscript"/>
        </w:rPr>
        <w:t>n</w:t>
      </w:r>
      <w:r>
        <w:rPr>
          <w:rFonts w:hint="eastAsia"/>
        </w:rPr>
        <w:t>——每种危险物质的最大存在总量，t；</w:t>
      </w:r>
    </w:p>
    <w:p w14:paraId="1EFDC781">
      <w:pPr>
        <w:ind w:firstLine="480"/>
      </w:pPr>
      <w:r>
        <w:rPr>
          <w:rFonts w:hint="eastAsia"/>
        </w:rPr>
        <w:t xml:space="preserve"> </w:t>
      </w:r>
      <w:r>
        <w:t xml:space="preserve">     </w:t>
      </w:r>
      <w:r>
        <w:rPr>
          <w:rFonts w:hint="eastAsia"/>
        </w:rPr>
        <w:t>Q</w:t>
      </w:r>
      <w:r>
        <w:rPr>
          <w:vertAlign w:val="subscript"/>
        </w:rPr>
        <w:t>1</w:t>
      </w:r>
      <w:r>
        <w:rPr>
          <w:rFonts w:hint="eastAsia"/>
        </w:rPr>
        <w:t>，Q</w:t>
      </w:r>
      <w:r>
        <w:rPr>
          <w:vertAlign w:val="subscript"/>
        </w:rPr>
        <w:t>2</w:t>
      </w:r>
      <w:r>
        <w:rPr>
          <w:rFonts w:hint="eastAsia"/>
        </w:rPr>
        <w:t>，……Q</w:t>
      </w:r>
      <w:r>
        <w:rPr>
          <w:rFonts w:hint="eastAsia"/>
          <w:vertAlign w:val="subscript"/>
        </w:rPr>
        <w:t>n</w:t>
      </w:r>
      <w:r>
        <w:rPr>
          <w:rFonts w:hint="eastAsia"/>
        </w:rPr>
        <w:t>——每种危险物质的临界量，t。</w:t>
      </w:r>
    </w:p>
    <w:p w14:paraId="42C27C94">
      <w:pPr>
        <w:ind w:firstLine="480"/>
      </w:pPr>
      <w:r>
        <w:rPr>
          <w:rFonts w:hint="eastAsia"/>
        </w:rPr>
        <w:t xml:space="preserve"> </w:t>
      </w:r>
      <w:r>
        <w:t xml:space="preserve">     </w:t>
      </w:r>
      <w:r>
        <w:rPr>
          <w:rFonts w:hint="eastAsia"/>
        </w:rPr>
        <w:t>当Q＜</w:t>
      </w:r>
      <w:r>
        <w:t>1</w:t>
      </w:r>
      <w:r>
        <w:rPr>
          <w:rFonts w:hint="eastAsia"/>
        </w:rPr>
        <w:t>时，该项目风险潜势为</w:t>
      </w:r>
      <w:r>
        <w:t>Ⅰ</w:t>
      </w:r>
      <w:r>
        <w:rPr>
          <w:rFonts w:hint="eastAsia"/>
        </w:rPr>
        <w:t>。</w:t>
      </w:r>
    </w:p>
    <w:p w14:paraId="1D1082C2">
      <w:pPr>
        <w:ind w:firstLine="480"/>
      </w:pPr>
      <w:r>
        <w:rPr>
          <w:rFonts w:hint="eastAsia"/>
        </w:rPr>
        <w:t xml:space="preserve"> </w:t>
      </w:r>
      <w:r>
        <w:t xml:space="preserve">     </w:t>
      </w:r>
      <w:r>
        <w:rPr>
          <w:rFonts w:hint="eastAsia"/>
        </w:rPr>
        <w:t>当Q≥</w:t>
      </w:r>
      <w:r>
        <w:t>1</w:t>
      </w:r>
      <w:r>
        <w:rPr>
          <w:rFonts w:hint="eastAsia"/>
        </w:rPr>
        <w:t>时，将Q值划分为：（1）1≤Q＜1</w:t>
      </w:r>
      <w:r>
        <w:t>0</w:t>
      </w:r>
      <w:r>
        <w:rPr>
          <w:rFonts w:hint="eastAsia"/>
        </w:rPr>
        <w:t>；（2）10≤Q＜100；（3）Q≥100。</w:t>
      </w:r>
    </w:p>
    <w:p w14:paraId="0E9C8280">
      <w:pPr>
        <w:ind w:firstLine="480"/>
      </w:pPr>
      <w:r>
        <w:rPr>
          <w:rFonts w:hint="eastAsia"/>
        </w:rPr>
        <w:t>本</w:t>
      </w:r>
      <w:r>
        <w:t>项目涉及</w:t>
      </w:r>
      <w:r>
        <w:rPr>
          <w:rFonts w:hint="eastAsia"/>
        </w:rPr>
        <w:t>风险导则附录B中所列</w:t>
      </w:r>
      <w:r>
        <w:t>的</w:t>
      </w:r>
      <w:r>
        <w:rPr>
          <w:rFonts w:hint="eastAsia"/>
        </w:rPr>
        <w:t>危险物质减线油、润滑油和润滑脂，均属于油类物质，密度为0</w:t>
      </w:r>
      <w:r>
        <w:t>.848</w:t>
      </w:r>
      <w:r>
        <w:rPr>
          <w:rFonts w:hint="eastAsia"/>
        </w:rPr>
        <w:t>t</w:t>
      </w:r>
      <w:r>
        <w:t>/m</w:t>
      </w:r>
      <w:r>
        <w:rPr>
          <w:vertAlign w:val="superscript"/>
        </w:rPr>
        <w:t>3</w:t>
      </w:r>
      <w:r>
        <w:rPr>
          <w:rFonts w:hint="eastAsia"/>
        </w:rPr>
        <w:t>，临界量为</w:t>
      </w:r>
      <w:r>
        <w:t>2500</w:t>
      </w:r>
      <w:r>
        <w:rPr>
          <w:rFonts w:hint="eastAsia"/>
        </w:rPr>
        <w:t>t；硫酸，密度为</w:t>
      </w:r>
      <w:r>
        <w:t>1.8035</w:t>
      </w:r>
      <w:r>
        <w:rPr>
          <w:rFonts w:hint="eastAsia"/>
        </w:rPr>
        <w:t>t</w:t>
      </w:r>
      <w:r>
        <w:t>/m</w:t>
      </w:r>
      <w:r>
        <w:rPr>
          <w:vertAlign w:val="superscript"/>
        </w:rPr>
        <w:t>3</w:t>
      </w:r>
      <w:r>
        <w:rPr>
          <w:rFonts w:hint="eastAsia"/>
        </w:rPr>
        <w:t>，临界量1</w:t>
      </w:r>
      <w:r>
        <w:t>0</w:t>
      </w:r>
      <w:r>
        <w:rPr>
          <w:rFonts w:hint="eastAsia"/>
        </w:rPr>
        <w:t>t；天然气中涉及甲烷，最大存量为缓冲罐中的1</w:t>
      </w:r>
      <w:r>
        <w:t>0</w:t>
      </w:r>
      <w:r>
        <w:rPr>
          <w:rFonts w:hint="eastAsia"/>
        </w:rPr>
        <w:t>m</w:t>
      </w:r>
      <w:r>
        <w:rPr>
          <w:vertAlign w:val="superscript"/>
        </w:rPr>
        <w:t>3</w:t>
      </w:r>
      <w:r>
        <w:rPr>
          <w:rFonts w:hint="eastAsia"/>
        </w:rPr>
        <w:t>，密度为0</w:t>
      </w:r>
      <w:r>
        <w:t>.7174</w:t>
      </w:r>
      <w:r>
        <w:rPr>
          <w:rFonts w:hint="eastAsia"/>
        </w:rPr>
        <w:t>kg</w:t>
      </w:r>
      <w:r>
        <w:t>/</w:t>
      </w:r>
      <w:r>
        <w:rPr>
          <w:rFonts w:hint="eastAsia"/>
        </w:rPr>
        <w:t>m</w:t>
      </w:r>
      <w:r>
        <w:rPr>
          <w:vertAlign w:val="superscript"/>
        </w:rPr>
        <w:t>3</w:t>
      </w:r>
      <w:r>
        <w:rPr>
          <w:rFonts w:hint="eastAsia"/>
        </w:rPr>
        <w:t>，7</w:t>
      </w:r>
      <w:r>
        <w:t>.174</w:t>
      </w:r>
      <w:r>
        <w:rPr>
          <w:rFonts w:hint="eastAsia"/>
        </w:rPr>
        <w:t>kg，临界量为1</w:t>
      </w:r>
      <w:r>
        <w:t>0</w:t>
      </w:r>
      <w:r>
        <w:rPr>
          <w:rFonts w:hint="eastAsia"/>
        </w:rPr>
        <w:t>t</w:t>
      </w:r>
      <w:r>
        <w:t>。</w:t>
      </w:r>
      <w:r>
        <w:rPr>
          <w:rFonts w:hint="eastAsia"/>
        </w:rPr>
        <w:t>本项目Q值的计算结果见下表</w:t>
      </w:r>
      <w:r>
        <w:t>。</w:t>
      </w:r>
    </w:p>
    <w:p w14:paraId="6E818761">
      <w:pPr>
        <w:pStyle w:val="47"/>
        <w:spacing w:before="65"/>
      </w:pPr>
      <w:r>
        <w:rPr>
          <w:rFonts w:hint="eastAsia"/>
        </w:rPr>
        <w:t>表5</w:t>
      </w:r>
      <w:r>
        <w:t xml:space="preserve">.7-4   </w:t>
      </w:r>
      <w:r>
        <w:rPr>
          <w:rFonts w:hint="eastAsia"/>
        </w:rPr>
        <w:t>临界比Q计算一览表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54"/>
        <w:gridCol w:w="1877"/>
        <w:gridCol w:w="2682"/>
        <w:gridCol w:w="1276"/>
        <w:gridCol w:w="1641"/>
      </w:tblGrid>
      <w:tr w14:paraId="1CBB81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18" w:type="pct"/>
            <w:vAlign w:val="center"/>
          </w:tcPr>
          <w:p w14:paraId="50C680CF">
            <w:pPr>
              <w:pStyle w:val="90"/>
            </w:pPr>
            <w:r>
              <w:rPr>
                <w:rFonts w:hint="eastAsia"/>
              </w:rPr>
              <w:t>物质名称</w:t>
            </w:r>
          </w:p>
        </w:tc>
        <w:tc>
          <w:tcPr>
            <w:tcW w:w="1075" w:type="pct"/>
            <w:vAlign w:val="center"/>
          </w:tcPr>
          <w:p w14:paraId="25511787">
            <w:pPr>
              <w:pStyle w:val="90"/>
            </w:pPr>
            <w:r>
              <w:rPr>
                <w:rFonts w:hint="eastAsia"/>
              </w:rPr>
              <w:t>不同物料存量/m</w:t>
            </w:r>
            <w:r>
              <w:rPr>
                <w:vertAlign w:val="superscript"/>
              </w:rPr>
              <w:t>3</w:t>
            </w:r>
          </w:p>
        </w:tc>
        <w:tc>
          <w:tcPr>
            <w:tcW w:w="1536" w:type="pct"/>
          </w:tcPr>
          <w:p w14:paraId="5ACBCE83">
            <w:pPr>
              <w:pStyle w:val="90"/>
            </w:pPr>
            <w:r>
              <w:rPr>
                <w:rFonts w:hint="eastAsia"/>
              </w:rPr>
              <w:t>折合后最大储存量q</w:t>
            </w:r>
            <w:r>
              <w:rPr>
                <w:rFonts w:hint="eastAsia"/>
                <w:vertAlign w:val="subscript"/>
              </w:rPr>
              <w:t>n</w:t>
            </w:r>
            <w:r>
              <w:rPr>
                <w:rFonts w:hint="eastAsia"/>
              </w:rPr>
              <w:t>（</w:t>
            </w:r>
            <w:r>
              <w:t>t</w:t>
            </w:r>
            <w:r>
              <w:rPr>
                <w:rFonts w:hint="eastAsia"/>
              </w:rPr>
              <w:t>）</w:t>
            </w:r>
          </w:p>
        </w:tc>
        <w:tc>
          <w:tcPr>
            <w:tcW w:w="731" w:type="pct"/>
            <w:vAlign w:val="center"/>
          </w:tcPr>
          <w:p w14:paraId="3DDCB8E9">
            <w:pPr>
              <w:pStyle w:val="90"/>
            </w:pPr>
            <w:r>
              <w:rPr>
                <w:rFonts w:hint="eastAsia"/>
              </w:rPr>
              <w:t>临界量Q</w:t>
            </w:r>
            <w:r>
              <w:rPr>
                <w:rFonts w:hint="eastAsia"/>
                <w:vertAlign w:val="subscript"/>
              </w:rPr>
              <w:t>n</w:t>
            </w:r>
            <w:r>
              <w:rPr>
                <w:rFonts w:hint="eastAsia"/>
              </w:rPr>
              <w:t>（</w:t>
            </w:r>
            <w:r>
              <w:t>t</w:t>
            </w:r>
            <w:r>
              <w:rPr>
                <w:rFonts w:hint="eastAsia"/>
              </w:rPr>
              <w:t>）</w:t>
            </w:r>
          </w:p>
        </w:tc>
        <w:tc>
          <w:tcPr>
            <w:tcW w:w="940" w:type="pct"/>
            <w:vAlign w:val="center"/>
          </w:tcPr>
          <w:p w14:paraId="48F0014E">
            <w:pPr>
              <w:pStyle w:val="90"/>
            </w:pPr>
            <w:r>
              <w:rPr>
                <w:rFonts w:hint="eastAsia"/>
              </w:rPr>
              <w:t>Q值</w:t>
            </w:r>
          </w:p>
        </w:tc>
      </w:tr>
      <w:tr w14:paraId="3F6E34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52" w:hRule="atLeast"/>
          <w:tblHeader/>
          <w:jc w:val="center"/>
        </w:trPr>
        <w:tc>
          <w:tcPr>
            <w:tcW w:w="718" w:type="pct"/>
            <w:vAlign w:val="center"/>
          </w:tcPr>
          <w:p w14:paraId="43219C30">
            <w:pPr>
              <w:pStyle w:val="90"/>
            </w:pPr>
            <w:r>
              <w:rPr>
                <w:rFonts w:hint="eastAsia"/>
              </w:rPr>
              <w:t>减线油</w:t>
            </w:r>
          </w:p>
        </w:tc>
        <w:tc>
          <w:tcPr>
            <w:tcW w:w="1075" w:type="pct"/>
            <w:vAlign w:val="center"/>
          </w:tcPr>
          <w:p w14:paraId="038B58DD">
            <w:pPr>
              <w:pStyle w:val="90"/>
            </w:pPr>
            <w:r>
              <w:rPr>
                <w:rFonts w:hint="eastAsia"/>
              </w:rPr>
              <w:t>23200</w:t>
            </w:r>
          </w:p>
        </w:tc>
        <w:tc>
          <w:tcPr>
            <w:tcW w:w="1536" w:type="pct"/>
          </w:tcPr>
          <w:p w14:paraId="0882CCDA">
            <w:pPr>
              <w:pStyle w:val="90"/>
            </w:pPr>
            <w:r>
              <w:rPr>
                <w:rFonts w:hint="eastAsia"/>
              </w:rPr>
              <w:t>19673.6</w:t>
            </w:r>
          </w:p>
        </w:tc>
        <w:tc>
          <w:tcPr>
            <w:tcW w:w="731" w:type="pct"/>
            <w:vAlign w:val="center"/>
          </w:tcPr>
          <w:p w14:paraId="4622C611">
            <w:pPr>
              <w:pStyle w:val="90"/>
            </w:pPr>
            <w:r>
              <w:t>2500</w:t>
            </w:r>
          </w:p>
        </w:tc>
        <w:tc>
          <w:tcPr>
            <w:tcW w:w="940" w:type="pct"/>
            <w:vAlign w:val="center"/>
          </w:tcPr>
          <w:p w14:paraId="1F4A65CC">
            <w:pPr>
              <w:pStyle w:val="90"/>
            </w:pPr>
            <w:r>
              <w:rPr>
                <w:rFonts w:hint="eastAsia"/>
              </w:rPr>
              <w:t>7.87</w:t>
            </w:r>
          </w:p>
        </w:tc>
      </w:tr>
      <w:tr w14:paraId="093D10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52" w:hRule="atLeast"/>
          <w:tblHeader/>
          <w:jc w:val="center"/>
        </w:trPr>
        <w:tc>
          <w:tcPr>
            <w:tcW w:w="718" w:type="pct"/>
            <w:vAlign w:val="center"/>
          </w:tcPr>
          <w:p w14:paraId="4334C6C7">
            <w:pPr>
              <w:pStyle w:val="90"/>
            </w:pPr>
            <w:r>
              <w:rPr>
                <w:rFonts w:hint="eastAsia"/>
              </w:rPr>
              <w:t>硫酸</w:t>
            </w:r>
          </w:p>
        </w:tc>
        <w:tc>
          <w:tcPr>
            <w:tcW w:w="1075" w:type="pct"/>
            <w:vAlign w:val="center"/>
          </w:tcPr>
          <w:p w14:paraId="01B0DD53">
            <w:pPr>
              <w:pStyle w:val="90"/>
            </w:pPr>
            <w:r>
              <w:t>10</w:t>
            </w:r>
          </w:p>
        </w:tc>
        <w:tc>
          <w:tcPr>
            <w:tcW w:w="1536" w:type="pct"/>
          </w:tcPr>
          <w:p w14:paraId="67E8B2F8">
            <w:pPr>
              <w:pStyle w:val="90"/>
            </w:pPr>
            <w:r>
              <w:t>18.305</w:t>
            </w:r>
          </w:p>
        </w:tc>
        <w:tc>
          <w:tcPr>
            <w:tcW w:w="731" w:type="pct"/>
            <w:vAlign w:val="center"/>
          </w:tcPr>
          <w:p w14:paraId="75CFAF9F">
            <w:pPr>
              <w:pStyle w:val="90"/>
            </w:pPr>
            <w:r>
              <w:t>10</w:t>
            </w:r>
          </w:p>
        </w:tc>
        <w:tc>
          <w:tcPr>
            <w:tcW w:w="940" w:type="pct"/>
            <w:vAlign w:val="center"/>
          </w:tcPr>
          <w:p w14:paraId="6C71822E">
            <w:pPr>
              <w:pStyle w:val="90"/>
            </w:pPr>
            <w:r>
              <w:rPr>
                <w:rFonts w:hint="eastAsia"/>
              </w:rPr>
              <w:t>1</w:t>
            </w:r>
            <w:r>
              <w:t>.83</w:t>
            </w:r>
          </w:p>
        </w:tc>
      </w:tr>
      <w:tr w14:paraId="0F2421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52" w:hRule="atLeast"/>
          <w:tblHeader/>
          <w:jc w:val="center"/>
        </w:trPr>
        <w:tc>
          <w:tcPr>
            <w:tcW w:w="718" w:type="pct"/>
            <w:vAlign w:val="center"/>
          </w:tcPr>
          <w:p w14:paraId="6B6529C4">
            <w:pPr>
              <w:pStyle w:val="90"/>
            </w:pPr>
            <w:r>
              <w:rPr>
                <w:rFonts w:hint="eastAsia"/>
              </w:rPr>
              <w:t>甲烷</w:t>
            </w:r>
          </w:p>
        </w:tc>
        <w:tc>
          <w:tcPr>
            <w:tcW w:w="1075" w:type="pct"/>
            <w:vAlign w:val="center"/>
          </w:tcPr>
          <w:p w14:paraId="11216618">
            <w:pPr>
              <w:pStyle w:val="90"/>
            </w:pPr>
            <w:r>
              <w:rPr>
                <w:rFonts w:hint="eastAsia"/>
              </w:rPr>
              <w:t>1</w:t>
            </w:r>
            <w:r>
              <w:t>0</w:t>
            </w:r>
          </w:p>
        </w:tc>
        <w:tc>
          <w:tcPr>
            <w:tcW w:w="1536" w:type="pct"/>
          </w:tcPr>
          <w:p w14:paraId="0F70C4A7">
            <w:pPr>
              <w:pStyle w:val="90"/>
            </w:pPr>
            <w:r>
              <w:t>0.007174</w:t>
            </w:r>
          </w:p>
        </w:tc>
        <w:tc>
          <w:tcPr>
            <w:tcW w:w="731" w:type="pct"/>
            <w:vAlign w:val="center"/>
          </w:tcPr>
          <w:p w14:paraId="0476583B">
            <w:pPr>
              <w:pStyle w:val="90"/>
            </w:pPr>
            <w:r>
              <w:rPr>
                <w:rFonts w:hint="eastAsia"/>
              </w:rPr>
              <w:t>1</w:t>
            </w:r>
            <w:r>
              <w:t>0</w:t>
            </w:r>
          </w:p>
        </w:tc>
        <w:tc>
          <w:tcPr>
            <w:tcW w:w="940" w:type="pct"/>
            <w:vAlign w:val="center"/>
          </w:tcPr>
          <w:p w14:paraId="2728E324">
            <w:pPr>
              <w:pStyle w:val="90"/>
            </w:pPr>
            <w:r>
              <w:rPr>
                <w:rFonts w:hint="eastAsia"/>
              </w:rPr>
              <w:t>0</w:t>
            </w:r>
            <w:r>
              <w:t>.007</w:t>
            </w:r>
          </w:p>
        </w:tc>
      </w:tr>
      <w:tr w14:paraId="2DBD65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52" w:hRule="atLeast"/>
          <w:tblHeader/>
          <w:jc w:val="center"/>
        </w:trPr>
        <w:tc>
          <w:tcPr>
            <w:tcW w:w="1" w:type="pct"/>
            <w:gridSpan w:val="4"/>
            <w:vAlign w:val="center"/>
          </w:tcPr>
          <w:p w14:paraId="450C35F3">
            <w:pPr>
              <w:pStyle w:val="90"/>
            </w:pPr>
            <w:r>
              <w:rPr>
                <w:rFonts w:hint="eastAsia"/>
              </w:rPr>
              <w:t>合计</w:t>
            </w:r>
          </w:p>
        </w:tc>
        <w:tc>
          <w:tcPr>
            <w:tcW w:w="940" w:type="pct"/>
            <w:vAlign w:val="center"/>
          </w:tcPr>
          <w:p w14:paraId="4C69F097">
            <w:pPr>
              <w:pStyle w:val="90"/>
            </w:pPr>
            <w:r>
              <w:rPr>
                <w:rFonts w:hint="eastAsia"/>
              </w:rPr>
              <w:t>9.7</w:t>
            </w:r>
            <w:r>
              <w:t>07</w:t>
            </w:r>
          </w:p>
        </w:tc>
      </w:tr>
    </w:tbl>
    <w:p w14:paraId="5127D577">
      <w:pPr>
        <w:ind w:firstLine="480"/>
      </w:pPr>
      <w:r>
        <w:rPr>
          <w:rFonts w:hint="eastAsia"/>
        </w:rPr>
        <w:t>②行业及生产工艺（M）</w:t>
      </w:r>
    </w:p>
    <w:p w14:paraId="7D4EB0D8">
      <w:pPr>
        <w:ind w:firstLine="480"/>
      </w:pPr>
      <w:r>
        <w:rPr>
          <w:rFonts w:hint="eastAsia"/>
        </w:rPr>
        <w:t>根据风险导则附录C，分析项目所属行业及生产工艺特点，按照表</w:t>
      </w:r>
      <w:r>
        <w:t>5.7-5</w:t>
      </w:r>
      <w:r>
        <w:rPr>
          <w:rFonts w:hint="eastAsia"/>
        </w:rPr>
        <w:t>评估生产工艺情况。具有多套工艺单元的项目，对每套生产工艺分别求和。将M划分为（1）M＞2</w:t>
      </w:r>
      <w:r>
        <w:t>0</w:t>
      </w:r>
      <w:r>
        <w:rPr>
          <w:rFonts w:hint="eastAsia"/>
        </w:rPr>
        <w:t>；（2）1</w:t>
      </w:r>
      <w:r>
        <w:t>0</w:t>
      </w:r>
      <w:r>
        <w:rPr>
          <w:rFonts w:hint="eastAsia"/>
        </w:rPr>
        <w:t>＜M≤2</w:t>
      </w:r>
      <w:r>
        <w:t>0</w:t>
      </w:r>
      <w:r>
        <w:rPr>
          <w:rFonts w:hint="eastAsia"/>
        </w:rPr>
        <w:t>；（3）5＜M≤1</w:t>
      </w:r>
      <w:r>
        <w:t>0</w:t>
      </w:r>
      <w:r>
        <w:rPr>
          <w:rFonts w:hint="eastAsia"/>
        </w:rPr>
        <w:t>；（4）M=</w:t>
      </w:r>
      <w:r>
        <w:t>5</w:t>
      </w:r>
      <w:r>
        <w:rPr>
          <w:rFonts w:hint="eastAsia"/>
        </w:rPr>
        <w:t>，分别以M</w:t>
      </w:r>
      <w:r>
        <w:t>1</w:t>
      </w:r>
      <w:r>
        <w:rPr>
          <w:rFonts w:hint="eastAsia"/>
        </w:rPr>
        <w:t>、M</w:t>
      </w:r>
      <w:r>
        <w:t>2</w:t>
      </w:r>
      <w:r>
        <w:rPr>
          <w:rFonts w:hint="eastAsia"/>
        </w:rPr>
        <w:t>、M</w:t>
      </w:r>
      <w:r>
        <w:t>3</w:t>
      </w:r>
      <w:r>
        <w:rPr>
          <w:rFonts w:hint="eastAsia"/>
        </w:rPr>
        <w:t>和M</w:t>
      </w:r>
      <w:r>
        <w:t>4</w:t>
      </w:r>
      <w:r>
        <w:rPr>
          <w:rFonts w:hint="eastAsia"/>
        </w:rPr>
        <w:t>表示。</w:t>
      </w:r>
    </w:p>
    <w:p w14:paraId="4C9E24D9">
      <w:pPr>
        <w:pStyle w:val="47"/>
        <w:spacing w:before="65"/>
      </w:pPr>
      <w:r>
        <w:rPr>
          <w:rFonts w:hint="eastAsia"/>
        </w:rPr>
        <w:t>表5</w:t>
      </w:r>
      <w:r>
        <w:t xml:space="preserve">.7-5   </w:t>
      </w:r>
      <w:r>
        <w:rPr>
          <w:rFonts w:hint="eastAsia"/>
        </w:rPr>
        <w:t>行业及生产工艺（M）</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400"/>
        <w:gridCol w:w="6708"/>
        <w:gridCol w:w="622"/>
      </w:tblGrid>
      <w:tr w14:paraId="3F0D5A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7" w:hRule="exact"/>
        </w:trPr>
        <w:tc>
          <w:tcPr>
            <w:tcW w:w="802" w:type="pct"/>
            <w:vAlign w:val="center"/>
          </w:tcPr>
          <w:p w14:paraId="49E2EEEF">
            <w:pPr>
              <w:pStyle w:val="90"/>
            </w:pPr>
            <w:r>
              <w:rPr>
                <w:rFonts w:hint="eastAsia"/>
              </w:rPr>
              <w:t>行业</w:t>
            </w:r>
          </w:p>
        </w:tc>
        <w:tc>
          <w:tcPr>
            <w:tcW w:w="3842" w:type="pct"/>
            <w:vAlign w:val="center"/>
          </w:tcPr>
          <w:p w14:paraId="1E51F146">
            <w:pPr>
              <w:pStyle w:val="90"/>
            </w:pPr>
            <w:r>
              <w:rPr>
                <w:rFonts w:hint="eastAsia"/>
              </w:rPr>
              <w:t>评估依据</w:t>
            </w:r>
          </w:p>
        </w:tc>
        <w:tc>
          <w:tcPr>
            <w:tcW w:w="356" w:type="pct"/>
            <w:vAlign w:val="center"/>
          </w:tcPr>
          <w:p w14:paraId="3EE8AF4A">
            <w:pPr>
              <w:pStyle w:val="90"/>
            </w:pPr>
            <w:r>
              <w:rPr>
                <w:rFonts w:hint="eastAsia"/>
              </w:rPr>
              <w:t>分值</w:t>
            </w:r>
          </w:p>
        </w:tc>
      </w:tr>
      <w:tr w14:paraId="4DED528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284" w:hRule="exact"/>
        </w:trPr>
        <w:tc>
          <w:tcPr>
            <w:tcW w:w="802" w:type="pct"/>
            <w:vMerge w:val="restart"/>
            <w:vAlign w:val="center"/>
          </w:tcPr>
          <w:p w14:paraId="0F9791B5">
            <w:pPr>
              <w:pStyle w:val="90"/>
            </w:pPr>
            <w:r>
              <w:rPr>
                <w:rFonts w:hint="eastAsia"/>
              </w:rPr>
              <w:t>石化、化工、医药、轻工、化纤、有色冶炼等</w:t>
            </w:r>
          </w:p>
        </w:tc>
        <w:tc>
          <w:tcPr>
            <w:tcW w:w="3842" w:type="pct"/>
            <w:vAlign w:val="center"/>
          </w:tcPr>
          <w:p w14:paraId="0FE50580">
            <w:pPr>
              <w:pStyle w:val="90"/>
            </w:pPr>
            <w:r>
              <w:rPr>
                <w:rFonts w:hint="eastAsi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356" w:type="pct"/>
            <w:vAlign w:val="center"/>
          </w:tcPr>
          <w:p w14:paraId="459CDA49">
            <w:pPr>
              <w:pStyle w:val="90"/>
            </w:pPr>
            <w:r>
              <w:t>10/</w:t>
            </w:r>
            <w:r>
              <w:rPr>
                <w:rFonts w:hint="eastAsia"/>
              </w:rPr>
              <w:t>套</w:t>
            </w:r>
          </w:p>
        </w:tc>
      </w:tr>
      <w:tr w14:paraId="404264B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1" w:hRule="exact"/>
        </w:trPr>
        <w:tc>
          <w:tcPr>
            <w:tcW w:w="802" w:type="pct"/>
            <w:vMerge w:val="continue"/>
            <w:vAlign w:val="center"/>
          </w:tcPr>
          <w:p w14:paraId="31336FD8">
            <w:pPr>
              <w:pStyle w:val="90"/>
            </w:pPr>
          </w:p>
        </w:tc>
        <w:tc>
          <w:tcPr>
            <w:tcW w:w="3842" w:type="pct"/>
            <w:vAlign w:val="center"/>
          </w:tcPr>
          <w:p w14:paraId="299D5D89">
            <w:pPr>
              <w:pStyle w:val="90"/>
            </w:pPr>
            <w:r>
              <w:rPr>
                <w:rFonts w:hint="eastAsia"/>
              </w:rPr>
              <w:t>无机酸制酸工艺、焦化工艺</w:t>
            </w:r>
          </w:p>
        </w:tc>
        <w:tc>
          <w:tcPr>
            <w:tcW w:w="356" w:type="pct"/>
            <w:vAlign w:val="center"/>
          </w:tcPr>
          <w:p w14:paraId="5C7DA1C9">
            <w:pPr>
              <w:pStyle w:val="90"/>
            </w:pPr>
            <w:r>
              <w:t>5/</w:t>
            </w:r>
            <w:r>
              <w:rPr>
                <w:rFonts w:hint="eastAsia"/>
              </w:rPr>
              <w:t>套</w:t>
            </w:r>
          </w:p>
        </w:tc>
      </w:tr>
      <w:tr w14:paraId="466B592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87" w:hRule="exact"/>
        </w:trPr>
        <w:tc>
          <w:tcPr>
            <w:tcW w:w="802" w:type="pct"/>
            <w:vMerge w:val="continue"/>
            <w:vAlign w:val="center"/>
          </w:tcPr>
          <w:p w14:paraId="581A3F10">
            <w:pPr>
              <w:pStyle w:val="90"/>
            </w:pPr>
          </w:p>
        </w:tc>
        <w:tc>
          <w:tcPr>
            <w:tcW w:w="3842" w:type="pct"/>
            <w:vAlign w:val="center"/>
          </w:tcPr>
          <w:p w14:paraId="713E60D6">
            <w:pPr>
              <w:pStyle w:val="90"/>
            </w:pPr>
            <w:r>
              <w:rPr>
                <w:rFonts w:hint="eastAsia"/>
              </w:rPr>
              <w:t>其他高温或高压，且涉及危险物质的工艺过程</w:t>
            </w:r>
            <w:r>
              <w:rPr>
                <w:vertAlign w:val="superscript"/>
              </w:rPr>
              <w:t>a</w:t>
            </w:r>
            <w:r>
              <w:rPr>
                <w:rFonts w:hint="eastAsia"/>
              </w:rPr>
              <w:t>、危险物质贮存罐区</w:t>
            </w:r>
          </w:p>
        </w:tc>
        <w:tc>
          <w:tcPr>
            <w:tcW w:w="356" w:type="pct"/>
            <w:vAlign w:val="center"/>
          </w:tcPr>
          <w:p w14:paraId="756E3B77">
            <w:pPr>
              <w:pStyle w:val="90"/>
            </w:pPr>
            <w:r>
              <w:t>5/</w:t>
            </w:r>
            <w:r>
              <w:rPr>
                <w:rFonts w:hint="eastAsia"/>
              </w:rPr>
              <w:t>套（罐区）</w:t>
            </w:r>
          </w:p>
        </w:tc>
      </w:tr>
      <w:tr w14:paraId="1D3376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exact"/>
        </w:trPr>
        <w:tc>
          <w:tcPr>
            <w:tcW w:w="802" w:type="pct"/>
            <w:vAlign w:val="center"/>
          </w:tcPr>
          <w:p w14:paraId="47F60951">
            <w:pPr>
              <w:pStyle w:val="90"/>
            </w:pPr>
            <w:r>
              <w:rPr>
                <w:rFonts w:hint="eastAsia"/>
              </w:rPr>
              <w:t>管道、港口</w:t>
            </w:r>
            <w:r>
              <w:t>/</w:t>
            </w:r>
            <w:r>
              <w:rPr>
                <w:rFonts w:hint="eastAsia"/>
              </w:rPr>
              <w:t>码头等</w:t>
            </w:r>
          </w:p>
        </w:tc>
        <w:tc>
          <w:tcPr>
            <w:tcW w:w="3842" w:type="pct"/>
            <w:vAlign w:val="center"/>
          </w:tcPr>
          <w:p w14:paraId="5FCEF7DD">
            <w:pPr>
              <w:pStyle w:val="90"/>
            </w:pPr>
            <w:r>
              <w:rPr>
                <w:rFonts w:hint="eastAsia"/>
              </w:rPr>
              <w:t>涉及危险物质管道运输项目、港口</w:t>
            </w:r>
            <w:r>
              <w:t>/</w:t>
            </w:r>
            <w:r>
              <w:rPr>
                <w:rFonts w:hint="eastAsia"/>
              </w:rPr>
              <w:t>码头等</w:t>
            </w:r>
          </w:p>
        </w:tc>
        <w:tc>
          <w:tcPr>
            <w:tcW w:w="356" w:type="pct"/>
            <w:vAlign w:val="center"/>
          </w:tcPr>
          <w:p w14:paraId="25095410">
            <w:pPr>
              <w:pStyle w:val="90"/>
            </w:pPr>
            <w:r>
              <w:t>10</w:t>
            </w:r>
          </w:p>
        </w:tc>
      </w:tr>
      <w:tr w14:paraId="4034985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9" w:hRule="exact"/>
        </w:trPr>
        <w:tc>
          <w:tcPr>
            <w:tcW w:w="802" w:type="pct"/>
            <w:vAlign w:val="center"/>
          </w:tcPr>
          <w:p w14:paraId="16126B6E">
            <w:pPr>
              <w:pStyle w:val="90"/>
            </w:pPr>
            <w:r>
              <w:rPr>
                <w:rFonts w:hint="eastAsia"/>
              </w:rPr>
              <w:t>石油天然气</w:t>
            </w:r>
          </w:p>
        </w:tc>
        <w:tc>
          <w:tcPr>
            <w:tcW w:w="3842" w:type="pct"/>
            <w:vAlign w:val="center"/>
          </w:tcPr>
          <w:p w14:paraId="49CBBE2A">
            <w:pPr>
              <w:pStyle w:val="90"/>
            </w:pPr>
            <w:r>
              <w:rPr>
                <w:rFonts w:hint="eastAsia"/>
              </w:rPr>
              <w:t>石油、天然气、页岩气开采（含净化），气库（不含加气站的气库），油库（不含加气站的油库）、油气管线</w:t>
            </w:r>
            <w:r>
              <w:t xml:space="preserve"> b</w:t>
            </w:r>
            <w:r>
              <w:rPr>
                <w:rFonts w:hint="eastAsia"/>
              </w:rPr>
              <w:t>（不含城镇燃气管线）</w:t>
            </w:r>
          </w:p>
        </w:tc>
        <w:tc>
          <w:tcPr>
            <w:tcW w:w="356" w:type="pct"/>
            <w:vAlign w:val="center"/>
          </w:tcPr>
          <w:p w14:paraId="74B04E4C">
            <w:pPr>
              <w:pStyle w:val="90"/>
            </w:pPr>
            <w:r>
              <w:t>10</w:t>
            </w:r>
          </w:p>
        </w:tc>
      </w:tr>
      <w:tr w14:paraId="28FF09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40" w:hRule="exact"/>
        </w:trPr>
        <w:tc>
          <w:tcPr>
            <w:tcW w:w="802" w:type="pct"/>
            <w:vAlign w:val="center"/>
          </w:tcPr>
          <w:p w14:paraId="25D308E1">
            <w:pPr>
              <w:pStyle w:val="90"/>
            </w:pPr>
            <w:r>
              <w:rPr>
                <w:rFonts w:hint="eastAsia"/>
              </w:rPr>
              <w:t>其他</w:t>
            </w:r>
          </w:p>
        </w:tc>
        <w:tc>
          <w:tcPr>
            <w:tcW w:w="3842" w:type="pct"/>
            <w:vAlign w:val="center"/>
          </w:tcPr>
          <w:p w14:paraId="1E5DD08F">
            <w:pPr>
              <w:pStyle w:val="90"/>
            </w:pPr>
            <w:r>
              <w:rPr>
                <w:rFonts w:hint="eastAsia"/>
              </w:rPr>
              <w:t>涉及危险物质使用、贮存的项目</w:t>
            </w:r>
          </w:p>
        </w:tc>
        <w:tc>
          <w:tcPr>
            <w:tcW w:w="356" w:type="pct"/>
            <w:vAlign w:val="center"/>
          </w:tcPr>
          <w:p w14:paraId="1FE6AC7E">
            <w:pPr>
              <w:pStyle w:val="90"/>
            </w:pPr>
            <w:r>
              <w:t>5</w:t>
            </w:r>
          </w:p>
        </w:tc>
      </w:tr>
      <w:tr w14:paraId="72A8766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624" w:hRule="exact"/>
        </w:trPr>
        <w:tc>
          <w:tcPr>
            <w:tcW w:w="5000" w:type="pct"/>
            <w:gridSpan w:val="3"/>
            <w:vAlign w:val="center"/>
          </w:tcPr>
          <w:p w14:paraId="235498C6">
            <w:pPr>
              <w:pStyle w:val="90"/>
            </w:pPr>
            <w:r>
              <w:t xml:space="preserve">a </w:t>
            </w:r>
            <w:r>
              <w:rPr>
                <w:rFonts w:hint="eastAsia"/>
              </w:rPr>
              <w:t>高温指工艺温度≥</w:t>
            </w:r>
            <w:r>
              <w:t>300</w:t>
            </w:r>
            <w:r>
              <w:rPr>
                <w:rFonts w:hint="eastAsia"/>
              </w:rPr>
              <w:t>℃，高压指压力容器的设计压力（</w:t>
            </w:r>
            <w:r>
              <w:t>P</w:t>
            </w:r>
            <w:r>
              <w:rPr>
                <w:rFonts w:hint="eastAsia"/>
              </w:rPr>
              <w:t>）≥</w:t>
            </w:r>
            <w:r>
              <w:t>10.0MPa</w:t>
            </w:r>
            <w:r>
              <w:rPr>
                <w:rFonts w:hint="eastAsia"/>
              </w:rPr>
              <w:t>；</w:t>
            </w:r>
          </w:p>
          <w:p w14:paraId="51EAC767">
            <w:pPr>
              <w:pStyle w:val="90"/>
            </w:pPr>
            <w:r>
              <w:t xml:space="preserve">b </w:t>
            </w:r>
            <w:r>
              <w:rPr>
                <w:rFonts w:hint="eastAsia"/>
              </w:rPr>
              <w:t>长输管道运输项目应按站场、管线分段进行评价。</w:t>
            </w:r>
          </w:p>
        </w:tc>
      </w:tr>
    </w:tbl>
    <w:p w14:paraId="5559CE9E">
      <w:pPr>
        <w:ind w:firstLine="480"/>
      </w:pPr>
      <w:r>
        <w:rPr>
          <w:rFonts w:hint="eastAsia"/>
        </w:rPr>
        <w:t>本项目生产润滑油、润滑脂，涉及危险物质储罐2处，M的值为1</w:t>
      </w:r>
      <w:r>
        <w:t>0</w:t>
      </w:r>
      <w:r>
        <w:rPr>
          <w:rFonts w:hint="eastAsia"/>
        </w:rPr>
        <w:t>，类别为M3。</w:t>
      </w:r>
    </w:p>
    <w:p w14:paraId="60837C01">
      <w:pPr>
        <w:ind w:firstLine="480"/>
      </w:pPr>
      <w:r>
        <w:rPr>
          <w:rFonts w:hint="eastAsia"/>
        </w:rPr>
        <w:t>根据1≤Q</w:t>
      </w:r>
      <w:r>
        <w:t>=</w:t>
      </w:r>
      <w:r>
        <w:rPr>
          <w:rFonts w:hint="eastAsia"/>
        </w:rPr>
        <w:t>9.7</w:t>
      </w:r>
      <w:r>
        <w:t>07</w:t>
      </w:r>
      <w:r>
        <w:rPr>
          <w:rFonts w:hint="eastAsia"/>
        </w:rPr>
        <w:t>＜1</w:t>
      </w:r>
      <w:r>
        <w:t>0</w:t>
      </w:r>
      <w:r>
        <w:rPr>
          <w:rFonts w:hint="eastAsia"/>
        </w:rPr>
        <w:t>，</w:t>
      </w:r>
      <w:bookmarkStart w:id="542" w:name="_Hlk14364137"/>
      <w:r>
        <w:rPr>
          <w:rFonts w:hint="eastAsia"/>
        </w:rPr>
        <w:t>危险物质及工艺系统危险性（P）判定为“</w:t>
      </w:r>
      <w:r>
        <w:rPr>
          <w:rFonts w:hint="eastAsia"/>
          <w:b/>
          <w:bCs/>
        </w:rPr>
        <w:t>P4</w:t>
      </w:r>
      <w:r>
        <w:rPr>
          <w:rFonts w:hint="eastAsia"/>
        </w:rPr>
        <w:t>”</w:t>
      </w:r>
      <w:bookmarkEnd w:id="542"/>
      <w:r>
        <w:rPr>
          <w:rFonts w:hint="eastAsia"/>
        </w:rPr>
        <w:t>。</w:t>
      </w:r>
    </w:p>
    <w:p w14:paraId="7A70A0AB">
      <w:pPr>
        <w:pStyle w:val="45"/>
        <w:spacing w:before="65" w:after="65"/>
      </w:pPr>
      <w:r>
        <w:rPr>
          <w:rFonts w:hint="eastAsia"/>
        </w:rPr>
        <w:t>各环境要素环境风险评价等级判定</w:t>
      </w:r>
    </w:p>
    <w:p w14:paraId="3F50CA19">
      <w:pPr>
        <w:adjustRightInd w:val="0"/>
        <w:snapToGrid w:val="0"/>
        <w:spacing w:line="480" w:lineRule="exact"/>
        <w:ind w:firstLine="480"/>
      </w:pPr>
      <w:r>
        <w:rPr>
          <w:rFonts w:hint="eastAsia"/>
        </w:rPr>
        <w:t>（1）大气环境</w:t>
      </w:r>
    </w:p>
    <w:p w14:paraId="2DF08414">
      <w:pPr>
        <w:adjustRightInd w:val="0"/>
        <w:snapToGrid w:val="0"/>
        <w:spacing w:line="480" w:lineRule="exact"/>
        <w:ind w:firstLine="480"/>
      </w:pPr>
      <w:r>
        <w:rPr>
          <w:rFonts w:hint="eastAsia"/>
        </w:rPr>
        <w:t>依据环境敏感目标环境敏感性及人口密度划分环境风险受体的敏感性，具体见表</w:t>
      </w:r>
      <w:r>
        <w:t>5.7-6</w:t>
      </w:r>
      <w:r>
        <w:rPr>
          <w:rFonts w:hint="eastAsia"/>
        </w:rPr>
        <w:t>所示。</w:t>
      </w:r>
    </w:p>
    <w:p w14:paraId="4D703B17">
      <w:pPr>
        <w:pStyle w:val="47"/>
        <w:spacing w:before="65"/>
      </w:pPr>
      <w:r>
        <w:rPr>
          <w:rFonts w:hint="eastAsia"/>
        </w:rPr>
        <w:t>表</w:t>
      </w:r>
      <w:r>
        <w:t xml:space="preserve">5.7-6   </w:t>
      </w:r>
      <w:r>
        <w:rPr>
          <w:rFonts w:hint="eastAsia"/>
        </w:rPr>
        <w:t>大气环境敏感程度分级</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7518"/>
      </w:tblGrid>
      <w:tr w14:paraId="41312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pct"/>
            <w:shd w:val="clear" w:color="auto" w:fill="auto"/>
            <w:vAlign w:val="center"/>
          </w:tcPr>
          <w:p w14:paraId="40D1FEC2">
            <w:pPr>
              <w:adjustRightInd w:val="0"/>
              <w:snapToGrid w:val="0"/>
              <w:spacing w:line="240" w:lineRule="auto"/>
              <w:ind w:firstLine="0" w:firstLineChars="0"/>
              <w:jc w:val="center"/>
              <w:rPr>
                <w:rFonts w:ascii="黑体" w:hAnsi="黑体" w:eastAsia="黑体"/>
                <w:sz w:val="21"/>
                <w:szCs w:val="21"/>
              </w:rPr>
            </w:pPr>
            <w:r>
              <w:rPr>
                <w:rFonts w:hint="eastAsia" w:ascii="宋体" w:cs="宋体"/>
                <w:kern w:val="0"/>
                <w:sz w:val="21"/>
                <w:szCs w:val="21"/>
              </w:rPr>
              <w:t>分级</w:t>
            </w:r>
          </w:p>
        </w:tc>
        <w:tc>
          <w:tcPr>
            <w:tcW w:w="4202" w:type="pct"/>
            <w:shd w:val="clear" w:color="auto" w:fill="auto"/>
            <w:vAlign w:val="center"/>
          </w:tcPr>
          <w:p w14:paraId="22FFB126">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kern w:val="0"/>
                <w:sz w:val="21"/>
                <w:szCs w:val="21"/>
              </w:rPr>
              <w:t>大气环境敏感性</w:t>
            </w:r>
          </w:p>
        </w:tc>
      </w:tr>
      <w:tr w14:paraId="412BC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pct"/>
            <w:shd w:val="clear" w:color="auto" w:fill="auto"/>
            <w:vAlign w:val="center"/>
          </w:tcPr>
          <w:p w14:paraId="7CA23D4B">
            <w:pPr>
              <w:adjustRightInd w:val="0"/>
              <w:snapToGrid w:val="0"/>
              <w:spacing w:line="240" w:lineRule="auto"/>
              <w:ind w:firstLine="0" w:firstLineChars="0"/>
              <w:jc w:val="center"/>
              <w:rPr>
                <w:rFonts w:ascii="黑体" w:hAnsi="黑体" w:eastAsia="黑体"/>
                <w:sz w:val="21"/>
                <w:szCs w:val="21"/>
              </w:rPr>
            </w:pPr>
            <w:r>
              <w:rPr>
                <w:kern w:val="0"/>
                <w:sz w:val="21"/>
                <w:szCs w:val="21"/>
              </w:rPr>
              <w:t>E1</w:t>
            </w:r>
          </w:p>
        </w:tc>
        <w:tc>
          <w:tcPr>
            <w:tcW w:w="4202" w:type="pct"/>
            <w:shd w:val="clear" w:color="auto" w:fill="auto"/>
          </w:tcPr>
          <w:p w14:paraId="0F0CA3D6">
            <w:pPr>
              <w:adjustRightInd w:val="0"/>
              <w:snapToGrid w:val="0"/>
              <w:spacing w:line="240" w:lineRule="auto"/>
              <w:ind w:firstLine="420"/>
              <w:jc w:val="left"/>
              <w:rPr>
                <w:bCs/>
                <w:snapToGrid w:val="0"/>
                <w:kern w:val="0"/>
                <w:sz w:val="21"/>
                <w:szCs w:val="21"/>
              </w:rPr>
            </w:pPr>
            <w:r>
              <w:rPr>
                <w:rFonts w:hint="eastAsia"/>
                <w:bCs/>
                <w:snapToGrid w:val="0"/>
                <w:kern w:val="0"/>
                <w:sz w:val="21"/>
                <w:szCs w:val="21"/>
              </w:rPr>
              <w:t>周边</w:t>
            </w:r>
            <w:r>
              <w:rPr>
                <w:bCs/>
                <w:snapToGrid w:val="0"/>
                <w:kern w:val="0"/>
                <w:sz w:val="21"/>
                <w:szCs w:val="21"/>
              </w:rPr>
              <w:t>5km</w:t>
            </w:r>
            <w:r>
              <w:rPr>
                <w:rFonts w:hint="eastAsia"/>
                <w:bCs/>
                <w:snapToGrid w:val="0"/>
                <w:kern w:val="0"/>
                <w:sz w:val="21"/>
                <w:szCs w:val="21"/>
              </w:rPr>
              <w:t>范围内居住区、医疗卫生、文化教育、科研、行政办公等机构人口总数大于</w:t>
            </w:r>
            <w:r>
              <w:rPr>
                <w:bCs/>
                <w:snapToGrid w:val="0"/>
                <w:kern w:val="0"/>
                <w:sz w:val="21"/>
                <w:szCs w:val="21"/>
              </w:rPr>
              <w:t>5</w:t>
            </w:r>
            <w:r>
              <w:rPr>
                <w:rFonts w:hint="eastAsia"/>
                <w:bCs/>
                <w:snapToGrid w:val="0"/>
                <w:kern w:val="0"/>
                <w:sz w:val="21"/>
                <w:szCs w:val="21"/>
              </w:rPr>
              <w:t>万人，或其他需要特殊保护区域；或周边</w:t>
            </w:r>
            <w:r>
              <w:rPr>
                <w:bCs/>
                <w:snapToGrid w:val="0"/>
                <w:kern w:val="0"/>
                <w:sz w:val="21"/>
                <w:szCs w:val="21"/>
              </w:rPr>
              <w:t>500m</w:t>
            </w:r>
            <w:r>
              <w:rPr>
                <w:rFonts w:hint="eastAsia"/>
                <w:bCs/>
                <w:snapToGrid w:val="0"/>
                <w:kern w:val="0"/>
                <w:sz w:val="21"/>
                <w:szCs w:val="21"/>
              </w:rPr>
              <w:t>范围内人口总数大于</w:t>
            </w:r>
            <w:r>
              <w:rPr>
                <w:bCs/>
                <w:snapToGrid w:val="0"/>
                <w:kern w:val="0"/>
                <w:sz w:val="21"/>
                <w:szCs w:val="21"/>
              </w:rPr>
              <w:t>1000</w:t>
            </w:r>
            <w:r>
              <w:rPr>
                <w:rFonts w:hint="eastAsia"/>
                <w:bCs/>
                <w:snapToGrid w:val="0"/>
                <w:kern w:val="0"/>
                <w:sz w:val="21"/>
                <w:szCs w:val="21"/>
              </w:rPr>
              <w:t>人；油气、化学品输送管线管段周边</w:t>
            </w:r>
            <w:r>
              <w:rPr>
                <w:bCs/>
                <w:snapToGrid w:val="0"/>
                <w:kern w:val="0"/>
                <w:sz w:val="21"/>
                <w:szCs w:val="21"/>
              </w:rPr>
              <w:t>200m</w:t>
            </w:r>
            <w:r>
              <w:rPr>
                <w:rFonts w:hint="eastAsia"/>
                <w:bCs/>
                <w:snapToGrid w:val="0"/>
                <w:kern w:val="0"/>
                <w:sz w:val="21"/>
                <w:szCs w:val="21"/>
              </w:rPr>
              <w:t>范围内，每千米管段人口数大于</w:t>
            </w:r>
            <w:r>
              <w:rPr>
                <w:bCs/>
                <w:snapToGrid w:val="0"/>
                <w:kern w:val="0"/>
                <w:sz w:val="21"/>
                <w:szCs w:val="21"/>
              </w:rPr>
              <w:t>200</w:t>
            </w:r>
            <w:r>
              <w:rPr>
                <w:rFonts w:hint="eastAsia"/>
                <w:bCs/>
                <w:snapToGrid w:val="0"/>
                <w:kern w:val="0"/>
                <w:sz w:val="21"/>
                <w:szCs w:val="21"/>
              </w:rPr>
              <w:t>人。</w:t>
            </w:r>
          </w:p>
        </w:tc>
      </w:tr>
      <w:tr w14:paraId="164C2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8" w:type="pct"/>
            <w:shd w:val="clear" w:color="auto" w:fill="auto"/>
            <w:vAlign w:val="center"/>
          </w:tcPr>
          <w:p w14:paraId="63457417">
            <w:pPr>
              <w:adjustRightInd w:val="0"/>
              <w:snapToGrid w:val="0"/>
              <w:spacing w:line="240" w:lineRule="auto"/>
              <w:ind w:firstLine="0" w:firstLineChars="0"/>
              <w:jc w:val="center"/>
              <w:rPr>
                <w:rFonts w:ascii="黑体" w:hAnsi="黑体" w:eastAsia="黑体"/>
                <w:sz w:val="21"/>
                <w:szCs w:val="21"/>
              </w:rPr>
            </w:pPr>
            <w:r>
              <w:rPr>
                <w:kern w:val="0"/>
                <w:sz w:val="21"/>
                <w:szCs w:val="21"/>
              </w:rPr>
              <w:t>E2</w:t>
            </w:r>
          </w:p>
        </w:tc>
        <w:tc>
          <w:tcPr>
            <w:tcW w:w="4202" w:type="pct"/>
            <w:shd w:val="clear" w:color="auto" w:fill="auto"/>
          </w:tcPr>
          <w:p w14:paraId="048FAE10">
            <w:pPr>
              <w:adjustRightInd w:val="0"/>
              <w:snapToGrid w:val="0"/>
              <w:spacing w:line="240" w:lineRule="auto"/>
              <w:ind w:firstLine="420"/>
              <w:jc w:val="left"/>
              <w:rPr>
                <w:bCs/>
                <w:snapToGrid w:val="0"/>
                <w:kern w:val="0"/>
                <w:sz w:val="21"/>
                <w:szCs w:val="21"/>
              </w:rPr>
            </w:pPr>
            <w:r>
              <w:rPr>
                <w:rFonts w:hint="eastAsia"/>
                <w:bCs/>
                <w:snapToGrid w:val="0"/>
                <w:kern w:val="0"/>
                <w:sz w:val="21"/>
                <w:szCs w:val="21"/>
              </w:rPr>
              <w:t>周边</w:t>
            </w:r>
            <w:r>
              <w:rPr>
                <w:bCs/>
                <w:snapToGrid w:val="0"/>
                <w:kern w:val="0"/>
                <w:sz w:val="21"/>
                <w:szCs w:val="21"/>
              </w:rPr>
              <w:t>5km</w:t>
            </w:r>
            <w:r>
              <w:rPr>
                <w:rFonts w:hint="eastAsia"/>
                <w:bCs/>
                <w:snapToGrid w:val="0"/>
                <w:kern w:val="0"/>
                <w:sz w:val="21"/>
                <w:szCs w:val="21"/>
              </w:rPr>
              <w:t>范围内居住区、医疗卫生、文化教育、科研、行政办公等机构人口总数大于</w:t>
            </w:r>
            <w:r>
              <w:rPr>
                <w:bCs/>
                <w:snapToGrid w:val="0"/>
                <w:kern w:val="0"/>
                <w:sz w:val="21"/>
                <w:szCs w:val="21"/>
              </w:rPr>
              <w:t>1</w:t>
            </w:r>
            <w:r>
              <w:rPr>
                <w:rFonts w:hint="eastAsia"/>
                <w:bCs/>
                <w:snapToGrid w:val="0"/>
                <w:kern w:val="0"/>
                <w:sz w:val="21"/>
                <w:szCs w:val="21"/>
              </w:rPr>
              <w:t>万人，小于</w:t>
            </w:r>
            <w:r>
              <w:rPr>
                <w:bCs/>
                <w:snapToGrid w:val="0"/>
                <w:kern w:val="0"/>
                <w:sz w:val="21"/>
                <w:szCs w:val="21"/>
              </w:rPr>
              <w:t>5</w:t>
            </w:r>
            <w:r>
              <w:rPr>
                <w:rFonts w:hint="eastAsia"/>
                <w:bCs/>
                <w:snapToGrid w:val="0"/>
                <w:kern w:val="0"/>
                <w:sz w:val="21"/>
                <w:szCs w:val="21"/>
              </w:rPr>
              <w:t>万人；或周边</w:t>
            </w:r>
            <w:r>
              <w:rPr>
                <w:bCs/>
                <w:snapToGrid w:val="0"/>
                <w:kern w:val="0"/>
                <w:sz w:val="21"/>
                <w:szCs w:val="21"/>
              </w:rPr>
              <w:t>500m</w:t>
            </w:r>
            <w:r>
              <w:rPr>
                <w:rFonts w:hint="eastAsia"/>
                <w:bCs/>
                <w:snapToGrid w:val="0"/>
                <w:kern w:val="0"/>
                <w:sz w:val="21"/>
                <w:szCs w:val="21"/>
              </w:rPr>
              <w:t>范围内人口总数大于</w:t>
            </w:r>
            <w:r>
              <w:rPr>
                <w:bCs/>
                <w:snapToGrid w:val="0"/>
                <w:kern w:val="0"/>
                <w:sz w:val="21"/>
                <w:szCs w:val="21"/>
              </w:rPr>
              <w:t>500</w:t>
            </w:r>
            <w:r>
              <w:rPr>
                <w:rFonts w:hint="eastAsia"/>
                <w:bCs/>
                <w:snapToGrid w:val="0"/>
                <w:kern w:val="0"/>
                <w:sz w:val="21"/>
                <w:szCs w:val="21"/>
              </w:rPr>
              <w:t>人，小于</w:t>
            </w:r>
            <w:r>
              <w:rPr>
                <w:bCs/>
                <w:snapToGrid w:val="0"/>
                <w:kern w:val="0"/>
                <w:sz w:val="21"/>
                <w:szCs w:val="21"/>
              </w:rPr>
              <w:t>1000</w:t>
            </w:r>
            <w:r>
              <w:rPr>
                <w:rFonts w:hint="eastAsia"/>
                <w:bCs/>
                <w:snapToGrid w:val="0"/>
                <w:kern w:val="0"/>
                <w:sz w:val="21"/>
                <w:szCs w:val="21"/>
              </w:rPr>
              <w:t>人；油气、化学品输送管线管段周边</w:t>
            </w:r>
            <w:r>
              <w:rPr>
                <w:bCs/>
                <w:snapToGrid w:val="0"/>
                <w:kern w:val="0"/>
                <w:sz w:val="21"/>
                <w:szCs w:val="21"/>
              </w:rPr>
              <w:t>200m</w:t>
            </w:r>
            <w:r>
              <w:rPr>
                <w:rFonts w:hint="eastAsia"/>
                <w:bCs/>
                <w:snapToGrid w:val="0"/>
                <w:kern w:val="0"/>
                <w:sz w:val="21"/>
                <w:szCs w:val="21"/>
              </w:rPr>
              <w:t>范围内，每千米管段人口数大于</w:t>
            </w:r>
            <w:r>
              <w:rPr>
                <w:bCs/>
                <w:snapToGrid w:val="0"/>
                <w:kern w:val="0"/>
                <w:sz w:val="21"/>
                <w:szCs w:val="21"/>
              </w:rPr>
              <w:t>100</w:t>
            </w:r>
            <w:r>
              <w:rPr>
                <w:rFonts w:hint="eastAsia"/>
                <w:bCs/>
                <w:snapToGrid w:val="0"/>
                <w:kern w:val="0"/>
                <w:sz w:val="21"/>
                <w:szCs w:val="21"/>
              </w:rPr>
              <w:t>人，小于</w:t>
            </w:r>
            <w:r>
              <w:rPr>
                <w:bCs/>
                <w:snapToGrid w:val="0"/>
                <w:kern w:val="0"/>
                <w:sz w:val="21"/>
                <w:szCs w:val="21"/>
              </w:rPr>
              <w:t>200</w:t>
            </w:r>
            <w:r>
              <w:rPr>
                <w:rFonts w:hint="eastAsia"/>
                <w:bCs/>
                <w:snapToGrid w:val="0"/>
                <w:kern w:val="0"/>
                <w:sz w:val="21"/>
                <w:szCs w:val="21"/>
              </w:rPr>
              <w:t>人。</w:t>
            </w:r>
          </w:p>
        </w:tc>
      </w:tr>
      <w:tr w14:paraId="15870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98" w:type="pct"/>
            <w:shd w:val="clear" w:color="auto" w:fill="auto"/>
            <w:vAlign w:val="center"/>
          </w:tcPr>
          <w:p w14:paraId="22092051">
            <w:pPr>
              <w:adjustRightInd w:val="0"/>
              <w:snapToGrid w:val="0"/>
              <w:spacing w:line="240" w:lineRule="auto"/>
              <w:ind w:firstLine="0" w:firstLineChars="0"/>
              <w:jc w:val="center"/>
              <w:rPr>
                <w:rFonts w:ascii="黑体" w:hAnsi="黑体" w:eastAsia="黑体"/>
                <w:sz w:val="21"/>
                <w:szCs w:val="21"/>
              </w:rPr>
            </w:pPr>
            <w:r>
              <w:rPr>
                <w:kern w:val="0"/>
                <w:sz w:val="21"/>
                <w:szCs w:val="21"/>
              </w:rPr>
              <w:t>E3</w:t>
            </w:r>
          </w:p>
        </w:tc>
        <w:tc>
          <w:tcPr>
            <w:tcW w:w="4202" w:type="pct"/>
            <w:shd w:val="clear" w:color="auto" w:fill="auto"/>
            <w:vAlign w:val="center"/>
          </w:tcPr>
          <w:p w14:paraId="12EF2044">
            <w:pPr>
              <w:adjustRightInd w:val="0"/>
              <w:snapToGrid w:val="0"/>
              <w:spacing w:line="240" w:lineRule="auto"/>
              <w:ind w:firstLine="420"/>
              <w:jc w:val="left"/>
              <w:rPr>
                <w:bCs/>
                <w:snapToGrid w:val="0"/>
                <w:kern w:val="0"/>
                <w:sz w:val="21"/>
                <w:szCs w:val="21"/>
              </w:rPr>
            </w:pPr>
            <w:r>
              <w:rPr>
                <w:rFonts w:hint="eastAsia"/>
                <w:bCs/>
                <w:snapToGrid w:val="0"/>
                <w:kern w:val="0"/>
                <w:sz w:val="21"/>
                <w:szCs w:val="21"/>
              </w:rPr>
              <w:t>周边</w:t>
            </w:r>
            <w:r>
              <w:rPr>
                <w:bCs/>
                <w:snapToGrid w:val="0"/>
                <w:kern w:val="0"/>
                <w:sz w:val="21"/>
                <w:szCs w:val="21"/>
              </w:rPr>
              <w:t>5km</w:t>
            </w:r>
            <w:r>
              <w:rPr>
                <w:rFonts w:hint="eastAsia"/>
                <w:bCs/>
                <w:snapToGrid w:val="0"/>
                <w:kern w:val="0"/>
                <w:sz w:val="21"/>
                <w:szCs w:val="21"/>
              </w:rPr>
              <w:t>范围内居住区、医疗卫生、文化教育、科研、行政办公等机构人口总数小于</w:t>
            </w:r>
            <w:r>
              <w:rPr>
                <w:bCs/>
                <w:snapToGrid w:val="0"/>
                <w:kern w:val="0"/>
                <w:sz w:val="21"/>
                <w:szCs w:val="21"/>
              </w:rPr>
              <w:t>1</w:t>
            </w:r>
            <w:r>
              <w:rPr>
                <w:rFonts w:hint="eastAsia"/>
                <w:bCs/>
                <w:snapToGrid w:val="0"/>
                <w:kern w:val="0"/>
                <w:sz w:val="21"/>
                <w:szCs w:val="21"/>
              </w:rPr>
              <w:t>万人；或周边</w:t>
            </w:r>
            <w:r>
              <w:rPr>
                <w:bCs/>
                <w:snapToGrid w:val="0"/>
                <w:kern w:val="0"/>
                <w:sz w:val="21"/>
                <w:szCs w:val="21"/>
              </w:rPr>
              <w:t>500m</w:t>
            </w:r>
            <w:r>
              <w:rPr>
                <w:rFonts w:hint="eastAsia"/>
                <w:bCs/>
                <w:snapToGrid w:val="0"/>
                <w:kern w:val="0"/>
                <w:sz w:val="21"/>
                <w:szCs w:val="21"/>
              </w:rPr>
              <w:t>范围内人口总数小于</w:t>
            </w:r>
            <w:r>
              <w:rPr>
                <w:bCs/>
                <w:snapToGrid w:val="0"/>
                <w:kern w:val="0"/>
                <w:sz w:val="21"/>
                <w:szCs w:val="21"/>
              </w:rPr>
              <w:t>500</w:t>
            </w:r>
            <w:r>
              <w:rPr>
                <w:rFonts w:hint="eastAsia"/>
                <w:bCs/>
                <w:snapToGrid w:val="0"/>
                <w:kern w:val="0"/>
                <w:sz w:val="21"/>
                <w:szCs w:val="21"/>
              </w:rPr>
              <w:t>人；油气、化学品输送管线管段周边</w:t>
            </w:r>
            <w:r>
              <w:rPr>
                <w:bCs/>
                <w:snapToGrid w:val="0"/>
                <w:kern w:val="0"/>
                <w:sz w:val="21"/>
                <w:szCs w:val="21"/>
              </w:rPr>
              <w:t>200m</w:t>
            </w:r>
            <w:r>
              <w:rPr>
                <w:rFonts w:hint="eastAsia"/>
                <w:bCs/>
                <w:snapToGrid w:val="0"/>
                <w:kern w:val="0"/>
                <w:sz w:val="21"/>
                <w:szCs w:val="21"/>
              </w:rPr>
              <w:t>范围内，每千米管段人口数小于</w:t>
            </w:r>
            <w:r>
              <w:rPr>
                <w:bCs/>
                <w:snapToGrid w:val="0"/>
                <w:kern w:val="0"/>
                <w:sz w:val="21"/>
                <w:szCs w:val="21"/>
              </w:rPr>
              <w:t>100</w:t>
            </w:r>
            <w:r>
              <w:rPr>
                <w:rFonts w:hint="eastAsia"/>
                <w:bCs/>
                <w:snapToGrid w:val="0"/>
                <w:kern w:val="0"/>
                <w:sz w:val="21"/>
                <w:szCs w:val="21"/>
              </w:rPr>
              <w:t>人。</w:t>
            </w:r>
          </w:p>
        </w:tc>
      </w:tr>
    </w:tbl>
    <w:p w14:paraId="5E4D7153">
      <w:pPr>
        <w:adjustRightInd w:val="0"/>
        <w:snapToGrid w:val="0"/>
        <w:spacing w:line="480" w:lineRule="exact"/>
        <w:ind w:firstLine="480"/>
      </w:pPr>
      <w:r>
        <w:rPr>
          <w:rFonts w:hint="eastAsia"/>
        </w:rPr>
        <w:t>本项目位于胡杨河经济技术开发区南园区内，周围5km范围内的居住区、医疗卫生、文化教育、科研、行政办公机构等机构人口总数小于1万人，因此大气敏感程度分级为E3。本项目大气环境风险评价等级为“</w:t>
      </w:r>
      <w:r>
        <w:rPr>
          <w:rFonts w:hint="eastAsia"/>
          <w:b/>
          <w:bCs/>
        </w:rPr>
        <w:t>简单分析</w:t>
      </w:r>
      <w:r>
        <w:rPr>
          <w:rFonts w:hint="eastAsia"/>
        </w:rPr>
        <w:t>”。</w:t>
      </w:r>
    </w:p>
    <w:p w14:paraId="342ED19B">
      <w:pPr>
        <w:adjustRightInd w:val="0"/>
        <w:snapToGrid w:val="0"/>
        <w:spacing w:line="480" w:lineRule="exact"/>
        <w:ind w:firstLine="480"/>
      </w:pPr>
      <w:r>
        <w:rPr>
          <w:rFonts w:hint="eastAsia"/>
        </w:rPr>
        <w:t>（2）地表水环境</w:t>
      </w:r>
    </w:p>
    <w:p w14:paraId="2A6540A5">
      <w:pPr>
        <w:adjustRightInd w:val="0"/>
        <w:snapToGrid w:val="0"/>
        <w:spacing w:line="480" w:lineRule="exact"/>
        <w:ind w:firstLine="480"/>
      </w:pPr>
      <w:r>
        <w:rPr>
          <w:rFonts w:hint="eastAsia"/>
        </w:rPr>
        <w:t>依据事故情况下危险物质泄漏到水体的排放点受纳水体功能敏感性，与下游环境敏感目标情况对地表水敏感程度进行划分，具体见表</w:t>
      </w:r>
      <w:r>
        <w:t>5.7-7</w:t>
      </w:r>
      <w:r>
        <w:rPr>
          <w:rFonts w:hint="eastAsia"/>
        </w:rPr>
        <w:t>~表</w:t>
      </w:r>
      <w:r>
        <w:t>5.7-9</w:t>
      </w:r>
      <w:r>
        <w:rPr>
          <w:rFonts w:hint="eastAsia"/>
        </w:rPr>
        <w:t>。</w:t>
      </w:r>
    </w:p>
    <w:p w14:paraId="27323FFF">
      <w:pPr>
        <w:pStyle w:val="47"/>
        <w:spacing w:before="65"/>
      </w:pPr>
      <w:r>
        <w:rPr>
          <w:rFonts w:hint="eastAsia"/>
        </w:rPr>
        <w:t>表</w:t>
      </w:r>
      <w:r>
        <w:t xml:space="preserve">5.7-7   </w:t>
      </w:r>
      <w:r>
        <w:rPr>
          <w:rFonts w:hint="eastAsia"/>
        </w:rPr>
        <w:t>地表水环境敏感程度分级</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09"/>
        <w:gridCol w:w="1987"/>
        <w:gridCol w:w="2183"/>
        <w:gridCol w:w="1851"/>
      </w:tblGrid>
      <w:tr w14:paraId="501B8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exact"/>
        </w:trPr>
        <w:tc>
          <w:tcPr>
            <w:tcW w:w="1552" w:type="pct"/>
            <w:vMerge w:val="restart"/>
            <w:vAlign w:val="center"/>
          </w:tcPr>
          <w:p w14:paraId="662E1683">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kern w:val="0"/>
                <w:sz w:val="21"/>
                <w:szCs w:val="21"/>
              </w:rPr>
              <w:t>环境敏感目标</w:t>
            </w:r>
          </w:p>
        </w:tc>
        <w:tc>
          <w:tcPr>
            <w:tcW w:w="3448" w:type="pct"/>
            <w:gridSpan w:val="3"/>
            <w:vAlign w:val="center"/>
          </w:tcPr>
          <w:p w14:paraId="479390F2">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kern w:val="0"/>
                <w:sz w:val="21"/>
                <w:szCs w:val="21"/>
              </w:rPr>
              <w:t>地表水功能敏感性</w:t>
            </w:r>
          </w:p>
        </w:tc>
      </w:tr>
      <w:tr w14:paraId="57DE2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6" w:hRule="exact"/>
        </w:trPr>
        <w:tc>
          <w:tcPr>
            <w:tcW w:w="1552" w:type="pct"/>
            <w:vMerge w:val="continue"/>
            <w:vAlign w:val="center"/>
          </w:tcPr>
          <w:p w14:paraId="61FF4A25">
            <w:pPr>
              <w:kinsoku w:val="0"/>
              <w:overflowPunct w:val="0"/>
              <w:autoSpaceDE w:val="0"/>
              <w:autoSpaceDN w:val="0"/>
              <w:adjustRightInd w:val="0"/>
              <w:snapToGrid w:val="0"/>
              <w:spacing w:line="240" w:lineRule="auto"/>
              <w:ind w:firstLine="0" w:firstLineChars="0"/>
              <w:jc w:val="center"/>
              <w:rPr>
                <w:kern w:val="0"/>
                <w:sz w:val="21"/>
                <w:szCs w:val="21"/>
              </w:rPr>
            </w:pPr>
          </w:p>
        </w:tc>
        <w:tc>
          <w:tcPr>
            <w:tcW w:w="1138" w:type="pct"/>
            <w:vAlign w:val="center"/>
          </w:tcPr>
          <w:p w14:paraId="6B82F4DD">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F1</w:t>
            </w:r>
          </w:p>
        </w:tc>
        <w:tc>
          <w:tcPr>
            <w:tcW w:w="1250" w:type="pct"/>
            <w:vAlign w:val="center"/>
          </w:tcPr>
          <w:p w14:paraId="2574B6C1">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F2</w:t>
            </w:r>
          </w:p>
        </w:tc>
        <w:tc>
          <w:tcPr>
            <w:tcW w:w="1060" w:type="pct"/>
            <w:vAlign w:val="center"/>
          </w:tcPr>
          <w:p w14:paraId="7135638A">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F3</w:t>
            </w:r>
          </w:p>
        </w:tc>
      </w:tr>
      <w:tr w14:paraId="29459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exact"/>
        </w:trPr>
        <w:tc>
          <w:tcPr>
            <w:tcW w:w="1552" w:type="pct"/>
            <w:vAlign w:val="center"/>
          </w:tcPr>
          <w:p w14:paraId="384C6BB7">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S1</w:t>
            </w:r>
          </w:p>
        </w:tc>
        <w:tc>
          <w:tcPr>
            <w:tcW w:w="1138" w:type="pct"/>
            <w:vAlign w:val="center"/>
          </w:tcPr>
          <w:p w14:paraId="7D1C063E">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E1</w:t>
            </w:r>
          </w:p>
        </w:tc>
        <w:tc>
          <w:tcPr>
            <w:tcW w:w="1250" w:type="pct"/>
            <w:vAlign w:val="center"/>
          </w:tcPr>
          <w:p w14:paraId="5948BF81">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E1</w:t>
            </w:r>
          </w:p>
        </w:tc>
        <w:tc>
          <w:tcPr>
            <w:tcW w:w="1060" w:type="pct"/>
            <w:vAlign w:val="center"/>
          </w:tcPr>
          <w:p w14:paraId="46E5400C">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E2</w:t>
            </w:r>
          </w:p>
        </w:tc>
      </w:tr>
      <w:tr w14:paraId="7F16D4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6" w:hRule="exact"/>
        </w:trPr>
        <w:tc>
          <w:tcPr>
            <w:tcW w:w="1552" w:type="pct"/>
            <w:vAlign w:val="center"/>
          </w:tcPr>
          <w:p w14:paraId="3D738FF8">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S2</w:t>
            </w:r>
          </w:p>
        </w:tc>
        <w:tc>
          <w:tcPr>
            <w:tcW w:w="1138" w:type="pct"/>
            <w:vAlign w:val="center"/>
          </w:tcPr>
          <w:p w14:paraId="7FC6C4BA">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E1</w:t>
            </w:r>
          </w:p>
        </w:tc>
        <w:tc>
          <w:tcPr>
            <w:tcW w:w="1250" w:type="pct"/>
            <w:vAlign w:val="center"/>
          </w:tcPr>
          <w:p w14:paraId="45E463AB">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E2</w:t>
            </w:r>
          </w:p>
        </w:tc>
        <w:tc>
          <w:tcPr>
            <w:tcW w:w="1060" w:type="pct"/>
            <w:vAlign w:val="center"/>
          </w:tcPr>
          <w:p w14:paraId="12A0EA82">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E3</w:t>
            </w:r>
          </w:p>
        </w:tc>
      </w:tr>
      <w:tr w14:paraId="4CC23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552" w:type="pct"/>
            <w:vAlign w:val="center"/>
          </w:tcPr>
          <w:p w14:paraId="16A9E85C">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S3</w:t>
            </w:r>
          </w:p>
        </w:tc>
        <w:tc>
          <w:tcPr>
            <w:tcW w:w="1138" w:type="pct"/>
            <w:vAlign w:val="center"/>
          </w:tcPr>
          <w:p w14:paraId="0DD0C79A">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E1</w:t>
            </w:r>
          </w:p>
        </w:tc>
        <w:tc>
          <w:tcPr>
            <w:tcW w:w="1250" w:type="pct"/>
            <w:vAlign w:val="center"/>
          </w:tcPr>
          <w:p w14:paraId="253102AD">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E2</w:t>
            </w:r>
          </w:p>
        </w:tc>
        <w:tc>
          <w:tcPr>
            <w:tcW w:w="1060" w:type="pct"/>
            <w:shd w:val="clear" w:color="auto" w:fill="auto"/>
            <w:vAlign w:val="center"/>
          </w:tcPr>
          <w:p w14:paraId="10D1E783">
            <w:pPr>
              <w:kinsoku w:val="0"/>
              <w:overflowPunct w:val="0"/>
              <w:autoSpaceDE w:val="0"/>
              <w:autoSpaceDN w:val="0"/>
              <w:adjustRightInd w:val="0"/>
              <w:snapToGrid w:val="0"/>
              <w:spacing w:line="240" w:lineRule="auto"/>
              <w:ind w:firstLine="0" w:firstLineChars="0"/>
              <w:jc w:val="center"/>
              <w:rPr>
                <w:kern w:val="0"/>
                <w:sz w:val="21"/>
                <w:szCs w:val="21"/>
              </w:rPr>
            </w:pPr>
            <w:r>
              <w:rPr>
                <w:kern w:val="0"/>
                <w:sz w:val="21"/>
                <w:szCs w:val="21"/>
              </w:rPr>
              <w:t>E3</w:t>
            </w:r>
          </w:p>
        </w:tc>
      </w:tr>
    </w:tbl>
    <w:p w14:paraId="1897B00C">
      <w:pPr>
        <w:pStyle w:val="47"/>
        <w:spacing w:before="65"/>
      </w:pPr>
      <w:r>
        <w:rPr>
          <w:rFonts w:hint="eastAsia"/>
        </w:rPr>
        <w:t>表</w:t>
      </w:r>
      <w:r>
        <w:t xml:space="preserve">5.7-8   </w:t>
      </w:r>
      <w:r>
        <w:rPr>
          <w:rFonts w:hint="eastAsia"/>
        </w:rPr>
        <w:t>地表水功能敏感性分区</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7473"/>
      </w:tblGrid>
      <w:tr w14:paraId="0D072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pct"/>
            <w:shd w:val="clear" w:color="auto" w:fill="auto"/>
            <w:tcMar>
              <w:left w:w="0" w:type="dxa"/>
              <w:right w:w="0" w:type="dxa"/>
            </w:tcMar>
            <w:vAlign w:val="center"/>
          </w:tcPr>
          <w:p w14:paraId="182C96C3">
            <w:pPr>
              <w:adjustRightInd w:val="0"/>
              <w:snapToGrid w:val="0"/>
              <w:spacing w:line="240" w:lineRule="auto"/>
              <w:ind w:firstLine="0" w:firstLineChars="0"/>
              <w:jc w:val="center"/>
              <w:rPr>
                <w:rFonts w:ascii="黑体" w:hAnsi="黑体" w:eastAsia="黑体"/>
                <w:sz w:val="21"/>
                <w:szCs w:val="21"/>
              </w:rPr>
            </w:pPr>
            <w:r>
              <w:rPr>
                <w:rFonts w:hint="eastAsia"/>
                <w:kern w:val="0"/>
                <w:sz w:val="21"/>
                <w:szCs w:val="21"/>
              </w:rPr>
              <w:t>敏感性</w:t>
            </w:r>
          </w:p>
        </w:tc>
        <w:tc>
          <w:tcPr>
            <w:tcW w:w="4280" w:type="pct"/>
            <w:shd w:val="clear" w:color="auto" w:fill="auto"/>
            <w:tcMar>
              <w:left w:w="0" w:type="dxa"/>
              <w:right w:w="0" w:type="dxa"/>
            </w:tcMar>
            <w:vAlign w:val="center"/>
          </w:tcPr>
          <w:p w14:paraId="5CF6244B">
            <w:pPr>
              <w:adjustRightInd w:val="0"/>
              <w:snapToGrid w:val="0"/>
              <w:spacing w:line="240" w:lineRule="auto"/>
              <w:ind w:firstLine="0" w:firstLineChars="0"/>
              <w:jc w:val="center"/>
              <w:rPr>
                <w:rFonts w:ascii="黑体" w:hAnsi="黑体" w:eastAsia="黑体"/>
                <w:sz w:val="21"/>
                <w:szCs w:val="21"/>
              </w:rPr>
            </w:pPr>
            <w:r>
              <w:rPr>
                <w:rFonts w:hint="eastAsia"/>
                <w:kern w:val="0"/>
                <w:sz w:val="21"/>
                <w:szCs w:val="21"/>
              </w:rPr>
              <w:t>地表水环境敏感特征</w:t>
            </w:r>
          </w:p>
        </w:tc>
      </w:tr>
      <w:tr w14:paraId="3D9E0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pct"/>
            <w:shd w:val="clear" w:color="auto" w:fill="auto"/>
            <w:tcMar>
              <w:left w:w="0" w:type="dxa"/>
              <w:right w:w="0" w:type="dxa"/>
            </w:tcMar>
            <w:vAlign w:val="center"/>
          </w:tcPr>
          <w:p w14:paraId="7A01F2B7">
            <w:pPr>
              <w:adjustRightInd w:val="0"/>
              <w:snapToGrid w:val="0"/>
              <w:spacing w:line="240" w:lineRule="auto"/>
              <w:ind w:firstLine="0" w:firstLineChars="0"/>
              <w:jc w:val="center"/>
              <w:rPr>
                <w:bCs/>
                <w:snapToGrid w:val="0"/>
                <w:kern w:val="0"/>
                <w:sz w:val="21"/>
                <w:szCs w:val="21"/>
              </w:rPr>
            </w:pPr>
            <w:r>
              <w:rPr>
                <w:rFonts w:hint="eastAsia"/>
                <w:bCs/>
                <w:snapToGrid w:val="0"/>
                <w:kern w:val="0"/>
                <w:sz w:val="21"/>
                <w:szCs w:val="21"/>
              </w:rPr>
              <w:t>敏感</w:t>
            </w:r>
            <w:r>
              <w:rPr>
                <w:bCs/>
                <w:snapToGrid w:val="0"/>
                <w:kern w:val="0"/>
                <w:sz w:val="21"/>
                <w:szCs w:val="21"/>
              </w:rPr>
              <w:t>F1</w:t>
            </w:r>
          </w:p>
        </w:tc>
        <w:tc>
          <w:tcPr>
            <w:tcW w:w="4280" w:type="pct"/>
            <w:shd w:val="clear" w:color="auto" w:fill="auto"/>
            <w:tcMar>
              <w:left w:w="0" w:type="dxa"/>
              <w:right w:w="0" w:type="dxa"/>
            </w:tcMar>
            <w:vAlign w:val="center"/>
          </w:tcPr>
          <w:p w14:paraId="3887DDE0">
            <w:pPr>
              <w:adjustRightInd w:val="0"/>
              <w:snapToGrid w:val="0"/>
              <w:spacing w:line="240" w:lineRule="auto"/>
              <w:ind w:firstLine="420"/>
              <w:rPr>
                <w:bCs/>
                <w:snapToGrid w:val="0"/>
                <w:kern w:val="0"/>
                <w:sz w:val="21"/>
                <w:szCs w:val="21"/>
              </w:rPr>
            </w:pPr>
            <w:r>
              <w:rPr>
                <w:rFonts w:hint="eastAsia"/>
                <w:bCs/>
                <w:snapToGrid w:val="0"/>
                <w:kern w:val="0"/>
                <w:sz w:val="21"/>
                <w:szCs w:val="21"/>
              </w:rPr>
              <w:t>排放点进入地表水水域环境功能为</w:t>
            </w:r>
            <w:r>
              <w:rPr>
                <w:bCs/>
                <w:snapToGrid w:val="0"/>
                <w:kern w:val="0"/>
                <w:sz w:val="21"/>
                <w:szCs w:val="21"/>
              </w:rPr>
              <w:t>Ⅱ</w:t>
            </w:r>
            <w:r>
              <w:rPr>
                <w:rFonts w:hint="eastAsia"/>
                <w:bCs/>
                <w:snapToGrid w:val="0"/>
                <w:kern w:val="0"/>
                <w:sz w:val="21"/>
                <w:szCs w:val="21"/>
              </w:rPr>
              <w:t>类及以上，或海水水质分类第一类；或以发生事故时，危险物质泄漏到水体的排放点算起，排放进入受纳河流最大流速时，</w:t>
            </w:r>
            <w:r>
              <w:rPr>
                <w:bCs/>
                <w:snapToGrid w:val="0"/>
                <w:kern w:val="0"/>
                <w:sz w:val="21"/>
                <w:szCs w:val="21"/>
              </w:rPr>
              <w:t>24h</w:t>
            </w:r>
            <w:r>
              <w:rPr>
                <w:rFonts w:hint="eastAsia"/>
                <w:bCs/>
                <w:snapToGrid w:val="0"/>
                <w:kern w:val="0"/>
                <w:sz w:val="21"/>
                <w:szCs w:val="21"/>
              </w:rPr>
              <w:t>流经范围内涉跨国界的。</w:t>
            </w:r>
          </w:p>
        </w:tc>
      </w:tr>
      <w:tr w14:paraId="3080F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pct"/>
            <w:shd w:val="clear" w:color="auto" w:fill="auto"/>
            <w:tcMar>
              <w:left w:w="0" w:type="dxa"/>
              <w:right w:w="0" w:type="dxa"/>
            </w:tcMar>
            <w:vAlign w:val="center"/>
          </w:tcPr>
          <w:p w14:paraId="06C38D31">
            <w:pPr>
              <w:adjustRightInd w:val="0"/>
              <w:snapToGrid w:val="0"/>
              <w:spacing w:line="240" w:lineRule="auto"/>
              <w:ind w:firstLine="0" w:firstLineChars="0"/>
              <w:jc w:val="center"/>
              <w:rPr>
                <w:bCs/>
                <w:snapToGrid w:val="0"/>
                <w:kern w:val="0"/>
                <w:sz w:val="21"/>
                <w:szCs w:val="21"/>
              </w:rPr>
            </w:pPr>
            <w:r>
              <w:rPr>
                <w:rFonts w:hint="eastAsia"/>
                <w:bCs/>
                <w:snapToGrid w:val="0"/>
                <w:kern w:val="0"/>
                <w:sz w:val="21"/>
                <w:szCs w:val="21"/>
              </w:rPr>
              <w:t>较敏感</w:t>
            </w:r>
            <w:r>
              <w:rPr>
                <w:bCs/>
                <w:snapToGrid w:val="0"/>
                <w:kern w:val="0"/>
                <w:sz w:val="21"/>
                <w:szCs w:val="21"/>
              </w:rPr>
              <w:t>F2</w:t>
            </w:r>
          </w:p>
        </w:tc>
        <w:tc>
          <w:tcPr>
            <w:tcW w:w="4280" w:type="pct"/>
            <w:shd w:val="clear" w:color="auto" w:fill="auto"/>
            <w:tcMar>
              <w:left w:w="0" w:type="dxa"/>
              <w:right w:w="0" w:type="dxa"/>
            </w:tcMar>
            <w:vAlign w:val="center"/>
          </w:tcPr>
          <w:p w14:paraId="3BBAFB8A">
            <w:pPr>
              <w:adjustRightInd w:val="0"/>
              <w:snapToGrid w:val="0"/>
              <w:spacing w:line="240" w:lineRule="auto"/>
              <w:ind w:firstLine="420"/>
              <w:rPr>
                <w:bCs/>
                <w:snapToGrid w:val="0"/>
                <w:kern w:val="0"/>
                <w:sz w:val="21"/>
                <w:szCs w:val="21"/>
              </w:rPr>
            </w:pPr>
            <w:r>
              <w:rPr>
                <w:rFonts w:hint="eastAsia"/>
                <w:bCs/>
                <w:snapToGrid w:val="0"/>
                <w:kern w:val="0"/>
                <w:sz w:val="21"/>
                <w:szCs w:val="21"/>
              </w:rPr>
              <w:t>放点进入地表水水域环境功能为</w:t>
            </w:r>
            <w:r>
              <w:rPr>
                <w:bCs/>
                <w:snapToGrid w:val="0"/>
                <w:kern w:val="0"/>
                <w:sz w:val="21"/>
                <w:szCs w:val="21"/>
              </w:rPr>
              <w:t>Ⅲ</w:t>
            </w:r>
            <w:r>
              <w:rPr>
                <w:rFonts w:hint="eastAsia"/>
                <w:bCs/>
                <w:snapToGrid w:val="0"/>
                <w:kern w:val="0"/>
                <w:sz w:val="21"/>
                <w:szCs w:val="21"/>
              </w:rPr>
              <w:t>类，或海水水质分类第二类；或以发生事故时，危险物质泄漏排到水体的排放点算起，排放进入受纳河流最大流速时，</w:t>
            </w:r>
            <w:r>
              <w:rPr>
                <w:bCs/>
                <w:snapToGrid w:val="0"/>
                <w:kern w:val="0"/>
                <w:sz w:val="21"/>
                <w:szCs w:val="21"/>
              </w:rPr>
              <w:t>24h</w:t>
            </w:r>
            <w:r>
              <w:rPr>
                <w:rFonts w:hint="eastAsia"/>
                <w:bCs/>
                <w:snapToGrid w:val="0"/>
                <w:kern w:val="0"/>
                <w:sz w:val="21"/>
                <w:szCs w:val="21"/>
              </w:rPr>
              <w:t>流经范围内涉跨省界的。</w:t>
            </w:r>
          </w:p>
        </w:tc>
      </w:tr>
      <w:tr w14:paraId="4CA24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pct"/>
            <w:shd w:val="clear" w:color="auto" w:fill="auto"/>
            <w:tcMar>
              <w:left w:w="0" w:type="dxa"/>
              <w:right w:w="0" w:type="dxa"/>
            </w:tcMar>
            <w:vAlign w:val="center"/>
          </w:tcPr>
          <w:p w14:paraId="5F7BFF2E">
            <w:pPr>
              <w:adjustRightInd w:val="0"/>
              <w:snapToGrid w:val="0"/>
              <w:spacing w:line="240" w:lineRule="auto"/>
              <w:ind w:firstLine="0" w:firstLineChars="0"/>
              <w:jc w:val="center"/>
              <w:rPr>
                <w:bCs/>
                <w:snapToGrid w:val="0"/>
                <w:kern w:val="0"/>
                <w:sz w:val="21"/>
                <w:szCs w:val="21"/>
              </w:rPr>
            </w:pPr>
            <w:r>
              <w:rPr>
                <w:rFonts w:hint="eastAsia"/>
                <w:bCs/>
                <w:snapToGrid w:val="0"/>
                <w:kern w:val="0"/>
                <w:sz w:val="21"/>
                <w:szCs w:val="21"/>
              </w:rPr>
              <w:t>低敏感</w:t>
            </w:r>
            <w:r>
              <w:rPr>
                <w:bCs/>
                <w:snapToGrid w:val="0"/>
                <w:kern w:val="0"/>
                <w:sz w:val="21"/>
                <w:szCs w:val="21"/>
              </w:rPr>
              <w:t>F3</w:t>
            </w:r>
          </w:p>
        </w:tc>
        <w:tc>
          <w:tcPr>
            <w:tcW w:w="4280" w:type="pct"/>
            <w:shd w:val="clear" w:color="auto" w:fill="auto"/>
            <w:tcMar>
              <w:left w:w="0" w:type="dxa"/>
              <w:right w:w="0" w:type="dxa"/>
            </w:tcMar>
            <w:vAlign w:val="center"/>
          </w:tcPr>
          <w:p w14:paraId="191B89C7">
            <w:pPr>
              <w:adjustRightInd w:val="0"/>
              <w:snapToGrid w:val="0"/>
              <w:spacing w:line="240" w:lineRule="auto"/>
              <w:ind w:firstLine="420"/>
              <w:rPr>
                <w:bCs/>
                <w:snapToGrid w:val="0"/>
                <w:kern w:val="0"/>
                <w:sz w:val="21"/>
                <w:szCs w:val="21"/>
              </w:rPr>
            </w:pPr>
            <w:r>
              <w:rPr>
                <w:rFonts w:hint="eastAsia"/>
                <w:bCs/>
                <w:snapToGrid w:val="0"/>
                <w:kern w:val="0"/>
                <w:sz w:val="21"/>
                <w:szCs w:val="21"/>
              </w:rPr>
              <w:t>上述地区之外的其他地区</w:t>
            </w:r>
          </w:p>
        </w:tc>
      </w:tr>
    </w:tbl>
    <w:p w14:paraId="59AE65C4">
      <w:pPr>
        <w:pStyle w:val="47"/>
        <w:spacing w:before="65"/>
      </w:pPr>
      <w:r>
        <w:rPr>
          <w:rFonts w:hint="eastAsia"/>
        </w:rPr>
        <w:t>表</w:t>
      </w:r>
      <w:r>
        <w:t xml:space="preserve">5.7-9   </w:t>
      </w:r>
      <w:r>
        <w:rPr>
          <w:rFonts w:hint="eastAsia"/>
        </w:rPr>
        <w:t>地表水环境敏感目标分级</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5"/>
        <w:gridCol w:w="7375"/>
      </w:tblGrid>
      <w:tr w14:paraId="5F813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76" w:type="pct"/>
            <w:vAlign w:val="center"/>
          </w:tcPr>
          <w:p w14:paraId="2E7905E1">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kern w:val="0"/>
                <w:sz w:val="21"/>
                <w:szCs w:val="21"/>
              </w:rPr>
              <w:t>分级</w:t>
            </w:r>
          </w:p>
        </w:tc>
        <w:tc>
          <w:tcPr>
            <w:tcW w:w="4224" w:type="pct"/>
            <w:vAlign w:val="center"/>
          </w:tcPr>
          <w:p w14:paraId="7B290411">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spacing w:val="7"/>
                <w:kern w:val="0"/>
                <w:sz w:val="21"/>
                <w:szCs w:val="21"/>
              </w:rPr>
              <w:t>环境敏感目标</w:t>
            </w:r>
          </w:p>
        </w:tc>
      </w:tr>
      <w:tr w14:paraId="4652A5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76" w:type="pct"/>
            <w:vAlign w:val="center"/>
          </w:tcPr>
          <w:p w14:paraId="1124731F">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S1</w:t>
            </w:r>
          </w:p>
        </w:tc>
        <w:tc>
          <w:tcPr>
            <w:tcW w:w="4224" w:type="pct"/>
          </w:tcPr>
          <w:p w14:paraId="169AB991">
            <w:pPr>
              <w:kinsoku w:val="0"/>
              <w:overflowPunct w:val="0"/>
              <w:autoSpaceDE w:val="0"/>
              <w:autoSpaceDN w:val="0"/>
              <w:adjustRightInd w:val="0"/>
              <w:snapToGrid w:val="0"/>
              <w:spacing w:line="312" w:lineRule="auto"/>
              <w:ind w:firstLine="420"/>
              <w:jc w:val="left"/>
              <w:rPr>
                <w:kern w:val="0"/>
                <w:sz w:val="21"/>
                <w:szCs w:val="21"/>
              </w:rPr>
            </w:pPr>
            <w:r>
              <w:rPr>
                <w:rFonts w:hint="eastAsia" w:ascii="宋体" w:cs="宋体"/>
                <w:kern w:val="0"/>
                <w:sz w:val="21"/>
                <w:szCs w:val="21"/>
              </w:rPr>
              <w:t>发生事故时，危险物质泄漏到内陆水体的排放点下游（顺水流向）</w:t>
            </w:r>
            <w:r>
              <w:rPr>
                <w:kern w:val="0"/>
                <w:sz w:val="21"/>
                <w:szCs w:val="21"/>
              </w:rPr>
              <w:t>10</w:t>
            </w:r>
            <w:r>
              <w:rPr>
                <w:spacing w:val="-1"/>
                <w:kern w:val="0"/>
                <w:sz w:val="21"/>
                <w:szCs w:val="21"/>
              </w:rPr>
              <w:t>km</w:t>
            </w:r>
            <w:r>
              <w:rPr>
                <w:rFonts w:hint="eastAsia" w:ascii="宋体" w:cs="宋体"/>
                <w:kern w:val="0"/>
                <w:sz w:val="21"/>
                <w:szCs w:val="21"/>
              </w:rPr>
              <w:t>范围内、近岸海域一个潮周期水质点可能达到的最大水平距离的两倍范围内，有如下一类或多类环境风险受体：集中式地表水饮用水水源保护</w:t>
            </w:r>
            <w:r>
              <w:rPr>
                <w:rFonts w:hint="eastAsia" w:ascii="宋体" w:cs="宋体"/>
                <w:spacing w:val="-50"/>
                <w:kern w:val="0"/>
                <w:sz w:val="21"/>
                <w:szCs w:val="21"/>
              </w:rPr>
              <w:t>区</w:t>
            </w:r>
            <w:r>
              <w:rPr>
                <w:rFonts w:hint="eastAsia" w:ascii="宋体" w:cs="宋体"/>
                <w:kern w:val="0"/>
                <w:sz w:val="21"/>
                <w:szCs w:val="21"/>
              </w:rPr>
              <w:t>（包括一级保护区</w:t>
            </w:r>
            <w:r>
              <w:rPr>
                <w:rFonts w:hint="eastAsia" w:ascii="宋体" w:cs="宋体"/>
                <w:spacing w:val="-50"/>
                <w:kern w:val="0"/>
                <w:sz w:val="21"/>
                <w:szCs w:val="21"/>
              </w:rPr>
              <w:t>、</w:t>
            </w:r>
            <w:r>
              <w:rPr>
                <w:rFonts w:hint="eastAsia" w:ascii="宋体" w:cs="宋体"/>
                <w:kern w:val="0"/>
                <w:sz w:val="21"/>
                <w:szCs w:val="21"/>
              </w:rPr>
              <w:t>二级保护区及准保护区</w:t>
            </w:r>
            <w:r>
              <w:rPr>
                <w:rFonts w:hint="eastAsia" w:ascii="宋体" w:cs="宋体"/>
                <w:spacing w:val="-90"/>
                <w:kern w:val="0"/>
                <w:sz w:val="21"/>
                <w:szCs w:val="21"/>
              </w:rPr>
              <w:t>）</w:t>
            </w:r>
            <w:r>
              <w:rPr>
                <w:rFonts w:hint="eastAsia" w:ascii="宋体" w:cs="宋体"/>
                <w:spacing w:val="-50"/>
                <w:kern w:val="0"/>
                <w:sz w:val="21"/>
                <w:szCs w:val="21"/>
              </w:rPr>
              <w:t>；</w:t>
            </w:r>
            <w:r>
              <w:rPr>
                <w:rFonts w:hint="eastAsia" w:ascii="宋体" w:cs="宋体"/>
                <w:kern w:val="0"/>
                <w:sz w:val="21"/>
                <w:szCs w:val="21"/>
              </w:rPr>
              <w:t>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54AC5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76" w:type="pct"/>
            <w:vAlign w:val="center"/>
          </w:tcPr>
          <w:p w14:paraId="0216A417">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S2</w:t>
            </w:r>
          </w:p>
        </w:tc>
        <w:tc>
          <w:tcPr>
            <w:tcW w:w="4224" w:type="pct"/>
          </w:tcPr>
          <w:p w14:paraId="0397708B">
            <w:pPr>
              <w:kinsoku w:val="0"/>
              <w:overflowPunct w:val="0"/>
              <w:autoSpaceDE w:val="0"/>
              <w:autoSpaceDN w:val="0"/>
              <w:adjustRightInd w:val="0"/>
              <w:snapToGrid w:val="0"/>
              <w:spacing w:line="312" w:lineRule="auto"/>
              <w:ind w:firstLine="420"/>
              <w:jc w:val="left"/>
              <w:rPr>
                <w:kern w:val="0"/>
                <w:sz w:val="21"/>
                <w:szCs w:val="21"/>
              </w:rPr>
            </w:pPr>
            <w:r>
              <w:rPr>
                <w:rFonts w:hint="eastAsia" w:ascii="宋体" w:cs="宋体"/>
                <w:kern w:val="0"/>
                <w:sz w:val="21"/>
                <w:szCs w:val="21"/>
              </w:rPr>
              <w:t>发生事故时，危险物质泄漏到内陆水体的排放点下游（顺水流向）</w:t>
            </w:r>
            <w:r>
              <w:rPr>
                <w:kern w:val="0"/>
                <w:sz w:val="21"/>
                <w:szCs w:val="21"/>
              </w:rPr>
              <w:t>10</w:t>
            </w:r>
            <w:r>
              <w:rPr>
                <w:spacing w:val="-1"/>
                <w:kern w:val="0"/>
                <w:sz w:val="21"/>
                <w:szCs w:val="21"/>
              </w:rPr>
              <w:t xml:space="preserve"> km</w:t>
            </w:r>
            <w:r>
              <w:rPr>
                <w:spacing w:val="-3"/>
                <w:kern w:val="0"/>
                <w:sz w:val="21"/>
                <w:szCs w:val="21"/>
              </w:rPr>
              <w:t xml:space="preserve"> </w:t>
            </w:r>
            <w:r>
              <w:rPr>
                <w:rFonts w:hint="eastAsia" w:ascii="宋体" w:cs="宋体"/>
                <w:kern w:val="0"/>
                <w:sz w:val="21"/>
                <w:szCs w:val="21"/>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316410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76" w:type="pct"/>
            <w:shd w:val="clear" w:color="auto" w:fill="auto"/>
            <w:vAlign w:val="center"/>
          </w:tcPr>
          <w:p w14:paraId="2837187A">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S3</w:t>
            </w:r>
          </w:p>
        </w:tc>
        <w:tc>
          <w:tcPr>
            <w:tcW w:w="4224" w:type="pct"/>
            <w:shd w:val="clear" w:color="auto" w:fill="auto"/>
          </w:tcPr>
          <w:p w14:paraId="50F56B39">
            <w:pPr>
              <w:kinsoku w:val="0"/>
              <w:overflowPunct w:val="0"/>
              <w:autoSpaceDE w:val="0"/>
              <w:autoSpaceDN w:val="0"/>
              <w:adjustRightInd w:val="0"/>
              <w:snapToGrid w:val="0"/>
              <w:spacing w:line="312" w:lineRule="auto"/>
              <w:ind w:firstLine="420"/>
              <w:jc w:val="left"/>
              <w:rPr>
                <w:kern w:val="0"/>
                <w:sz w:val="21"/>
                <w:szCs w:val="21"/>
              </w:rPr>
            </w:pPr>
            <w:r>
              <w:rPr>
                <w:rFonts w:hint="eastAsia" w:ascii="宋体" w:cs="宋体"/>
                <w:kern w:val="0"/>
                <w:sz w:val="21"/>
                <w:szCs w:val="21"/>
              </w:rPr>
              <w:t>排放点下游（顺水流向）</w:t>
            </w:r>
            <w:r>
              <w:rPr>
                <w:kern w:val="0"/>
                <w:sz w:val="21"/>
                <w:szCs w:val="21"/>
              </w:rPr>
              <w:t>10</w:t>
            </w:r>
            <w:r>
              <w:rPr>
                <w:spacing w:val="-1"/>
                <w:kern w:val="0"/>
                <w:sz w:val="21"/>
                <w:szCs w:val="21"/>
              </w:rPr>
              <w:t>km</w:t>
            </w:r>
            <w:r>
              <w:rPr>
                <w:rFonts w:hint="eastAsia" w:ascii="宋体" w:cs="宋体"/>
                <w:kern w:val="0"/>
                <w:sz w:val="21"/>
                <w:szCs w:val="21"/>
              </w:rPr>
              <w:t>范围、近岸海域一个潮周期水质点可能达到的最大水平距离的两倍范围内无上述类型</w:t>
            </w:r>
            <w:r>
              <w:rPr>
                <w:rFonts w:ascii="宋体" w:cs="宋体"/>
                <w:spacing w:val="-46"/>
                <w:kern w:val="0"/>
                <w:sz w:val="21"/>
                <w:szCs w:val="21"/>
              </w:rPr>
              <w:t xml:space="preserve"> </w:t>
            </w:r>
            <w:r>
              <w:rPr>
                <w:kern w:val="0"/>
                <w:sz w:val="21"/>
                <w:szCs w:val="21"/>
              </w:rPr>
              <w:t>1</w:t>
            </w:r>
            <w:r>
              <w:rPr>
                <w:rFonts w:hint="eastAsia" w:ascii="宋体" w:cs="宋体"/>
                <w:kern w:val="0"/>
                <w:sz w:val="21"/>
                <w:szCs w:val="21"/>
              </w:rPr>
              <w:t>和类型</w:t>
            </w:r>
            <w:r>
              <w:rPr>
                <w:rFonts w:ascii="宋体" w:cs="宋体"/>
                <w:spacing w:val="-45"/>
                <w:kern w:val="0"/>
                <w:sz w:val="21"/>
                <w:szCs w:val="21"/>
              </w:rPr>
              <w:t xml:space="preserve"> </w:t>
            </w:r>
            <w:r>
              <w:rPr>
                <w:kern w:val="0"/>
                <w:sz w:val="21"/>
                <w:szCs w:val="21"/>
              </w:rPr>
              <w:t>2</w:t>
            </w:r>
            <w:r>
              <w:rPr>
                <w:rFonts w:hint="eastAsia" w:ascii="宋体" w:cs="宋体"/>
                <w:kern w:val="0"/>
                <w:sz w:val="21"/>
                <w:szCs w:val="21"/>
              </w:rPr>
              <w:t>包括的敏感保护目标。</w:t>
            </w:r>
          </w:p>
        </w:tc>
      </w:tr>
    </w:tbl>
    <w:p w14:paraId="03989179">
      <w:pPr>
        <w:adjustRightInd w:val="0"/>
        <w:snapToGrid w:val="0"/>
        <w:spacing w:line="480" w:lineRule="exact"/>
        <w:ind w:firstLine="480"/>
      </w:pPr>
      <w:r>
        <w:rPr>
          <w:rFonts w:hint="eastAsia"/>
        </w:rPr>
        <w:t>本项目周边无地表水分布，且项目废水与地表水无直接水力联系，因此，判定地表水敏感程度为E3。</w:t>
      </w:r>
    </w:p>
    <w:p w14:paraId="34C5BBE0">
      <w:pPr>
        <w:adjustRightInd w:val="0"/>
        <w:snapToGrid w:val="0"/>
        <w:spacing w:line="480" w:lineRule="exact"/>
        <w:ind w:firstLine="480"/>
      </w:pPr>
      <w:r>
        <w:rPr>
          <w:rFonts w:hint="eastAsia"/>
        </w:rPr>
        <w:t>本项目地表水环境风险评价等级为“</w:t>
      </w:r>
      <w:r>
        <w:rPr>
          <w:rFonts w:hint="eastAsia"/>
          <w:b/>
          <w:bCs/>
        </w:rPr>
        <w:t>简单分析</w:t>
      </w:r>
      <w:r>
        <w:rPr>
          <w:rFonts w:hint="eastAsia"/>
        </w:rPr>
        <w:t>”。</w:t>
      </w:r>
    </w:p>
    <w:p w14:paraId="0459FDB3">
      <w:pPr>
        <w:adjustRightInd w:val="0"/>
        <w:snapToGrid w:val="0"/>
        <w:spacing w:line="480" w:lineRule="exact"/>
        <w:ind w:firstLine="480"/>
      </w:pPr>
      <w:r>
        <w:rPr>
          <w:rFonts w:hint="eastAsia"/>
        </w:rPr>
        <w:t>（3）地下水环境</w:t>
      </w:r>
    </w:p>
    <w:p w14:paraId="3CD288C4">
      <w:pPr>
        <w:adjustRightInd w:val="0"/>
        <w:snapToGrid w:val="0"/>
        <w:spacing w:line="480" w:lineRule="exact"/>
        <w:ind w:firstLine="480"/>
      </w:pPr>
      <w:r>
        <w:rPr>
          <w:rFonts w:hint="eastAsia"/>
        </w:rPr>
        <w:t>依据地下水功能敏感性与包气带防污性能对地下水敏感程度进行分级，具体方法见表</w:t>
      </w:r>
      <w:r>
        <w:t>5.7-10</w:t>
      </w:r>
      <w:r>
        <w:rPr>
          <w:rFonts w:hint="eastAsia"/>
        </w:rPr>
        <w:t>～表</w:t>
      </w:r>
      <w:r>
        <w:t>5.7-12</w:t>
      </w:r>
      <w:r>
        <w:rPr>
          <w:rFonts w:hint="eastAsia"/>
        </w:rPr>
        <w:t>。</w:t>
      </w:r>
    </w:p>
    <w:p w14:paraId="41BE7B70">
      <w:pPr>
        <w:pStyle w:val="47"/>
        <w:spacing w:before="65"/>
      </w:pPr>
      <w:r>
        <w:rPr>
          <w:rFonts w:hint="eastAsia"/>
        </w:rPr>
        <w:t>表</w:t>
      </w:r>
      <w:r>
        <w:t xml:space="preserve">5.7-10   </w:t>
      </w:r>
      <w:r>
        <w:rPr>
          <w:rFonts w:hint="eastAsia"/>
        </w:rPr>
        <w:t>地下水环境敏感程度分级</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23"/>
        <w:gridCol w:w="1582"/>
        <w:gridCol w:w="2207"/>
        <w:gridCol w:w="2018"/>
      </w:tblGrid>
      <w:tr w14:paraId="7B2B03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exact"/>
        </w:trPr>
        <w:tc>
          <w:tcPr>
            <w:tcW w:w="1674" w:type="pct"/>
            <w:vMerge w:val="restart"/>
            <w:vAlign w:val="center"/>
          </w:tcPr>
          <w:p w14:paraId="2A8C291E">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包气带防污性能</w:t>
            </w:r>
          </w:p>
        </w:tc>
        <w:tc>
          <w:tcPr>
            <w:tcW w:w="3326" w:type="pct"/>
            <w:gridSpan w:val="3"/>
            <w:vAlign w:val="center"/>
          </w:tcPr>
          <w:p w14:paraId="30CCE643">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地下水功能敏感性</w:t>
            </w:r>
          </w:p>
        </w:tc>
      </w:tr>
      <w:tr w14:paraId="0788A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6" w:hRule="exact"/>
        </w:trPr>
        <w:tc>
          <w:tcPr>
            <w:tcW w:w="1674" w:type="pct"/>
            <w:vMerge w:val="continue"/>
            <w:vAlign w:val="center"/>
          </w:tcPr>
          <w:p w14:paraId="40E1D2A3">
            <w:pPr>
              <w:kinsoku w:val="0"/>
              <w:overflowPunct w:val="0"/>
              <w:autoSpaceDE w:val="0"/>
              <w:autoSpaceDN w:val="0"/>
              <w:adjustRightInd w:val="0"/>
              <w:snapToGrid w:val="0"/>
              <w:spacing w:line="219" w:lineRule="exact"/>
              <w:ind w:left="102" w:firstLine="0" w:firstLineChars="0"/>
              <w:jc w:val="center"/>
              <w:rPr>
                <w:kern w:val="0"/>
                <w:sz w:val="21"/>
                <w:szCs w:val="21"/>
              </w:rPr>
            </w:pPr>
          </w:p>
        </w:tc>
        <w:tc>
          <w:tcPr>
            <w:tcW w:w="906" w:type="pct"/>
            <w:vAlign w:val="center"/>
          </w:tcPr>
          <w:p w14:paraId="27016F97">
            <w:pPr>
              <w:kinsoku w:val="0"/>
              <w:overflowPunct w:val="0"/>
              <w:autoSpaceDE w:val="0"/>
              <w:autoSpaceDN w:val="0"/>
              <w:adjustRightInd w:val="0"/>
              <w:snapToGrid w:val="0"/>
              <w:spacing w:line="219" w:lineRule="exact"/>
              <w:ind w:left="102" w:right="1" w:firstLine="0" w:firstLineChars="0"/>
              <w:jc w:val="center"/>
              <w:rPr>
                <w:kern w:val="0"/>
                <w:sz w:val="21"/>
                <w:szCs w:val="21"/>
              </w:rPr>
            </w:pPr>
            <w:r>
              <w:rPr>
                <w:kern w:val="0"/>
                <w:sz w:val="21"/>
                <w:szCs w:val="21"/>
              </w:rPr>
              <w:t>G1</w:t>
            </w:r>
          </w:p>
        </w:tc>
        <w:tc>
          <w:tcPr>
            <w:tcW w:w="1264" w:type="pct"/>
            <w:vAlign w:val="center"/>
          </w:tcPr>
          <w:p w14:paraId="73DAD911">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G2</w:t>
            </w:r>
          </w:p>
        </w:tc>
        <w:tc>
          <w:tcPr>
            <w:tcW w:w="1156" w:type="pct"/>
            <w:vAlign w:val="center"/>
          </w:tcPr>
          <w:p w14:paraId="7F47F6C6">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G3</w:t>
            </w:r>
          </w:p>
        </w:tc>
      </w:tr>
      <w:tr w14:paraId="1C3B5E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6" w:hRule="exact"/>
        </w:trPr>
        <w:tc>
          <w:tcPr>
            <w:tcW w:w="1674" w:type="pct"/>
            <w:vAlign w:val="center"/>
          </w:tcPr>
          <w:p w14:paraId="01DD6E2E">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D1</w:t>
            </w:r>
          </w:p>
        </w:tc>
        <w:tc>
          <w:tcPr>
            <w:tcW w:w="906" w:type="pct"/>
            <w:vAlign w:val="center"/>
          </w:tcPr>
          <w:p w14:paraId="64A31171">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E1</w:t>
            </w:r>
          </w:p>
        </w:tc>
        <w:tc>
          <w:tcPr>
            <w:tcW w:w="1264" w:type="pct"/>
            <w:vAlign w:val="center"/>
          </w:tcPr>
          <w:p w14:paraId="6ACE6F4F">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E1</w:t>
            </w:r>
          </w:p>
        </w:tc>
        <w:tc>
          <w:tcPr>
            <w:tcW w:w="1156" w:type="pct"/>
            <w:vAlign w:val="center"/>
          </w:tcPr>
          <w:p w14:paraId="57996B70">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E2</w:t>
            </w:r>
          </w:p>
        </w:tc>
      </w:tr>
      <w:tr w14:paraId="1BED59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5" w:hRule="exact"/>
        </w:trPr>
        <w:tc>
          <w:tcPr>
            <w:tcW w:w="1674" w:type="pct"/>
            <w:vAlign w:val="center"/>
          </w:tcPr>
          <w:p w14:paraId="756515E8">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D2</w:t>
            </w:r>
          </w:p>
        </w:tc>
        <w:tc>
          <w:tcPr>
            <w:tcW w:w="906" w:type="pct"/>
            <w:vAlign w:val="center"/>
          </w:tcPr>
          <w:p w14:paraId="3EAA82D5">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E1</w:t>
            </w:r>
          </w:p>
        </w:tc>
        <w:tc>
          <w:tcPr>
            <w:tcW w:w="1264" w:type="pct"/>
            <w:vAlign w:val="center"/>
          </w:tcPr>
          <w:p w14:paraId="4706A490">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E2</w:t>
            </w:r>
          </w:p>
        </w:tc>
        <w:tc>
          <w:tcPr>
            <w:tcW w:w="1156" w:type="pct"/>
            <w:vAlign w:val="center"/>
          </w:tcPr>
          <w:p w14:paraId="40A8A4AC">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E3</w:t>
            </w:r>
          </w:p>
        </w:tc>
      </w:tr>
      <w:tr w14:paraId="405DE3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exact"/>
        </w:trPr>
        <w:tc>
          <w:tcPr>
            <w:tcW w:w="1674" w:type="pct"/>
            <w:vAlign w:val="center"/>
          </w:tcPr>
          <w:p w14:paraId="1D992094">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D3</w:t>
            </w:r>
          </w:p>
        </w:tc>
        <w:tc>
          <w:tcPr>
            <w:tcW w:w="906" w:type="pct"/>
            <w:vAlign w:val="center"/>
          </w:tcPr>
          <w:p w14:paraId="4CEA038C">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E2</w:t>
            </w:r>
          </w:p>
        </w:tc>
        <w:tc>
          <w:tcPr>
            <w:tcW w:w="1264" w:type="pct"/>
            <w:vAlign w:val="center"/>
          </w:tcPr>
          <w:p w14:paraId="76AA64F6">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E3</w:t>
            </w:r>
          </w:p>
        </w:tc>
        <w:tc>
          <w:tcPr>
            <w:tcW w:w="1156" w:type="pct"/>
            <w:vAlign w:val="center"/>
          </w:tcPr>
          <w:p w14:paraId="725CB9DC">
            <w:pPr>
              <w:kinsoku w:val="0"/>
              <w:overflowPunct w:val="0"/>
              <w:autoSpaceDE w:val="0"/>
              <w:autoSpaceDN w:val="0"/>
              <w:adjustRightInd w:val="0"/>
              <w:snapToGrid w:val="0"/>
              <w:spacing w:line="219" w:lineRule="exact"/>
              <w:ind w:left="102" w:firstLine="0" w:firstLineChars="0"/>
              <w:jc w:val="center"/>
              <w:rPr>
                <w:kern w:val="0"/>
                <w:sz w:val="21"/>
                <w:szCs w:val="21"/>
              </w:rPr>
            </w:pPr>
            <w:r>
              <w:rPr>
                <w:kern w:val="0"/>
                <w:sz w:val="21"/>
                <w:szCs w:val="21"/>
              </w:rPr>
              <w:t>E3</w:t>
            </w:r>
          </w:p>
        </w:tc>
      </w:tr>
    </w:tbl>
    <w:p w14:paraId="35B68736">
      <w:pPr>
        <w:pStyle w:val="47"/>
        <w:spacing w:before="65"/>
      </w:pPr>
      <w:r>
        <w:rPr>
          <w:rFonts w:hint="eastAsia"/>
        </w:rPr>
        <w:t>表</w:t>
      </w:r>
      <w:r>
        <w:t xml:space="preserve">5.7-11   </w:t>
      </w:r>
      <w:r>
        <w:rPr>
          <w:rFonts w:hint="eastAsia"/>
        </w:rPr>
        <w:t>地下水功能敏感性分区</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6"/>
        <w:gridCol w:w="7454"/>
      </w:tblGrid>
      <w:tr w14:paraId="3C7E2D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31" w:type="pct"/>
            <w:vAlign w:val="center"/>
          </w:tcPr>
          <w:p w14:paraId="0603349F">
            <w:pPr>
              <w:kinsoku w:val="0"/>
              <w:overflowPunct w:val="0"/>
              <w:autoSpaceDE w:val="0"/>
              <w:autoSpaceDN w:val="0"/>
              <w:adjustRightInd w:val="0"/>
              <w:snapToGrid w:val="0"/>
              <w:spacing w:line="240" w:lineRule="auto"/>
              <w:ind w:left="102" w:firstLine="0" w:firstLineChars="0"/>
              <w:jc w:val="center"/>
              <w:rPr>
                <w:kern w:val="0"/>
                <w:sz w:val="21"/>
                <w:szCs w:val="21"/>
              </w:rPr>
            </w:pPr>
            <w:r>
              <w:rPr>
                <w:kern w:val="0"/>
                <w:sz w:val="21"/>
                <w:szCs w:val="21"/>
              </w:rPr>
              <w:t>敏感性</w:t>
            </w:r>
          </w:p>
        </w:tc>
        <w:tc>
          <w:tcPr>
            <w:tcW w:w="4269" w:type="pct"/>
            <w:vAlign w:val="center"/>
          </w:tcPr>
          <w:p w14:paraId="66114851">
            <w:pPr>
              <w:kinsoku w:val="0"/>
              <w:overflowPunct w:val="0"/>
              <w:autoSpaceDE w:val="0"/>
              <w:autoSpaceDN w:val="0"/>
              <w:adjustRightInd w:val="0"/>
              <w:snapToGrid w:val="0"/>
              <w:spacing w:line="240" w:lineRule="auto"/>
              <w:ind w:left="102" w:firstLine="0" w:firstLineChars="0"/>
              <w:jc w:val="center"/>
              <w:rPr>
                <w:kern w:val="0"/>
                <w:sz w:val="21"/>
                <w:szCs w:val="21"/>
              </w:rPr>
            </w:pPr>
            <w:r>
              <w:rPr>
                <w:kern w:val="0"/>
                <w:sz w:val="21"/>
                <w:szCs w:val="21"/>
              </w:rPr>
              <w:t>地下水环境敏感特征</w:t>
            </w:r>
          </w:p>
        </w:tc>
      </w:tr>
      <w:tr w14:paraId="5DEEC0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31" w:type="pct"/>
            <w:vAlign w:val="center"/>
          </w:tcPr>
          <w:p w14:paraId="3AF24058">
            <w:pPr>
              <w:kinsoku w:val="0"/>
              <w:overflowPunct w:val="0"/>
              <w:autoSpaceDE w:val="0"/>
              <w:autoSpaceDN w:val="0"/>
              <w:adjustRightInd w:val="0"/>
              <w:snapToGrid w:val="0"/>
              <w:spacing w:line="240" w:lineRule="auto"/>
              <w:ind w:left="102" w:firstLine="0" w:firstLineChars="0"/>
              <w:jc w:val="center"/>
              <w:rPr>
                <w:kern w:val="0"/>
                <w:sz w:val="21"/>
                <w:szCs w:val="21"/>
              </w:rPr>
            </w:pPr>
            <w:r>
              <w:rPr>
                <w:kern w:val="0"/>
                <w:sz w:val="21"/>
                <w:szCs w:val="21"/>
              </w:rPr>
              <w:t>敏感G1</w:t>
            </w:r>
          </w:p>
        </w:tc>
        <w:tc>
          <w:tcPr>
            <w:tcW w:w="4269" w:type="pct"/>
          </w:tcPr>
          <w:p w14:paraId="2F6E25D7">
            <w:pPr>
              <w:kinsoku w:val="0"/>
              <w:overflowPunct w:val="0"/>
              <w:autoSpaceDE w:val="0"/>
              <w:autoSpaceDN w:val="0"/>
              <w:adjustRightInd w:val="0"/>
              <w:snapToGrid w:val="0"/>
              <w:spacing w:line="240" w:lineRule="auto"/>
              <w:ind w:firstLine="420"/>
              <w:jc w:val="left"/>
              <w:rPr>
                <w:kern w:val="0"/>
                <w:sz w:val="21"/>
                <w:szCs w:val="21"/>
              </w:rPr>
            </w:pPr>
            <w:r>
              <w:rPr>
                <w:kern w:val="0"/>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62DAE2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31" w:type="pct"/>
            <w:vAlign w:val="center"/>
          </w:tcPr>
          <w:p w14:paraId="4B8537B7">
            <w:pPr>
              <w:kinsoku w:val="0"/>
              <w:overflowPunct w:val="0"/>
              <w:autoSpaceDE w:val="0"/>
              <w:autoSpaceDN w:val="0"/>
              <w:adjustRightInd w:val="0"/>
              <w:snapToGrid w:val="0"/>
              <w:spacing w:line="240" w:lineRule="auto"/>
              <w:ind w:left="102" w:firstLine="0" w:firstLineChars="0"/>
              <w:jc w:val="center"/>
              <w:rPr>
                <w:kern w:val="0"/>
                <w:sz w:val="21"/>
                <w:szCs w:val="21"/>
              </w:rPr>
            </w:pPr>
            <w:r>
              <w:rPr>
                <w:kern w:val="0"/>
                <w:sz w:val="21"/>
                <w:szCs w:val="21"/>
              </w:rPr>
              <w:t>较敏感G2</w:t>
            </w:r>
          </w:p>
        </w:tc>
        <w:tc>
          <w:tcPr>
            <w:tcW w:w="4269" w:type="pct"/>
          </w:tcPr>
          <w:p w14:paraId="47E0439C">
            <w:pPr>
              <w:kinsoku w:val="0"/>
              <w:overflowPunct w:val="0"/>
              <w:autoSpaceDE w:val="0"/>
              <w:autoSpaceDN w:val="0"/>
              <w:adjustRightInd w:val="0"/>
              <w:snapToGrid w:val="0"/>
              <w:spacing w:line="240" w:lineRule="auto"/>
              <w:ind w:firstLine="420"/>
              <w:jc w:val="left"/>
              <w:rPr>
                <w:kern w:val="0"/>
                <w:sz w:val="21"/>
                <w:szCs w:val="21"/>
              </w:rPr>
            </w:pPr>
            <w:r>
              <w:rPr>
                <w:kern w:val="0"/>
                <w:sz w:val="21"/>
                <w:szCs w:val="21"/>
              </w:rPr>
              <w:t>集中式饮用水水源（包括已建成的在用、备用、应急水源，在建和规划的饮用水水源）准保护区以外</w:t>
            </w:r>
          </w:p>
          <w:p w14:paraId="59D055D3">
            <w:pPr>
              <w:kinsoku w:val="0"/>
              <w:overflowPunct w:val="0"/>
              <w:autoSpaceDE w:val="0"/>
              <w:autoSpaceDN w:val="0"/>
              <w:adjustRightInd w:val="0"/>
              <w:snapToGrid w:val="0"/>
              <w:spacing w:line="240" w:lineRule="auto"/>
              <w:ind w:right="115" w:firstLine="420"/>
              <w:jc w:val="left"/>
              <w:rPr>
                <w:kern w:val="0"/>
                <w:sz w:val="21"/>
                <w:szCs w:val="21"/>
              </w:rPr>
            </w:pPr>
            <w:r>
              <w:rPr>
                <w:kern w:val="0"/>
                <w:sz w:val="21"/>
                <w:szCs w:val="21"/>
              </w:rPr>
              <w:t>的补给径流区；未划定准保护区的集中式饮用水水源，其保护区以外的补给径流区；分散式饮用水水 源地；特殊地下水资源（如热水、矿泉水、温泉等）保护区以外的分布区等其他未列入上述敏感分级 的环境敏感区</w:t>
            </w:r>
            <w:r>
              <w:rPr>
                <w:kern w:val="0"/>
                <w:sz w:val="21"/>
                <w:szCs w:val="21"/>
                <w:vertAlign w:val="superscript"/>
              </w:rPr>
              <w:t>a</w:t>
            </w:r>
          </w:p>
        </w:tc>
      </w:tr>
      <w:tr w14:paraId="49DBE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31" w:type="pct"/>
            <w:vAlign w:val="center"/>
          </w:tcPr>
          <w:p w14:paraId="7F6B4574">
            <w:pPr>
              <w:kinsoku w:val="0"/>
              <w:overflowPunct w:val="0"/>
              <w:autoSpaceDE w:val="0"/>
              <w:autoSpaceDN w:val="0"/>
              <w:adjustRightInd w:val="0"/>
              <w:snapToGrid w:val="0"/>
              <w:spacing w:line="240" w:lineRule="auto"/>
              <w:ind w:left="102" w:firstLine="0" w:firstLineChars="0"/>
              <w:jc w:val="center"/>
              <w:rPr>
                <w:kern w:val="0"/>
                <w:sz w:val="21"/>
                <w:szCs w:val="21"/>
              </w:rPr>
            </w:pPr>
            <w:r>
              <w:rPr>
                <w:kern w:val="0"/>
                <w:sz w:val="21"/>
                <w:szCs w:val="21"/>
              </w:rPr>
              <w:t>不敏感G3</w:t>
            </w:r>
          </w:p>
        </w:tc>
        <w:tc>
          <w:tcPr>
            <w:tcW w:w="4269" w:type="pct"/>
            <w:vAlign w:val="center"/>
          </w:tcPr>
          <w:p w14:paraId="3D85CF42">
            <w:pPr>
              <w:kinsoku w:val="0"/>
              <w:overflowPunct w:val="0"/>
              <w:autoSpaceDE w:val="0"/>
              <w:autoSpaceDN w:val="0"/>
              <w:adjustRightInd w:val="0"/>
              <w:snapToGrid w:val="0"/>
              <w:spacing w:line="240" w:lineRule="auto"/>
              <w:ind w:firstLine="420"/>
              <w:rPr>
                <w:kern w:val="0"/>
                <w:sz w:val="21"/>
                <w:szCs w:val="21"/>
              </w:rPr>
            </w:pPr>
            <w:r>
              <w:rPr>
                <w:kern w:val="0"/>
                <w:sz w:val="21"/>
                <w:szCs w:val="21"/>
              </w:rPr>
              <w:t>上述地区之外的其他地区</w:t>
            </w:r>
          </w:p>
        </w:tc>
      </w:tr>
      <w:tr w14:paraId="6C07DE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000" w:type="pct"/>
            <w:gridSpan w:val="2"/>
          </w:tcPr>
          <w:p w14:paraId="40E74D16">
            <w:pPr>
              <w:kinsoku w:val="0"/>
              <w:overflowPunct w:val="0"/>
              <w:autoSpaceDE w:val="0"/>
              <w:autoSpaceDN w:val="0"/>
              <w:adjustRightInd w:val="0"/>
              <w:snapToGrid w:val="0"/>
              <w:spacing w:line="240" w:lineRule="auto"/>
              <w:ind w:left="102" w:firstLine="0" w:firstLineChars="0"/>
              <w:jc w:val="left"/>
              <w:rPr>
                <w:kern w:val="0"/>
                <w:sz w:val="21"/>
                <w:szCs w:val="21"/>
              </w:rPr>
            </w:pPr>
            <w:r>
              <w:rPr>
                <w:kern w:val="0"/>
                <w:sz w:val="21"/>
                <w:szCs w:val="21"/>
              </w:rPr>
              <w:t>a“环境敏感区”是指《建设项目环境影响评价分类管理名录》中所界定的涉及地下水的环境敏感区</w:t>
            </w:r>
          </w:p>
        </w:tc>
      </w:tr>
    </w:tbl>
    <w:p w14:paraId="0A916784">
      <w:pPr>
        <w:pStyle w:val="47"/>
        <w:spacing w:before="65"/>
      </w:pPr>
      <w:r>
        <w:rPr>
          <w:rFonts w:hint="eastAsia"/>
        </w:rPr>
        <w:t>表</w:t>
      </w:r>
      <w:r>
        <w:t xml:space="preserve">5.7-12   </w:t>
      </w:r>
      <w:r>
        <w:rPr>
          <w:rFonts w:hint="eastAsia"/>
        </w:rPr>
        <w:t>包气带防污性能分级</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33"/>
        <w:gridCol w:w="7497"/>
      </w:tblGrid>
      <w:tr w14:paraId="5ED2B7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06" w:type="pct"/>
          </w:tcPr>
          <w:p w14:paraId="7D1182F1">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kern w:val="0"/>
                <w:sz w:val="21"/>
                <w:szCs w:val="21"/>
              </w:rPr>
              <w:t>分级</w:t>
            </w:r>
          </w:p>
        </w:tc>
        <w:tc>
          <w:tcPr>
            <w:tcW w:w="4294" w:type="pct"/>
          </w:tcPr>
          <w:p w14:paraId="2FDBA604">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kern w:val="0"/>
                <w:sz w:val="21"/>
                <w:szCs w:val="21"/>
              </w:rPr>
              <w:t>包气带岩土的渗透性能</w:t>
            </w:r>
          </w:p>
        </w:tc>
      </w:tr>
      <w:tr w14:paraId="157B8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06" w:type="pct"/>
            <w:vAlign w:val="center"/>
          </w:tcPr>
          <w:p w14:paraId="2A28AA09">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D3</w:t>
            </w:r>
          </w:p>
        </w:tc>
        <w:tc>
          <w:tcPr>
            <w:tcW w:w="4294" w:type="pct"/>
            <w:vAlign w:val="center"/>
          </w:tcPr>
          <w:p w14:paraId="44C8C268">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Mb</w:t>
            </w:r>
            <w:r>
              <w:rPr>
                <w:rFonts w:hint="eastAsia" w:ascii="宋体" w:cs="宋体"/>
                <w:spacing w:val="-1"/>
                <w:kern w:val="0"/>
                <w:sz w:val="21"/>
                <w:szCs w:val="21"/>
              </w:rPr>
              <w:t>≥</w:t>
            </w:r>
            <w:r>
              <w:rPr>
                <w:spacing w:val="-1"/>
                <w:kern w:val="0"/>
                <w:sz w:val="21"/>
                <w:szCs w:val="21"/>
              </w:rPr>
              <w:t>1.0m</w:t>
            </w:r>
            <w:r>
              <w:rPr>
                <w:rFonts w:hint="eastAsia" w:ascii="宋体" w:cs="宋体"/>
                <w:spacing w:val="-1"/>
                <w:kern w:val="0"/>
                <w:sz w:val="21"/>
                <w:szCs w:val="21"/>
              </w:rPr>
              <w:t>，</w:t>
            </w:r>
            <w:r>
              <w:rPr>
                <w:i/>
                <w:iCs/>
                <w:spacing w:val="-1"/>
                <w:kern w:val="0"/>
                <w:sz w:val="21"/>
                <w:szCs w:val="21"/>
              </w:rPr>
              <w:t>K</w:t>
            </w:r>
            <w:r>
              <w:rPr>
                <w:rFonts w:hint="eastAsia" w:ascii="宋体" w:cs="宋体"/>
                <w:spacing w:val="-1"/>
                <w:kern w:val="0"/>
                <w:sz w:val="21"/>
                <w:szCs w:val="21"/>
              </w:rPr>
              <w:t>≤</w:t>
            </w:r>
            <w:r>
              <w:rPr>
                <w:spacing w:val="-1"/>
                <w:kern w:val="0"/>
                <w:sz w:val="21"/>
                <w:szCs w:val="21"/>
              </w:rPr>
              <w:t>1.0×10</w:t>
            </w:r>
            <w:r>
              <w:rPr>
                <w:spacing w:val="-1"/>
                <w:kern w:val="0"/>
                <w:position w:val="8"/>
                <w:sz w:val="21"/>
                <w:szCs w:val="21"/>
              </w:rPr>
              <w:t>-6</w:t>
            </w:r>
            <w:r>
              <w:rPr>
                <w:spacing w:val="-1"/>
                <w:kern w:val="0"/>
                <w:sz w:val="21"/>
                <w:szCs w:val="21"/>
              </w:rPr>
              <w:t>cm/s</w:t>
            </w:r>
            <w:r>
              <w:rPr>
                <w:rFonts w:hint="eastAsia" w:ascii="宋体" w:cs="宋体"/>
                <w:spacing w:val="-1"/>
                <w:kern w:val="0"/>
                <w:sz w:val="21"/>
                <w:szCs w:val="21"/>
              </w:rPr>
              <w:t>，且分布连续、稳定</w:t>
            </w:r>
          </w:p>
        </w:tc>
      </w:tr>
      <w:tr w14:paraId="64DEF7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06" w:type="pct"/>
            <w:shd w:val="clear" w:color="auto" w:fill="auto"/>
            <w:vAlign w:val="center"/>
          </w:tcPr>
          <w:p w14:paraId="23DEBF6D">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D2</w:t>
            </w:r>
          </w:p>
        </w:tc>
        <w:tc>
          <w:tcPr>
            <w:tcW w:w="4294" w:type="pct"/>
            <w:shd w:val="clear" w:color="auto" w:fill="auto"/>
          </w:tcPr>
          <w:p w14:paraId="63D014BF">
            <w:pPr>
              <w:kinsoku w:val="0"/>
              <w:overflowPunct w:val="0"/>
              <w:autoSpaceDE w:val="0"/>
              <w:autoSpaceDN w:val="0"/>
              <w:adjustRightInd w:val="0"/>
              <w:snapToGrid w:val="0"/>
              <w:spacing w:line="240" w:lineRule="auto"/>
              <w:ind w:firstLine="0" w:firstLineChars="0"/>
              <w:jc w:val="center"/>
              <w:rPr>
                <w:rFonts w:ascii="宋体" w:cs="宋体"/>
                <w:spacing w:val="-1"/>
                <w:kern w:val="0"/>
                <w:sz w:val="21"/>
                <w:szCs w:val="21"/>
              </w:rPr>
            </w:pPr>
            <w:r>
              <w:rPr>
                <w:spacing w:val="-1"/>
                <w:kern w:val="0"/>
                <w:sz w:val="21"/>
                <w:szCs w:val="21"/>
              </w:rPr>
              <w:t>0.5m</w:t>
            </w:r>
            <w:r>
              <w:rPr>
                <w:rFonts w:hint="eastAsia" w:ascii="宋体" w:cs="宋体"/>
                <w:spacing w:val="-1"/>
                <w:kern w:val="0"/>
                <w:sz w:val="21"/>
                <w:szCs w:val="21"/>
              </w:rPr>
              <w:t>≤</w:t>
            </w:r>
            <w:r>
              <w:rPr>
                <w:spacing w:val="-1"/>
                <w:kern w:val="0"/>
                <w:sz w:val="21"/>
                <w:szCs w:val="21"/>
              </w:rPr>
              <w:t>Mb&lt;1.0m</w:t>
            </w:r>
            <w:r>
              <w:rPr>
                <w:rFonts w:hint="eastAsia" w:ascii="宋体" w:cs="宋体"/>
                <w:spacing w:val="-1"/>
                <w:kern w:val="0"/>
                <w:sz w:val="21"/>
                <w:szCs w:val="21"/>
              </w:rPr>
              <w:t>，</w:t>
            </w:r>
            <w:r>
              <w:rPr>
                <w:i/>
                <w:iCs/>
                <w:spacing w:val="-1"/>
                <w:kern w:val="0"/>
                <w:sz w:val="21"/>
                <w:szCs w:val="21"/>
              </w:rPr>
              <w:t>K</w:t>
            </w:r>
            <w:r>
              <w:rPr>
                <w:rFonts w:hint="eastAsia" w:ascii="宋体" w:cs="宋体"/>
                <w:spacing w:val="-1"/>
                <w:kern w:val="0"/>
                <w:sz w:val="21"/>
                <w:szCs w:val="21"/>
              </w:rPr>
              <w:t>≤</w:t>
            </w:r>
            <w:r>
              <w:rPr>
                <w:spacing w:val="-1"/>
                <w:kern w:val="0"/>
                <w:sz w:val="21"/>
                <w:szCs w:val="21"/>
              </w:rPr>
              <w:t>1.0×10</w:t>
            </w:r>
            <w:r>
              <w:rPr>
                <w:spacing w:val="-1"/>
                <w:kern w:val="0"/>
                <w:position w:val="8"/>
                <w:sz w:val="21"/>
                <w:szCs w:val="21"/>
              </w:rPr>
              <w:t>-6</w:t>
            </w:r>
            <w:r>
              <w:rPr>
                <w:spacing w:val="-1"/>
                <w:kern w:val="0"/>
                <w:sz w:val="21"/>
                <w:szCs w:val="21"/>
              </w:rPr>
              <w:t>cm/s</w:t>
            </w:r>
            <w:r>
              <w:rPr>
                <w:rFonts w:hint="eastAsia" w:ascii="宋体" w:cs="宋体"/>
                <w:spacing w:val="-1"/>
                <w:kern w:val="0"/>
                <w:sz w:val="21"/>
                <w:szCs w:val="21"/>
              </w:rPr>
              <w:t>，且分布连续、稳定</w:t>
            </w:r>
          </w:p>
          <w:p w14:paraId="37E84F2E">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Mb</w:t>
            </w:r>
            <w:r>
              <w:rPr>
                <w:rFonts w:hint="eastAsia" w:ascii="宋体" w:cs="宋体"/>
                <w:spacing w:val="-1"/>
                <w:kern w:val="0"/>
                <w:sz w:val="21"/>
                <w:szCs w:val="21"/>
              </w:rPr>
              <w:t>≥</w:t>
            </w:r>
            <w:r>
              <w:rPr>
                <w:spacing w:val="-1"/>
                <w:kern w:val="0"/>
                <w:sz w:val="21"/>
                <w:szCs w:val="21"/>
              </w:rPr>
              <w:t>1.0m</w:t>
            </w:r>
            <w:r>
              <w:rPr>
                <w:rFonts w:hint="eastAsia" w:ascii="宋体" w:cs="宋体"/>
                <w:spacing w:val="-1"/>
                <w:kern w:val="0"/>
                <w:sz w:val="21"/>
                <w:szCs w:val="21"/>
              </w:rPr>
              <w:t>，</w:t>
            </w:r>
            <w:r>
              <w:rPr>
                <w:spacing w:val="-1"/>
                <w:kern w:val="0"/>
                <w:sz w:val="21"/>
                <w:szCs w:val="21"/>
              </w:rPr>
              <w:t>1.0×10</w:t>
            </w:r>
            <w:r>
              <w:rPr>
                <w:spacing w:val="-1"/>
                <w:kern w:val="0"/>
                <w:position w:val="8"/>
                <w:sz w:val="21"/>
                <w:szCs w:val="21"/>
              </w:rPr>
              <w:t>-6</w:t>
            </w:r>
            <w:r>
              <w:rPr>
                <w:spacing w:val="-1"/>
                <w:kern w:val="0"/>
                <w:sz w:val="21"/>
                <w:szCs w:val="21"/>
              </w:rPr>
              <w:t>cm/s</w:t>
            </w:r>
            <w:r>
              <w:rPr>
                <w:rFonts w:hint="eastAsia" w:ascii="宋体" w:cs="宋体"/>
                <w:spacing w:val="-1"/>
                <w:kern w:val="0"/>
                <w:sz w:val="21"/>
                <w:szCs w:val="21"/>
              </w:rPr>
              <w:t>＜</w:t>
            </w:r>
            <w:r>
              <w:rPr>
                <w:i/>
                <w:iCs/>
                <w:spacing w:val="-1"/>
                <w:kern w:val="0"/>
                <w:sz w:val="21"/>
                <w:szCs w:val="21"/>
              </w:rPr>
              <w:t>K</w:t>
            </w:r>
            <w:r>
              <w:rPr>
                <w:rFonts w:hint="eastAsia" w:ascii="宋体" w:cs="宋体"/>
                <w:spacing w:val="-1"/>
                <w:kern w:val="0"/>
                <w:sz w:val="21"/>
                <w:szCs w:val="21"/>
              </w:rPr>
              <w:t>≤</w:t>
            </w:r>
            <w:r>
              <w:rPr>
                <w:spacing w:val="-1"/>
                <w:kern w:val="0"/>
                <w:sz w:val="21"/>
                <w:szCs w:val="21"/>
              </w:rPr>
              <w:t>1.0×10</w:t>
            </w:r>
            <w:r>
              <w:rPr>
                <w:spacing w:val="-1"/>
                <w:kern w:val="0"/>
                <w:position w:val="8"/>
                <w:sz w:val="21"/>
                <w:szCs w:val="21"/>
              </w:rPr>
              <w:t>-4</w:t>
            </w:r>
            <w:r>
              <w:rPr>
                <w:spacing w:val="-1"/>
                <w:kern w:val="0"/>
                <w:sz w:val="21"/>
                <w:szCs w:val="21"/>
              </w:rPr>
              <w:t>cm/s</w:t>
            </w:r>
            <w:r>
              <w:rPr>
                <w:rFonts w:hint="eastAsia" w:ascii="宋体" w:cs="宋体"/>
                <w:spacing w:val="-1"/>
                <w:kern w:val="0"/>
                <w:sz w:val="21"/>
                <w:szCs w:val="21"/>
              </w:rPr>
              <w:t>，且分布连续、稳定</w:t>
            </w:r>
          </w:p>
        </w:tc>
      </w:tr>
      <w:tr w14:paraId="1E90BB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06" w:type="pct"/>
            <w:vAlign w:val="center"/>
          </w:tcPr>
          <w:p w14:paraId="38BA0817">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D1</w:t>
            </w:r>
          </w:p>
        </w:tc>
        <w:tc>
          <w:tcPr>
            <w:tcW w:w="4294" w:type="pct"/>
            <w:vAlign w:val="center"/>
          </w:tcPr>
          <w:p w14:paraId="340F09BA">
            <w:pPr>
              <w:kinsoku w:val="0"/>
              <w:overflowPunct w:val="0"/>
              <w:autoSpaceDE w:val="0"/>
              <w:autoSpaceDN w:val="0"/>
              <w:adjustRightInd w:val="0"/>
              <w:snapToGrid w:val="0"/>
              <w:spacing w:line="240" w:lineRule="auto"/>
              <w:ind w:firstLine="0" w:firstLineChars="0"/>
              <w:jc w:val="center"/>
              <w:rPr>
                <w:kern w:val="0"/>
                <w:sz w:val="21"/>
                <w:szCs w:val="21"/>
              </w:rPr>
            </w:pPr>
            <w:r>
              <w:rPr>
                <w:rFonts w:hint="eastAsia" w:ascii="宋体" w:cs="宋体"/>
                <w:spacing w:val="-1"/>
                <w:kern w:val="0"/>
                <w:sz w:val="21"/>
                <w:szCs w:val="21"/>
              </w:rPr>
              <w:t>岩（土）层不满足上述</w:t>
            </w:r>
            <w:r>
              <w:rPr>
                <w:spacing w:val="-1"/>
                <w:kern w:val="0"/>
                <w:sz w:val="21"/>
                <w:szCs w:val="21"/>
              </w:rPr>
              <w:t>“D2”</w:t>
            </w:r>
            <w:r>
              <w:rPr>
                <w:rFonts w:hint="eastAsia" w:ascii="宋体" w:cs="宋体"/>
                <w:spacing w:val="-1"/>
                <w:kern w:val="0"/>
                <w:sz w:val="21"/>
                <w:szCs w:val="21"/>
              </w:rPr>
              <w:t>和</w:t>
            </w:r>
            <w:r>
              <w:rPr>
                <w:spacing w:val="-1"/>
                <w:kern w:val="0"/>
                <w:sz w:val="21"/>
                <w:szCs w:val="21"/>
              </w:rPr>
              <w:t>“D3”</w:t>
            </w:r>
            <w:r>
              <w:rPr>
                <w:rFonts w:hint="eastAsia" w:ascii="宋体" w:cs="宋体"/>
                <w:spacing w:val="-1"/>
                <w:kern w:val="0"/>
                <w:sz w:val="21"/>
                <w:szCs w:val="21"/>
              </w:rPr>
              <w:t>条件</w:t>
            </w:r>
          </w:p>
        </w:tc>
      </w:tr>
      <w:tr w14:paraId="76416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000" w:type="pct"/>
            <w:gridSpan w:val="2"/>
          </w:tcPr>
          <w:p w14:paraId="02CBC1B9">
            <w:pPr>
              <w:kinsoku w:val="0"/>
              <w:overflowPunct w:val="0"/>
              <w:autoSpaceDE w:val="0"/>
              <w:autoSpaceDN w:val="0"/>
              <w:adjustRightInd w:val="0"/>
              <w:snapToGrid w:val="0"/>
              <w:spacing w:line="240" w:lineRule="auto"/>
              <w:ind w:firstLine="0" w:firstLineChars="0"/>
              <w:jc w:val="left"/>
              <w:rPr>
                <w:rFonts w:ascii="宋体" w:cs="宋体"/>
                <w:spacing w:val="-1"/>
                <w:kern w:val="0"/>
                <w:sz w:val="21"/>
                <w:szCs w:val="21"/>
              </w:rPr>
            </w:pPr>
            <w:r>
              <w:rPr>
                <w:spacing w:val="-1"/>
                <w:kern w:val="0"/>
                <w:sz w:val="21"/>
                <w:szCs w:val="21"/>
              </w:rPr>
              <w:t>Mb</w:t>
            </w:r>
            <w:r>
              <w:rPr>
                <w:rFonts w:hint="eastAsia" w:ascii="宋体" w:cs="宋体"/>
                <w:spacing w:val="-1"/>
                <w:kern w:val="0"/>
                <w:sz w:val="21"/>
                <w:szCs w:val="21"/>
              </w:rPr>
              <w:t>：岩土层单层厚度。</w:t>
            </w:r>
          </w:p>
          <w:p w14:paraId="1ECF7C6F">
            <w:pPr>
              <w:kinsoku w:val="0"/>
              <w:overflowPunct w:val="0"/>
              <w:autoSpaceDE w:val="0"/>
              <w:autoSpaceDN w:val="0"/>
              <w:adjustRightInd w:val="0"/>
              <w:snapToGrid w:val="0"/>
              <w:spacing w:line="240" w:lineRule="auto"/>
              <w:ind w:firstLine="0" w:firstLineChars="0"/>
              <w:jc w:val="left"/>
              <w:rPr>
                <w:kern w:val="0"/>
                <w:sz w:val="21"/>
                <w:szCs w:val="21"/>
              </w:rPr>
            </w:pPr>
            <w:r>
              <w:rPr>
                <w:i/>
                <w:iCs/>
                <w:spacing w:val="-1"/>
                <w:kern w:val="0"/>
                <w:sz w:val="21"/>
                <w:szCs w:val="21"/>
              </w:rPr>
              <w:t>K</w:t>
            </w:r>
            <w:r>
              <w:rPr>
                <w:rFonts w:hint="eastAsia" w:ascii="宋体" w:cs="宋体"/>
                <w:spacing w:val="-1"/>
                <w:kern w:val="0"/>
                <w:sz w:val="21"/>
                <w:szCs w:val="21"/>
              </w:rPr>
              <w:t>：渗透系数。</w:t>
            </w:r>
          </w:p>
        </w:tc>
      </w:tr>
    </w:tbl>
    <w:p w14:paraId="51FDBCB0">
      <w:pPr>
        <w:adjustRightInd w:val="0"/>
        <w:snapToGrid w:val="0"/>
        <w:spacing w:line="480" w:lineRule="exact"/>
        <w:ind w:firstLine="480"/>
      </w:pPr>
      <w:r>
        <w:rPr>
          <w:rFonts w:hint="eastAsia"/>
        </w:rPr>
        <w:t>项目区周围没有地下水敏感目标分布，项目区渗透系数K为1.07m/d（1.23×10</w:t>
      </w:r>
      <w:r>
        <w:rPr>
          <w:rFonts w:hint="eastAsia"/>
          <w:vertAlign w:val="superscript"/>
        </w:rPr>
        <w:t>-3</w:t>
      </w:r>
      <w:r>
        <w:rPr>
          <w:rFonts w:hint="eastAsia"/>
        </w:rPr>
        <w:t>cm）/</w:t>
      </w:r>
      <w:r>
        <w:t>s</w:t>
      </w:r>
      <w:r>
        <w:rPr>
          <w:rFonts w:hint="eastAsia"/>
        </w:rPr>
        <w:t>，包气带防污性能分级为D1，由此判定地下水敏感程度为E</w:t>
      </w:r>
      <w:r>
        <w:t>2</w:t>
      </w:r>
      <w:r>
        <w:rPr>
          <w:rFonts w:hint="eastAsia"/>
        </w:rPr>
        <w:t>。本项目地下水环境风险评价等级为“三级”。</w:t>
      </w:r>
    </w:p>
    <w:p w14:paraId="592B2555">
      <w:pPr>
        <w:adjustRightInd w:val="0"/>
        <w:snapToGrid w:val="0"/>
        <w:spacing w:before="65" w:beforeLines="20" w:after="60" w:line="240" w:lineRule="auto"/>
        <w:ind w:firstLine="0" w:firstLineChars="0"/>
        <w:jc w:val="center"/>
        <w:rPr>
          <w:rFonts w:eastAsia="黑体"/>
        </w:rPr>
      </w:pPr>
      <w:r>
        <w:rPr>
          <w:rFonts w:hint="eastAsia" w:eastAsia="黑体"/>
        </w:rPr>
        <w:t>表5</w:t>
      </w:r>
      <w:r>
        <w:rPr>
          <w:rFonts w:eastAsia="黑体"/>
        </w:rPr>
        <w:t xml:space="preserve">.7-13   </w:t>
      </w:r>
      <w:r>
        <w:rPr>
          <w:rFonts w:hint="eastAsia" w:eastAsia="黑体"/>
        </w:rPr>
        <w:t>建设项目环境敏感特征表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47"/>
        <w:gridCol w:w="1253"/>
        <w:gridCol w:w="1245"/>
        <w:gridCol w:w="1246"/>
        <w:gridCol w:w="1245"/>
        <w:gridCol w:w="1245"/>
        <w:gridCol w:w="1249"/>
      </w:tblGrid>
      <w:tr w14:paraId="0FBC9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shd w:val="clear" w:color="auto" w:fill="auto"/>
            <w:vAlign w:val="center"/>
          </w:tcPr>
          <w:p w14:paraId="0BF1E790">
            <w:pPr>
              <w:adjustRightInd w:val="0"/>
              <w:snapToGrid w:val="0"/>
              <w:spacing w:line="240" w:lineRule="auto"/>
              <w:ind w:firstLine="0" w:firstLineChars="0"/>
              <w:jc w:val="center"/>
              <w:rPr>
                <w:sz w:val="21"/>
                <w:szCs w:val="20"/>
              </w:rPr>
            </w:pPr>
            <w:r>
              <w:rPr>
                <w:rFonts w:hint="eastAsia"/>
                <w:sz w:val="21"/>
                <w:szCs w:val="20"/>
              </w:rPr>
              <w:t>类别</w:t>
            </w:r>
          </w:p>
        </w:tc>
        <w:tc>
          <w:tcPr>
            <w:tcW w:w="7483" w:type="dxa"/>
            <w:gridSpan w:val="6"/>
            <w:shd w:val="clear" w:color="auto" w:fill="auto"/>
            <w:vAlign w:val="center"/>
          </w:tcPr>
          <w:p w14:paraId="4DA1D3D5">
            <w:pPr>
              <w:adjustRightInd w:val="0"/>
              <w:snapToGrid w:val="0"/>
              <w:spacing w:line="240" w:lineRule="auto"/>
              <w:ind w:firstLine="0" w:firstLineChars="0"/>
              <w:jc w:val="center"/>
              <w:rPr>
                <w:sz w:val="21"/>
                <w:szCs w:val="20"/>
              </w:rPr>
            </w:pPr>
            <w:r>
              <w:rPr>
                <w:rFonts w:hint="eastAsia"/>
                <w:sz w:val="21"/>
                <w:szCs w:val="20"/>
              </w:rPr>
              <w:t>环境敏感特征</w:t>
            </w:r>
          </w:p>
        </w:tc>
      </w:tr>
      <w:tr w14:paraId="17A30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restart"/>
            <w:shd w:val="clear" w:color="auto" w:fill="auto"/>
            <w:vAlign w:val="center"/>
          </w:tcPr>
          <w:p w14:paraId="4E8EE0BB">
            <w:pPr>
              <w:adjustRightInd w:val="0"/>
              <w:snapToGrid w:val="0"/>
              <w:spacing w:line="240" w:lineRule="auto"/>
              <w:ind w:firstLine="0" w:firstLineChars="0"/>
              <w:jc w:val="center"/>
              <w:rPr>
                <w:sz w:val="21"/>
                <w:szCs w:val="20"/>
              </w:rPr>
            </w:pPr>
            <w:r>
              <w:rPr>
                <w:rFonts w:hint="eastAsia"/>
                <w:sz w:val="21"/>
                <w:szCs w:val="20"/>
              </w:rPr>
              <w:t>环境空气</w:t>
            </w:r>
          </w:p>
        </w:tc>
        <w:tc>
          <w:tcPr>
            <w:tcW w:w="7483" w:type="dxa"/>
            <w:gridSpan w:val="6"/>
            <w:shd w:val="clear" w:color="auto" w:fill="auto"/>
            <w:vAlign w:val="center"/>
          </w:tcPr>
          <w:p w14:paraId="50AF32FB">
            <w:pPr>
              <w:adjustRightInd w:val="0"/>
              <w:snapToGrid w:val="0"/>
              <w:spacing w:line="240" w:lineRule="auto"/>
              <w:ind w:firstLine="0" w:firstLineChars="0"/>
              <w:jc w:val="center"/>
              <w:rPr>
                <w:sz w:val="21"/>
                <w:szCs w:val="20"/>
              </w:rPr>
            </w:pPr>
            <w:r>
              <w:rPr>
                <w:rFonts w:hint="eastAsia"/>
                <w:sz w:val="21"/>
                <w:szCs w:val="20"/>
              </w:rPr>
              <w:t>厂址周边5km范围</w:t>
            </w:r>
          </w:p>
        </w:tc>
      </w:tr>
      <w:tr w14:paraId="62EA9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4A21BF5D">
            <w:pPr>
              <w:adjustRightInd w:val="0"/>
              <w:snapToGrid w:val="0"/>
              <w:spacing w:line="240" w:lineRule="auto"/>
              <w:ind w:firstLine="0" w:firstLineChars="0"/>
              <w:jc w:val="center"/>
              <w:rPr>
                <w:sz w:val="21"/>
                <w:szCs w:val="20"/>
              </w:rPr>
            </w:pPr>
          </w:p>
        </w:tc>
        <w:tc>
          <w:tcPr>
            <w:tcW w:w="1253" w:type="dxa"/>
            <w:shd w:val="clear" w:color="auto" w:fill="auto"/>
            <w:vAlign w:val="center"/>
          </w:tcPr>
          <w:p w14:paraId="05061BBB">
            <w:pPr>
              <w:adjustRightInd w:val="0"/>
              <w:snapToGrid w:val="0"/>
              <w:spacing w:line="240" w:lineRule="auto"/>
              <w:ind w:firstLine="0" w:firstLineChars="0"/>
              <w:jc w:val="center"/>
              <w:rPr>
                <w:sz w:val="21"/>
                <w:szCs w:val="20"/>
              </w:rPr>
            </w:pPr>
            <w:r>
              <w:rPr>
                <w:rFonts w:hint="eastAsia"/>
                <w:sz w:val="21"/>
                <w:szCs w:val="20"/>
              </w:rPr>
              <w:t>序号</w:t>
            </w:r>
          </w:p>
        </w:tc>
        <w:tc>
          <w:tcPr>
            <w:tcW w:w="1245" w:type="dxa"/>
            <w:shd w:val="clear" w:color="auto" w:fill="auto"/>
            <w:vAlign w:val="center"/>
          </w:tcPr>
          <w:p w14:paraId="2552DC84">
            <w:pPr>
              <w:adjustRightInd w:val="0"/>
              <w:snapToGrid w:val="0"/>
              <w:spacing w:line="240" w:lineRule="auto"/>
              <w:ind w:firstLine="0" w:firstLineChars="0"/>
              <w:jc w:val="center"/>
              <w:rPr>
                <w:sz w:val="21"/>
                <w:szCs w:val="20"/>
              </w:rPr>
            </w:pPr>
            <w:r>
              <w:rPr>
                <w:rFonts w:hint="eastAsia"/>
                <w:sz w:val="21"/>
                <w:szCs w:val="20"/>
              </w:rPr>
              <w:t>敏感目标名称</w:t>
            </w:r>
          </w:p>
        </w:tc>
        <w:tc>
          <w:tcPr>
            <w:tcW w:w="1246" w:type="dxa"/>
            <w:shd w:val="clear" w:color="auto" w:fill="auto"/>
            <w:vAlign w:val="center"/>
          </w:tcPr>
          <w:p w14:paraId="62441FAD">
            <w:pPr>
              <w:adjustRightInd w:val="0"/>
              <w:snapToGrid w:val="0"/>
              <w:spacing w:line="240" w:lineRule="auto"/>
              <w:ind w:firstLine="0" w:firstLineChars="0"/>
              <w:jc w:val="center"/>
              <w:rPr>
                <w:sz w:val="21"/>
                <w:szCs w:val="20"/>
              </w:rPr>
            </w:pPr>
            <w:r>
              <w:rPr>
                <w:rFonts w:hint="eastAsia"/>
                <w:sz w:val="21"/>
                <w:szCs w:val="20"/>
              </w:rPr>
              <w:t>相对方位</w:t>
            </w:r>
          </w:p>
        </w:tc>
        <w:tc>
          <w:tcPr>
            <w:tcW w:w="1245" w:type="dxa"/>
            <w:shd w:val="clear" w:color="auto" w:fill="auto"/>
            <w:vAlign w:val="center"/>
          </w:tcPr>
          <w:p w14:paraId="076E6BED">
            <w:pPr>
              <w:adjustRightInd w:val="0"/>
              <w:snapToGrid w:val="0"/>
              <w:spacing w:line="240" w:lineRule="auto"/>
              <w:ind w:firstLine="0" w:firstLineChars="0"/>
              <w:jc w:val="center"/>
              <w:rPr>
                <w:sz w:val="21"/>
                <w:szCs w:val="20"/>
              </w:rPr>
            </w:pPr>
            <w:r>
              <w:rPr>
                <w:rFonts w:hint="eastAsia"/>
                <w:sz w:val="21"/>
                <w:szCs w:val="20"/>
              </w:rPr>
              <w:t>距离/</w:t>
            </w:r>
            <w:r>
              <w:rPr>
                <w:sz w:val="21"/>
                <w:szCs w:val="20"/>
              </w:rPr>
              <w:t>m</w:t>
            </w:r>
          </w:p>
        </w:tc>
        <w:tc>
          <w:tcPr>
            <w:tcW w:w="1245" w:type="dxa"/>
            <w:shd w:val="clear" w:color="auto" w:fill="auto"/>
            <w:vAlign w:val="center"/>
          </w:tcPr>
          <w:p w14:paraId="69E55129">
            <w:pPr>
              <w:adjustRightInd w:val="0"/>
              <w:snapToGrid w:val="0"/>
              <w:spacing w:line="240" w:lineRule="auto"/>
              <w:ind w:firstLine="0" w:firstLineChars="0"/>
              <w:jc w:val="center"/>
              <w:rPr>
                <w:sz w:val="21"/>
                <w:szCs w:val="20"/>
              </w:rPr>
            </w:pPr>
            <w:r>
              <w:rPr>
                <w:rFonts w:hint="eastAsia"/>
                <w:sz w:val="21"/>
                <w:szCs w:val="20"/>
              </w:rPr>
              <w:t>属性</w:t>
            </w:r>
          </w:p>
        </w:tc>
        <w:tc>
          <w:tcPr>
            <w:tcW w:w="1249" w:type="dxa"/>
            <w:shd w:val="clear" w:color="auto" w:fill="auto"/>
            <w:vAlign w:val="center"/>
          </w:tcPr>
          <w:p w14:paraId="50D5C864">
            <w:pPr>
              <w:adjustRightInd w:val="0"/>
              <w:snapToGrid w:val="0"/>
              <w:spacing w:line="240" w:lineRule="auto"/>
              <w:ind w:firstLine="0" w:firstLineChars="0"/>
              <w:jc w:val="center"/>
              <w:rPr>
                <w:sz w:val="21"/>
                <w:szCs w:val="20"/>
              </w:rPr>
            </w:pPr>
            <w:r>
              <w:rPr>
                <w:rFonts w:hint="eastAsia"/>
                <w:sz w:val="21"/>
                <w:szCs w:val="20"/>
              </w:rPr>
              <w:t>人口数</w:t>
            </w:r>
          </w:p>
        </w:tc>
      </w:tr>
      <w:tr w14:paraId="76EB2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08A20402">
            <w:pPr>
              <w:adjustRightInd w:val="0"/>
              <w:snapToGrid w:val="0"/>
              <w:spacing w:line="240" w:lineRule="auto"/>
              <w:ind w:firstLine="0" w:firstLineChars="0"/>
              <w:jc w:val="center"/>
              <w:rPr>
                <w:sz w:val="21"/>
                <w:szCs w:val="20"/>
              </w:rPr>
            </w:pPr>
          </w:p>
        </w:tc>
        <w:tc>
          <w:tcPr>
            <w:tcW w:w="1253" w:type="dxa"/>
            <w:shd w:val="clear" w:color="auto" w:fill="auto"/>
            <w:vAlign w:val="center"/>
          </w:tcPr>
          <w:p w14:paraId="62F4FB9C">
            <w:pPr>
              <w:adjustRightInd w:val="0"/>
              <w:snapToGrid w:val="0"/>
              <w:spacing w:line="240" w:lineRule="auto"/>
              <w:ind w:firstLine="0" w:firstLineChars="0"/>
              <w:jc w:val="center"/>
              <w:rPr>
                <w:sz w:val="21"/>
                <w:szCs w:val="20"/>
              </w:rPr>
            </w:pPr>
            <w:r>
              <w:rPr>
                <w:rFonts w:hint="eastAsia"/>
                <w:sz w:val="21"/>
                <w:szCs w:val="20"/>
              </w:rPr>
              <w:t>1</w:t>
            </w:r>
          </w:p>
        </w:tc>
        <w:tc>
          <w:tcPr>
            <w:tcW w:w="1245" w:type="dxa"/>
            <w:shd w:val="clear" w:color="auto" w:fill="auto"/>
            <w:vAlign w:val="center"/>
          </w:tcPr>
          <w:p w14:paraId="29BDAE04">
            <w:pPr>
              <w:adjustRightInd w:val="0"/>
              <w:snapToGrid w:val="0"/>
              <w:spacing w:line="240" w:lineRule="auto"/>
              <w:ind w:firstLine="0" w:firstLineChars="0"/>
              <w:jc w:val="center"/>
              <w:rPr>
                <w:sz w:val="21"/>
                <w:szCs w:val="20"/>
              </w:rPr>
            </w:pPr>
            <w:r>
              <w:rPr>
                <w:rFonts w:hint="eastAsia"/>
                <w:sz w:val="21"/>
                <w:szCs w:val="20"/>
              </w:rPr>
              <w:t>130团22连</w:t>
            </w:r>
          </w:p>
        </w:tc>
        <w:tc>
          <w:tcPr>
            <w:tcW w:w="1246" w:type="dxa"/>
            <w:shd w:val="clear" w:color="auto" w:fill="auto"/>
            <w:vAlign w:val="center"/>
          </w:tcPr>
          <w:p w14:paraId="6E99D526">
            <w:pPr>
              <w:adjustRightInd w:val="0"/>
              <w:snapToGrid w:val="0"/>
              <w:spacing w:line="240" w:lineRule="auto"/>
              <w:ind w:firstLine="0" w:firstLineChars="0"/>
              <w:jc w:val="center"/>
              <w:rPr>
                <w:sz w:val="21"/>
                <w:szCs w:val="20"/>
              </w:rPr>
            </w:pPr>
            <w:r>
              <w:rPr>
                <w:sz w:val="21"/>
                <w:szCs w:val="20"/>
              </w:rPr>
              <w:t>SWW</w:t>
            </w:r>
          </w:p>
        </w:tc>
        <w:tc>
          <w:tcPr>
            <w:tcW w:w="1245" w:type="dxa"/>
            <w:shd w:val="clear" w:color="auto" w:fill="auto"/>
            <w:vAlign w:val="center"/>
          </w:tcPr>
          <w:p w14:paraId="67DADF84">
            <w:pPr>
              <w:adjustRightInd w:val="0"/>
              <w:snapToGrid w:val="0"/>
              <w:spacing w:line="240" w:lineRule="auto"/>
              <w:ind w:firstLine="0" w:firstLineChars="0"/>
              <w:jc w:val="center"/>
              <w:rPr>
                <w:sz w:val="21"/>
                <w:szCs w:val="20"/>
              </w:rPr>
            </w:pPr>
            <w:r>
              <w:rPr>
                <w:rFonts w:hint="eastAsia"/>
                <w:sz w:val="21"/>
                <w:szCs w:val="20"/>
              </w:rPr>
              <w:t>1</w:t>
            </w:r>
            <w:r>
              <w:rPr>
                <w:sz w:val="21"/>
                <w:szCs w:val="20"/>
              </w:rPr>
              <w:t>.8</w:t>
            </w:r>
          </w:p>
        </w:tc>
        <w:tc>
          <w:tcPr>
            <w:tcW w:w="1245" w:type="dxa"/>
            <w:shd w:val="clear" w:color="auto" w:fill="auto"/>
            <w:vAlign w:val="center"/>
          </w:tcPr>
          <w:p w14:paraId="113C3924">
            <w:pPr>
              <w:adjustRightInd w:val="0"/>
              <w:snapToGrid w:val="0"/>
              <w:spacing w:line="240" w:lineRule="auto"/>
              <w:ind w:firstLine="0" w:firstLineChars="0"/>
              <w:jc w:val="center"/>
              <w:rPr>
                <w:sz w:val="21"/>
                <w:szCs w:val="20"/>
              </w:rPr>
            </w:pPr>
            <w:r>
              <w:rPr>
                <w:rFonts w:hint="eastAsia"/>
                <w:sz w:val="21"/>
                <w:szCs w:val="20"/>
              </w:rPr>
              <w:t>居住区</w:t>
            </w:r>
          </w:p>
        </w:tc>
        <w:tc>
          <w:tcPr>
            <w:tcW w:w="1249" w:type="dxa"/>
            <w:shd w:val="clear" w:color="auto" w:fill="auto"/>
            <w:vAlign w:val="center"/>
          </w:tcPr>
          <w:p w14:paraId="5D5A6C98">
            <w:pPr>
              <w:adjustRightInd w:val="0"/>
              <w:snapToGrid w:val="0"/>
              <w:spacing w:line="240" w:lineRule="auto"/>
              <w:ind w:firstLine="0" w:firstLineChars="0"/>
              <w:jc w:val="center"/>
              <w:rPr>
                <w:sz w:val="21"/>
                <w:szCs w:val="20"/>
              </w:rPr>
            </w:pPr>
            <w:r>
              <w:rPr>
                <w:rFonts w:hint="eastAsia"/>
                <w:sz w:val="21"/>
                <w:szCs w:val="20"/>
              </w:rPr>
              <w:t>2</w:t>
            </w:r>
            <w:r>
              <w:rPr>
                <w:sz w:val="21"/>
                <w:szCs w:val="20"/>
              </w:rPr>
              <w:t>25</w:t>
            </w:r>
          </w:p>
        </w:tc>
      </w:tr>
      <w:tr w14:paraId="46140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57033053">
            <w:pPr>
              <w:adjustRightInd w:val="0"/>
              <w:snapToGrid w:val="0"/>
              <w:spacing w:line="240" w:lineRule="auto"/>
              <w:ind w:firstLine="0" w:firstLineChars="0"/>
              <w:jc w:val="center"/>
              <w:rPr>
                <w:sz w:val="21"/>
                <w:szCs w:val="20"/>
              </w:rPr>
            </w:pPr>
          </w:p>
        </w:tc>
        <w:tc>
          <w:tcPr>
            <w:tcW w:w="6234" w:type="dxa"/>
            <w:gridSpan w:val="5"/>
            <w:shd w:val="clear" w:color="auto" w:fill="auto"/>
            <w:vAlign w:val="center"/>
          </w:tcPr>
          <w:p w14:paraId="749CCB51">
            <w:pPr>
              <w:adjustRightInd w:val="0"/>
              <w:snapToGrid w:val="0"/>
              <w:spacing w:line="240" w:lineRule="auto"/>
              <w:ind w:firstLine="0" w:firstLineChars="0"/>
              <w:jc w:val="center"/>
              <w:rPr>
                <w:sz w:val="21"/>
                <w:szCs w:val="20"/>
              </w:rPr>
            </w:pPr>
            <w:r>
              <w:rPr>
                <w:rFonts w:hint="eastAsia"/>
                <w:sz w:val="21"/>
                <w:szCs w:val="20"/>
              </w:rPr>
              <w:t>厂址周边5</w:t>
            </w:r>
            <w:r>
              <w:rPr>
                <w:sz w:val="21"/>
                <w:szCs w:val="20"/>
              </w:rPr>
              <w:t>00</w:t>
            </w:r>
            <w:r>
              <w:rPr>
                <w:rFonts w:hint="eastAsia"/>
                <w:sz w:val="21"/>
                <w:szCs w:val="20"/>
              </w:rPr>
              <w:t>m范围内人口数小计</w:t>
            </w:r>
          </w:p>
        </w:tc>
        <w:tc>
          <w:tcPr>
            <w:tcW w:w="1249" w:type="dxa"/>
            <w:shd w:val="clear" w:color="auto" w:fill="auto"/>
            <w:vAlign w:val="center"/>
          </w:tcPr>
          <w:p w14:paraId="410B4E22">
            <w:pPr>
              <w:adjustRightInd w:val="0"/>
              <w:snapToGrid w:val="0"/>
              <w:spacing w:line="240" w:lineRule="auto"/>
              <w:ind w:firstLine="0" w:firstLineChars="0"/>
              <w:jc w:val="center"/>
              <w:rPr>
                <w:sz w:val="21"/>
                <w:szCs w:val="20"/>
              </w:rPr>
            </w:pPr>
            <w:r>
              <w:rPr>
                <w:rFonts w:hint="eastAsia"/>
                <w:sz w:val="21"/>
                <w:szCs w:val="20"/>
              </w:rPr>
              <w:t>1</w:t>
            </w:r>
            <w:r>
              <w:rPr>
                <w:sz w:val="21"/>
                <w:szCs w:val="20"/>
              </w:rPr>
              <w:t>75</w:t>
            </w:r>
          </w:p>
        </w:tc>
      </w:tr>
      <w:tr w14:paraId="3C8F4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44CFD86A">
            <w:pPr>
              <w:adjustRightInd w:val="0"/>
              <w:snapToGrid w:val="0"/>
              <w:spacing w:line="240" w:lineRule="auto"/>
              <w:ind w:firstLine="0" w:firstLineChars="0"/>
              <w:jc w:val="center"/>
              <w:rPr>
                <w:sz w:val="21"/>
                <w:szCs w:val="20"/>
              </w:rPr>
            </w:pPr>
          </w:p>
        </w:tc>
        <w:tc>
          <w:tcPr>
            <w:tcW w:w="6234" w:type="dxa"/>
            <w:gridSpan w:val="5"/>
            <w:shd w:val="clear" w:color="auto" w:fill="auto"/>
            <w:vAlign w:val="center"/>
          </w:tcPr>
          <w:p w14:paraId="49F7D448">
            <w:pPr>
              <w:adjustRightInd w:val="0"/>
              <w:snapToGrid w:val="0"/>
              <w:spacing w:line="240" w:lineRule="auto"/>
              <w:ind w:firstLine="0" w:firstLineChars="0"/>
              <w:jc w:val="center"/>
              <w:rPr>
                <w:sz w:val="21"/>
                <w:szCs w:val="20"/>
              </w:rPr>
            </w:pPr>
            <w:r>
              <w:rPr>
                <w:rFonts w:hint="eastAsia"/>
                <w:sz w:val="21"/>
                <w:szCs w:val="20"/>
              </w:rPr>
              <w:t>厂址周边5km范围内人口数小计</w:t>
            </w:r>
          </w:p>
        </w:tc>
        <w:tc>
          <w:tcPr>
            <w:tcW w:w="1249" w:type="dxa"/>
            <w:shd w:val="clear" w:color="auto" w:fill="auto"/>
            <w:vAlign w:val="center"/>
          </w:tcPr>
          <w:p w14:paraId="7D809B05">
            <w:pPr>
              <w:adjustRightInd w:val="0"/>
              <w:snapToGrid w:val="0"/>
              <w:spacing w:line="240" w:lineRule="auto"/>
              <w:ind w:firstLine="0" w:firstLineChars="0"/>
              <w:jc w:val="center"/>
              <w:rPr>
                <w:sz w:val="21"/>
                <w:szCs w:val="20"/>
              </w:rPr>
            </w:pPr>
            <w:r>
              <w:rPr>
                <w:sz w:val="21"/>
                <w:szCs w:val="20"/>
              </w:rPr>
              <w:t>400</w:t>
            </w:r>
          </w:p>
        </w:tc>
      </w:tr>
      <w:tr w14:paraId="1FB24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3E7DB764">
            <w:pPr>
              <w:adjustRightInd w:val="0"/>
              <w:snapToGrid w:val="0"/>
              <w:spacing w:line="240" w:lineRule="auto"/>
              <w:ind w:firstLine="0" w:firstLineChars="0"/>
              <w:jc w:val="center"/>
              <w:rPr>
                <w:sz w:val="21"/>
                <w:szCs w:val="20"/>
              </w:rPr>
            </w:pPr>
          </w:p>
        </w:tc>
        <w:tc>
          <w:tcPr>
            <w:tcW w:w="7483" w:type="dxa"/>
            <w:gridSpan w:val="6"/>
            <w:shd w:val="clear" w:color="auto" w:fill="auto"/>
            <w:vAlign w:val="center"/>
          </w:tcPr>
          <w:p w14:paraId="1B091116">
            <w:pPr>
              <w:adjustRightInd w:val="0"/>
              <w:snapToGrid w:val="0"/>
              <w:spacing w:line="240" w:lineRule="auto"/>
              <w:ind w:firstLine="0" w:firstLineChars="0"/>
              <w:jc w:val="center"/>
              <w:rPr>
                <w:sz w:val="21"/>
                <w:szCs w:val="20"/>
              </w:rPr>
            </w:pPr>
            <w:r>
              <w:rPr>
                <w:rFonts w:hint="eastAsia"/>
                <w:sz w:val="21"/>
                <w:szCs w:val="20"/>
              </w:rPr>
              <w:t>本项目不涉及管线</w:t>
            </w:r>
          </w:p>
        </w:tc>
      </w:tr>
      <w:tr w14:paraId="5B456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7EABA8E9">
            <w:pPr>
              <w:adjustRightInd w:val="0"/>
              <w:snapToGrid w:val="0"/>
              <w:spacing w:line="240" w:lineRule="auto"/>
              <w:ind w:firstLine="0" w:firstLineChars="0"/>
              <w:jc w:val="center"/>
              <w:rPr>
                <w:sz w:val="21"/>
                <w:szCs w:val="20"/>
              </w:rPr>
            </w:pPr>
          </w:p>
        </w:tc>
        <w:tc>
          <w:tcPr>
            <w:tcW w:w="6234" w:type="dxa"/>
            <w:gridSpan w:val="5"/>
            <w:shd w:val="clear" w:color="auto" w:fill="auto"/>
            <w:vAlign w:val="center"/>
          </w:tcPr>
          <w:p w14:paraId="135248A8">
            <w:pPr>
              <w:adjustRightInd w:val="0"/>
              <w:snapToGrid w:val="0"/>
              <w:spacing w:line="240" w:lineRule="auto"/>
              <w:ind w:firstLine="0" w:firstLineChars="0"/>
              <w:jc w:val="center"/>
              <w:rPr>
                <w:sz w:val="21"/>
                <w:szCs w:val="20"/>
              </w:rPr>
            </w:pPr>
            <w:r>
              <w:rPr>
                <w:rFonts w:hint="eastAsia"/>
                <w:sz w:val="21"/>
                <w:szCs w:val="20"/>
              </w:rPr>
              <w:t>大气环境敏感程度E值</w:t>
            </w:r>
          </w:p>
        </w:tc>
        <w:tc>
          <w:tcPr>
            <w:tcW w:w="1249" w:type="dxa"/>
            <w:shd w:val="clear" w:color="auto" w:fill="auto"/>
            <w:vAlign w:val="center"/>
          </w:tcPr>
          <w:p w14:paraId="1748D964">
            <w:pPr>
              <w:adjustRightInd w:val="0"/>
              <w:snapToGrid w:val="0"/>
              <w:spacing w:line="240" w:lineRule="auto"/>
              <w:ind w:firstLine="0" w:firstLineChars="0"/>
              <w:jc w:val="center"/>
              <w:rPr>
                <w:sz w:val="21"/>
                <w:szCs w:val="20"/>
              </w:rPr>
            </w:pPr>
            <w:r>
              <w:rPr>
                <w:rFonts w:hint="eastAsia"/>
                <w:sz w:val="21"/>
                <w:szCs w:val="20"/>
              </w:rPr>
              <w:t>E</w:t>
            </w:r>
            <w:r>
              <w:rPr>
                <w:sz w:val="21"/>
                <w:szCs w:val="20"/>
              </w:rPr>
              <w:t>3</w:t>
            </w:r>
          </w:p>
        </w:tc>
      </w:tr>
      <w:tr w14:paraId="1823C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restart"/>
            <w:shd w:val="clear" w:color="auto" w:fill="auto"/>
            <w:vAlign w:val="center"/>
          </w:tcPr>
          <w:p w14:paraId="4917CD4D">
            <w:pPr>
              <w:adjustRightInd w:val="0"/>
              <w:snapToGrid w:val="0"/>
              <w:spacing w:line="240" w:lineRule="auto"/>
              <w:ind w:firstLine="0" w:firstLineChars="0"/>
              <w:jc w:val="center"/>
              <w:rPr>
                <w:sz w:val="21"/>
                <w:szCs w:val="20"/>
              </w:rPr>
            </w:pPr>
            <w:r>
              <w:rPr>
                <w:rFonts w:hint="eastAsia"/>
                <w:sz w:val="21"/>
                <w:szCs w:val="20"/>
              </w:rPr>
              <w:t>地表水</w:t>
            </w:r>
          </w:p>
        </w:tc>
        <w:tc>
          <w:tcPr>
            <w:tcW w:w="7483" w:type="dxa"/>
            <w:gridSpan w:val="6"/>
            <w:shd w:val="clear" w:color="auto" w:fill="auto"/>
            <w:vAlign w:val="center"/>
          </w:tcPr>
          <w:p w14:paraId="6CC8EFEF">
            <w:pPr>
              <w:adjustRightInd w:val="0"/>
              <w:snapToGrid w:val="0"/>
              <w:spacing w:line="240" w:lineRule="auto"/>
              <w:ind w:firstLine="0" w:firstLineChars="0"/>
              <w:jc w:val="center"/>
              <w:rPr>
                <w:sz w:val="21"/>
                <w:szCs w:val="20"/>
              </w:rPr>
            </w:pPr>
            <w:r>
              <w:rPr>
                <w:rFonts w:hint="eastAsia"/>
                <w:sz w:val="21"/>
                <w:szCs w:val="20"/>
              </w:rPr>
              <w:t>受纳水体：本项目不涉及废水排入地表水</w:t>
            </w:r>
          </w:p>
        </w:tc>
      </w:tr>
      <w:tr w14:paraId="382DB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4620537C">
            <w:pPr>
              <w:adjustRightInd w:val="0"/>
              <w:snapToGrid w:val="0"/>
              <w:spacing w:line="240" w:lineRule="auto"/>
              <w:ind w:firstLine="0" w:firstLineChars="0"/>
              <w:jc w:val="center"/>
              <w:rPr>
                <w:sz w:val="21"/>
                <w:szCs w:val="20"/>
              </w:rPr>
            </w:pPr>
          </w:p>
        </w:tc>
        <w:tc>
          <w:tcPr>
            <w:tcW w:w="6234" w:type="dxa"/>
            <w:gridSpan w:val="5"/>
            <w:shd w:val="clear" w:color="auto" w:fill="auto"/>
            <w:vAlign w:val="center"/>
          </w:tcPr>
          <w:p w14:paraId="173B4B1E">
            <w:pPr>
              <w:adjustRightInd w:val="0"/>
              <w:snapToGrid w:val="0"/>
              <w:spacing w:line="240" w:lineRule="auto"/>
              <w:ind w:firstLine="0" w:firstLineChars="0"/>
              <w:jc w:val="center"/>
              <w:rPr>
                <w:sz w:val="21"/>
                <w:szCs w:val="20"/>
              </w:rPr>
            </w:pPr>
            <w:r>
              <w:rPr>
                <w:rFonts w:hint="eastAsia"/>
                <w:sz w:val="21"/>
                <w:szCs w:val="20"/>
              </w:rPr>
              <w:t>地表水环境敏感程度E值</w:t>
            </w:r>
          </w:p>
        </w:tc>
        <w:tc>
          <w:tcPr>
            <w:tcW w:w="1249" w:type="dxa"/>
            <w:shd w:val="clear" w:color="auto" w:fill="auto"/>
            <w:vAlign w:val="center"/>
          </w:tcPr>
          <w:p w14:paraId="53945FAF">
            <w:pPr>
              <w:adjustRightInd w:val="0"/>
              <w:snapToGrid w:val="0"/>
              <w:spacing w:line="240" w:lineRule="auto"/>
              <w:ind w:firstLine="0" w:firstLineChars="0"/>
              <w:jc w:val="center"/>
              <w:rPr>
                <w:sz w:val="21"/>
                <w:szCs w:val="20"/>
              </w:rPr>
            </w:pPr>
            <w:r>
              <w:rPr>
                <w:rFonts w:hint="eastAsia"/>
                <w:sz w:val="21"/>
                <w:szCs w:val="20"/>
              </w:rPr>
              <w:t>E</w:t>
            </w:r>
            <w:r>
              <w:rPr>
                <w:sz w:val="21"/>
                <w:szCs w:val="20"/>
              </w:rPr>
              <w:t>3</w:t>
            </w:r>
          </w:p>
        </w:tc>
      </w:tr>
      <w:tr w14:paraId="64315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restart"/>
            <w:shd w:val="clear" w:color="auto" w:fill="auto"/>
            <w:vAlign w:val="center"/>
          </w:tcPr>
          <w:p w14:paraId="605B55F4">
            <w:pPr>
              <w:adjustRightInd w:val="0"/>
              <w:snapToGrid w:val="0"/>
              <w:spacing w:line="240" w:lineRule="auto"/>
              <w:ind w:firstLine="0" w:firstLineChars="0"/>
              <w:jc w:val="center"/>
              <w:rPr>
                <w:sz w:val="21"/>
                <w:szCs w:val="20"/>
              </w:rPr>
            </w:pPr>
            <w:r>
              <w:rPr>
                <w:rFonts w:hint="eastAsia"/>
                <w:sz w:val="21"/>
                <w:szCs w:val="20"/>
              </w:rPr>
              <w:t>地下水</w:t>
            </w:r>
          </w:p>
        </w:tc>
        <w:tc>
          <w:tcPr>
            <w:tcW w:w="7483" w:type="dxa"/>
            <w:gridSpan w:val="6"/>
            <w:shd w:val="clear" w:color="auto" w:fill="auto"/>
            <w:vAlign w:val="center"/>
          </w:tcPr>
          <w:p w14:paraId="7624B020">
            <w:pPr>
              <w:adjustRightInd w:val="0"/>
              <w:snapToGrid w:val="0"/>
              <w:spacing w:line="240" w:lineRule="auto"/>
              <w:ind w:firstLine="0" w:firstLineChars="0"/>
              <w:jc w:val="center"/>
              <w:rPr>
                <w:sz w:val="21"/>
                <w:szCs w:val="20"/>
              </w:rPr>
            </w:pPr>
            <w:r>
              <w:rPr>
                <w:rFonts w:hint="eastAsia"/>
                <w:sz w:val="21"/>
                <w:szCs w:val="20"/>
              </w:rPr>
              <w:t>本项目周围无地下水敏感目标或区域</w:t>
            </w:r>
          </w:p>
        </w:tc>
      </w:tr>
      <w:tr w14:paraId="3693B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47" w:type="dxa"/>
            <w:vMerge w:val="continue"/>
            <w:shd w:val="clear" w:color="auto" w:fill="auto"/>
            <w:vAlign w:val="center"/>
          </w:tcPr>
          <w:p w14:paraId="52D7C008">
            <w:pPr>
              <w:adjustRightInd w:val="0"/>
              <w:snapToGrid w:val="0"/>
              <w:spacing w:line="240" w:lineRule="auto"/>
              <w:ind w:firstLine="0" w:firstLineChars="0"/>
              <w:jc w:val="center"/>
              <w:rPr>
                <w:sz w:val="21"/>
                <w:szCs w:val="20"/>
              </w:rPr>
            </w:pPr>
          </w:p>
        </w:tc>
        <w:tc>
          <w:tcPr>
            <w:tcW w:w="6234" w:type="dxa"/>
            <w:gridSpan w:val="5"/>
            <w:shd w:val="clear" w:color="auto" w:fill="auto"/>
            <w:vAlign w:val="center"/>
          </w:tcPr>
          <w:p w14:paraId="2A34F9F8">
            <w:pPr>
              <w:adjustRightInd w:val="0"/>
              <w:snapToGrid w:val="0"/>
              <w:spacing w:line="240" w:lineRule="auto"/>
              <w:ind w:firstLine="0" w:firstLineChars="0"/>
              <w:jc w:val="center"/>
              <w:rPr>
                <w:sz w:val="21"/>
                <w:szCs w:val="20"/>
              </w:rPr>
            </w:pPr>
            <w:r>
              <w:rPr>
                <w:rFonts w:hint="eastAsia"/>
                <w:sz w:val="21"/>
                <w:szCs w:val="20"/>
              </w:rPr>
              <w:t>地下水环境敏感程度E值</w:t>
            </w:r>
          </w:p>
        </w:tc>
        <w:tc>
          <w:tcPr>
            <w:tcW w:w="1249" w:type="dxa"/>
            <w:shd w:val="clear" w:color="auto" w:fill="auto"/>
            <w:vAlign w:val="center"/>
          </w:tcPr>
          <w:p w14:paraId="43D25479">
            <w:pPr>
              <w:adjustRightInd w:val="0"/>
              <w:snapToGrid w:val="0"/>
              <w:spacing w:line="240" w:lineRule="auto"/>
              <w:ind w:firstLine="0" w:firstLineChars="0"/>
              <w:jc w:val="center"/>
              <w:rPr>
                <w:sz w:val="21"/>
                <w:szCs w:val="20"/>
              </w:rPr>
            </w:pPr>
            <w:r>
              <w:rPr>
                <w:rFonts w:hint="eastAsia"/>
                <w:sz w:val="21"/>
                <w:szCs w:val="20"/>
              </w:rPr>
              <w:t>E</w:t>
            </w:r>
            <w:r>
              <w:rPr>
                <w:sz w:val="21"/>
                <w:szCs w:val="20"/>
              </w:rPr>
              <w:t>2</w:t>
            </w:r>
          </w:p>
        </w:tc>
      </w:tr>
    </w:tbl>
    <w:p w14:paraId="3753EABD">
      <w:pPr>
        <w:pStyle w:val="43"/>
      </w:pPr>
      <w:bookmarkStart w:id="543" w:name="_Toc81214138"/>
      <w:bookmarkStart w:id="544" w:name="_Toc80973570"/>
      <w:bookmarkStart w:id="545" w:name="_Toc79515516"/>
      <w:bookmarkStart w:id="546" w:name="_Toc80193145"/>
      <w:bookmarkStart w:id="547" w:name="_Toc82518827"/>
      <w:bookmarkStart w:id="548" w:name="_Toc152864240"/>
      <w:r>
        <w:rPr>
          <w:rFonts w:hint="eastAsia"/>
        </w:rPr>
        <w:t>环境敏感目标概况</w:t>
      </w:r>
      <w:bookmarkEnd w:id="543"/>
      <w:bookmarkEnd w:id="544"/>
      <w:bookmarkEnd w:id="545"/>
      <w:bookmarkEnd w:id="546"/>
      <w:bookmarkEnd w:id="547"/>
      <w:bookmarkEnd w:id="548"/>
    </w:p>
    <w:p w14:paraId="252649B8">
      <w:pPr>
        <w:ind w:firstLine="480"/>
      </w:pPr>
      <w:r>
        <w:rPr>
          <w:rFonts w:hint="eastAsia"/>
        </w:rPr>
        <w:t>（1）大气环境风险敏感目标</w:t>
      </w:r>
    </w:p>
    <w:p w14:paraId="129C0C22">
      <w:pPr>
        <w:ind w:firstLine="480"/>
      </w:pPr>
      <w:r>
        <w:rPr>
          <w:rFonts w:hint="eastAsia"/>
        </w:rPr>
        <w:t>本项目位于胡杨河经济技术开发区南园区内，大气环境风险敏感目标主要为大气环境影响评价范围内的集中居住区、社会关注区等。根据现场踏勘并结合资料收集，本项目无大气环境风险敏感目标。</w:t>
      </w:r>
    </w:p>
    <w:p w14:paraId="4DFC39C8">
      <w:pPr>
        <w:ind w:firstLine="480"/>
      </w:pPr>
      <w:r>
        <w:rPr>
          <w:rFonts w:hint="eastAsia"/>
        </w:rPr>
        <w:t>本</w:t>
      </w:r>
      <w:r>
        <w:t>项目场地及周边无集中或分散式地下水饮用水水源，亦无国家或地方政府设定的与地下水环境相关的其他保护区。因此，项目无地下水环境敏感目标。</w:t>
      </w:r>
    </w:p>
    <w:p w14:paraId="4CE298C3">
      <w:pPr>
        <w:ind w:firstLine="480"/>
      </w:pPr>
      <w:r>
        <w:t>（2）</w:t>
      </w:r>
      <w:r>
        <w:rPr>
          <w:rFonts w:hint="eastAsia"/>
        </w:rPr>
        <w:t>地表水</w:t>
      </w:r>
      <w:r>
        <w:t>环境敏感目标</w:t>
      </w:r>
    </w:p>
    <w:p w14:paraId="48D58DA6">
      <w:pPr>
        <w:ind w:firstLine="480"/>
      </w:pPr>
      <w:r>
        <w:rPr>
          <w:rFonts w:hint="eastAsia"/>
        </w:rPr>
        <w:t>本</w:t>
      </w:r>
      <w:r>
        <w:t>项目周围</w:t>
      </w:r>
      <w:r>
        <w:rPr>
          <w:rFonts w:hint="eastAsia"/>
        </w:rPr>
        <w:t>5km范围内无</w:t>
      </w:r>
      <w:r>
        <w:t>地表水体分布。正常状况下，</w:t>
      </w:r>
      <w:r>
        <w:rPr>
          <w:rFonts w:hint="eastAsia"/>
        </w:rPr>
        <w:t>本</w:t>
      </w:r>
      <w:r>
        <w:t>项目</w:t>
      </w:r>
      <w:r>
        <w:rPr>
          <w:rFonts w:hint="eastAsia"/>
        </w:rPr>
        <w:t>生产</w:t>
      </w:r>
      <w:r>
        <w:t>废水</w:t>
      </w:r>
      <w:r>
        <w:rPr>
          <w:rFonts w:hint="eastAsia"/>
        </w:rPr>
        <w:t>、生活污水</w:t>
      </w:r>
      <w:r>
        <w:t>排放依托园区污水处理厂统一处理，事故状况下事故废水全部收纳进入事故污水池并妥善处置，不会泄漏外排到周边环境中，因此，项目无地表水环境敏感目标。</w:t>
      </w:r>
    </w:p>
    <w:p w14:paraId="58C512B7">
      <w:pPr>
        <w:ind w:firstLine="480"/>
      </w:pPr>
      <w:r>
        <w:rPr>
          <w:rFonts w:hint="eastAsia"/>
        </w:rPr>
        <w:t>（3）地下水</w:t>
      </w:r>
      <w:r>
        <w:t>环境</w:t>
      </w:r>
    </w:p>
    <w:p w14:paraId="64FB61BC">
      <w:pPr>
        <w:ind w:firstLine="480"/>
      </w:pPr>
      <w:r>
        <w:rPr>
          <w:rFonts w:hint="eastAsia"/>
        </w:rPr>
        <w:t>本项目</w:t>
      </w:r>
      <w:r>
        <w:t>位于胡杨河</w:t>
      </w:r>
      <w:r>
        <w:rPr>
          <w:rFonts w:hint="eastAsia"/>
        </w:rPr>
        <w:t>经济技术开发区</w:t>
      </w:r>
      <w:r>
        <w:t>南园区内，周围无地下水环境</w:t>
      </w:r>
      <w:r>
        <w:rPr>
          <w:rFonts w:hint="eastAsia"/>
        </w:rPr>
        <w:t>敏感</w:t>
      </w:r>
      <w:r>
        <w:t>目标，</w:t>
      </w:r>
      <w:r>
        <w:rPr>
          <w:rFonts w:hint="eastAsia"/>
        </w:rPr>
        <w:t>在</w:t>
      </w:r>
      <w:r>
        <w:t>做好防渗和日常管理</w:t>
      </w:r>
      <w:r>
        <w:rPr>
          <w:rFonts w:hint="eastAsia"/>
        </w:rPr>
        <w:t>的</w:t>
      </w:r>
      <w:r>
        <w:t>正常情况下，</w:t>
      </w:r>
      <w:r>
        <w:rPr>
          <w:rFonts w:hint="eastAsia"/>
        </w:rPr>
        <w:t>项目</w:t>
      </w:r>
      <w:r>
        <w:t>运行不会对地下水</w:t>
      </w:r>
      <w:r>
        <w:rPr>
          <w:rFonts w:hint="eastAsia"/>
        </w:rPr>
        <w:t>造成</w:t>
      </w:r>
      <w:r>
        <w:t>较大影响</w:t>
      </w:r>
      <w:r>
        <w:rPr>
          <w:rFonts w:hint="eastAsia"/>
        </w:rPr>
        <w:t>。</w:t>
      </w:r>
    </w:p>
    <w:p w14:paraId="3C4D2391">
      <w:pPr>
        <w:ind w:firstLine="480"/>
      </w:pPr>
      <w:r>
        <w:rPr>
          <w:rFonts w:hint="eastAsia"/>
        </w:rPr>
        <w:t>根据</w:t>
      </w:r>
      <w:r>
        <w:t>地下水环境影响预测可知，</w:t>
      </w:r>
      <w:r>
        <w:rPr>
          <w:rFonts w:hint="eastAsia"/>
        </w:rPr>
        <w:t>事故状态</w:t>
      </w:r>
      <w:r>
        <w:t>下，</w:t>
      </w:r>
      <w:r>
        <w:rPr>
          <w:rFonts w:hint="eastAsia"/>
        </w:rPr>
        <w:t>原料减线油、产品润滑油、润滑脂等</w:t>
      </w:r>
      <w:r>
        <w:t>发生泄漏，对区域地下水影响较大，</w:t>
      </w:r>
      <w:r>
        <w:rPr>
          <w:rFonts w:hint="eastAsia"/>
        </w:rPr>
        <w:t>因此</w:t>
      </w:r>
      <w:r>
        <w:t>，本次环境</w:t>
      </w:r>
      <w:r>
        <w:rPr>
          <w:rFonts w:hint="eastAsia"/>
        </w:rPr>
        <w:t>风险</w:t>
      </w:r>
      <w:r>
        <w:t>评价应</w:t>
      </w:r>
      <w:r>
        <w:rPr>
          <w:rFonts w:hint="eastAsia"/>
        </w:rPr>
        <w:t>关注</w:t>
      </w:r>
      <w:r>
        <w:t>地下水环境风险防范措施。</w:t>
      </w:r>
    </w:p>
    <w:p w14:paraId="0C048932">
      <w:pPr>
        <w:pStyle w:val="43"/>
      </w:pPr>
      <w:bookmarkStart w:id="549" w:name="_Toc81214139"/>
      <w:bookmarkStart w:id="550" w:name="_Toc80193146"/>
      <w:bookmarkStart w:id="551" w:name="_Toc82518828"/>
      <w:bookmarkStart w:id="552" w:name="_Toc152864241"/>
      <w:bookmarkStart w:id="553" w:name="_Toc79515517"/>
      <w:bookmarkStart w:id="554" w:name="_Toc80973571"/>
      <w:r>
        <w:rPr>
          <w:rFonts w:hint="eastAsia"/>
        </w:rPr>
        <w:t>环境风险识别</w:t>
      </w:r>
      <w:bookmarkEnd w:id="549"/>
      <w:bookmarkEnd w:id="550"/>
      <w:bookmarkEnd w:id="551"/>
      <w:bookmarkEnd w:id="552"/>
      <w:bookmarkEnd w:id="553"/>
      <w:bookmarkEnd w:id="554"/>
    </w:p>
    <w:p w14:paraId="40898B66">
      <w:pPr>
        <w:ind w:firstLine="480"/>
      </w:pPr>
      <w:r>
        <w:rPr>
          <w:rFonts w:hint="eastAsia"/>
        </w:rPr>
        <w:t>本项目的主要危险物质为油类物质（减线油）和浓硫酸，其中原料减线油主要在厂区原料储罐中暂存，最大存量为1</w:t>
      </w:r>
      <w:r>
        <w:t>9673.6</w:t>
      </w:r>
      <w:r>
        <w:rPr>
          <w:rFonts w:hint="eastAsia"/>
        </w:rPr>
        <w:t>t；浓硫酸在润滑油生产车间设置6</w:t>
      </w:r>
      <w:r>
        <w:t>0</w:t>
      </w:r>
      <w:r>
        <w:rPr>
          <w:rFonts w:hint="eastAsia"/>
        </w:rPr>
        <w:t>m</w:t>
      </w:r>
      <w:r>
        <w:rPr>
          <w:vertAlign w:val="superscript"/>
        </w:rPr>
        <w:t>3</w:t>
      </w:r>
      <w:r>
        <w:rPr>
          <w:rFonts w:hint="eastAsia"/>
        </w:rPr>
        <w:t>卧式储罐1个，进行暂存，折算出硫酸的最大储存量是1</w:t>
      </w:r>
      <w:r>
        <w:t>0</w:t>
      </w:r>
      <w:r>
        <w:rPr>
          <w:rFonts w:hint="eastAsia"/>
        </w:rPr>
        <w:t>t，危险物质性质见下表。</w:t>
      </w:r>
    </w:p>
    <w:p w14:paraId="16CBE48B">
      <w:pPr>
        <w:pStyle w:val="47"/>
        <w:spacing w:before="65"/>
      </w:pPr>
      <w:r>
        <w:rPr>
          <w:rFonts w:hint="eastAsia"/>
        </w:rPr>
        <w:t>表5</w:t>
      </w:r>
      <w:r>
        <w:t>.7-14</w:t>
      </w:r>
      <w:r>
        <w:rPr>
          <w:rFonts w:hint="eastAsia"/>
        </w:rPr>
        <w:t xml:space="preserve">   浓硫酸特性一览表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935"/>
        <w:gridCol w:w="2905"/>
        <w:gridCol w:w="2952"/>
      </w:tblGrid>
      <w:tr w14:paraId="25CDA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tcMar>
              <w:left w:w="0" w:type="dxa"/>
              <w:right w:w="0" w:type="dxa"/>
            </w:tcMar>
            <w:vAlign w:val="center"/>
          </w:tcPr>
          <w:p w14:paraId="185BA5F7">
            <w:pPr>
              <w:pStyle w:val="90"/>
            </w:pPr>
            <w:r>
              <w:t>标识</w:t>
            </w:r>
          </w:p>
        </w:tc>
        <w:tc>
          <w:tcPr>
            <w:tcW w:w="1108" w:type="pct"/>
            <w:tcMar>
              <w:left w:w="0" w:type="dxa"/>
              <w:right w:w="0" w:type="dxa"/>
            </w:tcMar>
            <w:vAlign w:val="center"/>
          </w:tcPr>
          <w:p w14:paraId="21256FB2">
            <w:pPr>
              <w:pStyle w:val="90"/>
            </w:pPr>
            <w:r>
              <w:t>中文名：</w:t>
            </w:r>
            <w:r>
              <w:rPr>
                <w:rFonts w:hint="eastAsia"/>
              </w:rPr>
              <w:t>硫酸</w:t>
            </w:r>
          </w:p>
        </w:tc>
        <w:tc>
          <w:tcPr>
            <w:tcW w:w="1664" w:type="pct"/>
            <w:tcMar>
              <w:left w:w="0" w:type="dxa"/>
              <w:right w:w="0" w:type="dxa"/>
            </w:tcMar>
            <w:vAlign w:val="center"/>
          </w:tcPr>
          <w:p w14:paraId="48C21D58">
            <w:pPr>
              <w:pStyle w:val="90"/>
              <w:rPr>
                <w:lang w:val="en-US"/>
              </w:rPr>
            </w:pPr>
            <w:r>
              <w:rPr>
                <w:rFonts w:hAnsi="宋体"/>
              </w:rPr>
              <w:t>英文名</w:t>
            </w:r>
            <w:r>
              <w:rPr>
                <w:rFonts w:hAnsi="宋体"/>
                <w:lang w:val="en-US"/>
              </w:rPr>
              <w:t>：</w:t>
            </w:r>
            <w:r>
              <w:rPr>
                <w:lang w:val="en-US"/>
              </w:rPr>
              <w:t>hydrochloric acid</w:t>
            </w:r>
          </w:p>
        </w:tc>
        <w:tc>
          <w:tcPr>
            <w:tcW w:w="1691" w:type="pct"/>
            <w:tcMar>
              <w:left w:w="0" w:type="dxa"/>
              <w:right w:w="0" w:type="dxa"/>
            </w:tcMar>
            <w:vAlign w:val="center"/>
          </w:tcPr>
          <w:p w14:paraId="1A1D7685">
            <w:pPr>
              <w:pStyle w:val="90"/>
            </w:pPr>
            <w:r>
              <w:rPr>
                <w:rFonts w:hAnsi="宋体"/>
              </w:rPr>
              <w:t>分子量：</w:t>
            </w:r>
            <w:r>
              <w:t>98.00</w:t>
            </w:r>
          </w:p>
        </w:tc>
      </w:tr>
      <w:tr w14:paraId="1B460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77C32474">
            <w:pPr>
              <w:pStyle w:val="90"/>
            </w:pPr>
          </w:p>
        </w:tc>
        <w:tc>
          <w:tcPr>
            <w:tcW w:w="1108" w:type="pct"/>
            <w:tcMar>
              <w:left w:w="0" w:type="dxa"/>
              <w:right w:w="0" w:type="dxa"/>
            </w:tcMar>
            <w:vAlign w:val="center"/>
          </w:tcPr>
          <w:p w14:paraId="1CCD7178">
            <w:pPr>
              <w:pStyle w:val="90"/>
            </w:pPr>
            <w:r>
              <w:rPr>
                <w:rFonts w:hAnsi="宋体"/>
              </w:rPr>
              <w:t>危规号：</w:t>
            </w:r>
            <w:r>
              <w:t>81013</w:t>
            </w:r>
          </w:p>
        </w:tc>
        <w:tc>
          <w:tcPr>
            <w:tcW w:w="1664" w:type="pct"/>
            <w:tcMar>
              <w:left w:w="0" w:type="dxa"/>
              <w:right w:w="0" w:type="dxa"/>
            </w:tcMar>
            <w:vAlign w:val="center"/>
          </w:tcPr>
          <w:p w14:paraId="510DCBB5">
            <w:pPr>
              <w:pStyle w:val="90"/>
            </w:pPr>
            <w:r>
              <w:t>UN</w:t>
            </w:r>
            <w:r>
              <w:rPr>
                <w:rFonts w:hAnsi="宋体"/>
              </w:rPr>
              <w:t>号：</w:t>
            </w:r>
            <w:r>
              <w:t>1789</w:t>
            </w:r>
          </w:p>
        </w:tc>
        <w:tc>
          <w:tcPr>
            <w:tcW w:w="1691" w:type="pct"/>
            <w:tcMar>
              <w:left w:w="0" w:type="dxa"/>
              <w:right w:w="0" w:type="dxa"/>
            </w:tcMar>
            <w:vAlign w:val="center"/>
          </w:tcPr>
          <w:p w14:paraId="6BBF02FE">
            <w:pPr>
              <w:pStyle w:val="90"/>
            </w:pPr>
            <w:r>
              <w:t>CAS</w:t>
            </w:r>
            <w:r>
              <w:rPr>
                <w:rFonts w:hAnsi="宋体"/>
              </w:rPr>
              <w:t>号：</w:t>
            </w:r>
            <w:r>
              <w:t>7647-01-0</w:t>
            </w:r>
          </w:p>
        </w:tc>
      </w:tr>
      <w:tr w14:paraId="2BB43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tcMar>
              <w:left w:w="0" w:type="dxa"/>
              <w:right w:w="0" w:type="dxa"/>
            </w:tcMar>
            <w:vAlign w:val="center"/>
          </w:tcPr>
          <w:p w14:paraId="3E02A770">
            <w:pPr>
              <w:pStyle w:val="90"/>
            </w:pPr>
            <w:r>
              <w:t>理化性质</w:t>
            </w:r>
          </w:p>
        </w:tc>
        <w:tc>
          <w:tcPr>
            <w:tcW w:w="2772" w:type="pct"/>
            <w:gridSpan w:val="2"/>
            <w:tcMar>
              <w:left w:w="0" w:type="dxa"/>
              <w:right w:w="0" w:type="dxa"/>
            </w:tcMar>
            <w:vAlign w:val="center"/>
          </w:tcPr>
          <w:p w14:paraId="5509ACEC">
            <w:pPr>
              <w:pStyle w:val="90"/>
            </w:pPr>
            <w:r>
              <w:rPr>
                <w:rFonts w:hAnsi="宋体"/>
              </w:rPr>
              <w:t>熔点</w:t>
            </w:r>
            <w:r>
              <w:t>/</w:t>
            </w:r>
            <w:r>
              <w:rPr>
                <w:rFonts w:hint="eastAsia" w:ascii="微软雅黑" w:hAnsi="微软雅黑" w:eastAsia="微软雅黑" w:cs="微软雅黑"/>
              </w:rPr>
              <w:t>℃</w:t>
            </w:r>
            <w:r>
              <w:rPr>
                <w:rFonts w:hAnsi="宋体"/>
              </w:rPr>
              <w:t>：</w:t>
            </w:r>
            <w:r>
              <w:t>-114.8</w:t>
            </w:r>
            <w:r>
              <w:rPr>
                <w:rFonts w:hAnsi="宋体"/>
              </w:rPr>
              <w:t>（纯）</w:t>
            </w:r>
          </w:p>
        </w:tc>
        <w:tc>
          <w:tcPr>
            <w:tcW w:w="1691" w:type="pct"/>
            <w:tcMar>
              <w:left w:w="0" w:type="dxa"/>
              <w:right w:w="0" w:type="dxa"/>
            </w:tcMar>
            <w:vAlign w:val="center"/>
          </w:tcPr>
          <w:p w14:paraId="7640ACCB">
            <w:pPr>
              <w:pStyle w:val="90"/>
            </w:pPr>
            <w:r>
              <w:rPr>
                <w:rFonts w:hAnsi="宋体"/>
              </w:rPr>
              <w:t>沸点</w:t>
            </w:r>
            <w:r>
              <w:t>/</w:t>
            </w:r>
            <w:r>
              <w:rPr>
                <w:rFonts w:hint="eastAsia" w:ascii="微软雅黑" w:hAnsi="微软雅黑" w:eastAsia="微软雅黑" w:cs="微软雅黑"/>
              </w:rPr>
              <w:t>℃</w:t>
            </w:r>
            <w:r>
              <w:rPr>
                <w:rFonts w:hAnsi="宋体"/>
              </w:rPr>
              <w:t>：</w:t>
            </w:r>
            <w:r>
              <w:t>108.6</w:t>
            </w:r>
            <w:r>
              <w:rPr>
                <w:rFonts w:hAnsi="宋体"/>
              </w:rPr>
              <w:t>（</w:t>
            </w:r>
            <w:r>
              <w:t>20%</w:t>
            </w:r>
            <w:r>
              <w:rPr>
                <w:rFonts w:hAnsi="宋体"/>
              </w:rPr>
              <w:t>）</w:t>
            </w:r>
          </w:p>
        </w:tc>
      </w:tr>
      <w:tr w14:paraId="44835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0BEBCCC4">
            <w:pPr>
              <w:pStyle w:val="90"/>
            </w:pPr>
          </w:p>
        </w:tc>
        <w:tc>
          <w:tcPr>
            <w:tcW w:w="2772" w:type="pct"/>
            <w:gridSpan w:val="2"/>
            <w:tcMar>
              <w:left w:w="0" w:type="dxa"/>
              <w:right w:w="0" w:type="dxa"/>
            </w:tcMar>
            <w:vAlign w:val="center"/>
          </w:tcPr>
          <w:p w14:paraId="533BA7FA">
            <w:pPr>
              <w:pStyle w:val="90"/>
            </w:pPr>
            <w:r>
              <w:t>相对密度（空气=1）：1.26</w:t>
            </w:r>
          </w:p>
        </w:tc>
        <w:tc>
          <w:tcPr>
            <w:tcW w:w="1691" w:type="pct"/>
            <w:tcMar>
              <w:left w:w="0" w:type="dxa"/>
              <w:right w:w="0" w:type="dxa"/>
            </w:tcMar>
            <w:vAlign w:val="center"/>
          </w:tcPr>
          <w:p w14:paraId="7A6CA023">
            <w:pPr>
              <w:pStyle w:val="90"/>
            </w:pPr>
            <w:r>
              <w:t>相对密度（水）：1.20</w:t>
            </w:r>
          </w:p>
        </w:tc>
      </w:tr>
      <w:tr w14:paraId="28013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7F28C3DB">
            <w:pPr>
              <w:pStyle w:val="90"/>
            </w:pPr>
          </w:p>
        </w:tc>
        <w:tc>
          <w:tcPr>
            <w:tcW w:w="2772" w:type="pct"/>
            <w:gridSpan w:val="2"/>
            <w:tcMar>
              <w:left w:w="0" w:type="dxa"/>
              <w:right w:w="0" w:type="dxa"/>
            </w:tcMar>
            <w:vAlign w:val="center"/>
          </w:tcPr>
          <w:p w14:paraId="046FDC47">
            <w:pPr>
              <w:pStyle w:val="90"/>
            </w:pPr>
            <w:r>
              <w:rPr>
                <w:rFonts w:hAnsi="宋体"/>
              </w:rPr>
              <w:t>饱和蒸气压</w:t>
            </w:r>
            <w:r>
              <w:t>/kPa</w:t>
            </w:r>
            <w:r>
              <w:rPr>
                <w:rFonts w:hAnsi="宋体"/>
              </w:rPr>
              <w:t>：</w:t>
            </w:r>
            <w:r>
              <w:t>30.66</w:t>
            </w:r>
            <w:r>
              <w:rPr>
                <w:rFonts w:hAnsi="宋体"/>
              </w:rPr>
              <w:t>（</w:t>
            </w:r>
            <w:r>
              <w:t>21</w:t>
            </w:r>
            <w:r>
              <w:rPr>
                <w:rFonts w:hint="eastAsia" w:ascii="微软雅黑" w:hAnsi="微软雅黑" w:eastAsia="微软雅黑" w:cs="微软雅黑"/>
              </w:rPr>
              <w:t>℃</w:t>
            </w:r>
            <w:r>
              <w:rPr>
                <w:rFonts w:hAnsi="宋体"/>
              </w:rPr>
              <w:t>）</w:t>
            </w:r>
          </w:p>
        </w:tc>
        <w:tc>
          <w:tcPr>
            <w:tcW w:w="1691" w:type="pct"/>
            <w:tcMar>
              <w:left w:w="0" w:type="dxa"/>
              <w:right w:w="0" w:type="dxa"/>
            </w:tcMar>
            <w:vAlign w:val="center"/>
          </w:tcPr>
          <w:p w14:paraId="7A25C4A5">
            <w:pPr>
              <w:pStyle w:val="90"/>
            </w:pPr>
            <w:r>
              <w:t>燃烧热（kj/mol）：无意义</w:t>
            </w:r>
          </w:p>
        </w:tc>
      </w:tr>
      <w:tr w14:paraId="77D54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041C332F">
            <w:pPr>
              <w:pStyle w:val="90"/>
            </w:pPr>
          </w:p>
        </w:tc>
        <w:tc>
          <w:tcPr>
            <w:tcW w:w="2772" w:type="pct"/>
            <w:gridSpan w:val="2"/>
            <w:tcMar>
              <w:left w:w="0" w:type="dxa"/>
              <w:right w:w="0" w:type="dxa"/>
            </w:tcMar>
            <w:vAlign w:val="center"/>
          </w:tcPr>
          <w:p w14:paraId="49B9B3CC">
            <w:pPr>
              <w:pStyle w:val="90"/>
            </w:pPr>
            <w:r>
              <w:t>临界温度（</w:t>
            </w:r>
            <w:r>
              <w:rPr>
                <w:rFonts w:hint="eastAsia" w:ascii="微软雅黑" w:hAnsi="微软雅黑" w:eastAsia="微软雅黑" w:cs="微软雅黑"/>
              </w:rPr>
              <w:t>℃</w:t>
            </w:r>
            <w:r>
              <w:t>）：无意义</w:t>
            </w:r>
          </w:p>
        </w:tc>
        <w:tc>
          <w:tcPr>
            <w:tcW w:w="1691" w:type="pct"/>
            <w:tcMar>
              <w:left w:w="0" w:type="dxa"/>
              <w:right w:w="0" w:type="dxa"/>
            </w:tcMar>
            <w:vAlign w:val="center"/>
          </w:tcPr>
          <w:p w14:paraId="183B6344">
            <w:pPr>
              <w:pStyle w:val="90"/>
            </w:pPr>
            <w:r>
              <w:t>临界压力（MPa）：无意义</w:t>
            </w:r>
          </w:p>
        </w:tc>
      </w:tr>
      <w:tr w14:paraId="73F63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39989248">
            <w:pPr>
              <w:pStyle w:val="90"/>
            </w:pPr>
          </w:p>
        </w:tc>
        <w:tc>
          <w:tcPr>
            <w:tcW w:w="4463" w:type="pct"/>
            <w:gridSpan w:val="3"/>
            <w:tcMar>
              <w:left w:w="0" w:type="dxa"/>
              <w:right w:w="0" w:type="dxa"/>
            </w:tcMar>
            <w:vAlign w:val="center"/>
          </w:tcPr>
          <w:p w14:paraId="000250C3">
            <w:pPr>
              <w:pStyle w:val="90"/>
            </w:pPr>
            <w:r>
              <w:t>溶解性：与水混溶，溶于碱液。</w:t>
            </w:r>
          </w:p>
        </w:tc>
      </w:tr>
      <w:tr w14:paraId="399D2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tcMar>
              <w:left w:w="0" w:type="dxa"/>
              <w:right w:w="0" w:type="dxa"/>
            </w:tcMar>
            <w:vAlign w:val="center"/>
          </w:tcPr>
          <w:p w14:paraId="276F2AEF">
            <w:pPr>
              <w:pStyle w:val="90"/>
            </w:pPr>
            <w:r>
              <w:t>燃烧爆炸危险性</w:t>
            </w:r>
          </w:p>
        </w:tc>
        <w:tc>
          <w:tcPr>
            <w:tcW w:w="2772" w:type="pct"/>
            <w:gridSpan w:val="2"/>
            <w:tcMar>
              <w:left w:w="0" w:type="dxa"/>
              <w:right w:w="0" w:type="dxa"/>
            </w:tcMar>
            <w:vAlign w:val="center"/>
          </w:tcPr>
          <w:p w14:paraId="0B5500E4">
            <w:pPr>
              <w:pStyle w:val="90"/>
            </w:pPr>
            <w:r>
              <w:t>燃烧性：无资料</w:t>
            </w:r>
          </w:p>
        </w:tc>
        <w:tc>
          <w:tcPr>
            <w:tcW w:w="1691" w:type="pct"/>
            <w:tcMar>
              <w:left w:w="0" w:type="dxa"/>
              <w:right w:w="0" w:type="dxa"/>
            </w:tcMar>
            <w:vAlign w:val="center"/>
          </w:tcPr>
          <w:p w14:paraId="4489AEF1">
            <w:pPr>
              <w:pStyle w:val="90"/>
            </w:pPr>
            <w:r>
              <w:t>引燃温度/</w:t>
            </w:r>
            <w:r>
              <w:rPr>
                <w:rFonts w:hint="eastAsia" w:ascii="微软雅黑" w:hAnsi="微软雅黑" w:eastAsia="微软雅黑" w:cs="微软雅黑"/>
              </w:rPr>
              <w:t>℃</w:t>
            </w:r>
            <w:r>
              <w:t>：无意义</w:t>
            </w:r>
          </w:p>
        </w:tc>
      </w:tr>
      <w:tr w14:paraId="5594E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2DF63BB8">
            <w:pPr>
              <w:pStyle w:val="90"/>
            </w:pPr>
          </w:p>
        </w:tc>
        <w:tc>
          <w:tcPr>
            <w:tcW w:w="2772" w:type="pct"/>
            <w:gridSpan w:val="2"/>
            <w:tcMar>
              <w:left w:w="0" w:type="dxa"/>
              <w:right w:w="0" w:type="dxa"/>
            </w:tcMar>
            <w:vAlign w:val="center"/>
          </w:tcPr>
          <w:p w14:paraId="4D1A5237">
            <w:pPr>
              <w:pStyle w:val="90"/>
            </w:pPr>
            <w:r>
              <w:t>闪点/</w:t>
            </w:r>
            <w:r>
              <w:rPr>
                <w:rFonts w:hint="eastAsia" w:ascii="微软雅黑" w:hAnsi="微软雅黑" w:eastAsia="微软雅黑" w:cs="微软雅黑"/>
              </w:rPr>
              <w:t>℃</w:t>
            </w:r>
            <w:r>
              <w:t>：无意义</w:t>
            </w:r>
          </w:p>
        </w:tc>
        <w:tc>
          <w:tcPr>
            <w:tcW w:w="1691" w:type="pct"/>
            <w:tcMar>
              <w:left w:w="0" w:type="dxa"/>
              <w:right w:w="0" w:type="dxa"/>
            </w:tcMar>
            <w:vAlign w:val="center"/>
          </w:tcPr>
          <w:p w14:paraId="420A3B2B">
            <w:pPr>
              <w:pStyle w:val="90"/>
            </w:pPr>
            <w:r>
              <w:t>最小点火能（mJ）：无意义</w:t>
            </w:r>
          </w:p>
        </w:tc>
      </w:tr>
      <w:tr w14:paraId="23132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69705ED9">
            <w:pPr>
              <w:pStyle w:val="90"/>
            </w:pPr>
          </w:p>
        </w:tc>
        <w:tc>
          <w:tcPr>
            <w:tcW w:w="4463" w:type="pct"/>
            <w:gridSpan w:val="3"/>
            <w:tcMar>
              <w:left w:w="0" w:type="dxa"/>
              <w:right w:w="0" w:type="dxa"/>
            </w:tcMar>
            <w:vAlign w:val="center"/>
          </w:tcPr>
          <w:p w14:paraId="4AABDC69">
            <w:pPr>
              <w:pStyle w:val="90"/>
            </w:pPr>
            <w:r>
              <w:t>爆炸极限（V/V%）：上限：无意义    下限：无意义</w:t>
            </w:r>
          </w:p>
        </w:tc>
      </w:tr>
      <w:tr w14:paraId="154CF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77AF0C06">
            <w:pPr>
              <w:pStyle w:val="90"/>
            </w:pPr>
          </w:p>
        </w:tc>
        <w:tc>
          <w:tcPr>
            <w:tcW w:w="4463" w:type="pct"/>
            <w:gridSpan w:val="3"/>
            <w:tcMar>
              <w:left w:w="0" w:type="dxa"/>
              <w:right w:w="0" w:type="dxa"/>
            </w:tcMar>
            <w:vAlign w:val="center"/>
          </w:tcPr>
          <w:p w14:paraId="45393432">
            <w:pPr>
              <w:pStyle w:val="90"/>
            </w:pPr>
            <w:r>
              <w:t>最大爆炸压力（MPa）：无资料</w:t>
            </w:r>
          </w:p>
        </w:tc>
      </w:tr>
      <w:tr w14:paraId="544C2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38FAE746">
            <w:pPr>
              <w:pStyle w:val="90"/>
            </w:pPr>
          </w:p>
        </w:tc>
        <w:tc>
          <w:tcPr>
            <w:tcW w:w="4463" w:type="pct"/>
            <w:gridSpan w:val="3"/>
            <w:tcMar>
              <w:left w:w="0" w:type="dxa"/>
              <w:right w:w="0" w:type="dxa"/>
            </w:tcMar>
            <w:vAlign w:val="center"/>
          </w:tcPr>
          <w:p w14:paraId="039FBD14">
            <w:pPr>
              <w:pStyle w:val="90"/>
            </w:pPr>
            <w:r>
              <w:t>危险特性：能与一些活性金属粉末发生反应，放出氢气。遇氰化物能产生剧毒的氰化氢气体。与碱发生中和反应，并放出大量的热。具有较强的腐蚀性。</w:t>
            </w:r>
          </w:p>
        </w:tc>
      </w:tr>
      <w:tr w14:paraId="4DFA4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148FC55C">
            <w:pPr>
              <w:pStyle w:val="90"/>
            </w:pPr>
          </w:p>
        </w:tc>
        <w:tc>
          <w:tcPr>
            <w:tcW w:w="4463" w:type="pct"/>
            <w:gridSpan w:val="3"/>
            <w:tcMar>
              <w:left w:w="0" w:type="dxa"/>
              <w:right w:w="0" w:type="dxa"/>
            </w:tcMar>
            <w:vAlign w:val="center"/>
          </w:tcPr>
          <w:p w14:paraId="3ACCE362">
            <w:pPr>
              <w:pStyle w:val="90"/>
            </w:pPr>
            <w:r>
              <w:t>灭火方法：用碱性物质如碳酸氢钠、碳酸钠、消石灰等中和。也可用大量水扑救。</w:t>
            </w:r>
          </w:p>
        </w:tc>
      </w:tr>
      <w:tr w14:paraId="08B8D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tcMar>
              <w:left w:w="0" w:type="dxa"/>
              <w:right w:w="0" w:type="dxa"/>
            </w:tcMar>
            <w:vAlign w:val="center"/>
          </w:tcPr>
          <w:p w14:paraId="3351F628">
            <w:pPr>
              <w:pStyle w:val="90"/>
            </w:pPr>
            <w:r>
              <w:t>稳定性和反应活性</w:t>
            </w:r>
          </w:p>
        </w:tc>
        <w:tc>
          <w:tcPr>
            <w:tcW w:w="4463" w:type="pct"/>
            <w:gridSpan w:val="3"/>
            <w:tcMar>
              <w:left w:w="0" w:type="dxa"/>
              <w:right w:w="0" w:type="dxa"/>
            </w:tcMar>
            <w:vAlign w:val="center"/>
          </w:tcPr>
          <w:p w14:paraId="1049E4C9">
            <w:pPr>
              <w:pStyle w:val="90"/>
            </w:pPr>
            <w:r>
              <w:t>稳定性：无资料</w:t>
            </w:r>
          </w:p>
        </w:tc>
      </w:tr>
      <w:tr w14:paraId="0FCB3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4D062415">
            <w:pPr>
              <w:pStyle w:val="90"/>
            </w:pPr>
          </w:p>
        </w:tc>
        <w:tc>
          <w:tcPr>
            <w:tcW w:w="4463" w:type="pct"/>
            <w:gridSpan w:val="3"/>
            <w:tcMar>
              <w:left w:w="0" w:type="dxa"/>
              <w:right w:w="0" w:type="dxa"/>
            </w:tcMar>
            <w:vAlign w:val="center"/>
          </w:tcPr>
          <w:p w14:paraId="2CF84F10">
            <w:pPr>
              <w:pStyle w:val="90"/>
            </w:pPr>
            <w:r>
              <w:t>聚合危害：无资料</w:t>
            </w:r>
          </w:p>
        </w:tc>
      </w:tr>
      <w:tr w14:paraId="6FF4A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541F5E1A">
            <w:pPr>
              <w:pStyle w:val="90"/>
            </w:pPr>
          </w:p>
        </w:tc>
        <w:tc>
          <w:tcPr>
            <w:tcW w:w="4463" w:type="pct"/>
            <w:gridSpan w:val="3"/>
            <w:tcMar>
              <w:left w:w="0" w:type="dxa"/>
              <w:right w:w="0" w:type="dxa"/>
            </w:tcMar>
            <w:vAlign w:val="center"/>
          </w:tcPr>
          <w:p w14:paraId="43ABA894">
            <w:pPr>
              <w:pStyle w:val="90"/>
            </w:pPr>
            <w:r>
              <w:t>禁配物：碱类、胺类、碱金属、易燃或可燃物。</w:t>
            </w:r>
          </w:p>
        </w:tc>
      </w:tr>
      <w:tr w14:paraId="67FEA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tcMar>
              <w:left w:w="0" w:type="dxa"/>
              <w:right w:w="0" w:type="dxa"/>
            </w:tcMar>
            <w:vAlign w:val="center"/>
          </w:tcPr>
          <w:p w14:paraId="32806BFB">
            <w:pPr>
              <w:pStyle w:val="90"/>
            </w:pPr>
          </w:p>
        </w:tc>
        <w:tc>
          <w:tcPr>
            <w:tcW w:w="4463" w:type="pct"/>
            <w:gridSpan w:val="3"/>
            <w:tcMar>
              <w:left w:w="0" w:type="dxa"/>
              <w:right w:w="0" w:type="dxa"/>
            </w:tcMar>
            <w:vAlign w:val="center"/>
          </w:tcPr>
          <w:p w14:paraId="4F9BA138">
            <w:pPr>
              <w:pStyle w:val="90"/>
            </w:pPr>
            <w:r>
              <w:t>有害燃烧（分解）产物：氯化氢</w:t>
            </w:r>
          </w:p>
        </w:tc>
      </w:tr>
      <w:tr w14:paraId="2E0F6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4F708F8F">
            <w:pPr>
              <w:pStyle w:val="90"/>
            </w:pPr>
            <w:r>
              <w:t>毒性</w:t>
            </w:r>
          </w:p>
        </w:tc>
        <w:tc>
          <w:tcPr>
            <w:tcW w:w="4463" w:type="pct"/>
            <w:gridSpan w:val="3"/>
            <w:tcMar>
              <w:left w:w="0" w:type="dxa"/>
              <w:right w:w="0" w:type="dxa"/>
            </w:tcMar>
            <w:vAlign w:val="center"/>
          </w:tcPr>
          <w:p w14:paraId="6CF9303B">
            <w:pPr>
              <w:pStyle w:val="90"/>
            </w:pPr>
            <w:r>
              <w:t>急性毒性：LD</w:t>
            </w:r>
            <w:r>
              <w:rPr>
                <w:vertAlign w:val="subscript"/>
              </w:rPr>
              <w:t>50</w:t>
            </w:r>
            <w:r>
              <w:t>：无资料   LC</w:t>
            </w:r>
            <w:r>
              <w:rPr>
                <w:vertAlign w:val="subscript"/>
              </w:rPr>
              <w:t>50</w:t>
            </w:r>
            <w:r>
              <w:t>：无资料</w:t>
            </w:r>
          </w:p>
        </w:tc>
      </w:tr>
      <w:tr w14:paraId="52593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0B56D737">
            <w:pPr>
              <w:pStyle w:val="90"/>
            </w:pPr>
            <w:r>
              <w:t>职业接触限值</w:t>
            </w:r>
          </w:p>
        </w:tc>
        <w:tc>
          <w:tcPr>
            <w:tcW w:w="4463" w:type="pct"/>
            <w:gridSpan w:val="3"/>
            <w:tcMar>
              <w:left w:w="0" w:type="dxa"/>
              <w:right w:w="0" w:type="dxa"/>
            </w:tcMar>
            <w:vAlign w:val="center"/>
          </w:tcPr>
          <w:p w14:paraId="405B5FF9">
            <w:pPr>
              <w:pStyle w:val="90"/>
            </w:pPr>
            <w:r>
              <w:t>MAC=7.5mg/m</w:t>
            </w:r>
            <w:r>
              <w:rPr>
                <w:vertAlign w:val="superscript"/>
              </w:rPr>
              <w:t>3</w:t>
            </w:r>
          </w:p>
        </w:tc>
      </w:tr>
      <w:tr w14:paraId="34959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2D8B9479">
            <w:pPr>
              <w:pStyle w:val="90"/>
            </w:pPr>
            <w:r>
              <w:t>健康危害</w:t>
            </w:r>
          </w:p>
        </w:tc>
        <w:tc>
          <w:tcPr>
            <w:tcW w:w="4463" w:type="pct"/>
            <w:gridSpan w:val="3"/>
            <w:tcMar>
              <w:left w:w="0" w:type="dxa"/>
              <w:right w:w="0" w:type="dxa"/>
            </w:tcMar>
            <w:vAlign w:val="center"/>
          </w:tcPr>
          <w:p w14:paraId="2AC1AA64">
            <w:pPr>
              <w:pStyle w:val="90"/>
            </w:pPr>
            <w:r>
              <w:t>接触其蒸气或烟雾，可引起急性中毒，出现眼结膜炎，鼻及口腔粘膜有灼烧感，齿龈出血，气管炎等。误服可引起消化道灼伤、溃疡形成，有可能引起胃穿孔、腹膜炎等。眼和皮肤接触可致灼伤。慢性影响：长期接触，引起慢性鼻炎、慢性支气管炎、牙齿酸蚀症及皮肤损害。</w:t>
            </w:r>
          </w:p>
        </w:tc>
      </w:tr>
      <w:tr w14:paraId="7B89B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7E212E2F">
            <w:pPr>
              <w:pStyle w:val="90"/>
            </w:pPr>
            <w:r>
              <w:t>急救</w:t>
            </w:r>
          </w:p>
        </w:tc>
        <w:tc>
          <w:tcPr>
            <w:tcW w:w="4463" w:type="pct"/>
            <w:gridSpan w:val="3"/>
            <w:tcMar>
              <w:left w:w="0" w:type="dxa"/>
              <w:right w:w="0" w:type="dxa"/>
            </w:tcMar>
            <w:vAlign w:val="center"/>
          </w:tcPr>
          <w:p w14:paraId="2CE50B19">
            <w:pPr>
              <w:pStyle w:val="90"/>
            </w:pPr>
            <w:r>
              <w:t>皮肤接触：立即脱去污染的衣着，用大量流动清水冲洗至少15分钟。就医。眼睛接触：立即挑起眼睑，用大量流动清水或生理盐水彻底冲洗至少15分钟。就医。吸入：迅速脱离现场至空气新鲜处。保持呼吸道通畅。如呼吸困难，给输氧。如呼吸停止，立即进行人工呼吸。就医。食入：用水漱口，给饮牛奶或蛋清。就医。</w:t>
            </w:r>
          </w:p>
        </w:tc>
      </w:tr>
      <w:tr w14:paraId="101DC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4C327203">
            <w:pPr>
              <w:pStyle w:val="90"/>
            </w:pPr>
            <w:r>
              <w:t>防护</w:t>
            </w:r>
          </w:p>
        </w:tc>
        <w:tc>
          <w:tcPr>
            <w:tcW w:w="4463" w:type="pct"/>
            <w:gridSpan w:val="3"/>
            <w:tcMar>
              <w:left w:w="0" w:type="dxa"/>
              <w:right w:w="0" w:type="dxa"/>
            </w:tcMar>
            <w:vAlign w:val="center"/>
          </w:tcPr>
          <w:p w14:paraId="42D23CD3">
            <w:pPr>
              <w:pStyle w:val="90"/>
            </w:pPr>
            <w:r>
              <w:t>呼吸系统防护：可能接触其烟雾时，佩戴自吸过滤式防毒面具（全面罩）或空气呼吸器。紧急事态抢救或撤离时，建议佩戴氧气呼吸器。眼睛防护：呼吸系统防护中已做防护。身体防护：穿橡胶耐酸碱工作服。手防护：戴橡胶耐酸碱手套。其他防护：工作现场禁止吸烟、进食和饮水。工作完毕，淋浴更衣。单独存放被毒物污染的衣服，洗后备用。保持良好的卫生习惯。</w:t>
            </w:r>
          </w:p>
        </w:tc>
      </w:tr>
      <w:tr w14:paraId="7CBD9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0358C122">
            <w:pPr>
              <w:pStyle w:val="90"/>
            </w:pPr>
            <w:r>
              <w:t>泄漏处理</w:t>
            </w:r>
          </w:p>
        </w:tc>
        <w:tc>
          <w:tcPr>
            <w:tcW w:w="4463" w:type="pct"/>
            <w:gridSpan w:val="3"/>
            <w:tcMar>
              <w:left w:w="0" w:type="dxa"/>
              <w:right w:w="0" w:type="dxa"/>
            </w:tcMar>
            <w:vAlign w:val="center"/>
          </w:tcPr>
          <w:p w14:paraId="2250134E">
            <w:pPr>
              <w:pStyle w:val="90"/>
            </w:pPr>
            <w:r>
              <w:t>应急处理：迅速撤离泄漏污染区人员至安全区，并进行隔离，严格限制出入。建议应急处理人员戴自给正压式呼吸器，穿</w:t>
            </w:r>
            <w:r>
              <w:rPr>
                <w:rFonts w:hint="eastAsia"/>
              </w:rPr>
              <w:t>戴</w:t>
            </w:r>
            <w:r>
              <w:t>酸碱工作服。不要直接接触泄漏物。尽可能切断泄漏源。小量泄漏：用砂土、干燥石灰或苏打灰混合。也可用大量水冲洗，洗水稀释后放入废水系统。大量泄漏：构筑围堤或挖坑收容。用泵转移至槽车或专用收集器内，回收或运至废物处理场所处置。</w:t>
            </w:r>
          </w:p>
          <w:p w14:paraId="09C7B1D2">
            <w:pPr>
              <w:pStyle w:val="90"/>
            </w:pPr>
            <w:r>
              <w:t>操作注意事项：密闭操作，注意通风。操作尽可能机械化、自动化。操作人员必须经过专门培训，严格遵守操作规程。建议操作人员佩戴自吸式过滤式防毒面具（全面罩），穿橡胶耐酸碱服，戴橡胶耐酸碱手套。远离易燃、可燃物。防</w:t>
            </w:r>
            <w:r>
              <w:rPr>
                <w:rFonts w:hint="eastAsia"/>
              </w:rPr>
              <w:t>止</w:t>
            </w:r>
            <w:r>
              <w:t>蒸气泄漏到工作场所空气中。避免与碱类、胺类、碱金属接触。搬运时要轻装轻卸，防</w:t>
            </w:r>
            <w:r>
              <w:rPr>
                <w:rFonts w:hint="eastAsia"/>
              </w:rPr>
              <w:t>止</w:t>
            </w:r>
            <w:r>
              <w:t>包装及容器损坏。配备泄漏应急处理设备。倒空的容器可能残留有害物。</w:t>
            </w:r>
          </w:p>
        </w:tc>
      </w:tr>
      <w:tr w14:paraId="0DEA7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48C3CBA3">
            <w:pPr>
              <w:pStyle w:val="90"/>
            </w:pPr>
            <w:r>
              <w:t>储运注意事项</w:t>
            </w:r>
          </w:p>
        </w:tc>
        <w:tc>
          <w:tcPr>
            <w:tcW w:w="4463" w:type="pct"/>
            <w:gridSpan w:val="3"/>
            <w:tcMar>
              <w:left w:w="0" w:type="dxa"/>
              <w:right w:w="0" w:type="dxa"/>
            </w:tcMar>
            <w:vAlign w:val="center"/>
          </w:tcPr>
          <w:p w14:paraId="52695CAF">
            <w:pPr>
              <w:pStyle w:val="90"/>
            </w:pPr>
            <w:r>
              <w:t>储存于阴凉、通风的库房。库温不超过30</w:t>
            </w:r>
            <w:r>
              <w:rPr>
                <w:rFonts w:hint="eastAsia" w:ascii="微软雅黑" w:hAnsi="微软雅黑" w:eastAsia="微软雅黑" w:cs="微软雅黑"/>
              </w:rPr>
              <w:t>℃</w:t>
            </w:r>
            <w:r>
              <w:t>，相对湿度不超过85%。保持容器密封。应与碱类、胺类、碱金属、易（可）燃物分开存放，切忌混储。储区应备有泄漏应急处理设备和合适的收容材料。本品铁路运输时限使用有橡胶衬里钢制罐车或特制塑料企业自备罐车装运，装运前需报有关部门批准。铁路运输时应严格按照铁道部《危险货物运输规则》中的危险货物配装表进行配装。起运时包装要完整，装载应稳妥。运输过程中要确保容器不泄漏、不坠落、不损坏。严禁与碱类、胺类、碱金属、易燃或可燃物、食用化学品等混装混运。运输时车辆应配备泄漏应急处理设备。运输途中应防暴晒、雨淋、防高温。公路运输时要按规定路线行驶，勿在居民区和人口稠密区停留。</w:t>
            </w:r>
          </w:p>
        </w:tc>
      </w:tr>
      <w:tr w14:paraId="10203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tcMar>
              <w:left w:w="0" w:type="dxa"/>
              <w:right w:w="0" w:type="dxa"/>
            </w:tcMar>
            <w:vAlign w:val="center"/>
          </w:tcPr>
          <w:p w14:paraId="39D284E7">
            <w:pPr>
              <w:pStyle w:val="90"/>
            </w:pPr>
            <w:r>
              <w:t>包装方法</w:t>
            </w:r>
          </w:p>
        </w:tc>
        <w:tc>
          <w:tcPr>
            <w:tcW w:w="4463" w:type="pct"/>
            <w:gridSpan w:val="3"/>
            <w:tcMar>
              <w:left w:w="0" w:type="dxa"/>
              <w:right w:w="0" w:type="dxa"/>
            </w:tcMar>
            <w:vAlign w:val="center"/>
          </w:tcPr>
          <w:p w14:paraId="56515AD2">
            <w:pPr>
              <w:pStyle w:val="90"/>
            </w:pPr>
            <w:r>
              <w:t>耐酸坛或陶瓷瓶外普通木箱或半花格木箱；玻璃瓶或塑料桶（罐）外普通木箱或半花格木箱；磨砂口玻璃瓶或螺纹口玻璃瓶外普通木箱；螺纹口玻璃瓶、铁盖压口玻璃瓶、塑料瓶或金属桶（罐）外普通木箱。</w:t>
            </w:r>
          </w:p>
        </w:tc>
      </w:tr>
    </w:tbl>
    <w:p w14:paraId="5624A5B7">
      <w:pPr>
        <w:ind w:firstLine="480"/>
      </w:pPr>
      <w:r>
        <w:rPr>
          <w:rFonts w:hint="eastAsia"/>
        </w:rPr>
        <w:t>本项目的润滑油、润滑脂等均采用储罐暂存，储罐区域设置围堰并进行相应的重点防渗，正常情况下不会对周围地下水、土壤环境造成影响，但是在非正常工况下，如储罐破损，防渗层破裂，导致酸性物质发生泄漏，进入地下水和土壤环境，将会导致土壤酸化，地下水污染等环境影响。</w:t>
      </w:r>
    </w:p>
    <w:p w14:paraId="233E6795">
      <w:pPr>
        <w:pStyle w:val="43"/>
      </w:pPr>
      <w:bookmarkStart w:id="555" w:name="_Toc152864242"/>
      <w:bookmarkStart w:id="556" w:name="_Toc82518829"/>
      <w:r>
        <w:rPr>
          <w:rFonts w:hint="eastAsia"/>
        </w:rPr>
        <w:t>风险事故情形分析</w:t>
      </w:r>
      <w:bookmarkEnd w:id="555"/>
      <w:bookmarkEnd w:id="556"/>
    </w:p>
    <w:p w14:paraId="16A1F397">
      <w:pPr>
        <w:ind w:firstLine="480"/>
      </w:pPr>
      <w:r>
        <w:rPr>
          <w:rFonts w:hint="eastAsia"/>
        </w:rPr>
        <w:t>事故情形的设定应遵循以下原则：</w:t>
      </w:r>
    </w:p>
    <w:p w14:paraId="5CFCCD2B">
      <w:pPr>
        <w:ind w:firstLine="480"/>
      </w:pPr>
      <w:r>
        <w:rPr>
          <w:rFonts w:hint="eastAsia"/>
        </w:rPr>
        <w:t>（1）同一种危险物质可能有多种环境风险类型。风险事故情形应包括危险物质泄漏，以及火灾、爆炸等引发的伴生/次生污染物排放情形。对不同环境要素产生影响的风险事故情形，应分别进行设定。</w:t>
      </w:r>
    </w:p>
    <w:p w14:paraId="4F240BA7">
      <w:pPr>
        <w:ind w:firstLine="480"/>
      </w:pPr>
      <w:r>
        <w:rPr>
          <w:rFonts w:hint="eastAsia"/>
        </w:rPr>
        <w:t>（2）对于火灾、爆炸事故，需将事故中未完全燃烧的危险物质在高温下迅速挥发释放至大气，以及燃烧过程中产生的伴生/次生污染物对环境的影响作为风险事故情形设定的内容。</w:t>
      </w:r>
    </w:p>
    <w:p w14:paraId="6AA258BB">
      <w:pPr>
        <w:ind w:firstLine="480"/>
      </w:pPr>
      <w:r>
        <w:rPr>
          <w:rFonts w:hint="eastAsia"/>
        </w:rPr>
        <w:t>（3）设定的风险事故情形发生可能性应处于合理的区间，并与经济技术发展水平相适应。一般而言，发生频率小于10</w:t>
      </w:r>
      <w:r>
        <w:rPr>
          <w:rFonts w:hint="eastAsia"/>
          <w:vertAlign w:val="superscript"/>
        </w:rPr>
        <w:t>-6</w:t>
      </w:r>
      <w:r>
        <w:rPr>
          <w:rFonts w:hint="eastAsia"/>
        </w:rPr>
        <w:t>/年的事件是极小概率事件，可作为代表性事故情形中最大可信事故设定的参考。</w:t>
      </w:r>
    </w:p>
    <w:p w14:paraId="0353E0DD">
      <w:pPr>
        <w:ind w:firstLine="480"/>
      </w:pPr>
      <w:r>
        <w:rPr>
          <w:rFonts w:hint="eastAsia"/>
        </w:rPr>
        <w:t>（4）风险事故情形设定的不确定性与筛选。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67A36A4C">
      <w:pPr>
        <w:pStyle w:val="45"/>
        <w:spacing w:before="65" w:after="65"/>
      </w:pPr>
      <w:r>
        <w:rPr>
          <w:rFonts w:hint="eastAsia"/>
        </w:rPr>
        <w:t>事故影响要素</w:t>
      </w:r>
    </w:p>
    <w:p w14:paraId="4051EE79">
      <w:pPr>
        <w:ind w:firstLine="480"/>
      </w:pPr>
      <w:r>
        <w:rPr>
          <w:rFonts w:hint="eastAsia"/>
        </w:rPr>
        <w:t>本项目涉及的危险物质主要是减线油，为液态，最大可信事故应为液体的泄漏，同时，本项目与地表水体没有水力联系，因此事故状态下不会直接影响地表水体，通过设置导流沟、应急中转池等措施后可有效防止泄漏事故对地表水的影响。</w:t>
      </w:r>
    </w:p>
    <w:p w14:paraId="4AF352D0">
      <w:pPr>
        <w:pStyle w:val="45"/>
        <w:spacing w:before="65" w:after="65"/>
      </w:pPr>
      <w:r>
        <w:rPr>
          <w:rFonts w:hint="eastAsia"/>
        </w:rPr>
        <w:t>事故类型</w:t>
      </w:r>
    </w:p>
    <w:p w14:paraId="7E7EAE80">
      <w:pPr>
        <w:ind w:firstLine="480"/>
      </w:pPr>
      <w:r>
        <w:rPr>
          <w:rFonts w:hint="eastAsia"/>
        </w:rPr>
        <w:t>根据事故起因不同，可分为火灾爆炸事故和泄漏事故。一般情况下，泄漏事故可能引发火灾爆炸事故，而一旦发生火灾爆炸事故，势必引起更大的泄漏事故。</w:t>
      </w:r>
    </w:p>
    <w:p w14:paraId="6A10562E">
      <w:pPr>
        <w:ind w:firstLine="480"/>
      </w:pPr>
      <w:r>
        <w:rPr>
          <w:rFonts w:hint="eastAsia"/>
        </w:rPr>
        <w:t>（1）泄漏事故</w:t>
      </w:r>
    </w:p>
    <w:p w14:paraId="777E1F6A">
      <w:pPr>
        <w:ind w:firstLine="480"/>
      </w:pPr>
      <w:r>
        <w:rPr>
          <w:rFonts w:hint="eastAsia"/>
        </w:rPr>
        <w:t>主要是指泄漏事故发生后，易挥发的有毒有害物质扩散对环境的影响。泄漏事故的风险单元主要为原料及产品储罐、输送管线，减线油、润滑油等具有挥发性，泄漏后扩散到空气中对环境空气造成一定影响。</w:t>
      </w:r>
    </w:p>
    <w:p w14:paraId="2D480984">
      <w:pPr>
        <w:ind w:firstLine="480"/>
      </w:pPr>
      <w:r>
        <w:rPr>
          <w:rFonts w:hint="eastAsia"/>
        </w:rPr>
        <w:t>（2）火灾爆炸事故</w:t>
      </w:r>
    </w:p>
    <w:p w14:paraId="080F00C4">
      <w:pPr>
        <w:ind w:firstLine="480"/>
      </w:pPr>
      <w:r>
        <w:rPr>
          <w:rFonts w:hint="eastAsia"/>
        </w:rPr>
        <w:t>本项目涉及的危险物质主要为油类物质和硫酸，液体的硫酸不易燃烧，油类物质易燃，而本项目所用储罐均为常压储罐，因此，存在发生火灾或爆炸事故的可能性。</w:t>
      </w:r>
    </w:p>
    <w:p w14:paraId="41FE7DC5">
      <w:pPr>
        <w:pStyle w:val="45"/>
        <w:spacing w:before="65" w:after="65"/>
      </w:pPr>
      <w:r>
        <w:rPr>
          <w:rFonts w:hint="eastAsia"/>
        </w:rPr>
        <w:t>最大可信事故设定</w:t>
      </w:r>
    </w:p>
    <w:p w14:paraId="7ABB1ABB">
      <w:pPr>
        <w:adjustRightInd w:val="0"/>
        <w:snapToGrid w:val="0"/>
        <w:spacing w:line="480" w:lineRule="exact"/>
        <w:ind w:firstLine="480"/>
        <w:rPr>
          <w:szCs w:val="24"/>
        </w:rPr>
      </w:pPr>
      <w:r>
        <w:rPr>
          <w:rFonts w:hint="eastAsia"/>
          <w:szCs w:val="24"/>
        </w:rPr>
        <w:t>不同类型的泄漏事故发生频率见表</w:t>
      </w:r>
      <w:r>
        <w:rPr>
          <w:szCs w:val="24"/>
        </w:rPr>
        <w:t>5.7-16</w:t>
      </w:r>
      <w:r>
        <w:rPr>
          <w:rFonts w:hint="eastAsia"/>
          <w:szCs w:val="24"/>
        </w:rPr>
        <w:t>。</w:t>
      </w:r>
    </w:p>
    <w:p w14:paraId="6ACABE06">
      <w:pPr>
        <w:pStyle w:val="47"/>
        <w:spacing w:before="65"/>
      </w:pPr>
      <w:r>
        <w:rPr>
          <w:rFonts w:hint="eastAsia"/>
        </w:rPr>
        <w:t>表5</w:t>
      </w:r>
      <w:r>
        <w:t xml:space="preserve">.7-16   </w:t>
      </w:r>
      <w:r>
        <w:rPr>
          <w:rFonts w:hint="eastAsia"/>
        </w:rPr>
        <w:t>泄漏频率表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884"/>
        <w:gridCol w:w="4131"/>
        <w:gridCol w:w="1715"/>
      </w:tblGrid>
      <w:tr w14:paraId="53C60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shd w:val="clear" w:color="auto" w:fill="auto"/>
            <w:tcMar>
              <w:left w:w="0" w:type="dxa"/>
              <w:right w:w="0" w:type="dxa"/>
            </w:tcMar>
            <w:vAlign w:val="center"/>
          </w:tcPr>
          <w:p w14:paraId="3BD66F40">
            <w:pPr>
              <w:adjustRightInd w:val="0"/>
              <w:snapToGrid w:val="0"/>
              <w:spacing w:line="240" w:lineRule="auto"/>
              <w:ind w:firstLine="0" w:firstLineChars="0"/>
              <w:jc w:val="center"/>
              <w:rPr>
                <w:sz w:val="21"/>
                <w:szCs w:val="21"/>
              </w:rPr>
            </w:pPr>
            <w:r>
              <w:rPr>
                <w:sz w:val="21"/>
                <w:szCs w:val="21"/>
              </w:rPr>
              <w:t>部件类型</w:t>
            </w:r>
          </w:p>
        </w:tc>
        <w:tc>
          <w:tcPr>
            <w:tcW w:w="2366" w:type="pct"/>
            <w:shd w:val="clear" w:color="auto" w:fill="auto"/>
            <w:tcMar>
              <w:left w:w="0" w:type="dxa"/>
              <w:right w:w="0" w:type="dxa"/>
            </w:tcMar>
            <w:vAlign w:val="center"/>
          </w:tcPr>
          <w:p w14:paraId="4913988B">
            <w:pPr>
              <w:adjustRightInd w:val="0"/>
              <w:snapToGrid w:val="0"/>
              <w:spacing w:line="240" w:lineRule="auto"/>
              <w:ind w:firstLine="0" w:firstLineChars="0"/>
              <w:jc w:val="center"/>
              <w:rPr>
                <w:sz w:val="21"/>
                <w:szCs w:val="21"/>
              </w:rPr>
            </w:pPr>
            <w:r>
              <w:rPr>
                <w:sz w:val="21"/>
                <w:szCs w:val="21"/>
              </w:rPr>
              <w:t>泄漏模式</w:t>
            </w:r>
          </w:p>
        </w:tc>
        <w:tc>
          <w:tcPr>
            <w:tcW w:w="982" w:type="pct"/>
            <w:shd w:val="clear" w:color="auto" w:fill="auto"/>
            <w:tcMar>
              <w:left w:w="0" w:type="dxa"/>
              <w:right w:w="0" w:type="dxa"/>
            </w:tcMar>
            <w:vAlign w:val="center"/>
          </w:tcPr>
          <w:p w14:paraId="58D82029">
            <w:pPr>
              <w:adjustRightInd w:val="0"/>
              <w:snapToGrid w:val="0"/>
              <w:spacing w:line="240" w:lineRule="auto"/>
              <w:ind w:firstLine="0" w:firstLineChars="0"/>
              <w:jc w:val="center"/>
              <w:rPr>
                <w:sz w:val="21"/>
                <w:szCs w:val="21"/>
              </w:rPr>
            </w:pPr>
            <w:r>
              <w:rPr>
                <w:sz w:val="21"/>
                <w:szCs w:val="21"/>
              </w:rPr>
              <w:t>泄漏频率</w:t>
            </w:r>
          </w:p>
        </w:tc>
      </w:tr>
      <w:tr w14:paraId="1A711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7E0D6C27">
            <w:pPr>
              <w:adjustRightInd w:val="0"/>
              <w:snapToGrid w:val="0"/>
              <w:spacing w:line="240" w:lineRule="auto"/>
              <w:ind w:firstLine="0" w:firstLineChars="0"/>
              <w:jc w:val="center"/>
              <w:rPr>
                <w:sz w:val="21"/>
                <w:szCs w:val="21"/>
              </w:rPr>
            </w:pPr>
            <w:r>
              <w:rPr>
                <w:spacing w:val="6"/>
                <w:kern w:val="0"/>
                <w:sz w:val="21"/>
                <w:szCs w:val="21"/>
              </w:rPr>
              <w:t>反应器/工艺储罐/气体储罐/塔器</w:t>
            </w:r>
          </w:p>
        </w:tc>
        <w:tc>
          <w:tcPr>
            <w:tcW w:w="2366" w:type="pct"/>
            <w:shd w:val="clear" w:color="auto" w:fill="auto"/>
            <w:tcMar>
              <w:left w:w="0" w:type="dxa"/>
              <w:right w:w="0" w:type="dxa"/>
            </w:tcMar>
            <w:vAlign w:val="center"/>
          </w:tcPr>
          <w:p w14:paraId="635BFB57">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泄漏孔径为</w:t>
            </w:r>
            <w:r>
              <w:rPr>
                <w:spacing w:val="1"/>
                <w:kern w:val="0"/>
                <w:sz w:val="21"/>
                <w:szCs w:val="21"/>
              </w:rPr>
              <w:t>10mm</w:t>
            </w:r>
            <w:r>
              <w:rPr>
                <w:spacing w:val="8"/>
                <w:kern w:val="0"/>
                <w:sz w:val="21"/>
                <w:szCs w:val="21"/>
              </w:rPr>
              <w:t>孔径</w:t>
            </w:r>
          </w:p>
        </w:tc>
        <w:tc>
          <w:tcPr>
            <w:tcW w:w="982" w:type="pct"/>
            <w:shd w:val="clear" w:color="auto" w:fill="auto"/>
            <w:tcMar>
              <w:left w:w="0" w:type="dxa"/>
              <w:right w:w="0" w:type="dxa"/>
            </w:tcMar>
            <w:vAlign w:val="center"/>
          </w:tcPr>
          <w:p w14:paraId="11E60565">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1.00×10</w:t>
            </w:r>
            <w:r>
              <w:rPr>
                <w:spacing w:val="2"/>
                <w:kern w:val="0"/>
                <w:position w:val="8"/>
                <w:sz w:val="21"/>
                <w:szCs w:val="21"/>
                <w:vertAlign w:val="superscript"/>
              </w:rPr>
              <w:t>-4</w:t>
            </w:r>
            <w:r>
              <w:rPr>
                <w:spacing w:val="4"/>
                <w:kern w:val="0"/>
                <w:sz w:val="21"/>
                <w:szCs w:val="21"/>
              </w:rPr>
              <w:t>/a</w:t>
            </w:r>
          </w:p>
        </w:tc>
      </w:tr>
      <w:tr w14:paraId="250EE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41C375B8">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1E3C1C47">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10</w:t>
            </w:r>
            <w:r>
              <w:rPr>
                <w:spacing w:val="2"/>
                <w:kern w:val="0"/>
                <w:sz w:val="21"/>
                <w:szCs w:val="21"/>
              </w:rPr>
              <w:t>min</w:t>
            </w:r>
            <w:r>
              <w:rPr>
                <w:spacing w:val="7"/>
                <w:kern w:val="0"/>
                <w:sz w:val="21"/>
                <w:szCs w:val="21"/>
              </w:rPr>
              <w:t>内储罐泄漏完</w:t>
            </w:r>
          </w:p>
        </w:tc>
        <w:tc>
          <w:tcPr>
            <w:tcW w:w="982" w:type="pct"/>
            <w:shd w:val="clear" w:color="auto" w:fill="auto"/>
            <w:tcMar>
              <w:left w:w="0" w:type="dxa"/>
              <w:right w:w="0" w:type="dxa"/>
            </w:tcMar>
            <w:vAlign w:val="center"/>
          </w:tcPr>
          <w:p w14:paraId="37C27C5B">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5.00×10</w:t>
            </w:r>
            <w:r>
              <w:rPr>
                <w:spacing w:val="2"/>
                <w:kern w:val="0"/>
                <w:position w:val="8"/>
                <w:sz w:val="21"/>
                <w:szCs w:val="21"/>
                <w:vertAlign w:val="superscript"/>
              </w:rPr>
              <w:t>-6</w:t>
            </w:r>
            <w:r>
              <w:rPr>
                <w:spacing w:val="4"/>
                <w:kern w:val="0"/>
                <w:sz w:val="21"/>
                <w:szCs w:val="21"/>
              </w:rPr>
              <w:t>/a</w:t>
            </w:r>
          </w:p>
        </w:tc>
      </w:tr>
      <w:tr w14:paraId="2B4AE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3B74882C">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09879E65">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储</w:t>
            </w:r>
            <w:r>
              <w:rPr>
                <w:spacing w:val="8"/>
                <w:kern w:val="0"/>
                <w:sz w:val="21"/>
                <w:szCs w:val="21"/>
              </w:rPr>
              <w:t>罐全</w:t>
            </w:r>
            <w:r>
              <w:rPr>
                <w:spacing w:val="7"/>
                <w:kern w:val="0"/>
                <w:sz w:val="21"/>
                <w:szCs w:val="21"/>
              </w:rPr>
              <w:t>破</w:t>
            </w:r>
            <w:r>
              <w:rPr>
                <w:kern w:val="0"/>
                <w:sz w:val="21"/>
                <w:szCs w:val="21"/>
              </w:rPr>
              <w:t>裂</w:t>
            </w:r>
          </w:p>
        </w:tc>
        <w:tc>
          <w:tcPr>
            <w:tcW w:w="982" w:type="pct"/>
            <w:shd w:val="clear" w:color="auto" w:fill="auto"/>
            <w:tcMar>
              <w:left w:w="0" w:type="dxa"/>
              <w:right w:w="0" w:type="dxa"/>
            </w:tcMar>
            <w:vAlign w:val="center"/>
          </w:tcPr>
          <w:p w14:paraId="1C92CDE1">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5.00×10</w:t>
            </w:r>
            <w:r>
              <w:rPr>
                <w:spacing w:val="2"/>
                <w:kern w:val="0"/>
                <w:position w:val="8"/>
                <w:sz w:val="21"/>
                <w:szCs w:val="21"/>
                <w:vertAlign w:val="superscript"/>
              </w:rPr>
              <w:t>-6</w:t>
            </w:r>
            <w:r>
              <w:rPr>
                <w:spacing w:val="4"/>
                <w:kern w:val="0"/>
                <w:sz w:val="21"/>
                <w:szCs w:val="21"/>
              </w:rPr>
              <w:t>/a</w:t>
            </w:r>
          </w:p>
        </w:tc>
      </w:tr>
      <w:tr w14:paraId="2F854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3E8908A2">
            <w:pPr>
              <w:adjustRightInd w:val="0"/>
              <w:snapToGrid w:val="0"/>
              <w:spacing w:line="240" w:lineRule="auto"/>
              <w:ind w:firstLine="0" w:firstLineChars="0"/>
              <w:jc w:val="center"/>
              <w:rPr>
                <w:sz w:val="21"/>
                <w:szCs w:val="21"/>
              </w:rPr>
            </w:pPr>
            <w:r>
              <w:rPr>
                <w:spacing w:val="7"/>
                <w:kern w:val="0"/>
                <w:sz w:val="21"/>
                <w:szCs w:val="21"/>
              </w:rPr>
              <w:t>常压单包容储罐</w:t>
            </w:r>
          </w:p>
        </w:tc>
        <w:tc>
          <w:tcPr>
            <w:tcW w:w="2366" w:type="pct"/>
            <w:shd w:val="clear" w:color="auto" w:fill="auto"/>
            <w:tcMar>
              <w:left w:w="0" w:type="dxa"/>
              <w:right w:w="0" w:type="dxa"/>
            </w:tcMar>
            <w:vAlign w:val="center"/>
          </w:tcPr>
          <w:p w14:paraId="7DFEF8DE">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泄漏孔径为</w:t>
            </w:r>
            <w:r>
              <w:rPr>
                <w:spacing w:val="1"/>
                <w:kern w:val="0"/>
                <w:sz w:val="21"/>
                <w:szCs w:val="21"/>
              </w:rPr>
              <w:t>10mm</w:t>
            </w:r>
            <w:r>
              <w:rPr>
                <w:spacing w:val="8"/>
                <w:kern w:val="0"/>
                <w:sz w:val="21"/>
                <w:szCs w:val="21"/>
              </w:rPr>
              <w:t>孔径</w:t>
            </w:r>
          </w:p>
        </w:tc>
        <w:tc>
          <w:tcPr>
            <w:tcW w:w="982" w:type="pct"/>
            <w:shd w:val="clear" w:color="auto" w:fill="auto"/>
            <w:tcMar>
              <w:left w:w="0" w:type="dxa"/>
              <w:right w:w="0" w:type="dxa"/>
            </w:tcMar>
            <w:vAlign w:val="center"/>
          </w:tcPr>
          <w:p w14:paraId="556C7AAB">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1.00×10</w:t>
            </w:r>
            <w:r>
              <w:rPr>
                <w:spacing w:val="2"/>
                <w:kern w:val="0"/>
                <w:position w:val="8"/>
                <w:sz w:val="21"/>
                <w:szCs w:val="21"/>
                <w:vertAlign w:val="superscript"/>
              </w:rPr>
              <w:t>-4</w:t>
            </w:r>
            <w:r>
              <w:rPr>
                <w:spacing w:val="4"/>
                <w:kern w:val="0"/>
                <w:sz w:val="21"/>
                <w:szCs w:val="21"/>
              </w:rPr>
              <w:t>/a</w:t>
            </w:r>
          </w:p>
        </w:tc>
      </w:tr>
      <w:tr w14:paraId="0D61B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004066FC">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33F5A4D4">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10</w:t>
            </w:r>
            <w:r>
              <w:rPr>
                <w:spacing w:val="2"/>
                <w:kern w:val="0"/>
                <w:sz w:val="21"/>
                <w:szCs w:val="21"/>
              </w:rPr>
              <w:t>min</w:t>
            </w:r>
            <w:r>
              <w:rPr>
                <w:spacing w:val="7"/>
                <w:kern w:val="0"/>
                <w:sz w:val="21"/>
                <w:szCs w:val="21"/>
              </w:rPr>
              <w:t>内储罐泄漏完</w:t>
            </w:r>
          </w:p>
        </w:tc>
        <w:tc>
          <w:tcPr>
            <w:tcW w:w="982" w:type="pct"/>
            <w:shd w:val="clear" w:color="auto" w:fill="auto"/>
            <w:tcMar>
              <w:left w:w="0" w:type="dxa"/>
              <w:right w:w="0" w:type="dxa"/>
            </w:tcMar>
            <w:vAlign w:val="center"/>
          </w:tcPr>
          <w:p w14:paraId="4C1221C7">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5.00×10</w:t>
            </w:r>
            <w:r>
              <w:rPr>
                <w:spacing w:val="2"/>
                <w:kern w:val="0"/>
                <w:position w:val="8"/>
                <w:sz w:val="21"/>
                <w:szCs w:val="21"/>
                <w:vertAlign w:val="superscript"/>
              </w:rPr>
              <w:t>-6</w:t>
            </w:r>
            <w:r>
              <w:rPr>
                <w:spacing w:val="4"/>
                <w:kern w:val="0"/>
                <w:sz w:val="21"/>
                <w:szCs w:val="21"/>
              </w:rPr>
              <w:t>/a</w:t>
            </w:r>
          </w:p>
        </w:tc>
      </w:tr>
      <w:tr w14:paraId="5ECE7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4435D9CD">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2B700ECC">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储</w:t>
            </w:r>
            <w:r>
              <w:rPr>
                <w:spacing w:val="8"/>
                <w:kern w:val="0"/>
                <w:sz w:val="21"/>
                <w:szCs w:val="21"/>
              </w:rPr>
              <w:t>罐全</w:t>
            </w:r>
            <w:r>
              <w:rPr>
                <w:spacing w:val="7"/>
                <w:kern w:val="0"/>
                <w:sz w:val="21"/>
                <w:szCs w:val="21"/>
              </w:rPr>
              <w:t>破</w:t>
            </w:r>
            <w:r>
              <w:rPr>
                <w:kern w:val="0"/>
                <w:sz w:val="21"/>
                <w:szCs w:val="21"/>
              </w:rPr>
              <w:t>裂</w:t>
            </w:r>
          </w:p>
        </w:tc>
        <w:tc>
          <w:tcPr>
            <w:tcW w:w="982" w:type="pct"/>
            <w:shd w:val="clear" w:color="auto" w:fill="auto"/>
            <w:tcMar>
              <w:left w:w="0" w:type="dxa"/>
              <w:right w:w="0" w:type="dxa"/>
            </w:tcMar>
            <w:vAlign w:val="center"/>
          </w:tcPr>
          <w:p w14:paraId="2E4B2E5D">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5.00×10</w:t>
            </w:r>
            <w:r>
              <w:rPr>
                <w:spacing w:val="2"/>
                <w:kern w:val="0"/>
                <w:position w:val="8"/>
                <w:sz w:val="21"/>
                <w:szCs w:val="21"/>
                <w:vertAlign w:val="superscript"/>
              </w:rPr>
              <w:t>-6</w:t>
            </w:r>
            <w:r>
              <w:rPr>
                <w:spacing w:val="2"/>
                <w:kern w:val="0"/>
                <w:sz w:val="21"/>
                <w:szCs w:val="21"/>
              </w:rPr>
              <w:t>/</w:t>
            </w:r>
            <w:r>
              <w:rPr>
                <w:kern w:val="0"/>
                <w:sz w:val="21"/>
                <w:szCs w:val="21"/>
              </w:rPr>
              <w:t>a</w:t>
            </w:r>
          </w:p>
        </w:tc>
      </w:tr>
      <w:tr w14:paraId="7F363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78ABB536">
            <w:pPr>
              <w:adjustRightInd w:val="0"/>
              <w:snapToGrid w:val="0"/>
              <w:spacing w:line="240" w:lineRule="auto"/>
              <w:ind w:firstLine="0" w:firstLineChars="0"/>
              <w:jc w:val="center"/>
              <w:rPr>
                <w:sz w:val="21"/>
                <w:szCs w:val="21"/>
              </w:rPr>
            </w:pPr>
            <w:r>
              <w:rPr>
                <w:spacing w:val="7"/>
                <w:kern w:val="0"/>
                <w:sz w:val="21"/>
                <w:szCs w:val="21"/>
              </w:rPr>
              <w:t>常压双包容储罐</w:t>
            </w:r>
          </w:p>
        </w:tc>
        <w:tc>
          <w:tcPr>
            <w:tcW w:w="2366" w:type="pct"/>
            <w:shd w:val="clear" w:color="auto" w:fill="auto"/>
            <w:tcMar>
              <w:left w:w="0" w:type="dxa"/>
              <w:right w:w="0" w:type="dxa"/>
            </w:tcMar>
            <w:vAlign w:val="center"/>
          </w:tcPr>
          <w:p w14:paraId="02095BE4">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泄漏孔径为</w:t>
            </w:r>
            <w:r>
              <w:rPr>
                <w:spacing w:val="1"/>
                <w:kern w:val="0"/>
                <w:sz w:val="21"/>
                <w:szCs w:val="21"/>
              </w:rPr>
              <w:t>10mm</w:t>
            </w:r>
            <w:r>
              <w:rPr>
                <w:spacing w:val="8"/>
                <w:kern w:val="0"/>
                <w:sz w:val="21"/>
                <w:szCs w:val="21"/>
              </w:rPr>
              <w:t>孔径</w:t>
            </w:r>
          </w:p>
        </w:tc>
        <w:tc>
          <w:tcPr>
            <w:tcW w:w="982" w:type="pct"/>
            <w:shd w:val="clear" w:color="auto" w:fill="auto"/>
            <w:tcMar>
              <w:left w:w="0" w:type="dxa"/>
              <w:right w:w="0" w:type="dxa"/>
            </w:tcMar>
            <w:vAlign w:val="center"/>
          </w:tcPr>
          <w:p w14:paraId="13437D90">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1.00×10</w:t>
            </w:r>
            <w:r>
              <w:rPr>
                <w:spacing w:val="2"/>
                <w:kern w:val="0"/>
                <w:position w:val="8"/>
                <w:sz w:val="21"/>
                <w:szCs w:val="21"/>
                <w:vertAlign w:val="superscript"/>
              </w:rPr>
              <w:t>-4</w:t>
            </w:r>
            <w:r>
              <w:rPr>
                <w:spacing w:val="4"/>
                <w:kern w:val="0"/>
                <w:sz w:val="21"/>
                <w:szCs w:val="21"/>
              </w:rPr>
              <w:t>/a</w:t>
            </w:r>
          </w:p>
        </w:tc>
      </w:tr>
      <w:tr w14:paraId="6751D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445E54C0">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56FC4E81">
            <w:pPr>
              <w:kinsoku w:val="0"/>
              <w:overflowPunct w:val="0"/>
              <w:autoSpaceDE w:val="0"/>
              <w:autoSpaceDN w:val="0"/>
              <w:adjustRightInd w:val="0"/>
              <w:snapToGrid w:val="0"/>
              <w:spacing w:line="240" w:lineRule="auto"/>
              <w:ind w:firstLine="0" w:firstLineChars="0"/>
              <w:jc w:val="center"/>
              <w:rPr>
                <w:kern w:val="0"/>
                <w:sz w:val="21"/>
                <w:szCs w:val="21"/>
              </w:rPr>
            </w:pPr>
            <w:r>
              <w:rPr>
                <w:spacing w:val="1"/>
                <w:kern w:val="0"/>
                <w:sz w:val="21"/>
                <w:szCs w:val="21"/>
              </w:rPr>
              <w:t>10</w:t>
            </w:r>
            <w:r>
              <w:rPr>
                <w:spacing w:val="2"/>
                <w:kern w:val="0"/>
                <w:sz w:val="21"/>
                <w:szCs w:val="21"/>
              </w:rPr>
              <w:t>min</w:t>
            </w:r>
            <w:r>
              <w:rPr>
                <w:spacing w:val="7"/>
                <w:kern w:val="0"/>
                <w:sz w:val="21"/>
                <w:szCs w:val="21"/>
              </w:rPr>
              <w:t>内储罐泄漏完</w:t>
            </w:r>
          </w:p>
        </w:tc>
        <w:tc>
          <w:tcPr>
            <w:tcW w:w="982" w:type="pct"/>
            <w:shd w:val="clear" w:color="auto" w:fill="auto"/>
            <w:tcMar>
              <w:left w:w="0" w:type="dxa"/>
              <w:right w:w="0" w:type="dxa"/>
            </w:tcMar>
            <w:vAlign w:val="center"/>
          </w:tcPr>
          <w:p w14:paraId="259ED763">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1.25×10</w:t>
            </w:r>
            <w:r>
              <w:rPr>
                <w:spacing w:val="2"/>
                <w:kern w:val="0"/>
                <w:position w:val="8"/>
                <w:sz w:val="21"/>
                <w:szCs w:val="21"/>
                <w:vertAlign w:val="superscript"/>
              </w:rPr>
              <w:t>-8</w:t>
            </w:r>
            <w:r>
              <w:rPr>
                <w:spacing w:val="4"/>
                <w:kern w:val="0"/>
                <w:sz w:val="21"/>
                <w:szCs w:val="21"/>
              </w:rPr>
              <w:t>/a</w:t>
            </w:r>
          </w:p>
        </w:tc>
      </w:tr>
      <w:tr w14:paraId="1E716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573E1765">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171051E9">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储</w:t>
            </w:r>
            <w:r>
              <w:rPr>
                <w:spacing w:val="8"/>
                <w:kern w:val="0"/>
                <w:sz w:val="21"/>
                <w:szCs w:val="21"/>
              </w:rPr>
              <w:t>罐全</w:t>
            </w:r>
            <w:r>
              <w:rPr>
                <w:spacing w:val="7"/>
                <w:kern w:val="0"/>
                <w:sz w:val="21"/>
                <w:szCs w:val="21"/>
              </w:rPr>
              <w:t>破</w:t>
            </w:r>
            <w:r>
              <w:rPr>
                <w:kern w:val="0"/>
                <w:sz w:val="21"/>
                <w:szCs w:val="21"/>
              </w:rPr>
              <w:t>裂</w:t>
            </w:r>
          </w:p>
        </w:tc>
        <w:tc>
          <w:tcPr>
            <w:tcW w:w="982" w:type="pct"/>
            <w:shd w:val="clear" w:color="auto" w:fill="auto"/>
            <w:tcMar>
              <w:left w:w="0" w:type="dxa"/>
              <w:right w:w="0" w:type="dxa"/>
            </w:tcMar>
            <w:vAlign w:val="center"/>
          </w:tcPr>
          <w:p w14:paraId="11A97B90">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1.25×10</w:t>
            </w:r>
            <w:r>
              <w:rPr>
                <w:spacing w:val="2"/>
                <w:kern w:val="0"/>
                <w:position w:val="8"/>
                <w:sz w:val="21"/>
                <w:szCs w:val="21"/>
                <w:vertAlign w:val="superscript"/>
              </w:rPr>
              <w:t>-8</w:t>
            </w:r>
            <w:r>
              <w:rPr>
                <w:spacing w:val="4"/>
                <w:kern w:val="0"/>
                <w:sz w:val="21"/>
                <w:szCs w:val="21"/>
              </w:rPr>
              <w:t>/a</w:t>
            </w:r>
          </w:p>
        </w:tc>
      </w:tr>
      <w:tr w14:paraId="6C512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shd w:val="clear" w:color="auto" w:fill="auto"/>
            <w:tcMar>
              <w:left w:w="0" w:type="dxa"/>
              <w:right w:w="0" w:type="dxa"/>
            </w:tcMar>
            <w:vAlign w:val="center"/>
          </w:tcPr>
          <w:p w14:paraId="4A842DD4">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常压全包容储罐</w:t>
            </w:r>
          </w:p>
        </w:tc>
        <w:tc>
          <w:tcPr>
            <w:tcW w:w="2366" w:type="pct"/>
            <w:shd w:val="clear" w:color="auto" w:fill="auto"/>
            <w:tcMar>
              <w:left w:w="0" w:type="dxa"/>
              <w:right w:w="0" w:type="dxa"/>
            </w:tcMar>
            <w:vAlign w:val="center"/>
          </w:tcPr>
          <w:p w14:paraId="63AE3139">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储</w:t>
            </w:r>
            <w:r>
              <w:rPr>
                <w:spacing w:val="8"/>
                <w:kern w:val="0"/>
                <w:sz w:val="21"/>
                <w:szCs w:val="21"/>
              </w:rPr>
              <w:t>罐全</w:t>
            </w:r>
            <w:r>
              <w:rPr>
                <w:spacing w:val="7"/>
                <w:kern w:val="0"/>
                <w:sz w:val="21"/>
                <w:szCs w:val="21"/>
              </w:rPr>
              <w:t>破</w:t>
            </w:r>
            <w:r>
              <w:rPr>
                <w:kern w:val="0"/>
                <w:sz w:val="21"/>
                <w:szCs w:val="21"/>
              </w:rPr>
              <w:t>裂</w:t>
            </w:r>
          </w:p>
        </w:tc>
        <w:tc>
          <w:tcPr>
            <w:tcW w:w="982" w:type="pct"/>
            <w:shd w:val="clear" w:color="auto" w:fill="auto"/>
            <w:tcMar>
              <w:left w:w="0" w:type="dxa"/>
              <w:right w:w="0" w:type="dxa"/>
            </w:tcMar>
            <w:vAlign w:val="center"/>
          </w:tcPr>
          <w:p w14:paraId="75FBAD22">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1.00×10</w:t>
            </w:r>
            <w:r>
              <w:rPr>
                <w:spacing w:val="2"/>
                <w:kern w:val="0"/>
                <w:position w:val="8"/>
                <w:sz w:val="21"/>
                <w:szCs w:val="21"/>
                <w:vertAlign w:val="superscript"/>
              </w:rPr>
              <w:t>-8</w:t>
            </w:r>
            <w:r>
              <w:rPr>
                <w:spacing w:val="4"/>
                <w:kern w:val="0"/>
                <w:sz w:val="21"/>
                <w:szCs w:val="21"/>
              </w:rPr>
              <w:t>/a</w:t>
            </w:r>
          </w:p>
        </w:tc>
      </w:tr>
      <w:tr w14:paraId="067E5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3217B007">
            <w:pPr>
              <w:kinsoku w:val="0"/>
              <w:overflowPunct w:val="0"/>
              <w:autoSpaceDE w:val="0"/>
              <w:autoSpaceDN w:val="0"/>
              <w:adjustRightInd w:val="0"/>
              <w:snapToGrid w:val="0"/>
              <w:spacing w:line="240" w:lineRule="auto"/>
              <w:ind w:firstLine="0" w:firstLineChars="0"/>
              <w:jc w:val="center"/>
              <w:rPr>
                <w:kern w:val="0"/>
                <w:sz w:val="21"/>
                <w:szCs w:val="21"/>
              </w:rPr>
            </w:pPr>
            <w:r>
              <w:rPr>
                <w:spacing w:val="3"/>
                <w:kern w:val="0"/>
                <w:sz w:val="21"/>
                <w:szCs w:val="21"/>
              </w:rPr>
              <w:t>内径≤75mm</w:t>
            </w:r>
            <w:r>
              <w:rPr>
                <w:spacing w:val="5"/>
                <w:kern w:val="0"/>
                <w:sz w:val="21"/>
                <w:szCs w:val="21"/>
              </w:rPr>
              <w:t>的管道</w:t>
            </w:r>
          </w:p>
        </w:tc>
        <w:tc>
          <w:tcPr>
            <w:tcW w:w="2366" w:type="pct"/>
            <w:shd w:val="clear" w:color="auto" w:fill="auto"/>
            <w:tcMar>
              <w:left w:w="0" w:type="dxa"/>
              <w:right w:w="0" w:type="dxa"/>
            </w:tcMar>
            <w:vAlign w:val="center"/>
          </w:tcPr>
          <w:p w14:paraId="54AAF182">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泄漏孔径为</w:t>
            </w:r>
            <w:r>
              <w:rPr>
                <w:spacing w:val="5"/>
                <w:kern w:val="0"/>
                <w:sz w:val="21"/>
                <w:szCs w:val="21"/>
              </w:rPr>
              <w:t>10%孔径</w:t>
            </w:r>
          </w:p>
        </w:tc>
        <w:tc>
          <w:tcPr>
            <w:tcW w:w="982" w:type="pct"/>
            <w:shd w:val="clear" w:color="auto" w:fill="auto"/>
            <w:tcMar>
              <w:left w:w="0" w:type="dxa"/>
              <w:right w:w="0" w:type="dxa"/>
            </w:tcMar>
            <w:vAlign w:val="center"/>
          </w:tcPr>
          <w:p w14:paraId="2648B889">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5.00×10</w:t>
            </w:r>
            <w:r>
              <w:rPr>
                <w:spacing w:val="2"/>
                <w:kern w:val="0"/>
                <w:position w:val="8"/>
                <w:sz w:val="21"/>
                <w:szCs w:val="21"/>
                <w:vertAlign w:val="superscript"/>
              </w:rPr>
              <w:t>-6</w:t>
            </w:r>
            <w:r>
              <w:rPr>
                <w:spacing w:val="4"/>
                <w:kern w:val="0"/>
                <w:sz w:val="21"/>
                <w:szCs w:val="21"/>
              </w:rPr>
              <w:t>/（m</w:t>
            </w:r>
            <w:r>
              <w:rPr>
                <w:rFonts w:hint="eastAsia"/>
                <w:spacing w:val="4"/>
                <w:kern w:val="0"/>
                <w:sz w:val="21"/>
                <w:szCs w:val="21"/>
              </w:rPr>
              <w:t>·</w:t>
            </w:r>
            <w:r>
              <w:rPr>
                <w:spacing w:val="4"/>
                <w:kern w:val="0"/>
                <w:sz w:val="21"/>
                <w:szCs w:val="21"/>
              </w:rPr>
              <w:t>a）</w:t>
            </w:r>
          </w:p>
        </w:tc>
      </w:tr>
      <w:tr w14:paraId="58C58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371DFB86">
            <w:pPr>
              <w:adjustRightInd w:val="0"/>
              <w:snapToGrid w:val="0"/>
              <w:spacing w:line="240" w:lineRule="auto"/>
              <w:ind w:firstLine="0" w:firstLineChars="0"/>
              <w:jc w:val="center"/>
              <w:rPr>
                <w:sz w:val="21"/>
                <w:szCs w:val="21"/>
              </w:rPr>
            </w:pPr>
          </w:p>
        </w:tc>
        <w:tc>
          <w:tcPr>
            <w:tcW w:w="2366" w:type="pct"/>
            <w:shd w:val="clear" w:color="auto" w:fill="auto"/>
            <w:tcMar>
              <w:left w:w="0" w:type="dxa"/>
              <w:right w:w="0" w:type="dxa"/>
            </w:tcMar>
            <w:vAlign w:val="center"/>
          </w:tcPr>
          <w:p w14:paraId="1D5E056F">
            <w:pPr>
              <w:kinsoku w:val="0"/>
              <w:overflowPunct w:val="0"/>
              <w:autoSpaceDE w:val="0"/>
              <w:autoSpaceDN w:val="0"/>
              <w:adjustRightInd w:val="0"/>
              <w:snapToGrid w:val="0"/>
              <w:spacing w:line="240" w:lineRule="auto"/>
              <w:ind w:firstLine="0" w:firstLineChars="0"/>
              <w:jc w:val="center"/>
              <w:rPr>
                <w:spacing w:val="7"/>
                <w:kern w:val="0"/>
                <w:sz w:val="21"/>
                <w:szCs w:val="21"/>
              </w:rPr>
            </w:pPr>
            <w:r>
              <w:rPr>
                <w:spacing w:val="7"/>
                <w:kern w:val="0"/>
                <w:sz w:val="21"/>
                <w:szCs w:val="21"/>
              </w:rPr>
              <w:t>全</w:t>
            </w:r>
            <w:r>
              <w:rPr>
                <w:spacing w:val="8"/>
                <w:kern w:val="0"/>
                <w:sz w:val="21"/>
                <w:szCs w:val="21"/>
              </w:rPr>
              <w:t>管径</w:t>
            </w:r>
            <w:r>
              <w:rPr>
                <w:spacing w:val="7"/>
                <w:kern w:val="0"/>
                <w:sz w:val="21"/>
                <w:szCs w:val="21"/>
              </w:rPr>
              <w:t>泄</w:t>
            </w:r>
            <w:r>
              <w:rPr>
                <w:kern w:val="0"/>
                <w:sz w:val="21"/>
                <w:szCs w:val="21"/>
              </w:rPr>
              <w:t>漏</w:t>
            </w:r>
          </w:p>
        </w:tc>
        <w:tc>
          <w:tcPr>
            <w:tcW w:w="982" w:type="pct"/>
            <w:shd w:val="clear" w:color="auto" w:fill="auto"/>
            <w:tcMar>
              <w:left w:w="0" w:type="dxa"/>
              <w:right w:w="0" w:type="dxa"/>
            </w:tcMar>
            <w:vAlign w:val="center"/>
          </w:tcPr>
          <w:p w14:paraId="31F72FE2">
            <w:pPr>
              <w:kinsoku w:val="0"/>
              <w:overflowPunct w:val="0"/>
              <w:autoSpaceDE w:val="0"/>
              <w:autoSpaceDN w:val="0"/>
              <w:adjustRightInd w:val="0"/>
              <w:snapToGrid w:val="0"/>
              <w:spacing w:line="240" w:lineRule="auto"/>
              <w:ind w:firstLine="0" w:firstLineChars="0"/>
              <w:jc w:val="center"/>
              <w:rPr>
                <w:spacing w:val="2"/>
                <w:kern w:val="0"/>
                <w:sz w:val="21"/>
                <w:szCs w:val="21"/>
              </w:rPr>
            </w:pPr>
            <w:r>
              <w:rPr>
                <w:spacing w:val="2"/>
                <w:kern w:val="0"/>
                <w:sz w:val="21"/>
                <w:szCs w:val="21"/>
              </w:rPr>
              <w:t>1.00×10</w:t>
            </w:r>
            <w:r>
              <w:rPr>
                <w:spacing w:val="2"/>
                <w:kern w:val="0"/>
                <w:position w:val="8"/>
                <w:sz w:val="21"/>
                <w:szCs w:val="21"/>
                <w:vertAlign w:val="superscript"/>
              </w:rPr>
              <w:t>-6</w:t>
            </w:r>
            <w:r>
              <w:rPr>
                <w:spacing w:val="4"/>
                <w:kern w:val="0"/>
                <w:sz w:val="21"/>
                <w:szCs w:val="21"/>
              </w:rPr>
              <w:t>/（m</w:t>
            </w:r>
            <w:r>
              <w:rPr>
                <w:rFonts w:hint="eastAsia"/>
                <w:spacing w:val="4"/>
                <w:kern w:val="0"/>
                <w:sz w:val="21"/>
                <w:szCs w:val="21"/>
              </w:rPr>
              <w:t>·</w:t>
            </w:r>
            <w:r>
              <w:rPr>
                <w:spacing w:val="4"/>
                <w:kern w:val="0"/>
                <w:sz w:val="21"/>
                <w:szCs w:val="21"/>
              </w:rPr>
              <w:t>a）</w:t>
            </w:r>
          </w:p>
        </w:tc>
      </w:tr>
      <w:tr w14:paraId="3E371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34A07934">
            <w:pPr>
              <w:kinsoku w:val="0"/>
              <w:overflowPunct w:val="0"/>
              <w:autoSpaceDE w:val="0"/>
              <w:autoSpaceDN w:val="0"/>
              <w:adjustRightInd w:val="0"/>
              <w:snapToGrid w:val="0"/>
              <w:spacing w:line="240" w:lineRule="auto"/>
              <w:ind w:firstLine="0" w:firstLineChars="0"/>
              <w:jc w:val="center"/>
              <w:rPr>
                <w:kern w:val="0"/>
                <w:sz w:val="21"/>
                <w:szCs w:val="21"/>
              </w:rPr>
            </w:pPr>
            <w:r>
              <w:rPr>
                <w:spacing w:val="3"/>
                <w:kern w:val="0"/>
                <w:sz w:val="21"/>
                <w:szCs w:val="21"/>
              </w:rPr>
              <w:t>75mm＜内径≤150mm</w:t>
            </w:r>
            <w:r>
              <w:rPr>
                <w:spacing w:val="8"/>
                <w:kern w:val="0"/>
                <w:sz w:val="21"/>
                <w:szCs w:val="21"/>
              </w:rPr>
              <w:t>的管道</w:t>
            </w:r>
          </w:p>
        </w:tc>
        <w:tc>
          <w:tcPr>
            <w:tcW w:w="2366" w:type="pct"/>
            <w:shd w:val="clear" w:color="auto" w:fill="auto"/>
            <w:tcMar>
              <w:left w:w="0" w:type="dxa"/>
              <w:right w:w="0" w:type="dxa"/>
            </w:tcMar>
            <w:vAlign w:val="center"/>
          </w:tcPr>
          <w:p w14:paraId="34B85D42">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泄漏孔径为</w:t>
            </w:r>
            <w:r>
              <w:rPr>
                <w:spacing w:val="5"/>
                <w:kern w:val="0"/>
                <w:sz w:val="21"/>
                <w:szCs w:val="21"/>
              </w:rPr>
              <w:t>10%孔径</w:t>
            </w:r>
          </w:p>
        </w:tc>
        <w:tc>
          <w:tcPr>
            <w:tcW w:w="982" w:type="pct"/>
            <w:shd w:val="clear" w:color="auto" w:fill="auto"/>
            <w:tcMar>
              <w:left w:w="0" w:type="dxa"/>
              <w:right w:w="0" w:type="dxa"/>
            </w:tcMar>
            <w:vAlign w:val="center"/>
          </w:tcPr>
          <w:p w14:paraId="3CB20625">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2.00×10</w:t>
            </w:r>
            <w:r>
              <w:rPr>
                <w:spacing w:val="2"/>
                <w:kern w:val="0"/>
                <w:position w:val="8"/>
                <w:sz w:val="21"/>
                <w:szCs w:val="21"/>
                <w:vertAlign w:val="superscript"/>
              </w:rPr>
              <w:t>-6</w:t>
            </w:r>
            <w:r>
              <w:rPr>
                <w:spacing w:val="4"/>
                <w:kern w:val="0"/>
                <w:sz w:val="21"/>
                <w:szCs w:val="21"/>
              </w:rPr>
              <w:t>/（m</w:t>
            </w:r>
            <w:r>
              <w:rPr>
                <w:rFonts w:hint="eastAsia"/>
                <w:spacing w:val="4"/>
                <w:kern w:val="0"/>
                <w:sz w:val="21"/>
                <w:szCs w:val="21"/>
              </w:rPr>
              <w:t>·</w:t>
            </w:r>
            <w:r>
              <w:rPr>
                <w:spacing w:val="4"/>
                <w:kern w:val="0"/>
                <w:sz w:val="21"/>
                <w:szCs w:val="21"/>
              </w:rPr>
              <w:t>a）</w:t>
            </w:r>
          </w:p>
        </w:tc>
      </w:tr>
      <w:tr w14:paraId="6533F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761850D0">
            <w:pPr>
              <w:kinsoku w:val="0"/>
              <w:overflowPunct w:val="0"/>
              <w:autoSpaceDE w:val="0"/>
              <w:autoSpaceDN w:val="0"/>
              <w:adjustRightInd w:val="0"/>
              <w:snapToGrid w:val="0"/>
              <w:spacing w:line="240" w:lineRule="auto"/>
              <w:ind w:firstLine="0" w:firstLineChars="0"/>
              <w:jc w:val="center"/>
              <w:rPr>
                <w:spacing w:val="3"/>
                <w:kern w:val="0"/>
                <w:sz w:val="21"/>
                <w:szCs w:val="21"/>
              </w:rPr>
            </w:pPr>
          </w:p>
        </w:tc>
        <w:tc>
          <w:tcPr>
            <w:tcW w:w="2366" w:type="pct"/>
            <w:shd w:val="clear" w:color="auto" w:fill="auto"/>
            <w:tcMar>
              <w:left w:w="0" w:type="dxa"/>
              <w:right w:w="0" w:type="dxa"/>
            </w:tcMar>
            <w:vAlign w:val="center"/>
          </w:tcPr>
          <w:p w14:paraId="709CE6E4">
            <w:pPr>
              <w:kinsoku w:val="0"/>
              <w:overflowPunct w:val="0"/>
              <w:autoSpaceDE w:val="0"/>
              <w:autoSpaceDN w:val="0"/>
              <w:adjustRightInd w:val="0"/>
              <w:snapToGrid w:val="0"/>
              <w:spacing w:line="240" w:lineRule="auto"/>
              <w:ind w:firstLine="0" w:firstLineChars="0"/>
              <w:jc w:val="center"/>
              <w:rPr>
                <w:spacing w:val="6"/>
                <w:kern w:val="0"/>
                <w:sz w:val="21"/>
                <w:szCs w:val="21"/>
              </w:rPr>
            </w:pPr>
            <w:r>
              <w:rPr>
                <w:spacing w:val="7"/>
                <w:kern w:val="0"/>
                <w:sz w:val="21"/>
                <w:szCs w:val="21"/>
              </w:rPr>
              <w:t>全</w:t>
            </w:r>
            <w:r>
              <w:rPr>
                <w:spacing w:val="8"/>
                <w:kern w:val="0"/>
                <w:sz w:val="21"/>
                <w:szCs w:val="21"/>
              </w:rPr>
              <w:t>管径</w:t>
            </w:r>
            <w:r>
              <w:rPr>
                <w:spacing w:val="7"/>
                <w:kern w:val="0"/>
                <w:sz w:val="21"/>
                <w:szCs w:val="21"/>
              </w:rPr>
              <w:t>泄</w:t>
            </w:r>
            <w:r>
              <w:rPr>
                <w:kern w:val="0"/>
                <w:sz w:val="21"/>
                <w:szCs w:val="21"/>
              </w:rPr>
              <w:t>漏</w:t>
            </w:r>
          </w:p>
        </w:tc>
        <w:tc>
          <w:tcPr>
            <w:tcW w:w="982" w:type="pct"/>
            <w:shd w:val="clear" w:color="auto" w:fill="auto"/>
            <w:tcMar>
              <w:left w:w="0" w:type="dxa"/>
              <w:right w:w="0" w:type="dxa"/>
            </w:tcMar>
            <w:vAlign w:val="center"/>
          </w:tcPr>
          <w:p w14:paraId="3EB67921">
            <w:pPr>
              <w:kinsoku w:val="0"/>
              <w:overflowPunct w:val="0"/>
              <w:autoSpaceDE w:val="0"/>
              <w:autoSpaceDN w:val="0"/>
              <w:adjustRightInd w:val="0"/>
              <w:snapToGrid w:val="0"/>
              <w:spacing w:line="240" w:lineRule="auto"/>
              <w:ind w:firstLine="0" w:firstLineChars="0"/>
              <w:jc w:val="center"/>
              <w:rPr>
                <w:spacing w:val="2"/>
                <w:kern w:val="0"/>
                <w:sz w:val="21"/>
                <w:szCs w:val="21"/>
              </w:rPr>
            </w:pPr>
            <w:r>
              <w:rPr>
                <w:spacing w:val="2"/>
                <w:kern w:val="0"/>
                <w:sz w:val="21"/>
                <w:szCs w:val="21"/>
              </w:rPr>
              <w:t>3.00×10</w:t>
            </w:r>
            <w:r>
              <w:rPr>
                <w:spacing w:val="2"/>
                <w:kern w:val="0"/>
                <w:position w:val="8"/>
                <w:sz w:val="21"/>
                <w:szCs w:val="21"/>
                <w:vertAlign w:val="superscript"/>
              </w:rPr>
              <w:t>-7</w:t>
            </w:r>
            <w:r>
              <w:rPr>
                <w:spacing w:val="4"/>
                <w:kern w:val="0"/>
                <w:sz w:val="21"/>
                <w:szCs w:val="21"/>
              </w:rPr>
              <w:t>/（m</w:t>
            </w:r>
            <w:r>
              <w:rPr>
                <w:rFonts w:hint="eastAsia"/>
                <w:spacing w:val="4"/>
                <w:kern w:val="0"/>
                <w:sz w:val="21"/>
                <w:szCs w:val="21"/>
              </w:rPr>
              <w:t>·</w:t>
            </w:r>
            <w:r>
              <w:rPr>
                <w:spacing w:val="4"/>
                <w:kern w:val="0"/>
                <w:sz w:val="21"/>
                <w:szCs w:val="21"/>
              </w:rPr>
              <w:t>a）</w:t>
            </w:r>
          </w:p>
        </w:tc>
      </w:tr>
      <w:tr w14:paraId="6241F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06E6A685">
            <w:pPr>
              <w:kinsoku w:val="0"/>
              <w:overflowPunct w:val="0"/>
              <w:autoSpaceDE w:val="0"/>
              <w:autoSpaceDN w:val="0"/>
              <w:adjustRightInd w:val="0"/>
              <w:snapToGrid w:val="0"/>
              <w:spacing w:line="240" w:lineRule="auto"/>
              <w:ind w:firstLine="0" w:firstLineChars="0"/>
              <w:jc w:val="center"/>
              <w:rPr>
                <w:kern w:val="0"/>
                <w:sz w:val="21"/>
                <w:szCs w:val="21"/>
              </w:rPr>
            </w:pPr>
            <w:r>
              <w:rPr>
                <w:spacing w:val="3"/>
                <w:kern w:val="0"/>
                <w:sz w:val="21"/>
                <w:szCs w:val="21"/>
              </w:rPr>
              <w:t xml:space="preserve">内径＞150mm </w:t>
            </w:r>
            <w:r>
              <w:rPr>
                <w:spacing w:val="5"/>
                <w:kern w:val="0"/>
                <w:sz w:val="21"/>
                <w:szCs w:val="21"/>
              </w:rPr>
              <w:t>的管道</w:t>
            </w:r>
          </w:p>
        </w:tc>
        <w:tc>
          <w:tcPr>
            <w:tcW w:w="2366" w:type="pct"/>
            <w:shd w:val="clear" w:color="auto" w:fill="auto"/>
            <w:tcMar>
              <w:left w:w="0" w:type="dxa"/>
              <w:right w:w="0" w:type="dxa"/>
            </w:tcMar>
            <w:vAlign w:val="center"/>
          </w:tcPr>
          <w:p w14:paraId="2F4EC82B">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泄漏孔径为</w:t>
            </w:r>
            <w:r>
              <w:rPr>
                <w:spacing w:val="5"/>
                <w:kern w:val="0"/>
                <w:sz w:val="21"/>
                <w:szCs w:val="21"/>
              </w:rPr>
              <w:t>10%孔径（最大</w:t>
            </w:r>
            <w:r>
              <w:rPr>
                <w:spacing w:val="1"/>
                <w:kern w:val="0"/>
                <w:sz w:val="21"/>
                <w:szCs w:val="21"/>
              </w:rPr>
              <w:t>50mm）</w:t>
            </w:r>
          </w:p>
        </w:tc>
        <w:tc>
          <w:tcPr>
            <w:tcW w:w="982" w:type="pct"/>
            <w:shd w:val="clear" w:color="auto" w:fill="auto"/>
            <w:tcMar>
              <w:left w:w="0" w:type="dxa"/>
              <w:right w:w="0" w:type="dxa"/>
            </w:tcMar>
            <w:vAlign w:val="center"/>
          </w:tcPr>
          <w:p w14:paraId="3F927E15">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2.40×10</w:t>
            </w:r>
            <w:r>
              <w:rPr>
                <w:spacing w:val="2"/>
                <w:kern w:val="0"/>
                <w:position w:val="8"/>
                <w:sz w:val="21"/>
                <w:szCs w:val="21"/>
                <w:vertAlign w:val="superscript"/>
              </w:rPr>
              <w:t>-6</w:t>
            </w:r>
            <w:r>
              <w:rPr>
                <w:spacing w:val="4"/>
                <w:kern w:val="0"/>
                <w:sz w:val="21"/>
                <w:szCs w:val="21"/>
              </w:rPr>
              <w:t>/（m</w:t>
            </w:r>
            <w:r>
              <w:rPr>
                <w:rFonts w:hint="eastAsia"/>
                <w:spacing w:val="4"/>
                <w:kern w:val="0"/>
                <w:sz w:val="21"/>
                <w:szCs w:val="21"/>
              </w:rPr>
              <w:t>·</w:t>
            </w:r>
            <w:r>
              <w:rPr>
                <w:spacing w:val="4"/>
                <w:kern w:val="0"/>
                <w:sz w:val="21"/>
                <w:szCs w:val="21"/>
              </w:rPr>
              <w:t>a）</w:t>
            </w:r>
          </w:p>
        </w:tc>
      </w:tr>
      <w:tr w14:paraId="293B1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615FB583">
            <w:pPr>
              <w:kinsoku w:val="0"/>
              <w:overflowPunct w:val="0"/>
              <w:autoSpaceDE w:val="0"/>
              <w:autoSpaceDN w:val="0"/>
              <w:adjustRightInd w:val="0"/>
              <w:snapToGrid w:val="0"/>
              <w:spacing w:line="240" w:lineRule="auto"/>
              <w:ind w:firstLine="0" w:firstLineChars="0"/>
              <w:jc w:val="center"/>
              <w:rPr>
                <w:spacing w:val="3"/>
                <w:kern w:val="0"/>
                <w:sz w:val="21"/>
                <w:szCs w:val="21"/>
              </w:rPr>
            </w:pPr>
          </w:p>
        </w:tc>
        <w:tc>
          <w:tcPr>
            <w:tcW w:w="2366" w:type="pct"/>
            <w:shd w:val="clear" w:color="auto" w:fill="auto"/>
            <w:tcMar>
              <w:left w:w="0" w:type="dxa"/>
              <w:right w:w="0" w:type="dxa"/>
            </w:tcMar>
            <w:vAlign w:val="center"/>
          </w:tcPr>
          <w:p w14:paraId="680D49DA">
            <w:pPr>
              <w:kinsoku w:val="0"/>
              <w:overflowPunct w:val="0"/>
              <w:autoSpaceDE w:val="0"/>
              <w:autoSpaceDN w:val="0"/>
              <w:adjustRightInd w:val="0"/>
              <w:snapToGrid w:val="0"/>
              <w:spacing w:line="240" w:lineRule="auto"/>
              <w:ind w:firstLine="0" w:firstLineChars="0"/>
              <w:jc w:val="center"/>
              <w:rPr>
                <w:spacing w:val="6"/>
                <w:kern w:val="0"/>
                <w:sz w:val="21"/>
                <w:szCs w:val="21"/>
              </w:rPr>
            </w:pPr>
            <w:r>
              <w:rPr>
                <w:spacing w:val="7"/>
                <w:kern w:val="0"/>
                <w:sz w:val="21"/>
                <w:szCs w:val="21"/>
              </w:rPr>
              <w:t>全</w:t>
            </w:r>
            <w:r>
              <w:rPr>
                <w:spacing w:val="8"/>
                <w:kern w:val="0"/>
                <w:sz w:val="21"/>
                <w:szCs w:val="21"/>
              </w:rPr>
              <w:t>管径</w:t>
            </w:r>
            <w:r>
              <w:rPr>
                <w:spacing w:val="7"/>
                <w:kern w:val="0"/>
                <w:sz w:val="21"/>
                <w:szCs w:val="21"/>
              </w:rPr>
              <w:t>泄</w:t>
            </w:r>
            <w:r>
              <w:rPr>
                <w:kern w:val="0"/>
                <w:sz w:val="21"/>
                <w:szCs w:val="21"/>
              </w:rPr>
              <w:t>漏</w:t>
            </w:r>
          </w:p>
        </w:tc>
        <w:tc>
          <w:tcPr>
            <w:tcW w:w="982" w:type="pct"/>
            <w:shd w:val="clear" w:color="auto" w:fill="auto"/>
            <w:tcMar>
              <w:left w:w="0" w:type="dxa"/>
              <w:right w:w="0" w:type="dxa"/>
            </w:tcMar>
            <w:vAlign w:val="center"/>
          </w:tcPr>
          <w:p w14:paraId="75D0FC0B">
            <w:pPr>
              <w:kinsoku w:val="0"/>
              <w:overflowPunct w:val="0"/>
              <w:autoSpaceDE w:val="0"/>
              <w:autoSpaceDN w:val="0"/>
              <w:adjustRightInd w:val="0"/>
              <w:snapToGrid w:val="0"/>
              <w:spacing w:line="240" w:lineRule="auto"/>
              <w:ind w:firstLine="0" w:firstLineChars="0"/>
              <w:jc w:val="center"/>
              <w:rPr>
                <w:spacing w:val="2"/>
                <w:kern w:val="0"/>
                <w:sz w:val="21"/>
                <w:szCs w:val="21"/>
              </w:rPr>
            </w:pPr>
            <w:r>
              <w:rPr>
                <w:spacing w:val="2"/>
                <w:kern w:val="0"/>
                <w:sz w:val="21"/>
                <w:szCs w:val="21"/>
              </w:rPr>
              <w:t>1.00×10</w:t>
            </w:r>
            <w:r>
              <w:rPr>
                <w:spacing w:val="2"/>
                <w:kern w:val="0"/>
                <w:position w:val="8"/>
                <w:sz w:val="21"/>
                <w:szCs w:val="21"/>
                <w:vertAlign w:val="superscript"/>
              </w:rPr>
              <w:t>-7</w:t>
            </w:r>
            <w:r>
              <w:rPr>
                <w:spacing w:val="4"/>
                <w:kern w:val="0"/>
                <w:sz w:val="21"/>
                <w:szCs w:val="21"/>
              </w:rPr>
              <w:t>/（m</w:t>
            </w:r>
            <w:r>
              <w:rPr>
                <w:rFonts w:hint="eastAsia"/>
                <w:spacing w:val="4"/>
                <w:kern w:val="0"/>
                <w:sz w:val="21"/>
                <w:szCs w:val="21"/>
              </w:rPr>
              <w:t>·</w:t>
            </w:r>
            <w:r>
              <w:rPr>
                <w:spacing w:val="4"/>
                <w:kern w:val="0"/>
                <w:sz w:val="21"/>
                <w:szCs w:val="21"/>
              </w:rPr>
              <w:t>a）</w:t>
            </w:r>
          </w:p>
        </w:tc>
      </w:tr>
      <w:tr w14:paraId="19511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445BC9A5">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泵体和压缩机</w:t>
            </w:r>
          </w:p>
        </w:tc>
        <w:tc>
          <w:tcPr>
            <w:tcW w:w="2366" w:type="pct"/>
            <w:shd w:val="clear" w:color="auto" w:fill="auto"/>
            <w:tcMar>
              <w:left w:w="0" w:type="dxa"/>
              <w:right w:w="0" w:type="dxa"/>
            </w:tcMar>
            <w:vAlign w:val="center"/>
          </w:tcPr>
          <w:p w14:paraId="2104E223">
            <w:pPr>
              <w:kinsoku w:val="0"/>
              <w:overflowPunct w:val="0"/>
              <w:autoSpaceDE w:val="0"/>
              <w:autoSpaceDN w:val="0"/>
              <w:adjustRightInd w:val="0"/>
              <w:snapToGrid w:val="0"/>
              <w:spacing w:line="240" w:lineRule="auto"/>
              <w:ind w:firstLine="0" w:firstLineChars="0"/>
              <w:jc w:val="center"/>
              <w:rPr>
                <w:kern w:val="0"/>
                <w:sz w:val="21"/>
                <w:szCs w:val="21"/>
              </w:rPr>
            </w:pPr>
            <w:r>
              <w:rPr>
                <w:spacing w:val="31"/>
                <w:kern w:val="0"/>
                <w:sz w:val="21"/>
                <w:szCs w:val="21"/>
              </w:rPr>
              <w:t>泵体</w:t>
            </w:r>
            <w:r>
              <w:rPr>
                <w:kern w:val="0"/>
                <w:sz w:val="21"/>
                <w:szCs w:val="21"/>
              </w:rPr>
              <w:t>和</w:t>
            </w:r>
            <w:r>
              <w:rPr>
                <w:spacing w:val="-58"/>
                <w:kern w:val="0"/>
                <w:sz w:val="21"/>
                <w:szCs w:val="21"/>
              </w:rPr>
              <w:t xml:space="preserve"> </w:t>
            </w:r>
            <w:r>
              <w:rPr>
                <w:spacing w:val="15"/>
                <w:kern w:val="0"/>
                <w:sz w:val="21"/>
                <w:szCs w:val="21"/>
              </w:rPr>
              <w:t>压缩</w:t>
            </w:r>
            <w:r>
              <w:rPr>
                <w:spacing w:val="-58"/>
                <w:kern w:val="0"/>
                <w:sz w:val="21"/>
                <w:szCs w:val="21"/>
              </w:rPr>
              <w:t xml:space="preserve"> </w:t>
            </w:r>
            <w:r>
              <w:rPr>
                <w:spacing w:val="31"/>
                <w:kern w:val="0"/>
                <w:sz w:val="21"/>
                <w:szCs w:val="21"/>
              </w:rPr>
              <w:t>机最</w:t>
            </w:r>
            <w:r>
              <w:rPr>
                <w:kern w:val="0"/>
                <w:sz w:val="21"/>
                <w:szCs w:val="21"/>
              </w:rPr>
              <w:t>大</w:t>
            </w:r>
            <w:r>
              <w:rPr>
                <w:spacing w:val="-58"/>
                <w:kern w:val="0"/>
                <w:sz w:val="21"/>
                <w:szCs w:val="21"/>
              </w:rPr>
              <w:t xml:space="preserve"> </w:t>
            </w:r>
            <w:r>
              <w:rPr>
                <w:spacing w:val="15"/>
                <w:kern w:val="0"/>
                <w:sz w:val="21"/>
                <w:szCs w:val="21"/>
              </w:rPr>
              <w:t>连接</w:t>
            </w:r>
            <w:r>
              <w:rPr>
                <w:spacing w:val="-58"/>
                <w:kern w:val="0"/>
                <w:sz w:val="21"/>
                <w:szCs w:val="21"/>
              </w:rPr>
              <w:t xml:space="preserve"> </w:t>
            </w:r>
            <w:r>
              <w:rPr>
                <w:spacing w:val="31"/>
                <w:kern w:val="0"/>
                <w:sz w:val="21"/>
                <w:szCs w:val="21"/>
              </w:rPr>
              <w:t>管泄</w:t>
            </w:r>
            <w:r>
              <w:rPr>
                <w:kern w:val="0"/>
                <w:sz w:val="21"/>
                <w:szCs w:val="21"/>
              </w:rPr>
              <w:t>漏</w:t>
            </w:r>
            <w:r>
              <w:rPr>
                <w:spacing w:val="-58"/>
                <w:kern w:val="0"/>
                <w:sz w:val="21"/>
                <w:szCs w:val="21"/>
              </w:rPr>
              <w:t xml:space="preserve"> </w:t>
            </w:r>
            <w:r>
              <w:rPr>
                <w:spacing w:val="15"/>
                <w:kern w:val="0"/>
                <w:sz w:val="21"/>
                <w:szCs w:val="21"/>
              </w:rPr>
              <w:t>孔径</w:t>
            </w:r>
            <w:r>
              <w:rPr>
                <w:spacing w:val="-58"/>
                <w:kern w:val="0"/>
                <w:sz w:val="21"/>
                <w:szCs w:val="21"/>
              </w:rPr>
              <w:t xml:space="preserve"> </w:t>
            </w:r>
            <w:r>
              <w:rPr>
                <w:kern w:val="0"/>
                <w:sz w:val="21"/>
                <w:szCs w:val="21"/>
              </w:rPr>
              <w:t>为</w:t>
            </w:r>
            <w:r>
              <w:rPr>
                <w:spacing w:val="5"/>
                <w:kern w:val="0"/>
                <w:sz w:val="21"/>
                <w:szCs w:val="21"/>
              </w:rPr>
              <w:t>10%</w:t>
            </w:r>
          </w:p>
        </w:tc>
        <w:tc>
          <w:tcPr>
            <w:tcW w:w="982" w:type="pct"/>
            <w:shd w:val="clear" w:color="auto" w:fill="auto"/>
            <w:tcMar>
              <w:left w:w="0" w:type="dxa"/>
              <w:right w:w="0" w:type="dxa"/>
            </w:tcMar>
            <w:vAlign w:val="center"/>
          </w:tcPr>
          <w:p w14:paraId="4F09D643">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5.00×10</w:t>
            </w:r>
            <w:r>
              <w:rPr>
                <w:spacing w:val="2"/>
                <w:kern w:val="0"/>
                <w:position w:val="8"/>
                <w:sz w:val="21"/>
                <w:szCs w:val="21"/>
                <w:vertAlign w:val="superscript"/>
              </w:rPr>
              <w:t>-4</w:t>
            </w:r>
            <w:r>
              <w:rPr>
                <w:spacing w:val="4"/>
                <w:kern w:val="0"/>
                <w:sz w:val="21"/>
                <w:szCs w:val="21"/>
              </w:rPr>
              <w:t>/a</w:t>
            </w:r>
          </w:p>
        </w:tc>
      </w:tr>
      <w:tr w14:paraId="73EAF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04871C0A">
            <w:pPr>
              <w:kinsoku w:val="0"/>
              <w:overflowPunct w:val="0"/>
              <w:autoSpaceDE w:val="0"/>
              <w:autoSpaceDN w:val="0"/>
              <w:adjustRightInd w:val="0"/>
              <w:snapToGrid w:val="0"/>
              <w:spacing w:line="240" w:lineRule="auto"/>
              <w:ind w:firstLine="0" w:firstLineChars="0"/>
              <w:jc w:val="center"/>
              <w:rPr>
                <w:spacing w:val="3"/>
                <w:kern w:val="0"/>
                <w:sz w:val="21"/>
                <w:szCs w:val="21"/>
              </w:rPr>
            </w:pPr>
          </w:p>
        </w:tc>
        <w:tc>
          <w:tcPr>
            <w:tcW w:w="2366" w:type="pct"/>
            <w:shd w:val="clear" w:color="auto" w:fill="auto"/>
            <w:tcMar>
              <w:left w:w="0" w:type="dxa"/>
              <w:right w:w="0" w:type="dxa"/>
            </w:tcMar>
            <w:vAlign w:val="center"/>
          </w:tcPr>
          <w:p w14:paraId="58797551">
            <w:pPr>
              <w:kinsoku w:val="0"/>
              <w:overflowPunct w:val="0"/>
              <w:autoSpaceDE w:val="0"/>
              <w:autoSpaceDN w:val="0"/>
              <w:adjustRightInd w:val="0"/>
              <w:snapToGrid w:val="0"/>
              <w:spacing w:line="240" w:lineRule="auto"/>
              <w:ind w:firstLine="0" w:firstLineChars="0"/>
              <w:jc w:val="center"/>
              <w:rPr>
                <w:spacing w:val="7"/>
                <w:kern w:val="0"/>
                <w:sz w:val="21"/>
                <w:szCs w:val="21"/>
              </w:rPr>
            </w:pPr>
            <w:r>
              <w:rPr>
                <w:spacing w:val="7"/>
                <w:kern w:val="0"/>
                <w:sz w:val="21"/>
                <w:szCs w:val="21"/>
              </w:rPr>
              <w:t>泵体和压缩机最大连接管全管径泄漏</w:t>
            </w:r>
          </w:p>
        </w:tc>
        <w:tc>
          <w:tcPr>
            <w:tcW w:w="982" w:type="pct"/>
            <w:shd w:val="clear" w:color="auto" w:fill="auto"/>
            <w:tcMar>
              <w:left w:w="0" w:type="dxa"/>
              <w:right w:w="0" w:type="dxa"/>
            </w:tcMar>
            <w:vAlign w:val="center"/>
          </w:tcPr>
          <w:p w14:paraId="282398E3">
            <w:pPr>
              <w:kinsoku w:val="0"/>
              <w:overflowPunct w:val="0"/>
              <w:autoSpaceDE w:val="0"/>
              <w:autoSpaceDN w:val="0"/>
              <w:adjustRightInd w:val="0"/>
              <w:snapToGrid w:val="0"/>
              <w:spacing w:line="240" w:lineRule="auto"/>
              <w:ind w:firstLine="0" w:firstLineChars="0"/>
              <w:jc w:val="center"/>
              <w:rPr>
                <w:spacing w:val="2"/>
                <w:kern w:val="0"/>
                <w:sz w:val="21"/>
                <w:szCs w:val="21"/>
              </w:rPr>
            </w:pPr>
            <w:r>
              <w:rPr>
                <w:spacing w:val="2"/>
                <w:kern w:val="0"/>
                <w:sz w:val="21"/>
                <w:szCs w:val="21"/>
              </w:rPr>
              <w:t>1.00×10</w:t>
            </w:r>
            <w:r>
              <w:rPr>
                <w:spacing w:val="2"/>
                <w:kern w:val="0"/>
                <w:position w:val="8"/>
                <w:sz w:val="21"/>
                <w:szCs w:val="21"/>
                <w:vertAlign w:val="superscript"/>
              </w:rPr>
              <w:t>-4</w:t>
            </w:r>
            <w:r>
              <w:rPr>
                <w:spacing w:val="4"/>
                <w:kern w:val="0"/>
                <w:sz w:val="21"/>
                <w:szCs w:val="21"/>
              </w:rPr>
              <w:t>/a</w:t>
            </w:r>
          </w:p>
        </w:tc>
      </w:tr>
      <w:tr w14:paraId="7315A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5BE105DA">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装</w:t>
            </w:r>
            <w:r>
              <w:rPr>
                <w:spacing w:val="8"/>
                <w:kern w:val="0"/>
                <w:sz w:val="21"/>
                <w:szCs w:val="21"/>
              </w:rPr>
              <w:t>卸</w:t>
            </w:r>
            <w:r>
              <w:rPr>
                <w:kern w:val="0"/>
                <w:sz w:val="21"/>
                <w:szCs w:val="21"/>
              </w:rPr>
              <w:t>臂</w:t>
            </w:r>
          </w:p>
        </w:tc>
        <w:tc>
          <w:tcPr>
            <w:tcW w:w="2366" w:type="pct"/>
            <w:shd w:val="clear" w:color="auto" w:fill="auto"/>
            <w:tcMar>
              <w:left w:w="0" w:type="dxa"/>
              <w:right w:w="0" w:type="dxa"/>
            </w:tcMar>
            <w:vAlign w:val="center"/>
          </w:tcPr>
          <w:p w14:paraId="583B37C9">
            <w:pPr>
              <w:kinsoku w:val="0"/>
              <w:overflowPunct w:val="0"/>
              <w:autoSpaceDE w:val="0"/>
              <w:autoSpaceDN w:val="0"/>
              <w:adjustRightInd w:val="0"/>
              <w:snapToGrid w:val="0"/>
              <w:spacing w:line="240" w:lineRule="auto"/>
              <w:ind w:firstLine="0" w:firstLineChars="0"/>
              <w:jc w:val="center"/>
              <w:rPr>
                <w:kern w:val="0"/>
                <w:sz w:val="21"/>
                <w:szCs w:val="21"/>
              </w:rPr>
            </w:pPr>
            <w:r>
              <w:rPr>
                <w:spacing w:val="6"/>
                <w:kern w:val="0"/>
                <w:sz w:val="21"/>
                <w:szCs w:val="21"/>
              </w:rPr>
              <w:t>装卸臂连接管泄漏孔径</w:t>
            </w:r>
            <w:r>
              <w:rPr>
                <w:spacing w:val="-35"/>
                <w:kern w:val="0"/>
                <w:sz w:val="21"/>
                <w:szCs w:val="21"/>
              </w:rPr>
              <w:t xml:space="preserve"> </w:t>
            </w:r>
            <w:r>
              <w:rPr>
                <w:spacing w:val="3"/>
                <w:kern w:val="0"/>
                <w:sz w:val="21"/>
                <w:szCs w:val="21"/>
              </w:rPr>
              <w:t>1</w:t>
            </w:r>
            <w:r>
              <w:rPr>
                <w:spacing w:val="4"/>
                <w:kern w:val="0"/>
                <w:sz w:val="21"/>
                <w:szCs w:val="21"/>
              </w:rPr>
              <w:t>0</w:t>
            </w:r>
            <w:r>
              <w:rPr>
                <w:spacing w:val="3"/>
                <w:kern w:val="0"/>
                <w:sz w:val="21"/>
                <w:szCs w:val="21"/>
              </w:rPr>
              <w:t>%</w:t>
            </w:r>
            <w:r>
              <w:rPr>
                <w:spacing w:val="8"/>
                <w:kern w:val="0"/>
                <w:sz w:val="21"/>
                <w:szCs w:val="21"/>
              </w:rPr>
              <w:t>孔</w:t>
            </w:r>
            <w:r>
              <w:rPr>
                <w:spacing w:val="-27"/>
                <w:kern w:val="0"/>
                <w:sz w:val="21"/>
                <w:szCs w:val="21"/>
              </w:rPr>
              <w:t>径</w:t>
            </w:r>
            <w:r>
              <w:rPr>
                <w:spacing w:val="8"/>
                <w:kern w:val="0"/>
                <w:sz w:val="21"/>
                <w:szCs w:val="21"/>
              </w:rPr>
              <w:t>（</w:t>
            </w:r>
            <w:r>
              <w:rPr>
                <w:spacing w:val="7"/>
                <w:kern w:val="0"/>
                <w:sz w:val="21"/>
                <w:szCs w:val="21"/>
              </w:rPr>
              <w:t>最</w:t>
            </w:r>
            <w:r>
              <w:rPr>
                <w:kern w:val="0"/>
                <w:sz w:val="21"/>
                <w:szCs w:val="21"/>
              </w:rPr>
              <w:t>大</w:t>
            </w:r>
            <w:r>
              <w:rPr>
                <w:spacing w:val="1"/>
                <w:kern w:val="0"/>
                <w:sz w:val="21"/>
                <w:szCs w:val="21"/>
              </w:rPr>
              <w:t>50mm）</w:t>
            </w:r>
          </w:p>
        </w:tc>
        <w:tc>
          <w:tcPr>
            <w:tcW w:w="982" w:type="pct"/>
            <w:shd w:val="clear" w:color="auto" w:fill="auto"/>
            <w:tcMar>
              <w:left w:w="0" w:type="dxa"/>
              <w:right w:w="0" w:type="dxa"/>
            </w:tcMar>
            <w:vAlign w:val="center"/>
          </w:tcPr>
          <w:p w14:paraId="32371836">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3.00×10</w:t>
            </w:r>
            <w:r>
              <w:rPr>
                <w:spacing w:val="2"/>
                <w:kern w:val="0"/>
                <w:position w:val="8"/>
                <w:sz w:val="21"/>
                <w:szCs w:val="21"/>
                <w:vertAlign w:val="superscript"/>
              </w:rPr>
              <w:t>-7</w:t>
            </w:r>
            <w:r>
              <w:rPr>
                <w:spacing w:val="5"/>
                <w:kern w:val="0"/>
                <w:sz w:val="21"/>
                <w:szCs w:val="21"/>
              </w:rPr>
              <w:t>/h</w:t>
            </w:r>
          </w:p>
        </w:tc>
      </w:tr>
      <w:tr w14:paraId="5C4EE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313FBBAC">
            <w:pPr>
              <w:kinsoku w:val="0"/>
              <w:overflowPunct w:val="0"/>
              <w:autoSpaceDE w:val="0"/>
              <w:autoSpaceDN w:val="0"/>
              <w:adjustRightInd w:val="0"/>
              <w:snapToGrid w:val="0"/>
              <w:spacing w:line="240" w:lineRule="auto"/>
              <w:ind w:firstLine="0" w:firstLineChars="0"/>
              <w:jc w:val="center"/>
              <w:rPr>
                <w:spacing w:val="3"/>
                <w:kern w:val="0"/>
                <w:sz w:val="21"/>
                <w:szCs w:val="21"/>
              </w:rPr>
            </w:pPr>
          </w:p>
        </w:tc>
        <w:tc>
          <w:tcPr>
            <w:tcW w:w="2366" w:type="pct"/>
            <w:shd w:val="clear" w:color="auto" w:fill="auto"/>
            <w:tcMar>
              <w:left w:w="0" w:type="dxa"/>
              <w:right w:w="0" w:type="dxa"/>
            </w:tcMar>
            <w:vAlign w:val="center"/>
          </w:tcPr>
          <w:p w14:paraId="701A7A9D">
            <w:pPr>
              <w:kinsoku w:val="0"/>
              <w:overflowPunct w:val="0"/>
              <w:autoSpaceDE w:val="0"/>
              <w:autoSpaceDN w:val="0"/>
              <w:adjustRightInd w:val="0"/>
              <w:snapToGrid w:val="0"/>
              <w:spacing w:line="240" w:lineRule="auto"/>
              <w:ind w:firstLine="0" w:firstLineChars="0"/>
              <w:jc w:val="center"/>
              <w:rPr>
                <w:spacing w:val="7"/>
                <w:kern w:val="0"/>
                <w:sz w:val="21"/>
                <w:szCs w:val="21"/>
              </w:rPr>
            </w:pPr>
            <w:r>
              <w:rPr>
                <w:spacing w:val="6"/>
                <w:kern w:val="0"/>
                <w:sz w:val="21"/>
                <w:szCs w:val="21"/>
              </w:rPr>
              <w:t>装卸臂全管径泄漏</w:t>
            </w:r>
          </w:p>
        </w:tc>
        <w:tc>
          <w:tcPr>
            <w:tcW w:w="982" w:type="pct"/>
            <w:shd w:val="clear" w:color="auto" w:fill="auto"/>
            <w:tcMar>
              <w:left w:w="0" w:type="dxa"/>
              <w:right w:w="0" w:type="dxa"/>
            </w:tcMar>
            <w:vAlign w:val="center"/>
          </w:tcPr>
          <w:p w14:paraId="7CD3CC0C">
            <w:pPr>
              <w:kinsoku w:val="0"/>
              <w:overflowPunct w:val="0"/>
              <w:autoSpaceDE w:val="0"/>
              <w:autoSpaceDN w:val="0"/>
              <w:adjustRightInd w:val="0"/>
              <w:snapToGrid w:val="0"/>
              <w:spacing w:line="240" w:lineRule="auto"/>
              <w:ind w:firstLine="0" w:firstLineChars="0"/>
              <w:jc w:val="center"/>
              <w:rPr>
                <w:spacing w:val="2"/>
                <w:kern w:val="0"/>
                <w:sz w:val="21"/>
                <w:szCs w:val="21"/>
              </w:rPr>
            </w:pPr>
            <w:r>
              <w:rPr>
                <w:spacing w:val="2"/>
                <w:kern w:val="0"/>
                <w:sz w:val="21"/>
                <w:szCs w:val="21"/>
              </w:rPr>
              <w:t>3.00×10</w:t>
            </w:r>
            <w:r>
              <w:rPr>
                <w:spacing w:val="2"/>
                <w:kern w:val="0"/>
                <w:position w:val="8"/>
                <w:sz w:val="21"/>
                <w:szCs w:val="21"/>
                <w:vertAlign w:val="superscript"/>
              </w:rPr>
              <w:t>-8</w:t>
            </w:r>
            <w:r>
              <w:rPr>
                <w:spacing w:val="5"/>
                <w:kern w:val="0"/>
                <w:sz w:val="21"/>
                <w:szCs w:val="21"/>
              </w:rPr>
              <w:t>/h</w:t>
            </w:r>
          </w:p>
        </w:tc>
      </w:tr>
      <w:tr w14:paraId="53812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restart"/>
            <w:shd w:val="clear" w:color="auto" w:fill="auto"/>
            <w:tcMar>
              <w:left w:w="0" w:type="dxa"/>
              <w:right w:w="0" w:type="dxa"/>
            </w:tcMar>
            <w:vAlign w:val="center"/>
          </w:tcPr>
          <w:p w14:paraId="0F08E1F5">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装卸软管</w:t>
            </w:r>
          </w:p>
        </w:tc>
        <w:tc>
          <w:tcPr>
            <w:tcW w:w="2366" w:type="pct"/>
            <w:shd w:val="clear" w:color="auto" w:fill="auto"/>
            <w:tcMar>
              <w:left w:w="0" w:type="dxa"/>
              <w:right w:w="0" w:type="dxa"/>
            </w:tcMar>
            <w:vAlign w:val="center"/>
          </w:tcPr>
          <w:p w14:paraId="2E20D13D">
            <w:pPr>
              <w:kinsoku w:val="0"/>
              <w:overflowPunct w:val="0"/>
              <w:autoSpaceDE w:val="0"/>
              <w:autoSpaceDN w:val="0"/>
              <w:adjustRightInd w:val="0"/>
              <w:snapToGrid w:val="0"/>
              <w:spacing w:line="240" w:lineRule="auto"/>
              <w:ind w:firstLine="0" w:firstLineChars="0"/>
              <w:jc w:val="center"/>
              <w:rPr>
                <w:kern w:val="0"/>
                <w:sz w:val="21"/>
                <w:szCs w:val="21"/>
              </w:rPr>
            </w:pPr>
            <w:r>
              <w:rPr>
                <w:spacing w:val="7"/>
                <w:kern w:val="0"/>
                <w:sz w:val="21"/>
                <w:szCs w:val="21"/>
              </w:rPr>
              <w:t>装卸软管连接管泄漏孔径</w:t>
            </w:r>
            <w:r>
              <w:rPr>
                <w:spacing w:val="3"/>
                <w:kern w:val="0"/>
                <w:sz w:val="21"/>
                <w:szCs w:val="21"/>
              </w:rPr>
              <w:t>10</w:t>
            </w:r>
            <w:r>
              <w:rPr>
                <w:spacing w:val="4"/>
                <w:kern w:val="0"/>
                <w:sz w:val="21"/>
                <w:szCs w:val="21"/>
              </w:rPr>
              <w:t>%</w:t>
            </w:r>
            <w:r>
              <w:rPr>
                <w:spacing w:val="7"/>
                <w:kern w:val="0"/>
                <w:sz w:val="21"/>
                <w:szCs w:val="21"/>
              </w:rPr>
              <w:t>孔</w:t>
            </w:r>
            <w:r>
              <w:rPr>
                <w:spacing w:val="-26"/>
                <w:kern w:val="0"/>
                <w:sz w:val="21"/>
                <w:szCs w:val="21"/>
              </w:rPr>
              <w:t>径</w:t>
            </w:r>
            <w:r>
              <w:rPr>
                <w:spacing w:val="7"/>
                <w:kern w:val="0"/>
                <w:sz w:val="21"/>
                <w:szCs w:val="21"/>
              </w:rPr>
              <w:t>（最</w:t>
            </w:r>
            <w:r>
              <w:rPr>
                <w:kern w:val="0"/>
                <w:sz w:val="21"/>
                <w:szCs w:val="21"/>
              </w:rPr>
              <w:t>大</w:t>
            </w:r>
            <w:r>
              <w:rPr>
                <w:spacing w:val="-39"/>
                <w:kern w:val="0"/>
                <w:sz w:val="21"/>
                <w:szCs w:val="21"/>
              </w:rPr>
              <w:t xml:space="preserve"> </w:t>
            </w:r>
            <w:r>
              <w:rPr>
                <w:spacing w:val="2"/>
                <w:kern w:val="0"/>
                <w:sz w:val="21"/>
                <w:szCs w:val="21"/>
              </w:rPr>
              <w:t>50mm）</w:t>
            </w:r>
          </w:p>
        </w:tc>
        <w:tc>
          <w:tcPr>
            <w:tcW w:w="982" w:type="pct"/>
            <w:shd w:val="clear" w:color="auto" w:fill="auto"/>
            <w:tcMar>
              <w:left w:w="0" w:type="dxa"/>
              <w:right w:w="0" w:type="dxa"/>
            </w:tcMar>
            <w:vAlign w:val="center"/>
          </w:tcPr>
          <w:p w14:paraId="1D47B8CE">
            <w:pPr>
              <w:kinsoku w:val="0"/>
              <w:overflowPunct w:val="0"/>
              <w:autoSpaceDE w:val="0"/>
              <w:autoSpaceDN w:val="0"/>
              <w:adjustRightInd w:val="0"/>
              <w:snapToGrid w:val="0"/>
              <w:spacing w:line="240" w:lineRule="auto"/>
              <w:ind w:firstLine="0" w:firstLineChars="0"/>
              <w:jc w:val="center"/>
              <w:rPr>
                <w:kern w:val="0"/>
                <w:sz w:val="21"/>
                <w:szCs w:val="21"/>
              </w:rPr>
            </w:pPr>
            <w:r>
              <w:rPr>
                <w:spacing w:val="2"/>
                <w:kern w:val="0"/>
                <w:sz w:val="21"/>
                <w:szCs w:val="21"/>
              </w:rPr>
              <w:t>4.00×10</w:t>
            </w:r>
            <w:r>
              <w:rPr>
                <w:spacing w:val="2"/>
                <w:kern w:val="0"/>
                <w:position w:val="8"/>
                <w:sz w:val="21"/>
                <w:szCs w:val="21"/>
                <w:vertAlign w:val="superscript"/>
              </w:rPr>
              <w:t>-5</w:t>
            </w:r>
            <w:r>
              <w:rPr>
                <w:spacing w:val="5"/>
                <w:kern w:val="0"/>
                <w:sz w:val="21"/>
                <w:szCs w:val="21"/>
              </w:rPr>
              <w:t>/h</w:t>
            </w:r>
          </w:p>
        </w:tc>
      </w:tr>
      <w:tr w14:paraId="6131D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1652" w:type="pct"/>
            <w:vMerge w:val="continue"/>
            <w:shd w:val="clear" w:color="auto" w:fill="auto"/>
            <w:tcMar>
              <w:left w:w="0" w:type="dxa"/>
              <w:right w:w="0" w:type="dxa"/>
            </w:tcMar>
            <w:vAlign w:val="center"/>
          </w:tcPr>
          <w:p w14:paraId="6B150FF2">
            <w:pPr>
              <w:kinsoku w:val="0"/>
              <w:overflowPunct w:val="0"/>
              <w:autoSpaceDE w:val="0"/>
              <w:autoSpaceDN w:val="0"/>
              <w:adjustRightInd w:val="0"/>
              <w:snapToGrid w:val="0"/>
              <w:spacing w:line="240" w:lineRule="auto"/>
              <w:ind w:firstLine="0" w:firstLineChars="0"/>
              <w:jc w:val="center"/>
              <w:rPr>
                <w:spacing w:val="3"/>
                <w:kern w:val="0"/>
                <w:sz w:val="21"/>
                <w:szCs w:val="21"/>
              </w:rPr>
            </w:pPr>
          </w:p>
        </w:tc>
        <w:tc>
          <w:tcPr>
            <w:tcW w:w="2366" w:type="pct"/>
            <w:shd w:val="clear" w:color="auto" w:fill="auto"/>
            <w:tcMar>
              <w:left w:w="0" w:type="dxa"/>
              <w:right w:w="0" w:type="dxa"/>
            </w:tcMar>
            <w:vAlign w:val="center"/>
          </w:tcPr>
          <w:p w14:paraId="2974179E">
            <w:pPr>
              <w:kinsoku w:val="0"/>
              <w:overflowPunct w:val="0"/>
              <w:autoSpaceDE w:val="0"/>
              <w:autoSpaceDN w:val="0"/>
              <w:adjustRightInd w:val="0"/>
              <w:snapToGrid w:val="0"/>
              <w:spacing w:line="240" w:lineRule="auto"/>
              <w:ind w:firstLine="0" w:firstLineChars="0"/>
              <w:jc w:val="center"/>
              <w:rPr>
                <w:spacing w:val="6"/>
                <w:kern w:val="0"/>
                <w:sz w:val="21"/>
                <w:szCs w:val="21"/>
              </w:rPr>
            </w:pPr>
            <w:r>
              <w:rPr>
                <w:spacing w:val="7"/>
                <w:kern w:val="0"/>
                <w:sz w:val="21"/>
                <w:szCs w:val="21"/>
              </w:rPr>
              <w:t>装卸软管全管径泄漏</w:t>
            </w:r>
          </w:p>
        </w:tc>
        <w:tc>
          <w:tcPr>
            <w:tcW w:w="982" w:type="pct"/>
            <w:shd w:val="clear" w:color="auto" w:fill="auto"/>
            <w:tcMar>
              <w:left w:w="0" w:type="dxa"/>
              <w:right w:w="0" w:type="dxa"/>
            </w:tcMar>
            <w:vAlign w:val="center"/>
          </w:tcPr>
          <w:p w14:paraId="34CC193A">
            <w:pPr>
              <w:kinsoku w:val="0"/>
              <w:overflowPunct w:val="0"/>
              <w:autoSpaceDE w:val="0"/>
              <w:autoSpaceDN w:val="0"/>
              <w:adjustRightInd w:val="0"/>
              <w:snapToGrid w:val="0"/>
              <w:spacing w:line="240" w:lineRule="auto"/>
              <w:ind w:firstLine="0" w:firstLineChars="0"/>
              <w:jc w:val="center"/>
              <w:rPr>
                <w:spacing w:val="2"/>
                <w:kern w:val="0"/>
                <w:sz w:val="21"/>
                <w:szCs w:val="21"/>
              </w:rPr>
            </w:pPr>
            <w:r>
              <w:rPr>
                <w:spacing w:val="2"/>
                <w:kern w:val="0"/>
                <w:sz w:val="21"/>
                <w:szCs w:val="21"/>
              </w:rPr>
              <w:t>4.00×10</w:t>
            </w:r>
            <w:r>
              <w:rPr>
                <w:spacing w:val="2"/>
                <w:kern w:val="0"/>
                <w:position w:val="8"/>
                <w:sz w:val="21"/>
                <w:szCs w:val="21"/>
                <w:vertAlign w:val="superscript"/>
              </w:rPr>
              <w:t>-6</w:t>
            </w:r>
            <w:r>
              <w:rPr>
                <w:spacing w:val="5"/>
                <w:kern w:val="0"/>
                <w:sz w:val="21"/>
                <w:szCs w:val="21"/>
              </w:rPr>
              <w:t>/h</w:t>
            </w:r>
          </w:p>
        </w:tc>
      </w:tr>
      <w:tr w14:paraId="30D72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13" w:hRule="atLeast"/>
        </w:trPr>
        <w:tc>
          <w:tcPr>
            <w:tcW w:w="5000" w:type="pct"/>
            <w:gridSpan w:val="3"/>
            <w:shd w:val="clear" w:color="auto" w:fill="auto"/>
            <w:tcMar>
              <w:left w:w="0" w:type="dxa"/>
              <w:right w:w="0" w:type="dxa"/>
            </w:tcMar>
            <w:vAlign w:val="center"/>
          </w:tcPr>
          <w:p w14:paraId="7E12FBCC">
            <w:pPr>
              <w:kinsoku w:val="0"/>
              <w:overflowPunct w:val="0"/>
              <w:autoSpaceDE w:val="0"/>
              <w:autoSpaceDN w:val="0"/>
              <w:adjustRightInd w:val="0"/>
              <w:snapToGrid w:val="0"/>
              <w:spacing w:line="240" w:lineRule="auto"/>
              <w:ind w:firstLine="0" w:firstLineChars="0"/>
              <w:rPr>
                <w:spacing w:val="2"/>
                <w:sz w:val="21"/>
                <w:szCs w:val="21"/>
              </w:rPr>
            </w:pPr>
            <w:r>
              <w:rPr>
                <w:spacing w:val="2"/>
                <w:sz w:val="21"/>
                <w:szCs w:val="21"/>
              </w:rPr>
              <w:t>注：以上数据来源于荷兰TNO紫皮书（Guidelines for Quantitative）以及Reference Manual Bevi Risk Assessments；</w:t>
            </w:r>
          </w:p>
          <w:p w14:paraId="1F4082CE">
            <w:pPr>
              <w:kinsoku w:val="0"/>
              <w:overflowPunct w:val="0"/>
              <w:autoSpaceDE w:val="0"/>
              <w:autoSpaceDN w:val="0"/>
              <w:adjustRightInd w:val="0"/>
              <w:snapToGrid w:val="0"/>
              <w:spacing w:line="240" w:lineRule="auto"/>
              <w:ind w:firstLine="0" w:firstLineChars="0"/>
              <w:rPr>
                <w:spacing w:val="2"/>
                <w:kern w:val="0"/>
                <w:sz w:val="21"/>
                <w:szCs w:val="21"/>
              </w:rPr>
            </w:pPr>
            <w:r>
              <w:rPr>
                <w:spacing w:val="2"/>
                <w:kern w:val="0"/>
                <w:sz w:val="21"/>
                <w:szCs w:val="21"/>
              </w:rPr>
              <w:t>*来源于国际油气协会（International Association of Oil &amp; Gas Producers）发布的Risk Assessment Data Directory（2010，3）。</w:t>
            </w:r>
          </w:p>
        </w:tc>
      </w:tr>
    </w:tbl>
    <w:p w14:paraId="72C86518">
      <w:pPr>
        <w:ind w:firstLine="480"/>
      </w:pPr>
      <w:r>
        <w:rPr>
          <w:rFonts w:hint="eastAsia"/>
        </w:rPr>
        <w:t>根据事故情形设定原则，储罐破裂泄漏是概率极低的重大事件，发生概率分别为1</w:t>
      </w:r>
      <w:r>
        <w:t>.25</w:t>
      </w:r>
      <w:r>
        <w:rPr>
          <w:rFonts w:hint="eastAsia"/>
        </w:rPr>
        <w:t>×1</w:t>
      </w:r>
      <w:r>
        <w:t>0</w:t>
      </w:r>
      <w:r>
        <w:rPr>
          <w:vertAlign w:val="superscript"/>
        </w:rPr>
        <w:t>-8</w:t>
      </w:r>
      <w:r>
        <w:t>/a</w:t>
      </w:r>
      <w:r>
        <w:rPr>
          <w:rFonts w:hint="eastAsia"/>
        </w:rPr>
        <w:t>。由于油类物质具有一定的挥发性，其泄漏后的挥发对大气环境产生一定影响。</w:t>
      </w:r>
    </w:p>
    <w:p w14:paraId="430795E2">
      <w:pPr>
        <w:ind w:firstLine="480"/>
      </w:pPr>
      <w:r>
        <w:rPr>
          <w:rFonts w:hint="eastAsia"/>
        </w:rPr>
        <w:t>综上所述，本次环境风险评价大气事故情形设定主要为火灾爆炸，及其引发的二次污染，事故评价因子为二氧化硫；地下水事故情形为：原料减线油泄漏，事故评价因子为石油类。</w:t>
      </w:r>
    </w:p>
    <w:p w14:paraId="3435B909">
      <w:pPr>
        <w:pStyle w:val="43"/>
      </w:pPr>
      <w:r>
        <w:rPr>
          <w:rFonts w:hint="eastAsia"/>
        </w:rPr>
        <w:t>环境风险影响</w:t>
      </w:r>
    </w:p>
    <w:p w14:paraId="3C6A56F0">
      <w:pPr>
        <w:ind w:firstLine="480"/>
      </w:pPr>
      <w:r>
        <w:rPr>
          <w:rFonts w:hint="eastAsia"/>
        </w:rPr>
        <w:t>根据《建设项目环境风险评价技术导则》（HJ</w:t>
      </w:r>
      <w:r>
        <w:t>169-2018</w:t>
      </w:r>
      <w:r>
        <w:rPr>
          <w:rFonts w:hint="eastAsia"/>
        </w:rPr>
        <w:t>）中的要求，本项目整体环境风险评价等级为三级，三级评价应定性分析说明大气环境影响后果，定性分析说明地表水环境影响后果和地下水环境风险影响参照《环境影响评价技术导则 地下水环境》（HJ</w:t>
      </w:r>
      <w:r>
        <w:t>610-2016</w:t>
      </w:r>
      <w:r>
        <w:rPr>
          <w:rFonts w:hint="eastAsia"/>
        </w:rPr>
        <w:t>）的三级评价内容：采用解析法或类比分析法进行地下水影响分析。</w:t>
      </w:r>
    </w:p>
    <w:p w14:paraId="77991A49">
      <w:pPr>
        <w:ind w:firstLine="480"/>
      </w:pPr>
      <w:r>
        <w:rPr>
          <w:rFonts w:hint="eastAsia"/>
        </w:rPr>
        <w:t>（1）大气环境影响</w:t>
      </w:r>
    </w:p>
    <w:p w14:paraId="7EFB54F2">
      <w:pPr>
        <w:ind w:firstLine="480"/>
      </w:pPr>
      <w:r>
        <w:rPr>
          <w:rFonts w:hint="eastAsia"/>
        </w:rPr>
        <w:t>本项目主要风险物质为原料减线油、产品润滑油等油类物质和硫酸，当发生泄漏并引发火灾后，油类物质易燃烧，产生的二氧化硫和未完产燃烧产生的一氧化塔及其他有毒有害气体进入大气环境，随空气迁移至厂区下风向，对下风向人群、动植物具有危害，且二氧化硫可溶于水，遇下雨天气可随雨水进入地表水体，对周围环境影响较大。</w:t>
      </w:r>
    </w:p>
    <w:p w14:paraId="71D0E3BA">
      <w:pPr>
        <w:ind w:firstLine="480"/>
      </w:pPr>
      <w:r>
        <w:rPr>
          <w:rFonts w:hint="eastAsia"/>
        </w:rPr>
        <w:t>（2）地表水环境影响</w:t>
      </w:r>
    </w:p>
    <w:p w14:paraId="3E195D1D">
      <w:pPr>
        <w:ind w:firstLine="480"/>
      </w:pPr>
      <w:r>
        <w:rPr>
          <w:rFonts w:hint="eastAsia"/>
        </w:rPr>
        <w:t>本项目主要风险物质为原料减线油、产品润滑油等油类物质和硫酸，当发生储罐泄漏事故时，泄漏的物料可在罐区围堰内收集，同时本项目设置有7</w:t>
      </w:r>
      <w:r>
        <w:t>50</w:t>
      </w:r>
      <w:r>
        <w:rPr>
          <w:rFonts w:hint="eastAsia"/>
        </w:rPr>
        <w:t>m</w:t>
      </w:r>
      <w:r>
        <w:rPr>
          <w:vertAlign w:val="superscript"/>
        </w:rPr>
        <w:t>3</w:t>
      </w:r>
      <w:r>
        <w:rPr>
          <w:rFonts w:hint="eastAsia"/>
        </w:rPr>
        <w:t>事故池1座，能对泄漏事故状态下的液体进行收集，且本项目周围无地表水分布，因此，事故状态下对地表水环境的影响较小。</w:t>
      </w:r>
    </w:p>
    <w:p w14:paraId="5B35680F">
      <w:pPr>
        <w:ind w:firstLine="480"/>
      </w:pPr>
      <w:r>
        <w:rPr>
          <w:rFonts w:hint="eastAsia"/>
        </w:rPr>
        <w:t>（</w:t>
      </w:r>
      <w:r>
        <w:t>3</w:t>
      </w:r>
      <w:r>
        <w:rPr>
          <w:rFonts w:hint="eastAsia"/>
        </w:rPr>
        <w:t>）地下水环境</w:t>
      </w:r>
    </w:p>
    <w:p w14:paraId="624F1C82">
      <w:pPr>
        <w:ind w:firstLine="480"/>
      </w:pPr>
      <w:r>
        <w:rPr>
          <w:rFonts w:hint="eastAsia"/>
        </w:rPr>
        <w:t>正常情况下，本项目储罐、围堰及事故水池等区域作为重点防渗区域，进行重点防渗处理，各储罐周围设置围堰，围堰高度1</w:t>
      </w:r>
      <w:r>
        <w:t>.5</w:t>
      </w:r>
      <w:r>
        <w:rPr>
          <w:rFonts w:hint="eastAsia"/>
        </w:rPr>
        <w:t>m，当发生储罐泄漏，原料减线油或产品润滑油等油类物质泄漏时，应急处理措施和紧急关停设备能在</w:t>
      </w:r>
      <w:r>
        <w:t>3</w:t>
      </w:r>
      <w:r>
        <w:rPr>
          <w:rFonts w:hint="eastAsia"/>
        </w:rPr>
        <w:t>min内停止泄漏，有毒有害物质不会进入土壤，污染地下水环境。</w:t>
      </w:r>
    </w:p>
    <w:p w14:paraId="4D1ED4A1">
      <w:pPr>
        <w:ind w:firstLine="480"/>
      </w:pPr>
      <w:r>
        <w:rPr>
          <w:rFonts w:hint="eastAsia"/>
        </w:rPr>
        <w:t>但在非正常情况下，如防渗层发生破裂，油类物质泄露进入土壤和地下水，主要污染因子为石油类，对地下水具有较大影响，具体预测结果见“5</w:t>
      </w:r>
      <w:r>
        <w:t>.3.3.7</w:t>
      </w:r>
      <w:r>
        <w:rPr>
          <w:rFonts w:hint="eastAsia"/>
        </w:rPr>
        <w:t>预测结果”章节。</w:t>
      </w:r>
    </w:p>
    <w:p w14:paraId="4460D4A4">
      <w:pPr>
        <w:pStyle w:val="43"/>
      </w:pPr>
      <w:bookmarkStart w:id="557" w:name="_Toc81214141"/>
      <w:bookmarkStart w:id="558" w:name="_Toc79515519"/>
      <w:bookmarkStart w:id="559" w:name="_Toc82518832"/>
      <w:bookmarkStart w:id="560" w:name="_Toc80193148"/>
      <w:bookmarkStart w:id="561" w:name="_Toc80973573"/>
      <w:bookmarkStart w:id="562" w:name="_Toc152864245"/>
      <w:r>
        <w:rPr>
          <w:rFonts w:hint="eastAsia"/>
        </w:rPr>
        <w:t>环境风险防范措施及应急要求</w:t>
      </w:r>
      <w:bookmarkEnd w:id="557"/>
      <w:bookmarkEnd w:id="558"/>
      <w:bookmarkEnd w:id="559"/>
      <w:bookmarkEnd w:id="560"/>
      <w:bookmarkEnd w:id="561"/>
      <w:bookmarkEnd w:id="562"/>
    </w:p>
    <w:p w14:paraId="79809946">
      <w:pPr>
        <w:ind w:firstLine="480"/>
        <w:rPr>
          <w:lang w:val="zh-CN"/>
        </w:rPr>
      </w:pPr>
      <w:r>
        <w:rPr>
          <w:rFonts w:hint="eastAsia"/>
          <w:lang w:val="zh-CN"/>
        </w:rPr>
        <w:t>（1）选址风险防范措施</w:t>
      </w:r>
    </w:p>
    <w:p w14:paraId="6CA2E7CF">
      <w:pPr>
        <w:ind w:firstLine="480"/>
      </w:pPr>
      <w:r>
        <w:rPr>
          <w:rFonts w:hint="eastAsia"/>
        </w:rPr>
        <w:t>本</w:t>
      </w:r>
      <w:r>
        <w:t>项目位于</w:t>
      </w:r>
      <w:r>
        <w:rPr>
          <w:rFonts w:hint="eastAsia"/>
        </w:rPr>
        <w:t>第七师胡杨河经济技术开发区南园区</w:t>
      </w:r>
      <w:r>
        <w:t>，与园区功能规划相符，园区内基础设施配套较完善，区域内有充足的热源、水源、电源等基础设施保障。项目选址时充分考虑了</w:t>
      </w:r>
      <w:r>
        <w:rPr>
          <w:rFonts w:hint="eastAsia"/>
        </w:rPr>
        <w:t>相关</w:t>
      </w:r>
      <w:r>
        <w:t>技术规范中的要求</w:t>
      </w:r>
      <w:r>
        <w:rPr>
          <w:rFonts w:hint="eastAsia"/>
        </w:rPr>
        <w:t>，</w:t>
      </w:r>
      <w:r>
        <w:t>且项目厂址周围无居民区。因此，从环境安全角度来看，</w:t>
      </w:r>
      <w:r>
        <w:rPr>
          <w:rFonts w:hint="eastAsia"/>
        </w:rPr>
        <w:t>本</w:t>
      </w:r>
      <w:r>
        <w:t>项目选址是较合理的，</w:t>
      </w:r>
      <w:r>
        <w:rPr>
          <w:rFonts w:hint="eastAsia"/>
        </w:rPr>
        <w:t>不会</w:t>
      </w:r>
      <w:r>
        <w:t>对周围环境质量及人群生命健康安全</w:t>
      </w:r>
      <w:r>
        <w:rPr>
          <w:rFonts w:hint="eastAsia"/>
        </w:rPr>
        <w:t>造成</w:t>
      </w:r>
      <w:r>
        <w:t>不利影响。</w:t>
      </w:r>
    </w:p>
    <w:p w14:paraId="65E9517B">
      <w:pPr>
        <w:ind w:firstLine="480"/>
      </w:pPr>
      <w:r>
        <w:rPr>
          <w:rFonts w:hint="eastAsia"/>
        </w:rPr>
        <w:t>（2）生产工艺风险防范措施</w:t>
      </w:r>
    </w:p>
    <w:p w14:paraId="4B0F6CB3">
      <w:pPr>
        <w:ind w:firstLine="480"/>
      </w:pPr>
      <w:r>
        <w:t>本项目采用的生产工艺较为成熟，</w:t>
      </w:r>
      <w:r>
        <w:rPr>
          <w:rFonts w:hint="eastAsia"/>
        </w:rPr>
        <w:t>对照《重点监管危险化工工艺目录》（2</w:t>
      </w:r>
      <w:r>
        <w:t>013</w:t>
      </w:r>
      <w:r>
        <w:rPr>
          <w:rFonts w:hint="eastAsia"/>
        </w:rPr>
        <w:t>版），</w:t>
      </w:r>
      <w:r>
        <w:t>不涉及重点监管的危险化工工艺。生产装置及其辅助公用工程装置均采用集散控制系统（DCS）实现对各装置的工艺参数进行监控、报警、过程控制。自动化程度较高，操作可靠，故障率小，自诊断能力强。</w:t>
      </w:r>
    </w:p>
    <w:p w14:paraId="77C7D35D">
      <w:pPr>
        <w:ind w:firstLine="480"/>
      </w:pPr>
      <w:r>
        <w:rPr>
          <w:rFonts w:hint="eastAsia"/>
        </w:rPr>
        <w:t>（3）储存风险防范措施</w:t>
      </w:r>
    </w:p>
    <w:p w14:paraId="009C7BF2">
      <w:pPr>
        <w:ind w:firstLine="480"/>
      </w:pPr>
      <w:r>
        <w:t>对储罐的呼吸阀定期检查，以防损坏；对储罐进行定期泄漏探测，以防</w:t>
      </w:r>
      <w:r>
        <w:rPr>
          <w:rFonts w:hint="eastAsia"/>
        </w:rPr>
        <w:t>止</w:t>
      </w:r>
      <w:r>
        <w:t>泄漏事故的发生；储罐的进、出料阀应设二台一组，对阀门进行定期检查和维修，以保证其严密性和灵活性，当一台损坏时，应及时检修，并开启另一台工作，以防原料泄漏；原料输入储罐前，应仔细检查</w:t>
      </w:r>
      <w:r>
        <w:rPr>
          <w:rFonts w:hint="eastAsia"/>
        </w:rPr>
        <w:t>连</w:t>
      </w:r>
      <w:r>
        <w:t>接口是否牢固，以防松动出现泄漏。</w:t>
      </w:r>
    </w:p>
    <w:p w14:paraId="46CA51E9">
      <w:pPr>
        <w:ind w:firstLine="480"/>
      </w:pPr>
      <w:r>
        <w:t>出现泄漏时的防护措施：为防止</w:t>
      </w:r>
      <w:r>
        <w:rPr>
          <w:rFonts w:hint="eastAsia"/>
        </w:rPr>
        <w:t>储罐</w:t>
      </w:r>
      <w:r>
        <w:t>原料泄漏对环境造成</w:t>
      </w:r>
      <w:r>
        <w:rPr>
          <w:rFonts w:hint="eastAsia"/>
        </w:rPr>
        <w:t>影响</w:t>
      </w:r>
      <w:r>
        <w:t>，当原料发生泄漏时，一般人员应迅速撤离</w:t>
      </w:r>
      <w:r>
        <w:rPr>
          <w:rFonts w:hint="eastAsia"/>
        </w:rPr>
        <w:t>转移至</w:t>
      </w:r>
      <w:r>
        <w:t>安全区，</w:t>
      </w:r>
      <w:r>
        <w:rPr>
          <w:rFonts w:hint="eastAsia"/>
        </w:rPr>
        <w:t>泄漏区域</w:t>
      </w:r>
      <w:r>
        <w:t>进行隔离，严格限制出入，应急人员</w:t>
      </w:r>
      <w:r>
        <w:rPr>
          <w:rFonts w:hint="eastAsia"/>
        </w:rPr>
        <w:t>佩戴</w:t>
      </w:r>
      <w:r>
        <w:t>自给正压式呼吸器，不直接接触泄漏物，尽可能切断泄漏源。</w:t>
      </w:r>
      <w:r>
        <w:rPr>
          <w:rFonts w:hint="eastAsia"/>
        </w:rPr>
        <w:t>并用</w:t>
      </w:r>
      <w:r>
        <w:t>砂土对泄漏的物料进行覆盖</w:t>
      </w:r>
      <w:r>
        <w:rPr>
          <w:rFonts w:hint="eastAsia"/>
        </w:rPr>
        <w:t>，</w:t>
      </w:r>
      <w:r>
        <w:t>便于清理</w:t>
      </w:r>
      <w:r>
        <w:rPr>
          <w:rFonts w:hint="eastAsia"/>
        </w:rPr>
        <w:t>、收集处置</w:t>
      </w:r>
      <w:r>
        <w:t>。</w:t>
      </w:r>
    </w:p>
    <w:p w14:paraId="465299AF">
      <w:pPr>
        <w:ind w:firstLine="480"/>
      </w:pPr>
      <w:r>
        <w:t>泄漏事故的预防是生产和储运过程中最重要的环节，厂区发生泄漏事故可能引起大范围的一系列污染事故。设备失灵和人为操作失误是引发泄漏的主要原因</w:t>
      </w:r>
      <w:r>
        <w:rPr>
          <w:rFonts w:hint="eastAsia"/>
        </w:rPr>
        <w:t>，</w:t>
      </w:r>
      <w:r>
        <w:t>因此</w:t>
      </w:r>
      <w:r>
        <w:rPr>
          <w:rFonts w:hint="eastAsia"/>
        </w:rPr>
        <w:t>，</w:t>
      </w:r>
      <w:r>
        <w:t>选用较好的设备、精心设计、认真管理和操作人员的责任心是减少泄漏事故的关键所在。</w:t>
      </w:r>
      <w:r>
        <w:rPr>
          <w:rFonts w:hint="eastAsia"/>
        </w:rPr>
        <w:t>应</w:t>
      </w:r>
      <w:r>
        <w:t>经常对各类生产阀门进行检查和维修，以保证其严密性和灵活性。采取必要的防泄漏措施，建立严格的安全生产制度，</w:t>
      </w:r>
      <w:r>
        <w:rPr>
          <w:rFonts w:hint="eastAsia"/>
        </w:rPr>
        <w:t>定期培训，</w:t>
      </w:r>
      <w:r>
        <w:t>大力提高操作人员的素质和水平。</w:t>
      </w:r>
    </w:p>
    <w:p w14:paraId="4D4DF181">
      <w:pPr>
        <w:ind w:firstLine="480"/>
      </w:pPr>
      <w:r>
        <w:rPr>
          <w:rFonts w:hint="eastAsia"/>
        </w:rPr>
        <w:t>（4）安全管理措施</w:t>
      </w:r>
    </w:p>
    <w:p w14:paraId="11BF9718">
      <w:pPr>
        <w:ind w:firstLine="480"/>
      </w:pPr>
      <w:r>
        <w:rPr>
          <w:rFonts w:hint="eastAsia"/>
        </w:rPr>
        <w:t>①</w:t>
      </w:r>
      <w:r>
        <w:t>建设项目应由有资质的设计单位进行设计，委托持有</w:t>
      </w:r>
      <w:r>
        <w:rPr>
          <w:rFonts w:hint="eastAsia"/>
        </w:rPr>
        <w:t>相应</w:t>
      </w:r>
      <w:r>
        <w:t>资质的施工单位进行施工，有资质的监理单位进行监理，项目完成后应组织有关部门进行验收并提供《建设项目安全设施施工情况报告》。</w:t>
      </w:r>
    </w:p>
    <w:p w14:paraId="4AF87A13">
      <w:pPr>
        <w:ind w:firstLine="480"/>
      </w:pPr>
      <w:r>
        <w:rPr>
          <w:rFonts w:hint="eastAsia"/>
        </w:rPr>
        <w:t>②本</w:t>
      </w:r>
      <w:r>
        <w:t>项目竣工试生产前，各岗位应制定科学严密的工艺规程、岗位操作法和安全技术规程，</w:t>
      </w:r>
      <w:r>
        <w:rPr>
          <w:rFonts w:hint="eastAsia"/>
        </w:rPr>
        <w:t>在</w:t>
      </w:r>
      <w:r>
        <w:t>满足生产</w:t>
      </w:r>
      <w:r>
        <w:rPr>
          <w:rFonts w:hint="eastAsia"/>
        </w:rPr>
        <w:t>需求的</w:t>
      </w:r>
      <w:r>
        <w:t>同时</w:t>
      </w:r>
      <w:r>
        <w:rPr>
          <w:rFonts w:hint="eastAsia"/>
        </w:rPr>
        <w:t>，</w:t>
      </w:r>
      <w:r>
        <w:t>也要保证安全要求。安全生产管理人员、特种作业操作工以及岗位操作工必须按规定培训，持证上岗。</w:t>
      </w:r>
    </w:p>
    <w:p w14:paraId="6D69FFE6">
      <w:pPr>
        <w:ind w:firstLine="480"/>
      </w:pPr>
      <w:r>
        <w:rPr>
          <w:rFonts w:hint="eastAsia"/>
        </w:rPr>
        <w:t>③</w:t>
      </w:r>
      <w:r>
        <w:t>按要求配备防毒面具、防护服等事故处理应急救援器材，制定事故应急预案，配备相应的应急药品和设备。</w:t>
      </w:r>
    </w:p>
    <w:p w14:paraId="07642B64">
      <w:pPr>
        <w:ind w:firstLine="480"/>
      </w:pPr>
      <w:r>
        <w:rPr>
          <w:rFonts w:hint="eastAsia"/>
        </w:rPr>
        <w:t>④</w:t>
      </w:r>
      <w:r>
        <w:t>制定应急救援预案，并且对处理紧急事故的技术措施、人员、设备设施逐一落实，做到技术可靠、人员分工明确、设备设施功能完善。并定期演练，企业自救和社会救援结合，严防重大事故的发生。</w:t>
      </w:r>
    </w:p>
    <w:p w14:paraId="4FF3C89D">
      <w:pPr>
        <w:ind w:firstLine="480"/>
      </w:pPr>
      <w:r>
        <w:rPr>
          <w:rFonts w:hint="eastAsia"/>
        </w:rPr>
        <w:t>⑤本</w:t>
      </w:r>
      <w:r>
        <w:t>项目投产前应按规定编制安全评价报告；定期对职工进行安全教育和安全生产培训，不断提高企业职工灭火操作技能和事故处理能力，能够熟悉掌握和使用消防器材；职工上岗前必须进行生产技术技能培训和生产安全培训，熟悉掌握生产操作技能和生产安全规程，经考核符合条件者，准予上岗，不符合条件的决不能上岗。如发现企业职工有异常现象者，应立即停止工作，以免发生操作事故，从而引发污染事故。</w:t>
      </w:r>
    </w:p>
    <w:p w14:paraId="23FA4FE7">
      <w:pPr>
        <w:ind w:firstLine="480"/>
      </w:pPr>
      <w:r>
        <w:rPr>
          <w:rFonts w:hint="eastAsia"/>
        </w:rPr>
        <w:t>⑥</w:t>
      </w:r>
      <w:r>
        <w:t>认真落实本项目环保设施和安全设施</w:t>
      </w:r>
      <w:r>
        <w:rPr>
          <w:rFonts w:ascii="宋体" w:hAnsi="宋体"/>
        </w:rPr>
        <w:t>“三同时”</w:t>
      </w:r>
      <w:r>
        <w:t>工作。</w:t>
      </w:r>
    </w:p>
    <w:p w14:paraId="137CE309">
      <w:pPr>
        <w:ind w:firstLine="480"/>
        <w:rPr>
          <w:bCs/>
        </w:rPr>
      </w:pPr>
      <w:r>
        <w:rPr>
          <w:rFonts w:hint="eastAsia"/>
          <w:bCs/>
        </w:rPr>
        <w:t>⑦厂区进出口、</w:t>
      </w:r>
      <w:r>
        <w:rPr>
          <w:rFonts w:hint="eastAsia"/>
        </w:rPr>
        <w:t>各生产装置区</w:t>
      </w:r>
      <w:r>
        <w:rPr>
          <w:rFonts w:hint="eastAsia"/>
          <w:bCs/>
        </w:rPr>
        <w:t>出入口等关键部位均设置高清视频监控设施，作为厂区日常监管手段，要求最少储存3个月以上视频资料。</w:t>
      </w:r>
    </w:p>
    <w:p w14:paraId="495D6BBD">
      <w:pPr>
        <w:ind w:firstLine="480"/>
      </w:pPr>
      <w:r>
        <w:rPr>
          <w:rFonts w:hint="eastAsia"/>
          <w:bCs/>
        </w:rPr>
        <w:t>⑧</w:t>
      </w:r>
      <w:r>
        <w:rPr>
          <w:rFonts w:hint="eastAsia"/>
        </w:rPr>
        <w:t>厂内定期开展环境风险应急培训和演练，落实各项应急环境管理措施以及各项风险防范措施，确保风险事故得到有效控制。</w:t>
      </w:r>
    </w:p>
    <w:p w14:paraId="07D0A4ED">
      <w:pPr>
        <w:ind w:firstLine="480"/>
      </w:pPr>
      <w:r>
        <w:rPr>
          <w:rFonts w:hint="eastAsia"/>
        </w:rPr>
        <w:t>（5）设置应急池</w:t>
      </w:r>
    </w:p>
    <w:p w14:paraId="43A750C0">
      <w:pPr>
        <w:ind w:firstLine="480"/>
      </w:pPr>
      <w:r>
        <w:rPr>
          <w:rFonts w:hint="eastAsia"/>
        </w:rPr>
        <w:t>为应对突发环境事件，特别是储罐泄漏事故的发生，本项目在</w:t>
      </w:r>
      <w:r>
        <w:t>1#</w:t>
      </w:r>
      <w:r>
        <w:rPr>
          <w:rFonts w:hint="eastAsia"/>
        </w:rPr>
        <w:t>罐区西侧设置</w:t>
      </w:r>
      <w:r>
        <w:t>23.4</w:t>
      </w:r>
      <w:r>
        <w:rPr>
          <w:rFonts w:hint="eastAsia"/>
        </w:rPr>
        <w:t>×</w:t>
      </w:r>
      <w:r>
        <w:t>12</w:t>
      </w:r>
      <w:r>
        <w:rPr>
          <w:rFonts w:hint="eastAsia"/>
        </w:rPr>
        <w:t>×</w:t>
      </w:r>
      <w:r>
        <w:t>3</w:t>
      </w:r>
      <w:r>
        <w:rPr>
          <w:rFonts w:hint="eastAsia"/>
        </w:rPr>
        <w:t>m的事故应急水池1座，有效容积为</w:t>
      </w:r>
      <w:r>
        <w:t>750</w:t>
      </w:r>
      <w:r>
        <w:rPr>
          <w:rFonts w:hint="eastAsia"/>
        </w:rPr>
        <w:t>m</w:t>
      </w:r>
      <w:r>
        <w:rPr>
          <w:vertAlign w:val="superscript"/>
        </w:rPr>
        <w:t>3</w:t>
      </w:r>
      <w:r>
        <w:rPr>
          <w:rFonts w:hint="eastAsia"/>
        </w:rPr>
        <w:t>事故池进行连通，当出现泄漏事故，事故废水通过导流沟进入事故应急水池，在事故消除后，对其进行回收或中和处理。</w:t>
      </w:r>
    </w:p>
    <w:p w14:paraId="0B3C8FEE">
      <w:pPr>
        <w:ind w:firstLine="480"/>
      </w:pPr>
      <w:r>
        <w:rPr>
          <w:rFonts w:hint="eastAsia"/>
        </w:rPr>
        <w:t>本项目污水处理风险防范措施为事故池以应对可能存在的废水排放事故。根据中《关于印发“水体污染防控紧急措施设计导则”的通知》中指出，事故储存设施总有效容积的核算考虑以下几个方面：</w:t>
      </w:r>
    </w:p>
    <w:p w14:paraId="2E840F18">
      <w:pPr>
        <w:ind w:firstLine="480"/>
      </w:pPr>
      <w:r>
        <w:rPr>
          <w:rFonts w:hint="eastAsia"/>
        </w:rPr>
        <w:t>V</w:t>
      </w:r>
      <w:r>
        <w:rPr>
          <w:rFonts w:hint="eastAsia"/>
          <w:vertAlign w:val="subscript"/>
        </w:rPr>
        <w:t>总</w:t>
      </w:r>
      <w:r>
        <w:rPr>
          <w:rFonts w:hint="eastAsia"/>
        </w:rPr>
        <w:t>=(V</w:t>
      </w:r>
      <w:r>
        <w:rPr>
          <w:rFonts w:hint="eastAsia"/>
          <w:vertAlign w:val="subscript"/>
        </w:rPr>
        <w:t>1</w:t>
      </w:r>
      <w:r>
        <w:rPr>
          <w:rFonts w:hint="eastAsia"/>
        </w:rPr>
        <w:t>+V</w:t>
      </w:r>
      <w:r>
        <w:rPr>
          <w:rFonts w:hint="eastAsia"/>
          <w:vertAlign w:val="subscript"/>
        </w:rPr>
        <w:t>2</w:t>
      </w:r>
      <w:r>
        <w:rPr>
          <w:rFonts w:hint="eastAsia"/>
        </w:rPr>
        <w:t>-V</w:t>
      </w:r>
      <w:r>
        <w:rPr>
          <w:rFonts w:hint="eastAsia"/>
          <w:vertAlign w:val="subscript"/>
        </w:rPr>
        <w:t>3</w:t>
      </w:r>
      <w:r>
        <w:rPr>
          <w:rFonts w:hint="eastAsia"/>
        </w:rPr>
        <w:t>) max+V</w:t>
      </w:r>
      <w:r>
        <w:rPr>
          <w:rFonts w:hint="eastAsia"/>
          <w:vertAlign w:val="subscript"/>
        </w:rPr>
        <w:t>4</w:t>
      </w:r>
      <w:r>
        <w:rPr>
          <w:rFonts w:hint="eastAsia"/>
        </w:rPr>
        <w:t>+V</w:t>
      </w:r>
      <w:r>
        <w:rPr>
          <w:vertAlign w:val="subscript"/>
        </w:rPr>
        <w:t>5</w:t>
      </w:r>
    </w:p>
    <w:p w14:paraId="15F25FFD">
      <w:pPr>
        <w:ind w:firstLine="480"/>
      </w:pPr>
      <w:r>
        <w:rPr>
          <w:rFonts w:hint="eastAsia"/>
        </w:rPr>
        <w:t>式中:V</w:t>
      </w:r>
      <w:r>
        <w:rPr>
          <w:rFonts w:hint="eastAsia"/>
          <w:vertAlign w:val="subscript"/>
        </w:rPr>
        <w:t>总</w:t>
      </w:r>
      <w:r>
        <w:rPr>
          <w:rFonts w:hint="eastAsia"/>
        </w:rPr>
        <w:t>一事故水池的有效容积，m</w:t>
      </w:r>
      <w:r>
        <w:rPr>
          <w:rFonts w:hint="eastAsia"/>
          <w:vertAlign w:val="superscript"/>
        </w:rPr>
        <w:t>3</w:t>
      </w:r>
      <w:r>
        <w:rPr>
          <w:rFonts w:hint="eastAsia"/>
        </w:rPr>
        <w:t>；</w:t>
      </w:r>
    </w:p>
    <w:p w14:paraId="4998AD56">
      <w:pPr>
        <w:ind w:firstLine="480"/>
      </w:pPr>
      <w:r>
        <w:rPr>
          <w:rFonts w:hint="eastAsia"/>
        </w:rPr>
        <w:t>V</w:t>
      </w:r>
      <w:r>
        <w:rPr>
          <w:rFonts w:hint="eastAsia"/>
          <w:vertAlign w:val="subscript"/>
        </w:rPr>
        <w:t>1</w:t>
      </w:r>
      <w:r>
        <w:rPr>
          <w:rFonts w:hint="eastAsia"/>
        </w:rPr>
        <w:t>一收集系统范围内发生事故的储罐或装置的物料量:</w:t>
      </w:r>
    </w:p>
    <w:p w14:paraId="0904EFE4">
      <w:pPr>
        <w:ind w:firstLine="480"/>
      </w:pPr>
      <w:r>
        <w:rPr>
          <w:rFonts w:hint="eastAsia"/>
        </w:rPr>
        <w:t>V</w:t>
      </w:r>
      <w:r>
        <w:rPr>
          <w:rFonts w:hint="eastAsia"/>
          <w:vertAlign w:val="subscript"/>
        </w:rPr>
        <w:t>2</w:t>
      </w:r>
      <w:r>
        <w:rPr>
          <w:rFonts w:hint="eastAsia"/>
        </w:rPr>
        <w:t>一发生事故的一次最大消防水用量，m</w:t>
      </w:r>
      <w:r>
        <w:rPr>
          <w:rFonts w:hint="eastAsia"/>
          <w:vertAlign w:val="superscript"/>
        </w:rPr>
        <w:t>3</w:t>
      </w:r>
      <w:r>
        <w:rPr>
          <w:rFonts w:hint="eastAsia"/>
        </w:rPr>
        <w:t>；</w:t>
      </w:r>
    </w:p>
    <w:p w14:paraId="139CB8D2">
      <w:pPr>
        <w:ind w:firstLine="480"/>
      </w:pPr>
      <w:r>
        <w:rPr>
          <w:rFonts w:hint="eastAsia"/>
        </w:rPr>
        <w:t>V</w:t>
      </w:r>
      <w:r>
        <w:rPr>
          <w:rFonts w:hint="eastAsia"/>
          <w:vertAlign w:val="subscript"/>
        </w:rPr>
        <w:t>3</w:t>
      </w:r>
      <w:r>
        <w:rPr>
          <w:rFonts w:hint="eastAsia"/>
        </w:rPr>
        <w:t>一发生事故时可以转输到其它储存或处理设施的物料量，m</w:t>
      </w:r>
      <w:r>
        <w:rPr>
          <w:rFonts w:hint="eastAsia"/>
          <w:vertAlign w:val="superscript"/>
        </w:rPr>
        <w:t>3</w:t>
      </w:r>
      <w:r>
        <w:rPr>
          <w:rFonts w:hint="eastAsia"/>
        </w:rPr>
        <w:t>；</w:t>
      </w:r>
    </w:p>
    <w:p w14:paraId="337236C0">
      <w:pPr>
        <w:ind w:firstLine="480"/>
      </w:pPr>
      <w:r>
        <w:rPr>
          <w:rFonts w:hint="eastAsia"/>
        </w:rPr>
        <w:t>(V</w:t>
      </w:r>
      <w:r>
        <w:rPr>
          <w:rFonts w:hint="eastAsia"/>
          <w:vertAlign w:val="subscript"/>
        </w:rPr>
        <w:t>1</w:t>
      </w:r>
      <w:r>
        <w:rPr>
          <w:rFonts w:hint="eastAsia"/>
        </w:rPr>
        <w:t>+V</w:t>
      </w:r>
      <w:r>
        <w:rPr>
          <w:rFonts w:hint="eastAsia"/>
          <w:vertAlign w:val="subscript"/>
        </w:rPr>
        <w:t>2</w:t>
      </w:r>
      <w:r>
        <w:rPr>
          <w:rFonts w:hint="eastAsia"/>
        </w:rPr>
        <w:t>-V</w:t>
      </w:r>
      <w:r>
        <w:rPr>
          <w:rFonts w:hint="eastAsia"/>
          <w:vertAlign w:val="subscript"/>
        </w:rPr>
        <w:t>3</w:t>
      </w:r>
      <w:r>
        <w:rPr>
          <w:rFonts w:hint="eastAsia"/>
        </w:rPr>
        <w:t>)max一对收集系统范围内不同装置区或罐区分别计算V</w:t>
      </w:r>
      <w:r>
        <w:rPr>
          <w:vertAlign w:val="subscript"/>
        </w:rPr>
        <w:t>1</w:t>
      </w:r>
      <w:r>
        <w:rPr>
          <w:rFonts w:hint="eastAsia"/>
        </w:rPr>
        <w:t>+V</w:t>
      </w:r>
      <w:r>
        <w:rPr>
          <w:rFonts w:hint="eastAsia"/>
          <w:vertAlign w:val="subscript"/>
        </w:rPr>
        <w:t>2</w:t>
      </w:r>
      <w:r>
        <w:rPr>
          <w:rFonts w:hint="eastAsia"/>
        </w:rPr>
        <w:t>一V</w:t>
      </w:r>
      <w:r>
        <w:rPr>
          <w:rFonts w:hint="eastAsia"/>
          <w:vertAlign w:val="subscript"/>
        </w:rPr>
        <w:t>3</w:t>
      </w:r>
      <w:r>
        <w:rPr>
          <w:rFonts w:hint="eastAsia"/>
        </w:rPr>
        <w:t>而取出的最大值，也即是最大事故处；</w:t>
      </w:r>
    </w:p>
    <w:p w14:paraId="5542E3C9">
      <w:pPr>
        <w:ind w:firstLine="480"/>
      </w:pPr>
      <w:r>
        <w:rPr>
          <w:rFonts w:hint="eastAsia"/>
        </w:rPr>
        <w:t>V</w:t>
      </w:r>
      <w:r>
        <w:rPr>
          <w:rFonts w:hint="eastAsia"/>
          <w:vertAlign w:val="subscript"/>
        </w:rPr>
        <w:t>4</w:t>
      </w:r>
      <w:r>
        <w:rPr>
          <w:rFonts w:hint="eastAsia"/>
        </w:rPr>
        <w:t>一发生事故时仍必须进入该收集池的生产废水量，m</w:t>
      </w:r>
      <w:r>
        <w:rPr>
          <w:rFonts w:hint="eastAsia"/>
          <w:vertAlign w:val="superscript"/>
        </w:rPr>
        <w:t>3</w:t>
      </w:r>
      <w:r>
        <w:rPr>
          <w:rFonts w:hint="eastAsia"/>
        </w:rPr>
        <w:t>；</w:t>
      </w:r>
    </w:p>
    <w:p w14:paraId="1EBFB266">
      <w:pPr>
        <w:ind w:firstLine="480"/>
      </w:pPr>
      <w:r>
        <w:rPr>
          <w:rFonts w:hint="eastAsia"/>
        </w:rPr>
        <w:t>V</w:t>
      </w:r>
      <w:r>
        <w:rPr>
          <w:vertAlign w:val="subscript"/>
        </w:rPr>
        <w:t>5</w:t>
      </w:r>
      <w:r>
        <w:rPr>
          <w:rFonts w:hint="eastAsia"/>
        </w:rPr>
        <w:t>一发生事故时可能进入该收集池的降雨量，按《水体污染防控紧急措施设计导则》中规定，降雨强度按一年内降雨天数内的平均日降雨强度计；</w:t>
      </w:r>
    </w:p>
    <w:p w14:paraId="318BB6FD">
      <w:pPr>
        <w:ind w:firstLine="480"/>
      </w:pPr>
      <w:r>
        <w:t>V</w:t>
      </w:r>
      <w:r>
        <w:rPr>
          <w:vertAlign w:val="subscript"/>
        </w:rPr>
        <w:t>5</w:t>
      </w:r>
      <w:r>
        <w:t>=</w:t>
      </w:r>
      <w:r>
        <w:rPr>
          <w:rFonts w:hint="eastAsia"/>
        </w:rPr>
        <w:t>（q</w:t>
      </w:r>
      <w:r>
        <w:rPr>
          <w:rFonts w:hint="eastAsia"/>
          <w:vertAlign w:val="subscript"/>
        </w:rPr>
        <w:t>a</w:t>
      </w:r>
      <w:r>
        <w:t>/</w:t>
      </w:r>
      <w:r>
        <w:rPr>
          <w:rFonts w:hint="eastAsia"/>
        </w:rPr>
        <w:t>n）</w:t>
      </w:r>
      <w:r>
        <w:t>F</w:t>
      </w:r>
    </w:p>
    <w:p w14:paraId="0803CC31">
      <w:pPr>
        <w:ind w:firstLine="480"/>
      </w:pPr>
      <w:r>
        <w:rPr>
          <w:rFonts w:hint="eastAsia"/>
        </w:rPr>
        <w:t>式中：q</w:t>
      </w:r>
      <w:r>
        <w:rPr>
          <w:rFonts w:hint="eastAsia"/>
          <w:vertAlign w:val="subscript"/>
        </w:rPr>
        <w:t>a</w:t>
      </w:r>
      <w:r>
        <w:rPr>
          <w:rFonts w:hint="eastAsia"/>
        </w:rPr>
        <w:t>一年平均降雨量，mm；</w:t>
      </w:r>
    </w:p>
    <w:p w14:paraId="0D9F1FCE">
      <w:pPr>
        <w:ind w:firstLine="480"/>
      </w:pPr>
      <w:r>
        <w:t xml:space="preserve">      </w:t>
      </w:r>
      <w:r>
        <w:rPr>
          <w:rFonts w:hint="eastAsia"/>
        </w:rPr>
        <w:t>n一年平均降雨日数，d；</w:t>
      </w:r>
    </w:p>
    <w:p w14:paraId="59AB6118">
      <w:pPr>
        <w:ind w:firstLine="480"/>
      </w:pPr>
      <w:r>
        <w:t xml:space="preserve">      </w:t>
      </w:r>
      <w:r>
        <w:rPr>
          <w:rFonts w:hint="eastAsia"/>
        </w:rPr>
        <w:t>F一必须进入事故池的雨水汇水面积，m</w:t>
      </w:r>
      <w:r>
        <w:rPr>
          <w:vertAlign w:val="superscript"/>
        </w:rPr>
        <w:t>2</w:t>
      </w:r>
      <w:r>
        <w:rPr>
          <w:rFonts w:hint="eastAsia"/>
        </w:rPr>
        <w:t>。</w:t>
      </w:r>
    </w:p>
    <w:p w14:paraId="7A29CCE4">
      <w:pPr>
        <w:ind w:firstLine="480"/>
      </w:pPr>
      <w:r>
        <w:rPr>
          <w:rFonts w:hint="eastAsia"/>
        </w:rPr>
        <w:t>V</w:t>
      </w:r>
      <w:r>
        <w:rPr>
          <w:vertAlign w:val="subscript"/>
        </w:rPr>
        <w:t>1</w:t>
      </w:r>
      <w:r>
        <w:rPr>
          <w:rFonts w:hint="eastAsia"/>
        </w:rPr>
        <w:t>：按照项目最大泄漏量进行考虑，在事故状态下，将有</w:t>
      </w:r>
      <w:r>
        <w:t>1000</w:t>
      </w:r>
      <w:r>
        <w:rPr>
          <w:rFonts w:hint="eastAsia"/>
        </w:rPr>
        <w:t>m</w:t>
      </w:r>
      <w:r>
        <w:rPr>
          <w:vertAlign w:val="superscript"/>
        </w:rPr>
        <w:t>3</w:t>
      </w:r>
      <w:r>
        <w:rPr>
          <w:rFonts w:hint="eastAsia"/>
        </w:rPr>
        <w:t>的物料泄漏。</w:t>
      </w:r>
    </w:p>
    <w:p w14:paraId="77764EDE">
      <w:pPr>
        <w:ind w:firstLine="480"/>
      </w:pPr>
      <w:r>
        <w:rPr>
          <w:rFonts w:hint="eastAsia"/>
        </w:rPr>
        <w:t>V</w:t>
      </w:r>
      <w:r>
        <w:rPr>
          <w:rFonts w:hint="eastAsia"/>
          <w:vertAlign w:val="subscript"/>
        </w:rPr>
        <w:t>2</w:t>
      </w:r>
      <w:r>
        <w:rPr>
          <w:rFonts w:hint="eastAsia"/>
        </w:rPr>
        <w:t>：根据《建筑设计防火规范》（GBJ16-87）的规定，本项目室外消火栓消防水用量为</w:t>
      </w:r>
      <w:r>
        <w:t>5</w:t>
      </w:r>
      <w:r>
        <w:rPr>
          <w:rFonts w:hint="eastAsia"/>
        </w:rPr>
        <w:t>0L/s，室内消火栓消防水用量为1</w:t>
      </w:r>
      <w:r>
        <w:t>0</w:t>
      </w:r>
      <w:r>
        <w:rPr>
          <w:rFonts w:hint="eastAsia"/>
        </w:rPr>
        <w:t>0L/s，一次灭火持续时间按</w:t>
      </w:r>
      <w:r>
        <w:t>1</w:t>
      </w:r>
      <w:r>
        <w:rPr>
          <w:rFonts w:hint="eastAsia"/>
        </w:rPr>
        <w:t>小时计，同一时间内火灾次数为1次，则一次火灾灭火消防用水量为</w:t>
      </w:r>
      <w:r>
        <w:t>540</w:t>
      </w:r>
      <w:r>
        <w:rPr>
          <w:rFonts w:hint="eastAsia"/>
        </w:rPr>
        <w:t>m</w:t>
      </w:r>
      <w:r>
        <w:rPr>
          <w:rFonts w:hint="eastAsia"/>
          <w:vertAlign w:val="superscript"/>
        </w:rPr>
        <w:t>3</w:t>
      </w:r>
      <w:r>
        <w:rPr>
          <w:rFonts w:hint="eastAsia"/>
        </w:rPr>
        <w:t>。</w:t>
      </w:r>
    </w:p>
    <w:p w14:paraId="1338094F">
      <w:pPr>
        <w:ind w:firstLine="480"/>
      </w:pPr>
      <w:r>
        <w:rPr>
          <w:rFonts w:hint="eastAsia"/>
        </w:rPr>
        <w:t>V</w:t>
      </w:r>
      <w:r>
        <w:rPr>
          <w:rFonts w:hint="eastAsia"/>
          <w:vertAlign w:val="subscript"/>
        </w:rPr>
        <w:t>3</w:t>
      </w:r>
      <w:r>
        <w:rPr>
          <w:rFonts w:hint="eastAsia"/>
        </w:rPr>
        <w:t>：本项目发生事故后，没有可以转输到其它储存或处理设施的物料量，因此，</w:t>
      </w:r>
      <w:r>
        <w:t>V</w:t>
      </w:r>
      <w:r>
        <w:rPr>
          <w:vertAlign w:val="subscript"/>
        </w:rPr>
        <w:t>3</w:t>
      </w:r>
      <w:r>
        <w:t>=0</w:t>
      </w:r>
      <w:r>
        <w:rPr>
          <w:rFonts w:hint="eastAsia"/>
        </w:rPr>
        <w:t>。</w:t>
      </w:r>
    </w:p>
    <w:p w14:paraId="47BF4870">
      <w:pPr>
        <w:ind w:firstLine="480"/>
      </w:pPr>
      <w:r>
        <w:rPr>
          <w:rFonts w:hint="eastAsia"/>
        </w:rPr>
        <w:t>V</w:t>
      </w:r>
      <w:r>
        <w:rPr>
          <w:rFonts w:hint="eastAsia"/>
          <w:vertAlign w:val="subscript"/>
        </w:rPr>
        <w:t>4</w:t>
      </w:r>
      <w:r>
        <w:rPr>
          <w:rFonts w:hint="eastAsia"/>
        </w:rPr>
        <w:t>：若场内污水处理站发生事故，检修时间按照</w:t>
      </w:r>
      <w:r>
        <w:t>1</w:t>
      </w:r>
      <w:r>
        <w:rPr>
          <w:rFonts w:hint="eastAsia"/>
        </w:rPr>
        <w:t>h计算，本项目</w:t>
      </w:r>
      <w:r>
        <w:t>废水排放量为2.6m</w:t>
      </w:r>
      <w:r>
        <w:rPr>
          <w:vertAlign w:val="superscript"/>
        </w:rPr>
        <w:t>3</w:t>
      </w:r>
      <w:r>
        <w:t>/d</w:t>
      </w:r>
      <w:r>
        <w:rPr>
          <w:rFonts w:hint="eastAsia"/>
        </w:rPr>
        <w:t>，全部在项目废水储罐中暂存，</w:t>
      </w:r>
      <w:r>
        <w:t>则</w:t>
      </w:r>
      <w:r>
        <w:rPr>
          <w:rFonts w:hint="eastAsia"/>
        </w:rPr>
        <w:t>污水处理站事故废水量V</w:t>
      </w:r>
      <w:r>
        <w:rPr>
          <w:rFonts w:hint="eastAsia"/>
          <w:vertAlign w:val="subscript"/>
        </w:rPr>
        <w:t>4</w:t>
      </w:r>
      <w:r>
        <w:rPr>
          <w:rFonts w:hint="eastAsia"/>
        </w:rPr>
        <w:t>为</w:t>
      </w:r>
      <w:r>
        <w:t>0</w:t>
      </w:r>
      <w:r>
        <w:rPr>
          <w:rFonts w:hint="eastAsia"/>
        </w:rPr>
        <w:t>m</w:t>
      </w:r>
      <w:r>
        <w:rPr>
          <w:vertAlign w:val="superscript"/>
        </w:rPr>
        <w:t>3</w:t>
      </w:r>
      <w:r>
        <w:rPr>
          <w:rFonts w:hint="eastAsia"/>
        </w:rPr>
        <w:t>。</w:t>
      </w:r>
    </w:p>
    <w:p w14:paraId="5F68F1EB">
      <w:pPr>
        <w:ind w:firstLine="480"/>
      </w:pPr>
      <w:r>
        <w:rPr>
          <w:rFonts w:hint="eastAsia"/>
        </w:rPr>
        <w:t>V</w:t>
      </w:r>
      <w:r>
        <w:rPr>
          <w:vertAlign w:val="subscript"/>
        </w:rPr>
        <w:t>5</w:t>
      </w:r>
      <w:r>
        <w:rPr>
          <w:rFonts w:hint="eastAsia"/>
        </w:rPr>
        <w:t>：本项目发生消防事故时，必须进入事故水池的雨水汇水面积，年平均降雨量为49.5mm，年平均降雨天数约为</w:t>
      </w:r>
      <w:r>
        <w:t>2</w:t>
      </w:r>
      <w:r>
        <w:rPr>
          <w:rFonts w:hint="eastAsia"/>
        </w:rPr>
        <w:t>天，则发生消防事故时进入事故水池的降雨量为9.45m</w:t>
      </w:r>
      <w:r>
        <w:rPr>
          <w:vertAlign w:val="superscript"/>
        </w:rPr>
        <w:t>3</w:t>
      </w:r>
      <w:r>
        <w:rPr>
          <w:rFonts w:hint="eastAsia"/>
        </w:rPr>
        <w:t>，则V</w:t>
      </w:r>
      <w:r>
        <w:rPr>
          <w:vertAlign w:val="subscript"/>
        </w:rPr>
        <w:t>5</w:t>
      </w:r>
      <w:r>
        <w:t>=9.45</w:t>
      </w:r>
      <w:r>
        <w:rPr>
          <w:rFonts w:hint="eastAsia"/>
        </w:rPr>
        <w:t>m</w:t>
      </w:r>
      <w:r>
        <w:rPr>
          <w:vertAlign w:val="superscript"/>
        </w:rPr>
        <w:t>3</w:t>
      </w:r>
      <w:r>
        <w:rPr>
          <w:rFonts w:hint="eastAsia"/>
        </w:rPr>
        <w:t>。</w:t>
      </w:r>
    </w:p>
    <w:p w14:paraId="6AC5AD8B">
      <w:pPr>
        <w:ind w:firstLine="480"/>
      </w:pPr>
      <w:r>
        <w:rPr>
          <w:rFonts w:hint="eastAsia"/>
        </w:rPr>
        <w:t>由于本项目罐区设置有1</w:t>
      </w:r>
      <w:r>
        <w:t>.5</w:t>
      </w:r>
      <w:r>
        <w:rPr>
          <w:rFonts w:hint="eastAsia"/>
        </w:rPr>
        <w:t>m高围堰，罐区占地面积为7</w:t>
      </w:r>
      <w:r>
        <w:t>553.46</w:t>
      </w:r>
      <w:r>
        <w:rPr>
          <w:rFonts w:hint="eastAsia"/>
        </w:rPr>
        <w:t>m</w:t>
      </w:r>
      <w:r>
        <w:rPr>
          <w:vertAlign w:val="superscript"/>
        </w:rPr>
        <w:t>2</w:t>
      </w:r>
      <w:r>
        <w:rPr>
          <w:rFonts w:hint="eastAsia"/>
        </w:rPr>
        <w:t>，能完全收集罐区1个储罐完全泄漏的量，因此，本项目事故池考虑设计规模如下：</w:t>
      </w:r>
    </w:p>
    <w:p w14:paraId="155AC546">
      <w:pPr>
        <w:ind w:firstLine="480"/>
      </w:pPr>
      <w:r>
        <w:rPr>
          <w:rFonts w:hint="eastAsia"/>
        </w:rPr>
        <w:t>V</w:t>
      </w:r>
      <w:r>
        <w:rPr>
          <w:rFonts w:hint="eastAsia"/>
          <w:vertAlign w:val="subscript"/>
        </w:rPr>
        <w:t>总</w:t>
      </w:r>
      <w:r>
        <w:rPr>
          <w:rFonts w:hint="eastAsia"/>
        </w:rPr>
        <w:t>=（V</w:t>
      </w:r>
      <w:r>
        <w:rPr>
          <w:rFonts w:hint="eastAsia"/>
          <w:vertAlign w:val="subscript"/>
        </w:rPr>
        <w:t>1</w:t>
      </w:r>
      <w:r>
        <w:t>+V</w:t>
      </w:r>
      <w:r>
        <w:rPr>
          <w:vertAlign w:val="subscript"/>
        </w:rPr>
        <w:t>2-</w:t>
      </w:r>
      <w:r>
        <w:t>V</w:t>
      </w:r>
      <w:r>
        <w:rPr>
          <w:vertAlign w:val="subscript"/>
        </w:rPr>
        <w:t>3</w:t>
      </w:r>
      <w:r>
        <w:rPr>
          <w:rFonts w:hint="eastAsia"/>
        </w:rPr>
        <w:t>）max+V</w:t>
      </w:r>
      <w:r>
        <w:rPr>
          <w:rFonts w:hint="eastAsia"/>
          <w:vertAlign w:val="subscript"/>
        </w:rPr>
        <w:t>4</w:t>
      </w:r>
      <w:r>
        <w:rPr>
          <w:rFonts w:hint="eastAsia"/>
        </w:rPr>
        <w:t>+V</w:t>
      </w:r>
      <w:r>
        <w:rPr>
          <w:rFonts w:hint="eastAsia"/>
          <w:vertAlign w:val="subscript"/>
        </w:rPr>
        <w:t>5</w:t>
      </w:r>
      <w:r>
        <w:rPr>
          <w:rFonts w:hint="eastAsia"/>
        </w:rPr>
        <w:t>=</w:t>
      </w:r>
      <w:r>
        <w:t>540+9.45+2.6=552.05</w:t>
      </w:r>
      <w:r>
        <w:rPr>
          <w:rFonts w:hint="eastAsia"/>
        </w:rPr>
        <w:t>m</w:t>
      </w:r>
      <w:r>
        <w:rPr>
          <w:vertAlign w:val="superscript"/>
        </w:rPr>
        <w:t>3</w:t>
      </w:r>
    </w:p>
    <w:p w14:paraId="5B6763AC">
      <w:pPr>
        <w:ind w:firstLine="480"/>
      </w:pPr>
      <w:r>
        <w:rPr>
          <w:rFonts w:hint="eastAsia"/>
        </w:rPr>
        <w:t>综上，经过计算本项目应设置事故应急池容积大于</w:t>
      </w:r>
      <w:r>
        <w:t>552.05</w:t>
      </w:r>
      <w:r>
        <w:rPr>
          <w:rFonts w:hint="eastAsia"/>
        </w:rPr>
        <w:t>m</w:t>
      </w:r>
      <w:r>
        <w:rPr>
          <w:rFonts w:hint="eastAsia"/>
          <w:vertAlign w:val="superscript"/>
        </w:rPr>
        <w:t>3</w:t>
      </w:r>
      <w:r>
        <w:rPr>
          <w:rFonts w:hint="eastAsia"/>
        </w:rPr>
        <w:t>，根据设计资料，事故应急池容积为</w:t>
      </w:r>
      <w:r>
        <w:t>750</w:t>
      </w:r>
      <w:r>
        <w:rPr>
          <w:rFonts w:hint="eastAsia"/>
        </w:rPr>
        <w:t>m</w:t>
      </w:r>
      <w:r>
        <w:rPr>
          <w:rFonts w:hint="eastAsia"/>
          <w:vertAlign w:val="superscript"/>
        </w:rPr>
        <w:t>3</w:t>
      </w:r>
      <w:r>
        <w:rPr>
          <w:rFonts w:hint="eastAsia"/>
        </w:rPr>
        <w:t>，满足本项目消防、应急事故废水存放。</w:t>
      </w:r>
    </w:p>
    <w:p w14:paraId="7DF4170D">
      <w:pPr>
        <w:ind w:firstLine="480"/>
      </w:pPr>
      <w:r>
        <w:rPr>
          <w:rFonts w:hint="eastAsia"/>
        </w:rPr>
        <w:t>根据《环境影响评价技术导则 地下水环境》（HJ610-2016）中关于地下水污染分区防渗的要求，对项目占地区域的地面采用相应的措施进行防渗处理，以达到各防渗区的防渗技术要求，防止污染物下渗造成地下水污染，具体的防渗措施参照《石油化工工程防渗技术规范》（GB/T50934-2013）。</w:t>
      </w:r>
    </w:p>
    <w:p w14:paraId="426BB616">
      <w:pPr>
        <w:ind w:firstLine="480"/>
      </w:pPr>
      <w:r>
        <w:rPr>
          <w:rFonts w:hint="eastAsia"/>
        </w:rPr>
        <w:t>本次评价要求应急事故池防渗</w:t>
      </w:r>
      <w:r>
        <w:t>采用</w:t>
      </w:r>
      <w:r>
        <w:rPr>
          <w:rFonts w:ascii="宋体" w:hAnsi="宋体"/>
        </w:rPr>
        <w:t>“</w:t>
      </w:r>
      <w:r>
        <w:t>长丝无纺土工布+2mm厚HDPE土工膜+长丝无纺土工布+1.0m厚度粘土或原土夯实</w:t>
      </w:r>
      <w:r>
        <w:rPr>
          <w:rFonts w:ascii="宋体" w:hAnsi="宋体"/>
        </w:rPr>
        <w:t>”</w:t>
      </w:r>
      <w:r>
        <w:t>的防渗方式</w:t>
      </w:r>
      <w:r>
        <w:rPr>
          <w:rFonts w:hint="eastAsia"/>
        </w:rPr>
        <w:t>，防渗技术要求为：</w:t>
      </w:r>
      <w:r>
        <w:t>复合防渗措施，防渗层渗透系数≤10</w:t>
      </w:r>
      <w:r>
        <w:rPr>
          <w:vertAlign w:val="superscript"/>
        </w:rPr>
        <w:t>-10</w:t>
      </w:r>
      <w:r>
        <w:t>cm/s</w:t>
      </w:r>
      <w:r>
        <w:rPr>
          <w:rFonts w:hint="eastAsia"/>
        </w:rPr>
        <w:t>。</w:t>
      </w:r>
    </w:p>
    <w:p w14:paraId="3C4FA707">
      <w:pPr>
        <w:ind w:firstLine="480"/>
      </w:pPr>
      <w:r>
        <w:rPr>
          <w:rFonts w:hint="eastAsia"/>
        </w:rPr>
        <w:t>（6）本项目设置2处罐区，1</w:t>
      </w:r>
      <w:r>
        <w:t>#</w:t>
      </w:r>
      <w:r>
        <w:rPr>
          <w:rFonts w:hint="eastAsia"/>
        </w:rPr>
        <w:t>罐区储罐共2</w:t>
      </w:r>
      <w:r>
        <w:t>0</w:t>
      </w:r>
      <w:r>
        <w:rPr>
          <w:rFonts w:hint="eastAsia"/>
        </w:rPr>
        <w:t>个，2</w:t>
      </w:r>
      <w:r>
        <w:t>#</w:t>
      </w:r>
      <w:r>
        <w:rPr>
          <w:rFonts w:hint="eastAsia"/>
        </w:rPr>
        <w:t>罐区储罐共</w:t>
      </w:r>
      <w:r>
        <w:t>9</w:t>
      </w:r>
      <w:r>
        <w:rPr>
          <w:rFonts w:hint="eastAsia"/>
        </w:rPr>
        <w:t>个，包括原料储罐和产品储罐，每个储罐容积及储存均为</w:t>
      </w:r>
      <w:r>
        <w:t>φ12000×9000</w:t>
      </w:r>
      <w:r>
        <w:rPr>
          <w:rFonts w:hint="eastAsia"/>
        </w:rPr>
        <w:t>mm</w:t>
      </w:r>
      <w:r>
        <w:t>，V=1000m</w:t>
      </w:r>
      <w:r>
        <w:rPr>
          <w:vertAlign w:val="superscript"/>
        </w:rPr>
        <w:t>3</w:t>
      </w:r>
      <w:r>
        <w:rPr>
          <w:rFonts w:hint="eastAsia"/>
        </w:rPr>
        <w:t>，集中布设在厂区中部，距离事故应急水池距离较近，当发生储罐、管线破裂等泄漏事故时，能及时进行收集。本项目最大的储罐总容积为</w:t>
      </w:r>
      <w:r>
        <w:t>1000</w:t>
      </w:r>
      <w:r>
        <w:rPr>
          <w:rFonts w:hint="eastAsia"/>
        </w:rPr>
        <w:t>m</w:t>
      </w:r>
      <w:r>
        <w:rPr>
          <w:vertAlign w:val="superscript"/>
        </w:rPr>
        <w:t>3</w:t>
      </w:r>
      <w:r>
        <w:rPr>
          <w:rFonts w:hint="eastAsia"/>
        </w:rPr>
        <w:t>，储罐区域面积为</w:t>
      </w:r>
      <w:r>
        <w:t>1#</w:t>
      </w:r>
      <w:r>
        <w:rPr>
          <w:rFonts w:hint="eastAsia"/>
        </w:rPr>
        <w:t>罐区7</w:t>
      </w:r>
      <w:r>
        <w:t>553</w:t>
      </w:r>
      <w:r>
        <w:rPr>
          <w:rFonts w:hint="eastAsia"/>
        </w:rPr>
        <w:t>m</w:t>
      </w:r>
      <w:r>
        <w:rPr>
          <w:vertAlign w:val="superscript"/>
        </w:rPr>
        <w:t>2</w:t>
      </w:r>
      <w:r>
        <w:rPr>
          <w:rFonts w:hint="eastAsia"/>
        </w:rPr>
        <w:t>和</w:t>
      </w:r>
      <w:r>
        <w:t>2#</w:t>
      </w:r>
      <w:r>
        <w:rPr>
          <w:rFonts w:hint="eastAsia"/>
        </w:rPr>
        <w:t>罐区</w:t>
      </w:r>
      <w:r>
        <w:t>3364</w:t>
      </w:r>
      <w:r>
        <w:rPr>
          <w:rFonts w:hint="eastAsia"/>
        </w:rPr>
        <w:t>m</w:t>
      </w:r>
      <w:r>
        <w:rPr>
          <w:vertAlign w:val="superscript"/>
        </w:rPr>
        <w:t>2</w:t>
      </w:r>
      <w:r>
        <w:rPr>
          <w:rFonts w:hint="eastAsia"/>
        </w:rPr>
        <w:t>，参考《石油化工工程防渗技术规范》（GB/T50934-2013）中对于围堰的要求，围堰高度不得低于0</w:t>
      </w:r>
      <w:r>
        <w:t>.5</w:t>
      </w:r>
      <w:r>
        <w:rPr>
          <w:rFonts w:hint="eastAsia"/>
        </w:rPr>
        <w:t>m，本项目泄漏事故考虑原料储罐某中个储罐完全泄漏，综上所述，本项目围堰设置高度为</w:t>
      </w:r>
      <w:r>
        <w:t>1.0</w:t>
      </w:r>
      <w:r>
        <w:rPr>
          <w:rFonts w:hint="eastAsia"/>
        </w:rPr>
        <w:t>m。并对围堰区域内进行重点防渗，采</w:t>
      </w:r>
      <w:r>
        <w:t>用</w:t>
      </w:r>
      <w:r>
        <w:rPr>
          <w:rFonts w:ascii="宋体" w:hAnsi="宋体"/>
        </w:rPr>
        <w:t>“</w:t>
      </w:r>
      <w:r>
        <w:t>长丝无纺土工布+2mm厚HDPE土工膜+长丝无纺土工布+1.0m厚度粘土或原土夯实</w:t>
      </w:r>
      <w:r>
        <w:rPr>
          <w:rFonts w:ascii="宋体" w:hAnsi="宋体"/>
        </w:rPr>
        <w:t>”</w:t>
      </w:r>
      <w:r>
        <w:t>的防渗方式</w:t>
      </w:r>
      <w:r>
        <w:rPr>
          <w:rFonts w:hint="eastAsia"/>
        </w:rPr>
        <w:t>，防渗技术要求为：</w:t>
      </w:r>
      <w:r>
        <w:t>复合防渗措施，防渗层渗透系数≤10</w:t>
      </w:r>
      <w:r>
        <w:rPr>
          <w:vertAlign w:val="superscript"/>
        </w:rPr>
        <w:t>-10</w:t>
      </w:r>
      <w:r>
        <w:t>cm/s</w:t>
      </w:r>
      <w:r>
        <w:rPr>
          <w:rFonts w:hint="eastAsia"/>
        </w:rPr>
        <w:t>，满足《石油化工工程防渗技术规范》（GB/T50934-2013）等相关要求。</w:t>
      </w:r>
    </w:p>
    <w:p w14:paraId="7AB15561">
      <w:pPr>
        <w:ind w:firstLine="480"/>
      </w:pPr>
      <w:r>
        <w:rPr>
          <w:rFonts w:hint="eastAsia"/>
        </w:rPr>
        <w:t>（7）泄漏事故应急处置方案</w:t>
      </w:r>
    </w:p>
    <w:p w14:paraId="762148D9">
      <w:pPr>
        <w:ind w:firstLine="480"/>
      </w:pPr>
      <w:r>
        <w:rPr>
          <w:rFonts w:hint="eastAsia"/>
        </w:rPr>
        <w:t>当出现少量泄漏时由操作人员配备必要的安全防护用品，自行处置。</w:t>
      </w:r>
    </w:p>
    <w:p w14:paraId="66D1C9AE">
      <w:pPr>
        <w:ind w:firstLine="480"/>
      </w:pPr>
      <w:r>
        <w:rPr>
          <w:rFonts w:hint="eastAsia" w:ascii="宋体" w:hAnsi="宋体" w:cs="宋体"/>
        </w:rPr>
        <w:t>①</w:t>
      </w:r>
      <w:r>
        <w:rPr>
          <w:rFonts w:hint="eastAsia"/>
        </w:rPr>
        <w:t>当出现泄漏事故时，应第一时间疏散无关人员，立即组织应急指挥部，根据应急预案要求，及时通知其他工作人员作好应急准备，条件允许时，要立即切断泄漏源。</w:t>
      </w:r>
    </w:p>
    <w:p w14:paraId="66121869">
      <w:pPr>
        <w:ind w:firstLine="480"/>
      </w:pPr>
      <w:r>
        <w:rPr>
          <w:rFonts w:hint="eastAsia" w:ascii="宋体" w:hAnsi="宋体" w:cs="宋体"/>
        </w:rPr>
        <w:t>②</w:t>
      </w:r>
      <w:r>
        <w:rPr>
          <w:rFonts w:hint="eastAsia"/>
        </w:rPr>
        <w:t>在保障安全的前提下用砂土、干燥石灰或苏打灰混合。也可以用大量水冲洗，清水稀释后放入废水系统；</w:t>
      </w:r>
    </w:p>
    <w:p w14:paraId="2EDB8376">
      <w:pPr>
        <w:ind w:firstLine="480"/>
      </w:pPr>
      <w:r>
        <w:rPr>
          <w:rFonts w:hint="eastAsia" w:ascii="宋体" w:hAnsi="宋体" w:cs="宋体"/>
        </w:rPr>
        <w:t>③</w:t>
      </w:r>
      <w:r>
        <w:rPr>
          <w:rFonts w:hint="eastAsia"/>
        </w:rPr>
        <w:t>在发生泄漏时，首先熄灭所有明火、隔绝一切火源，切断经过危险化学品仓库附近的电源，防止发生燃烧；小量泄漏：用砂土、干燥石灰或苏打灰混合。也可以用大量水冲洗，清水稀释后放入废水系统。大量泄漏：构筑围堤或挖坑收容。用泵转移至槽车或专用收集器内，回收或运至化学物品处理场所处置。对于润滑油罐体泄漏，操作人员需立即关闭泄漏罐阀门和未泄漏罐阀门，采取措施封堵泄漏点。</w:t>
      </w:r>
    </w:p>
    <w:p w14:paraId="212DC4AA">
      <w:pPr>
        <w:ind w:firstLine="480"/>
      </w:pPr>
      <w:r>
        <w:rPr>
          <w:rFonts w:hint="eastAsia" w:ascii="宋体" w:hAnsi="宋体" w:cs="宋体"/>
        </w:rPr>
        <w:t>④</w:t>
      </w:r>
      <w:r>
        <w:rPr>
          <w:rFonts w:hint="eastAsia"/>
        </w:rPr>
        <w:t>进入现场抢险人员须配正压式空气呼吸器，防护服，防护眼镜，长靴，防护手套，准备好20包沙包及塑料薄膜备用，主要用来防止雨天废水外泄污染环境。</w:t>
      </w:r>
    </w:p>
    <w:p w14:paraId="4BF73B91">
      <w:pPr>
        <w:ind w:firstLine="480"/>
      </w:pPr>
      <w:r>
        <w:rPr>
          <w:rFonts w:hint="eastAsia" w:ascii="宋体" w:hAnsi="宋体" w:cs="宋体"/>
        </w:rPr>
        <w:t>⑤</w:t>
      </w:r>
      <w:r>
        <w:rPr>
          <w:rFonts w:hint="eastAsia"/>
        </w:rPr>
        <w:t>现场处理队迅速将警戒区及污染区内与事故应急处理无关的人员撤离，以减少不必要的人员伤亡。当可能威胁到周边单位安全时，现场指挥部应根据事故类型和等级，划定危险区域，并通过电话或派人至相应区域告知周边单位。</w:t>
      </w:r>
    </w:p>
    <w:p w14:paraId="26318630">
      <w:pPr>
        <w:ind w:firstLine="480"/>
      </w:pPr>
      <w:r>
        <w:rPr>
          <w:rFonts w:hint="eastAsia" w:ascii="宋体" w:hAnsi="宋体" w:cs="宋体"/>
        </w:rPr>
        <w:t>⑥</w:t>
      </w:r>
      <w:r>
        <w:rPr>
          <w:rFonts w:hint="eastAsia"/>
        </w:rPr>
        <w:t>对被污染的机器、设备、设施、工具、器材及防护用品等，由救援人员用喷雾水流进行集中洗消，冲洗的水同一收集再进行处置，防止二次污染，冲洗的水同一收集再进行处置，现场处理完毕后，对环境进行检测和评估，不应留下任何隐患。</w:t>
      </w:r>
    </w:p>
    <w:p w14:paraId="753679AF">
      <w:pPr>
        <w:ind w:firstLine="480"/>
      </w:pPr>
      <w:r>
        <w:rPr>
          <w:rFonts w:hint="eastAsia"/>
        </w:rPr>
        <w:t>（8）环境风险三级防控</w:t>
      </w:r>
    </w:p>
    <w:p w14:paraId="403709A1">
      <w:pPr>
        <w:ind w:firstLine="480"/>
      </w:pPr>
      <w:r>
        <w:t>针对</w:t>
      </w:r>
      <w:r>
        <w:rPr>
          <w:rFonts w:hint="eastAsia"/>
        </w:rPr>
        <w:t>本</w:t>
      </w:r>
      <w:r>
        <w:t>项目污染物来源及其特性，以实现达标排放和满足应急处置为原则，建立污染源头、处理过程和最终排放的</w:t>
      </w:r>
      <w:r>
        <w:rPr>
          <w:rFonts w:ascii="宋体" w:hAnsi="宋体"/>
        </w:rPr>
        <w:t>“三级防控”</w:t>
      </w:r>
      <w:r>
        <w:t>机制。</w:t>
      </w:r>
    </w:p>
    <w:p w14:paraId="6ED030C3">
      <w:pPr>
        <w:ind w:firstLine="480"/>
      </w:pPr>
      <w:r>
        <w:t>一级预防控制措施：贮罐区相关地面均设立围堰，对装置区和</w:t>
      </w:r>
      <w:r>
        <w:rPr>
          <w:rFonts w:hint="eastAsia"/>
        </w:rPr>
        <w:t>储罐</w:t>
      </w:r>
      <w:r>
        <w:t>区相关地面围堰的排水口设闸门，并设立切换设施，将含污染物的事故消防水切换至事故</w:t>
      </w:r>
      <w:r>
        <w:rPr>
          <w:rFonts w:hint="eastAsia"/>
        </w:rPr>
        <w:t>水</w:t>
      </w:r>
      <w:r>
        <w:t>池。</w:t>
      </w:r>
    </w:p>
    <w:p w14:paraId="044C92BB">
      <w:pPr>
        <w:ind w:firstLine="480"/>
      </w:pPr>
      <w:r>
        <w:t>二级预防控制措施：</w:t>
      </w:r>
      <w:r>
        <w:rPr>
          <w:rFonts w:hint="eastAsia"/>
        </w:rPr>
        <w:t>本项目</w:t>
      </w:r>
      <w:r>
        <w:t>设置1座750m</w:t>
      </w:r>
      <w:r>
        <w:rPr>
          <w:vertAlign w:val="superscript"/>
        </w:rPr>
        <w:t>3</w:t>
      </w:r>
      <w:r>
        <w:t>的</w:t>
      </w:r>
      <w:r>
        <w:rPr>
          <w:rFonts w:hint="eastAsia"/>
        </w:rPr>
        <w:t>应急中转</w:t>
      </w:r>
      <w:r>
        <w:t>池，当事故发生后，事故废水通过</w:t>
      </w:r>
      <w:r>
        <w:rPr>
          <w:rFonts w:hint="eastAsia"/>
        </w:rPr>
        <w:t>导流槽、水沟</w:t>
      </w:r>
      <w:r>
        <w:t>收集到</w:t>
      </w:r>
      <w:r>
        <w:rPr>
          <w:rFonts w:hint="eastAsia"/>
        </w:rPr>
        <w:t>应急中转</w:t>
      </w:r>
      <w:r>
        <w:t>池</w:t>
      </w:r>
      <w:r>
        <w:rPr>
          <w:rFonts w:hint="eastAsia"/>
        </w:rPr>
        <w:t>。最终经本项目水处理系统处理后排入园区污水处理厂。</w:t>
      </w:r>
    </w:p>
    <w:p w14:paraId="3EFD6C39">
      <w:pPr>
        <w:ind w:firstLine="480"/>
      </w:pPr>
      <w:r>
        <w:t>三级预防控制措施：事故状态下关闭</w:t>
      </w:r>
      <w:r>
        <w:rPr>
          <w:rFonts w:hint="eastAsia"/>
        </w:rPr>
        <w:t>本项目</w:t>
      </w:r>
      <w:r>
        <w:t>污水管网出口阀门，将事故状态下</w:t>
      </w:r>
      <w:r>
        <w:rPr>
          <w:rFonts w:hint="eastAsia"/>
        </w:rPr>
        <w:t>的</w:t>
      </w:r>
      <w:r>
        <w:t>污染物控制在</w:t>
      </w:r>
      <w:r>
        <w:rPr>
          <w:rFonts w:hint="eastAsia"/>
        </w:rPr>
        <w:t>厂房</w:t>
      </w:r>
      <w:r>
        <w:t>内。</w:t>
      </w:r>
    </w:p>
    <w:p w14:paraId="3C5FCB8D">
      <w:pPr>
        <w:ind w:firstLine="480"/>
      </w:pPr>
      <w:r>
        <w:t>本项目在采取上述措施后，可确保项目的</w:t>
      </w:r>
      <w:r>
        <w:rPr>
          <w:rFonts w:hint="eastAsia"/>
        </w:rPr>
        <w:t>污水处理站</w:t>
      </w:r>
      <w:r>
        <w:t>事故废水</w:t>
      </w:r>
      <w:r>
        <w:rPr>
          <w:rFonts w:hint="eastAsia"/>
        </w:rPr>
        <w:t>及时收集，有效处置</w:t>
      </w:r>
      <w:r>
        <w:t>。</w:t>
      </w:r>
    </w:p>
    <w:p w14:paraId="7BA29086">
      <w:pPr>
        <w:pStyle w:val="43"/>
      </w:pPr>
      <w:bookmarkStart w:id="563" w:name="_Toc82518833"/>
      <w:bookmarkStart w:id="564" w:name="_Toc152864246"/>
      <w:r>
        <w:rPr>
          <w:rFonts w:hint="eastAsia"/>
        </w:rPr>
        <w:t>应急预案</w:t>
      </w:r>
      <w:bookmarkEnd w:id="563"/>
      <w:bookmarkEnd w:id="564"/>
    </w:p>
    <w:p w14:paraId="4DE67D44">
      <w:pPr>
        <w:ind w:firstLine="480"/>
      </w:pPr>
      <w:r>
        <w:rPr>
          <w:rFonts w:hint="eastAsia"/>
          <w:lang w:val="zh-CN"/>
        </w:rPr>
        <w:t>本项目</w:t>
      </w:r>
      <w:r>
        <w:rPr>
          <w:lang w:val="zh-CN"/>
        </w:rPr>
        <w:t>应</w:t>
      </w:r>
      <w:r>
        <w:rPr>
          <w:rFonts w:hint="eastAsia"/>
        </w:rPr>
        <w:t>编制应急预案，并在新疆生产建设兵团第七师胡杨河市生态环境局完成备案，取得应急预案备案证明。本项目属于园区内</w:t>
      </w:r>
      <w:r>
        <w:t>建设项目</w:t>
      </w:r>
      <w:r>
        <w:rPr>
          <w:rFonts w:hint="eastAsia"/>
        </w:rPr>
        <w:t>，整体的应急体系应与园区现有应急预案衔接。园区项目应急预案进行修编，增加本项目相关内容，具体如下。</w:t>
      </w:r>
    </w:p>
    <w:p w14:paraId="4F4965BB">
      <w:pPr>
        <w:ind w:firstLine="480"/>
      </w:pPr>
      <w:r>
        <w:rPr>
          <w:rFonts w:hint="eastAsia"/>
        </w:rPr>
        <w:t>根据《企业事业单位突发环境事件应急预案备案管理办法（试行）》（环发〔2015〕4号），</w:t>
      </w:r>
      <w:r>
        <w:t>建设单位应当编制本项目的环境风险应急预案，并应当在建设项目投入生产</w:t>
      </w:r>
      <w:r>
        <w:rPr>
          <w:rFonts w:hint="eastAsia"/>
        </w:rPr>
        <w:t>或</w:t>
      </w:r>
      <w:r>
        <w:t>者使用前，按照该办法第十五条要求，向建设项目所在地受理部门备案</w:t>
      </w:r>
      <w:r>
        <w:rPr>
          <w:rFonts w:hint="eastAsia"/>
        </w:rPr>
        <w:t>。</w:t>
      </w:r>
    </w:p>
    <w:p w14:paraId="5DB9E7E5">
      <w:pPr>
        <w:pStyle w:val="45"/>
        <w:spacing w:before="65" w:after="65"/>
      </w:pPr>
      <w:r>
        <w:rPr>
          <w:rFonts w:hint="eastAsia"/>
        </w:rPr>
        <w:t>应急组织机构</w:t>
      </w:r>
    </w:p>
    <w:p w14:paraId="40802CB1">
      <w:pPr>
        <w:ind w:firstLine="480"/>
      </w:pPr>
      <w:r>
        <w:rPr>
          <w:rFonts w:hint="eastAsia"/>
        </w:rPr>
        <w:t>公司建立突发环境事件应急救援领导小组，由董事长任组长、总经理助理任副组长，小组成员由生产部、财务部、采购部、行政部、技质部、维修车间、生产车间主任等部门负责人组成。</w:t>
      </w:r>
      <w:r>
        <w:t>公司内部24小时接警联系电话：15299810982。</w:t>
      </w:r>
    </w:p>
    <w:p w14:paraId="7066DD6F">
      <w:pPr>
        <w:adjustRightInd w:val="0"/>
        <w:snapToGrid w:val="0"/>
        <w:spacing w:line="240" w:lineRule="auto"/>
        <w:ind w:firstLine="0" w:firstLineChars="0"/>
        <w:jc w:val="center"/>
      </w:pPr>
      <w:r>
        <w:drawing>
          <wp:inline distT="0" distB="0" distL="114300" distR="114300">
            <wp:extent cx="4914900" cy="1943100"/>
            <wp:effectExtent l="0" t="0" r="0" b="0"/>
            <wp:docPr id="4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8"/>
                    <pic:cNvPicPr>
                      <a:picLocks noChangeAspect="1"/>
                    </pic:cNvPicPr>
                  </pic:nvPicPr>
                  <pic:blipFill>
                    <a:blip r:embed="rId99"/>
                    <a:stretch>
                      <a:fillRect/>
                    </a:stretch>
                  </pic:blipFill>
                  <pic:spPr>
                    <a:xfrm>
                      <a:off x="0" y="0"/>
                      <a:ext cx="4914900" cy="1943100"/>
                    </a:xfrm>
                    <a:prstGeom prst="rect">
                      <a:avLst/>
                    </a:prstGeom>
                    <a:noFill/>
                    <a:ln>
                      <a:noFill/>
                    </a:ln>
                  </pic:spPr>
                </pic:pic>
              </a:graphicData>
            </a:graphic>
          </wp:inline>
        </w:drawing>
      </w:r>
    </w:p>
    <w:p w14:paraId="050BB45E">
      <w:pPr>
        <w:pStyle w:val="49"/>
        <w:spacing w:before="163" w:after="163"/>
      </w:pPr>
      <w:r>
        <w:rPr>
          <w:rFonts w:hint="eastAsia"/>
        </w:rPr>
        <w:t>图5</w:t>
      </w:r>
      <w:r>
        <w:t xml:space="preserve">.7-3   </w:t>
      </w:r>
      <w:r>
        <w:rPr>
          <w:rFonts w:hint="eastAsia"/>
        </w:rPr>
        <w:t>应急组会组织结构图</w:t>
      </w:r>
    </w:p>
    <w:p w14:paraId="07A72C75">
      <w:pPr>
        <w:ind w:firstLine="480"/>
      </w:pPr>
      <w:r>
        <w:rPr>
          <w:rFonts w:hint="eastAsia"/>
        </w:rPr>
        <w:t>应急组织机构各部门分工职责情况见下表。</w:t>
      </w:r>
    </w:p>
    <w:p w14:paraId="19FCE92B">
      <w:pPr>
        <w:pStyle w:val="47"/>
        <w:spacing w:before="65"/>
        <w:rPr>
          <w:lang w:val="en-US"/>
        </w:rPr>
      </w:pPr>
      <w:r>
        <w:rPr>
          <w:rFonts w:hint="eastAsia"/>
        </w:rPr>
        <w:t>表5</w:t>
      </w:r>
      <w:r>
        <w:t xml:space="preserve">.7-23   </w:t>
      </w:r>
      <w:r>
        <w:rPr>
          <w:rFonts w:hint="eastAsia"/>
        </w:rPr>
        <w:t>应急组织机构各部门分工职责</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385"/>
        <w:gridCol w:w="6134"/>
      </w:tblGrid>
      <w:tr w14:paraId="4BA6D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15584A03">
            <w:pPr>
              <w:adjustRightInd w:val="0"/>
              <w:snapToGrid w:val="0"/>
              <w:spacing w:line="240" w:lineRule="auto"/>
              <w:ind w:firstLine="0" w:firstLineChars="0"/>
              <w:jc w:val="center"/>
              <w:rPr>
                <w:sz w:val="21"/>
                <w:szCs w:val="21"/>
              </w:rPr>
            </w:pPr>
            <w:r>
              <w:rPr>
                <w:rFonts w:hint="eastAsia"/>
                <w:sz w:val="21"/>
                <w:szCs w:val="21"/>
              </w:rPr>
              <w:t>机构设置</w:t>
            </w:r>
          </w:p>
        </w:tc>
        <w:tc>
          <w:tcPr>
            <w:tcW w:w="793" w:type="pct"/>
            <w:shd w:val="clear" w:color="auto" w:fill="auto"/>
            <w:tcMar>
              <w:left w:w="0" w:type="dxa"/>
              <w:right w:w="0" w:type="dxa"/>
            </w:tcMar>
            <w:vAlign w:val="center"/>
          </w:tcPr>
          <w:p w14:paraId="4EFA68AD">
            <w:pPr>
              <w:adjustRightInd w:val="0"/>
              <w:snapToGrid w:val="0"/>
              <w:spacing w:line="240" w:lineRule="auto"/>
              <w:ind w:firstLine="0" w:firstLineChars="0"/>
              <w:jc w:val="center"/>
              <w:rPr>
                <w:sz w:val="21"/>
                <w:szCs w:val="21"/>
              </w:rPr>
            </w:pPr>
            <w:r>
              <w:rPr>
                <w:rFonts w:hint="eastAsia"/>
                <w:sz w:val="21"/>
                <w:szCs w:val="21"/>
              </w:rPr>
              <w:t>成员</w:t>
            </w:r>
          </w:p>
        </w:tc>
        <w:tc>
          <w:tcPr>
            <w:tcW w:w="3513" w:type="pct"/>
            <w:shd w:val="clear" w:color="auto" w:fill="auto"/>
            <w:tcMar>
              <w:left w:w="0" w:type="dxa"/>
              <w:right w:w="0" w:type="dxa"/>
            </w:tcMar>
            <w:vAlign w:val="center"/>
          </w:tcPr>
          <w:p w14:paraId="08B89AC1">
            <w:pPr>
              <w:adjustRightInd w:val="0"/>
              <w:snapToGrid w:val="0"/>
              <w:spacing w:line="240" w:lineRule="auto"/>
              <w:ind w:firstLine="0" w:firstLineChars="0"/>
              <w:jc w:val="center"/>
              <w:rPr>
                <w:sz w:val="21"/>
                <w:szCs w:val="21"/>
              </w:rPr>
            </w:pPr>
            <w:r>
              <w:rPr>
                <w:rFonts w:hint="eastAsia"/>
                <w:sz w:val="21"/>
                <w:szCs w:val="21"/>
              </w:rPr>
              <w:t>职责</w:t>
            </w:r>
          </w:p>
        </w:tc>
      </w:tr>
      <w:tr w14:paraId="4490B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7F3143E5">
            <w:pPr>
              <w:adjustRightInd w:val="0"/>
              <w:snapToGrid w:val="0"/>
              <w:spacing w:line="240" w:lineRule="auto"/>
              <w:ind w:firstLine="0" w:firstLineChars="0"/>
              <w:jc w:val="center"/>
              <w:rPr>
                <w:sz w:val="21"/>
                <w:szCs w:val="21"/>
              </w:rPr>
            </w:pPr>
            <w:r>
              <w:rPr>
                <w:rFonts w:hint="eastAsia"/>
                <w:sz w:val="21"/>
                <w:szCs w:val="21"/>
              </w:rPr>
              <w:t>总指挥</w:t>
            </w:r>
          </w:p>
        </w:tc>
        <w:tc>
          <w:tcPr>
            <w:tcW w:w="793" w:type="pct"/>
            <w:shd w:val="clear" w:color="auto" w:fill="auto"/>
            <w:tcMar>
              <w:left w:w="0" w:type="dxa"/>
              <w:right w:w="0" w:type="dxa"/>
            </w:tcMar>
            <w:vAlign w:val="center"/>
          </w:tcPr>
          <w:p w14:paraId="1EC7C3FC">
            <w:pPr>
              <w:adjustRightInd w:val="0"/>
              <w:snapToGrid w:val="0"/>
              <w:spacing w:line="240" w:lineRule="auto"/>
              <w:ind w:firstLine="0" w:firstLineChars="0"/>
              <w:jc w:val="center"/>
              <w:rPr>
                <w:sz w:val="21"/>
                <w:szCs w:val="21"/>
              </w:rPr>
            </w:pPr>
            <w:r>
              <w:rPr>
                <w:rFonts w:hint="eastAsia"/>
                <w:sz w:val="21"/>
                <w:szCs w:val="21"/>
              </w:rPr>
              <w:t>总经理</w:t>
            </w:r>
          </w:p>
        </w:tc>
        <w:tc>
          <w:tcPr>
            <w:tcW w:w="3513" w:type="pct"/>
            <w:shd w:val="clear" w:color="auto" w:fill="auto"/>
            <w:tcMar>
              <w:left w:w="0" w:type="dxa"/>
              <w:right w:w="0" w:type="dxa"/>
            </w:tcMar>
            <w:vAlign w:val="center"/>
          </w:tcPr>
          <w:p w14:paraId="4CB9A8BD">
            <w:pPr>
              <w:adjustRightInd w:val="0"/>
              <w:snapToGrid w:val="0"/>
              <w:spacing w:line="240" w:lineRule="auto"/>
              <w:ind w:firstLine="0" w:firstLineChars="0"/>
              <w:rPr>
                <w:sz w:val="21"/>
                <w:szCs w:val="21"/>
              </w:rPr>
            </w:pPr>
            <w:r>
              <w:rPr>
                <w:sz w:val="21"/>
                <w:szCs w:val="21"/>
              </w:rPr>
              <w:t>（1）负责组织指挥全厂的应急救援工作；</w:t>
            </w:r>
          </w:p>
          <w:p w14:paraId="50C87CBA">
            <w:pPr>
              <w:adjustRightInd w:val="0"/>
              <w:snapToGrid w:val="0"/>
              <w:spacing w:line="240" w:lineRule="auto"/>
              <w:ind w:firstLine="0" w:firstLineChars="0"/>
              <w:rPr>
                <w:sz w:val="21"/>
                <w:szCs w:val="21"/>
              </w:rPr>
            </w:pPr>
            <w:r>
              <w:rPr>
                <w:sz w:val="21"/>
                <w:szCs w:val="21"/>
              </w:rPr>
              <w:t>（2）配置应急救援的人力资源、资金和应急物资；</w:t>
            </w:r>
          </w:p>
          <w:p w14:paraId="7EB73123">
            <w:pPr>
              <w:adjustRightInd w:val="0"/>
              <w:snapToGrid w:val="0"/>
              <w:spacing w:line="240" w:lineRule="auto"/>
              <w:ind w:firstLine="0" w:firstLineChars="0"/>
              <w:rPr>
                <w:sz w:val="21"/>
                <w:szCs w:val="21"/>
              </w:rPr>
            </w:pPr>
            <w:r>
              <w:rPr>
                <w:sz w:val="21"/>
                <w:szCs w:val="21"/>
              </w:rPr>
              <w:t>（3）向政府各相关部门报告事故情况及处置情况；</w:t>
            </w:r>
          </w:p>
          <w:p w14:paraId="4B69DB1C">
            <w:pPr>
              <w:adjustRightInd w:val="0"/>
              <w:snapToGrid w:val="0"/>
              <w:spacing w:line="240" w:lineRule="auto"/>
              <w:ind w:firstLine="0" w:firstLineChars="0"/>
              <w:rPr>
                <w:sz w:val="21"/>
                <w:szCs w:val="21"/>
              </w:rPr>
            </w:pPr>
            <w:r>
              <w:rPr>
                <w:sz w:val="21"/>
                <w:szCs w:val="21"/>
              </w:rPr>
              <w:t>（4）配合、协助政府部门做好事故的应急救援。</w:t>
            </w:r>
          </w:p>
        </w:tc>
      </w:tr>
      <w:tr w14:paraId="6AA2E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0ED7B8FD">
            <w:pPr>
              <w:adjustRightInd w:val="0"/>
              <w:snapToGrid w:val="0"/>
              <w:spacing w:line="240" w:lineRule="auto"/>
              <w:ind w:firstLine="0" w:firstLineChars="0"/>
              <w:jc w:val="center"/>
              <w:rPr>
                <w:sz w:val="21"/>
                <w:szCs w:val="21"/>
              </w:rPr>
            </w:pPr>
            <w:r>
              <w:rPr>
                <w:rFonts w:hint="eastAsia"/>
                <w:sz w:val="21"/>
                <w:szCs w:val="21"/>
              </w:rPr>
              <w:t>副总指挥</w:t>
            </w:r>
          </w:p>
        </w:tc>
        <w:tc>
          <w:tcPr>
            <w:tcW w:w="793" w:type="pct"/>
            <w:shd w:val="clear" w:color="auto" w:fill="auto"/>
            <w:tcMar>
              <w:left w:w="0" w:type="dxa"/>
              <w:right w:w="0" w:type="dxa"/>
            </w:tcMar>
            <w:vAlign w:val="center"/>
          </w:tcPr>
          <w:p w14:paraId="1AA90B31">
            <w:pPr>
              <w:adjustRightInd w:val="0"/>
              <w:snapToGrid w:val="0"/>
              <w:spacing w:line="240" w:lineRule="auto"/>
              <w:ind w:firstLine="0" w:firstLineChars="0"/>
              <w:jc w:val="center"/>
              <w:rPr>
                <w:sz w:val="21"/>
                <w:szCs w:val="21"/>
              </w:rPr>
            </w:pPr>
            <w:r>
              <w:rPr>
                <w:rFonts w:hint="eastAsia"/>
                <w:sz w:val="21"/>
                <w:szCs w:val="21"/>
              </w:rPr>
              <w:t>制造部部长</w:t>
            </w:r>
          </w:p>
        </w:tc>
        <w:tc>
          <w:tcPr>
            <w:tcW w:w="3513" w:type="pct"/>
            <w:shd w:val="clear" w:color="auto" w:fill="auto"/>
            <w:tcMar>
              <w:left w:w="0" w:type="dxa"/>
              <w:right w:w="0" w:type="dxa"/>
            </w:tcMar>
            <w:vAlign w:val="center"/>
          </w:tcPr>
          <w:p w14:paraId="10D9A37A">
            <w:pPr>
              <w:adjustRightInd w:val="0"/>
              <w:snapToGrid w:val="0"/>
              <w:spacing w:line="240" w:lineRule="auto"/>
              <w:ind w:firstLine="0" w:firstLineChars="0"/>
              <w:rPr>
                <w:sz w:val="21"/>
                <w:szCs w:val="21"/>
              </w:rPr>
            </w:pPr>
            <w:r>
              <w:rPr>
                <w:sz w:val="21"/>
                <w:szCs w:val="21"/>
              </w:rPr>
              <w:t>（1）协助总指挥负责应急救援的具体指挥工作。</w:t>
            </w:r>
          </w:p>
          <w:p w14:paraId="23EA0EB3">
            <w:pPr>
              <w:adjustRightInd w:val="0"/>
              <w:snapToGrid w:val="0"/>
              <w:spacing w:line="240" w:lineRule="auto"/>
              <w:ind w:firstLine="0" w:firstLineChars="0"/>
              <w:rPr>
                <w:sz w:val="21"/>
                <w:szCs w:val="21"/>
              </w:rPr>
            </w:pPr>
            <w:r>
              <w:rPr>
                <w:sz w:val="21"/>
                <w:szCs w:val="21"/>
              </w:rPr>
              <w:t>（2）协助总指挥做好事故报警、情况通报及事故处置工作。</w:t>
            </w:r>
          </w:p>
          <w:p w14:paraId="52034BBF">
            <w:pPr>
              <w:adjustRightInd w:val="0"/>
              <w:snapToGrid w:val="0"/>
              <w:spacing w:line="240" w:lineRule="auto"/>
              <w:ind w:firstLine="0" w:firstLineChars="0"/>
              <w:rPr>
                <w:sz w:val="21"/>
                <w:szCs w:val="21"/>
              </w:rPr>
            </w:pPr>
            <w:r>
              <w:rPr>
                <w:sz w:val="21"/>
                <w:szCs w:val="21"/>
              </w:rPr>
              <w:t>（3）负责灭火、警戒、治安保卫、疏散、道路管制工作。</w:t>
            </w:r>
          </w:p>
          <w:p w14:paraId="6D185C81">
            <w:pPr>
              <w:adjustRightInd w:val="0"/>
              <w:snapToGrid w:val="0"/>
              <w:spacing w:line="240" w:lineRule="auto"/>
              <w:ind w:firstLine="0" w:firstLineChars="0"/>
              <w:rPr>
                <w:sz w:val="21"/>
                <w:szCs w:val="21"/>
              </w:rPr>
            </w:pPr>
            <w:r>
              <w:rPr>
                <w:sz w:val="21"/>
                <w:szCs w:val="21"/>
              </w:rPr>
              <w:t>（4）协助总指挥负责工程抢险、抢修的现场指挥。</w:t>
            </w:r>
          </w:p>
        </w:tc>
      </w:tr>
      <w:tr w14:paraId="1405C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51A24093">
            <w:pPr>
              <w:adjustRightInd w:val="0"/>
              <w:snapToGrid w:val="0"/>
              <w:spacing w:line="240" w:lineRule="auto"/>
              <w:ind w:firstLine="0" w:firstLineChars="0"/>
              <w:jc w:val="center"/>
              <w:rPr>
                <w:sz w:val="21"/>
                <w:szCs w:val="21"/>
              </w:rPr>
            </w:pPr>
            <w:r>
              <w:rPr>
                <w:sz w:val="21"/>
                <w:szCs w:val="21"/>
              </w:rPr>
              <w:t>技术保障组</w:t>
            </w:r>
          </w:p>
        </w:tc>
        <w:tc>
          <w:tcPr>
            <w:tcW w:w="793" w:type="pct"/>
            <w:shd w:val="clear" w:color="auto" w:fill="auto"/>
            <w:tcMar>
              <w:left w:w="0" w:type="dxa"/>
              <w:right w:w="0" w:type="dxa"/>
            </w:tcMar>
            <w:vAlign w:val="center"/>
          </w:tcPr>
          <w:p w14:paraId="57C93D45">
            <w:pPr>
              <w:adjustRightInd w:val="0"/>
              <w:snapToGrid w:val="0"/>
              <w:spacing w:line="240" w:lineRule="auto"/>
              <w:ind w:firstLine="0" w:firstLineChars="0"/>
              <w:jc w:val="center"/>
              <w:rPr>
                <w:sz w:val="21"/>
                <w:szCs w:val="21"/>
              </w:rPr>
            </w:pPr>
            <w:r>
              <w:rPr>
                <w:rFonts w:hint="eastAsia"/>
                <w:sz w:val="21"/>
                <w:szCs w:val="21"/>
              </w:rPr>
              <w:t>总经理助理</w:t>
            </w:r>
          </w:p>
        </w:tc>
        <w:tc>
          <w:tcPr>
            <w:tcW w:w="3513" w:type="pct"/>
            <w:shd w:val="clear" w:color="auto" w:fill="auto"/>
            <w:tcMar>
              <w:left w:w="0" w:type="dxa"/>
              <w:right w:w="0" w:type="dxa"/>
            </w:tcMar>
            <w:vAlign w:val="center"/>
          </w:tcPr>
          <w:p w14:paraId="5FD38E7C">
            <w:pPr>
              <w:adjustRightInd w:val="0"/>
              <w:snapToGrid w:val="0"/>
              <w:spacing w:line="240" w:lineRule="auto"/>
              <w:ind w:firstLine="0" w:firstLineChars="0"/>
              <w:rPr>
                <w:sz w:val="21"/>
                <w:szCs w:val="21"/>
              </w:rPr>
            </w:pPr>
            <w:r>
              <w:rPr>
                <w:sz w:val="21"/>
                <w:szCs w:val="21"/>
              </w:rPr>
              <w:t>负责企业环境风险事故防范和应急系统相关技术支持</w:t>
            </w:r>
            <w:r>
              <w:rPr>
                <w:rFonts w:hint="eastAsia"/>
                <w:sz w:val="21"/>
                <w:szCs w:val="21"/>
              </w:rPr>
              <w:t>，参与突发环境事件应急工作；指导突发环境事件应急处置工作；为应急处置的决策和灾害评估提供咨询</w:t>
            </w:r>
            <w:r>
              <w:rPr>
                <w:sz w:val="21"/>
                <w:szCs w:val="21"/>
              </w:rPr>
              <w:t>。</w:t>
            </w:r>
          </w:p>
        </w:tc>
      </w:tr>
      <w:tr w14:paraId="24F63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3E776BFF">
            <w:pPr>
              <w:adjustRightInd w:val="0"/>
              <w:snapToGrid w:val="0"/>
              <w:spacing w:line="240" w:lineRule="auto"/>
              <w:ind w:firstLine="0" w:firstLineChars="0"/>
              <w:jc w:val="center"/>
              <w:rPr>
                <w:sz w:val="21"/>
                <w:szCs w:val="21"/>
              </w:rPr>
            </w:pPr>
            <w:r>
              <w:rPr>
                <w:sz w:val="21"/>
                <w:szCs w:val="21"/>
              </w:rPr>
              <w:t>应急救援组</w:t>
            </w:r>
          </w:p>
        </w:tc>
        <w:tc>
          <w:tcPr>
            <w:tcW w:w="793" w:type="pct"/>
            <w:shd w:val="clear" w:color="auto" w:fill="auto"/>
            <w:tcMar>
              <w:left w:w="0" w:type="dxa"/>
              <w:right w:w="0" w:type="dxa"/>
            </w:tcMar>
            <w:vAlign w:val="center"/>
          </w:tcPr>
          <w:p w14:paraId="5E81A3C5">
            <w:pPr>
              <w:adjustRightInd w:val="0"/>
              <w:snapToGrid w:val="0"/>
              <w:spacing w:line="240" w:lineRule="auto"/>
              <w:ind w:firstLine="0" w:firstLineChars="0"/>
              <w:jc w:val="center"/>
              <w:rPr>
                <w:sz w:val="21"/>
                <w:szCs w:val="21"/>
              </w:rPr>
            </w:pPr>
            <w:r>
              <w:rPr>
                <w:rFonts w:hint="eastAsia"/>
                <w:sz w:val="21"/>
                <w:szCs w:val="21"/>
              </w:rPr>
              <w:t>车间主任</w:t>
            </w:r>
          </w:p>
        </w:tc>
        <w:tc>
          <w:tcPr>
            <w:tcW w:w="3513" w:type="pct"/>
            <w:shd w:val="clear" w:color="auto" w:fill="auto"/>
            <w:tcMar>
              <w:left w:w="0" w:type="dxa"/>
              <w:right w:w="0" w:type="dxa"/>
            </w:tcMar>
            <w:vAlign w:val="center"/>
          </w:tcPr>
          <w:p w14:paraId="5EC9B9E7">
            <w:pPr>
              <w:adjustRightInd w:val="0"/>
              <w:snapToGrid w:val="0"/>
              <w:spacing w:line="240" w:lineRule="auto"/>
              <w:ind w:firstLine="0" w:firstLineChars="0"/>
              <w:rPr>
                <w:sz w:val="21"/>
                <w:szCs w:val="21"/>
              </w:rPr>
            </w:pPr>
            <w:r>
              <w:rPr>
                <w:sz w:val="21"/>
                <w:szCs w:val="21"/>
              </w:rPr>
              <w:t>（1）对发生故障的设备进行抢修。</w:t>
            </w:r>
          </w:p>
          <w:p w14:paraId="27D6D88B">
            <w:pPr>
              <w:adjustRightInd w:val="0"/>
              <w:snapToGrid w:val="0"/>
              <w:spacing w:line="240" w:lineRule="auto"/>
              <w:ind w:firstLine="0" w:firstLineChars="0"/>
              <w:rPr>
                <w:sz w:val="21"/>
                <w:szCs w:val="21"/>
              </w:rPr>
            </w:pPr>
            <w:r>
              <w:rPr>
                <w:sz w:val="21"/>
                <w:szCs w:val="21"/>
              </w:rPr>
              <w:t>（2）了解各种抢修工具、器械、配件的用途、存放地点、数量，并妥善保管。</w:t>
            </w:r>
          </w:p>
          <w:p w14:paraId="42E1AAB4">
            <w:pPr>
              <w:adjustRightInd w:val="0"/>
              <w:snapToGrid w:val="0"/>
              <w:spacing w:line="240" w:lineRule="auto"/>
              <w:ind w:firstLine="0" w:firstLineChars="0"/>
              <w:rPr>
                <w:sz w:val="21"/>
                <w:szCs w:val="21"/>
              </w:rPr>
            </w:pPr>
            <w:r>
              <w:rPr>
                <w:sz w:val="21"/>
                <w:szCs w:val="21"/>
              </w:rPr>
              <w:t>（3）负责火灾、爆炸现场的事故的扑救、处理工作；同时冷却着火点邻近的危险目标，有条件时转移危险物品，事故扩大时应及时撤离现场。</w:t>
            </w:r>
          </w:p>
        </w:tc>
      </w:tr>
      <w:tr w14:paraId="02A5E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079BF792">
            <w:pPr>
              <w:adjustRightInd w:val="0"/>
              <w:snapToGrid w:val="0"/>
              <w:spacing w:line="240" w:lineRule="auto"/>
              <w:ind w:firstLine="0" w:firstLineChars="0"/>
              <w:jc w:val="center"/>
              <w:rPr>
                <w:sz w:val="21"/>
                <w:szCs w:val="21"/>
              </w:rPr>
            </w:pPr>
            <w:r>
              <w:rPr>
                <w:sz w:val="21"/>
                <w:szCs w:val="21"/>
              </w:rPr>
              <w:t>工程抢险组</w:t>
            </w:r>
          </w:p>
        </w:tc>
        <w:tc>
          <w:tcPr>
            <w:tcW w:w="793" w:type="pct"/>
            <w:shd w:val="clear" w:color="auto" w:fill="auto"/>
            <w:tcMar>
              <w:left w:w="0" w:type="dxa"/>
              <w:right w:w="0" w:type="dxa"/>
            </w:tcMar>
            <w:vAlign w:val="center"/>
          </w:tcPr>
          <w:p w14:paraId="40D60625">
            <w:pPr>
              <w:adjustRightInd w:val="0"/>
              <w:snapToGrid w:val="0"/>
              <w:spacing w:line="240" w:lineRule="auto"/>
              <w:ind w:firstLine="0" w:firstLineChars="0"/>
              <w:jc w:val="center"/>
              <w:rPr>
                <w:sz w:val="21"/>
                <w:szCs w:val="21"/>
              </w:rPr>
            </w:pPr>
            <w:r>
              <w:rPr>
                <w:rFonts w:hint="eastAsia"/>
                <w:sz w:val="21"/>
                <w:szCs w:val="21"/>
              </w:rPr>
              <w:t>维修车间主任及成员</w:t>
            </w:r>
          </w:p>
        </w:tc>
        <w:tc>
          <w:tcPr>
            <w:tcW w:w="3513" w:type="pct"/>
            <w:shd w:val="clear" w:color="auto" w:fill="auto"/>
            <w:tcMar>
              <w:left w:w="0" w:type="dxa"/>
              <w:right w:w="0" w:type="dxa"/>
            </w:tcMar>
            <w:vAlign w:val="center"/>
          </w:tcPr>
          <w:p w14:paraId="6E6840E4">
            <w:pPr>
              <w:adjustRightInd w:val="0"/>
              <w:snapToGrid w:val="0"/>
              <w:spacing w:line="240" w:lineRule="auto"/>
              <w:ind w:firstLine="0" w:firstLineChars="0"/>
              <w:rPr>
                <w:sz w:val="21"/>
                <w:szCs w:val="21"/>
              </w:rPr>
            </w:pPr>
            <w:r>
              <w:rPr>
                <w:sz w:val="21"/>
                <w:szCs w:val="21"/>
              </w:rPr>
              <w:t>负责现场抢险救援、负责事故处置时生产系统开、停车调度工作。</w:t>
            </w:r>
          </w:p>
        </w:tc>
      </w:tr>
      <w:tr w14:paraId="784DB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5B3791A4">
            <w:pPr>
              <w:adjustRightInd w:val="0"/>
              <w:snapToGrid w:val="0"/>
              <w:spacing w:line="240" w:lineRule="auto"/>
              <w:ind w:firstLine="0" w:firstLineChars="0"/>
              <w:jc w:val="center"/>
              <w:rPr>
                <w:sz w:val="21"/>
                <w:szCs w:val="21"/>
              </w:rPr>
            </w:pPr>
            <w:r>
              <w:rPr>
                <w:sz w:val="21"/>
                <w:szCs w:val="21"/>
              </w:rPr>
              <w:t>应急监测组</w:t>
            </w:r>
          </w:p>
        </w:tc>
        <w:tc>
          <w:tcPr>
            <w:tcW w:w="793" w:type="pct"/>
            <w:shd w:val="clear" w:color="auto" w:fill="auto"/>
            <w:tcMar>
              <w:left w:w="0" w:type="dxa"/>
              <w:right w:w="0" w:type="dxa"/>
            </w:tcMar>
            <w:vAlign w:val="center"/>
          </w:tcPr>
          <w:p w14:paraId="4A22984B">
            <w:pPr>
              <w:adjustRightInd w:val="0"/>
              <w:snapToGrid w:val="0"/>
              <w:spacing w:line="240" w:lineRule="auto"/>
              <w:ind w:firstLine="0" w:firstLineChars="0"/>
              <w:jc w:val="center"/>
              <w:rPr>
                <w:sz w:val="21"/>
                <w:szCs w:val="21"/>
              </w:rPr>
            </w:pPr>
            <w:r>
              <w:rPr>
                <w:rFonts w:hint="eastAsia"/>
                <w:sz w:val="21"/>
                <w:szCs w:val="21"/>
              </w:rPr>
              <w:t>技质部经理</w:t>
            </w:r>
          </w:p>
        </w:tc>
        <w:tc>
          <w:tcPr>
            <w:tcW w:w="3513" w:type="pct"/>
            <w:shd w:val="clear" w:color="auto" w:fill="auto"/>
            <w:tcMar>
              <w:left w:w="0" w:type="dxa"/>
              <w:right w:w="0" w:type="dxa"/>
            </w:tcMar>
            <w:vAlign w:val="center"/>
          </w:tcPr>
          <w:p w14:paraId="65FCC727">
            <w:pPr>
              <w:adjustRightInd w:val="0"/>
              <w:snapToGrid w:val="0"/>
              <w:spacing w:line="240" w:lineRule="auto"/>
              <w:ind w:firstLine="0" w:firstLineChars="0"/>
              <w:rPr>
                <w:sz w:val="21"/>
                <w:szCs w:val="21"/>
              </w:rPr>
            </w:pPr>
            <w:r>
              <w:rPr>
                <w:sz w:val="21"/>
                <w:szCs w:val="21"/>
              </w:rPr>
              <w:t>负责环境污染物的监测、分析工作，如不能分析指标，请求质检科协助。</w:t>
            </w:r>
          </w:p>
        </w:tc>
      </w:tr>
      <w:tr w14:paraId="2A7B6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17A9721B">
            <w:pPr>
              <w:adjustRightInd w:val="0"/>
              <w:snapToGrid w:val="0"/>
              <w:spacing w:line="240" w:lineRule="auto"/>
              <w:ind w:firstLine="0" w:firstLineChars="0"/>
              <w:jc w:val="center"/>
              <w:rPr>
                <w:sz w:val="21"/>
                <w:szCs w:val="21"/>
              </w:rPr>
            </w:pPr>
            <w:r>
              <w:rPr>
                <w:sz w:val="21"/>
                <w:szCs w:val="21"/>
              </w:rPr>
              <w:t>通讯联络组</w:t>
            </w:r>
          </w:p>
        </w:tc>
        <w:tc>
          <w:tcPr>
            <w:tcW w:w="793" w:type="pct"/>
            <w:shd w:val="clear" w:color="auto" w:fill="auto"/>
            <w:tcMar>
              <w:left w:w="0" w:type="dxa"/>
              <w:right w:w="0" w:type="dxa"/>
            </w:tcMar>
            <w:vAlign w:val="center"/>
          </w:tcPr>
          <w:p w14:paraId="4F1CEA3D">
            <w:pPr>
              <w:adjustRightInd w:val="0"/>
              <w:snapToGrid w:val="0"/>
              <w:spacing w:line="240" w:lineRule="auto"/>
              <w:ind w:firstLine="0" w:firstLineChars="0"/>
              <w:jc w:val="center"/>
              <w:rPr>
                <w:sz w:val="21"/>
                <w:szCs w:val="21"/>
              </w:rPr>
            </w:pPr>
            <w:r>
              <w:rPr>
                <w:rFonts w:hint="eastAsia"/>
                <w:sz w:val="21"/>
                <w:szCs w:val="21"/>
              </w:rPr>
              <w:t>生产部经理</w:t>
            </w:r>
          </w:p>
        </w:tc>
        <w:tc>
          <w:tcPr>
            <w:tcW w:w="3513" w:type="pct"/>
            <w:shd w:val="clear" w:color="auto" w:fill="auto"/>
            <w:tcMar>
              <w:left w:w="0" w:type="dxa"/>
              <w:right w:w="0" w:type="dxa"/>
            </w:tcMar>
            <w:vAlign w:val="center"/>
          </w:tcPr>
          <w:p w14:paraId="28F61ACA">
            <w:pPr>
              <w:adjustRightInd w:val="0"/>
              <w:snapToGrid w:val="0"/>
              <w:spacing w:line="240" w:lineRule="auto"/>
              <w:ind w:firstLine="0" w:firstLineChars="0"/>
              <w:rPr>
                <w:sz w:val="21"/>
                <w:szCs w:val="21"/>
              </w:rPr>
            </w:pPr>
            <w:r>
              <w:rPr>
                <w:sz w:val="21"/>
                <w:szCs w:val="21"/>
              </w:rPr>
              <w:t>（1）保障事故现场的通讯畅通。</w:t>
            </w:r>
          </w:p>
          <w:p w14:paraId="49A30EF5">
            <w:pPr>
              <w:adjustRightInd w:val="0"/>
              <w:snapToGrid w:val="0"/>
              <w:spacing w:line="240" w:lineRule="auto"/>
              <w:ind w:firstLine="0" w:firstLineChars="0"/>
              <w:rPr>
                <w:sz w:val="21"/>
                <w:szCs w:val="21"/>
              </w:rPr>
            </w:pPr>
            <w:r>
              <w:rPr>
                <w:sz w:val="21"/>
                <w:szCs w:val="21"/>
              </w:rPr>
              <w:t>（2）确保岗位防爆对讲机、通讯电话保持内外部畅通，建立并不断完善应急状态下的通讯系统，确保应急工作中通讯畅通。</w:t>
            </w:r>
          </w:p>
        </w:tc>
      </w:tr>
      <w:tr w14:paraId="0085C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5B29143E">
            <w:pPr>
              <w:adjustRightInd w:val="0"/>
              <w:snapToGrid w:val="0"/>
              <w:spacing w:line="240" w:lineRule="auto"/>
              <w:ind w:firstLine="0" w:firstLineChars="0"/>
              <w:jc w:val="center"/>
              <w:rPr>
                <w:sz w:val="21"/>
                <w:szCs w:val="21"/>
              </w:rPr>
            </w:pPr>
            <w:r>
              <w:rPr>
                <w:sz w:val="21"/>
                <w:szCs w:val="21"/>
              </w:rPr>
              <w:t>治安保卫组</w:t>
            </w:r>
          </w:p>
        </w:tc>
        <w:tc>
          <w:tcPr>
            <w:tcW w:w="793" w:type="pct"/>
            <w:shd w:val="clear" w:color="auto" w:fill="auto"/>
            <w:tcMar>
              <w:left w:w="0" w:type="dxa"/>
              <w:right w:w="0" w:type="dxa"/>
            </w:tcMar>
            <w:vAlign w:val="center"/>
          </w:tcPr>
          <w:p w14:paraId="1932FFAF">
            <w:pPr>
              <w:adjustRightInd w:val="0"/>
              <w:snapToGrid w:val="0"/>
              <w:spacing w:line="240" w:lineRule="auto"/>
              <w:ind w:firstLine="0" w:firstLineChars="0"/>
              <w:jc w:val="center"/>
              <w:rPr>
                <w:sz w:val="21"/>
                <w:szCs w:val="21"/>
              </w:rPr>
            </w:pPr>
            <w:r>
              <w:rPr>
                <w:rFonts w:hint="eastAsia"/>
                <w:sz w:val="21"/>
                <w:szCs w:val="21"/>
              </w:rPr>
              <w:t>行政干事</w:t>
            </w:r>
          </w:p>
        </w:tc>
        <w:tc>
          <w:tcPr>
            <w:tcW w:w="3513" w:type="pct"/>
            <w:shd w:val="clear" w:color="auto" w:fill="auto"/>
            <w:tcMar>
              <w:left w:w="0" w:type="dxa"/>
              <w:right w:w="0" w:type="dxa"/>
            </w:tcMar>
            <w:vAlign w:val="center"/>
          </w:tcPr>
          <w:p w14:paraId="22C4D30B">
            <w:pPr>
              <w:adjustRightInd w:val="0"/>
              <w:snapToGrid w:val="0"/>
              <w:spacing w:line="240" w:lineRule="auto"/>
              <w:ind w:firstLine="0" w:firstLineChars="0"/>
              <w:rPr>
                <w:sz w:val="21"/>
                <w:szCs w:val="21"/>
              </w:rPr>
            </w:pPr>
            <w:r>
              <w:rPr>
                <w:sz w:val="21"/>
                <w:szCs w:val="21"/>
              </w:rPr>
              <w:t>（1）负责事故现场周边交通管制和疏导，引导外部救援车辆进入厂区，确保救援交通顺畅，维持现场秩序。</w:t>
            </w:r>
          </w:p>
          <w:p w14:paraId="6261C993">
            <w:pPr>
              <w:adjustRightInd w:val="0"/>
              <w:snapToGrid w:val="0"/>
              <w:spacing w:line="240" w:lineRule="auto"/>
              <w:ind w:firstLine="0" w:firstLineChars="0"/>
              <w:rPr>
                <w:sz w:val="21"/>
                <w:szCs w:val="21"/>
              </w:rPr>
            </w:pPr>
            <w:r>
              <w:rPr>
                <w:sz w:val="21"/>
                <w:szCs w:val="21"/>
              </w:rPr>
              <w:t>（2）负责警戒区域内重点目标，重点部门的安全保卫。</w:t>
            </w:r>
          </w:p>
          <w:p w14:paraId="6C1BE8E8">
            <w:pPr>
              <w:adjustRightInd w:val="0"/>
              <w:snapToGrid w:val="0"/>
              <w:spacing w:line="240" w:lineRule="auto"/>
              <w:ind w:firstLine="0" w:firstLineChars="0"/>
              <w:rPr>
                <w:sz w:val="21"/>
                <w:szCs w:val="21"/>
              </w:rPr>
            </w:pPr>
            <w:r>
              <w:rPr>
                <w:sz w:val="21"/>
                <w:szCs w:val="21"/>
              </w:rPr>
              <w:t>（3）负责警戒区域的治安巡查。</w:t>
            </w:r>
          </w:p>
        </w:tc>
      </w:tr>
      <w:tr w14:paraId="30A12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73B08E82">
            <w:pPr>
              <w:adjustRightInd w:val="0"/>
              <w:snapToGrid w:val="0"/>
              <w:spacing w:line="240" w:lineRule="auto"/>
              <w:ind w:firstLine="0" w:firstLineChars="0"/>
              <w:jc w:val="center"/>
              <w:rPr>
                <w:sz w:val="21"/>
                <w:szCs w:val="21"/>
              </w:rPr>
            </w:pPr>
            <w:r>
              <w:rPr>
                <w:sz w:val="21"/>
                <w:szCs w:val="21"/>
              </w:rPr>
              <w:t>后勤保障组</w:t>
            </w:r>
          </w:p>
        </w:tc>
        <w:tc>
          <w:tcPr>
            <w:tcW w:w="793" w:type="pct"/>
            <w:shd w:val="clear" w:color="auto" w:fill="auto"/>
            <w:tcMar>
              <w:left w:w="0" w:type="dxa"/>
              <w:right w:w="0" w:type="dxa"/>
            </w:tcMar>
            <w:vAlign w:val="center"/>
          </w:tcPr>
          <w:p w14:paraId="7FEF4331">
            <w:pPr>
              <w:adjustRightInd w:val="0"/>
              <w:snapToGrid w:val="0"/>
              <w:spacing w:line="240" w:lineRule="auto"/>
              <w:ind w:firstLine="0" w:firstLineChars="0"/>
              <w:jc w:val="center"/>
              <w:rPr>
                <w:sz w:val="21"/>
                <w:szCs w:val="21"/>
              </w:rPr>
            </w:pPr>
            <w:r>
              <w:rPr>
                <w:rFonts w:hint="eastAsia"/>
                <w:sz w:val="21"/>
                <w:szCs w:val="21"/>
              </w:rPr>
              <w:t>财务部经理</w:t>
            </w:r>
          </w:p>
        </w:tc>
        <w:tc>
          <w:tcPr>
            <w:tcW w:w="3513" w:type="pct"/>
            <w:shd w:val="clear" w:color="auto" w:fill="auto"/>
            <w:tcMar>
              <w:left w:w="0" w:type="dxa"/>
              <w:right w:w="0" w:type="dxa"/>
            </w:tcMar>
            <w:vAlign w:val="center"/>
          </w:tcPr>
          <w:p w14:paraId="06C362A7">
            <w:pPr>
              <w:adjustRightInd w:val="0"/>
              <w:snapToGrid w:val="0"/>
              <w:spacing w:line="240" w:lineRule="auto"/>
              <w:ind w:firstLine="0" w:firstLineChars="0"/>
              <w:rPr>
                <w:sz w:val="21"/>
                <w:szCs w:val="21"/>
              </w:rPr>
            </w:pPr>
            <w:r>
              <w:rPr>
                <w:sz w:val="21"/>
                <w:szCs w:val="21"/>
              </w:rPr>
              <w:t>负责应急值守，及时向总指挥报告现场事故信息，及时向政府有关部门报告事故情况，接受和传达政府有关部门关于事故救援工作的批示和意见，协调各专业组有关事宜</w:t>
            </w:r>
            <w:r>
              <w:rPr>
                <w:rFonts w:hint="eastAsia"/>
                <w:sz w:val="21"/>
                <w:szCs w:val="21"/>
              </w:rPr>
              <w:t>。</w:t>
            </w:r>
          </w:p>
        </w:tc>
      </w:tr>
      <w:tr w14:paraId="38F37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233075ED">
            <w:pPr>
              <w:adjustRightInd w:val="0"/>
              <w:snapToGrid w:val="0"/>
              <w:spacing w:line="240" w:lineRule="auto"/>
              <w:ind w:firstLine="0" w:firstLineChars="0"/>
              <w:jc w:val="center"/>
              <w:rPr>
                <w:sz w:val="21"/>
                <w:szCs w:val="21"/>
              </w:rPr>
            </w:pPr>
            <w:r>
              <w:rPr>
                <w:sz w:val="21"/>
                <w:szCs w:val="21"/>
              </w:rPr>
              <w:t>医疗救护组</w:t>
            </w:r>
          </w:p>
        </w:tc>
        <w:tc>
          <w:tcPr>
            <w:tcW w:w="793" w:type="pct"/>
            <w:shd w:val="clear" w:color="auto" w:fill="auto"/>
            <w:tcMar>
              <w:left w:w="0" w:type="dxa"/>
              <w:right w:w="0" w:type="dxa"/>
            </w:tcMar>
            <w:vAlign w:val="center"/>
          </w:tcPr>
          <w:p w14:paraId="4685A0C7">
            <w:pPr>
              <w:adjustRightInd w:val="0"/>
              <w:snapToGrid w:val="0"/>
              <w:spacing w:line="240" w:lineRule="auto"/>
              <w:ind w:firstLine="0" w:firstLineChars="0"/>
              <w:jc w:val="center"/>
              <w:rPr>
                <w:sz w:val="21"/>
                <w:szCs w:val="21"/>
              </w:rPr>
            </w:pPr>
            <w:r>
              <w:rPr>
                <w:rFonts w:hint="eastAsia"/>
                <w:sz w:val="21"/>
                <w:szCs w:val="21"/>
              </w:rPr>
              <w:t>技质部</w:t>
            </w:r>
            <w:r>
              <w:rPr>
                <w:sz w:val="21"/>
                <w:szCs w:val="21"/>
              </w:rPr>
              <w:t>人员</w:t>
            </w:r>
          </w:p>
        </w:tc>
        <w:tc>
          <w:tcPr>
            <w:tcW w:w="3513" w:type="pct"/>
            <w:shd w:val="clear" w:color="auto" w:fill="auto"/>
            <w:tcMar>
              <w:left w:w="0" w:type="dxa"/>
              <w:right w:w="0" w:type="dxa"/>
            </w:tcMar>
            <w:vAlign w:val="center"/>
          </w:tcPr>
          <w:p w14:paraId="7EF05925">
            <w:pPr>
              <w:adjustRightInd w:val="0"/>
              <w:snapToGrid w:val="0"/>
              <w:spacing w:line="240" w:lineRule="auto"/>
              <w:ind w:firstLine="0" w:firstLineChars="0"/>
              <w:rPr>
                <w:sz w:val="21"/>
                <w:szCs w:val="21"/>
              </w:rPr>
            </w:pPr>
            <w:r>
              <w:rPr>
                <w:sz w:val="21"/>
                <w:szCs w:val="21"/>
              </w:rPr>
              <w:t>负责现场医疗急救，联系/通知医疗机构救援，陪送伤者，联络伤者家属。</w:t>
            </w:r>
          </w:p>
        </w:tc>
      </w:tr>
      <w:tr w14:paraId="139C3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shd w:val="clear" w:color="auto" w:fill="auto"/>
            <w:tcMar>
              <w:left w:w="0" w:type="dxa"/>
              <w:right w:w="0" w:type="dxa"/>
            </w:tcMar>
            <w:vAlign w:val="center"/>
          </w:tcPr>
          <w:p w14:paraId="21228FAF">
            <w:pPr>
              <w:adjustRightInd w:val="0"/>
              <w:snapToGrid w:val="0"/>
              <w:spacing w:line="240" w:lineRule="auto"/>
              <w:ind w:firstLine="0" w:firstLineChars="0"/>
              <w:jc w:val="center"/>
              <w:rPr>
                <w:sz w:val="21"/>
                <w:szCs w:val="21"/>
              </w:rPr>
            </w:pPr>
            <w:r>
              <w:rPr>
                <w:sz w:val="21"/>
                <w:szCs w:val="21"/>
              </w:rPr>
              <w:t>善后处理组</w:t>
            </w:r>
          </w:p>
        </w:tc>
        <w:tc>
          <w:tcPr>
            <w:tcW w:w="793" w:type="pct"/>
            <w:shd w:val="clear" w:color="auto" w:fill="auto"/>
            <w:tcMar>
              <w:left w:w="0" w:type="dxa"/>
              <w:right w:w="0" w:type="dxa"/>
            </w:tcMar>
            <w:vAlign w:val="center"/>
          </w:tcPr>
          <w:p w14:paraId="2C70326E">
            <w:pPr>
              <w:adjustRightInd w:val="0"/>
              <w:snapToGrid w:val="0"/>
              <w:spacing w:line="240" w:lineRule="auto"/>
              <w:ind w:firstLine="0" w:firstLineChars="0"/>
              <w:jc w:val="center"/>
              <w:rPr>
                <w:sz w:val="21"/>
                <w:szCs w:val="21"/>
              </w:rPr>
            </w:pPr>
            <w:r>
              <w:rPr>
                <w:sz w:val="21"/>
                <w:szCs w:val="21"/>
              </w:rPr>
              <w:t>安全生产</w:t>
            </w:r>
            <w:r>
              <w:rPr>
                <w:rFonts w:hint="eastAsia"/>
                <w:sz w:val="21"/>
                <w:szCs w:val="21"/>
              </w:rPr>
              <w:t>专员</w:t>
            </w:r>
          </w:p>
        </w:tc>
        <w:tc>
          <w:tcPr>
            <w:tcW w:w="3513" w:type="pct"/>
            <w:shd w:val="clear" w:color="auto" w:fill="auto"/>
            <w:tcMar>
              <w:left w:w="0" w:type="dxa"/>
              <w:right w:w="0" w:type="dxa"/>
            </w:tcMar>
            <w:vAlign w:val="center"/>
          </w:tcPr>
          <w:p w14:paraId="241C92F8">
            <w:pPr>
              <w:adjustRightInd w:val="0"/>
              <w:snapToGrid w:val="0"/>
              <w:spacing w:line="240" w:lineRule="auto"/>
              <w:ind w:firstLine="0" w:firstLineChars="0"/>
              <w:rPr>
                <w:sz w:val="21"/>
                <w:szCs w:val="21"/>
              </w:rPr>
            </w:pPr>
            <w:r>
              <w:rPr>
                <w:sz w:val="21"/>
                <w:szCs w:val="21"/>
              </w:rPr>
              <w:t>根据实际情况，协调公司工会、人力及其他相关部门，组织对伤亡人员的处置及身份确认。及时通知伤亡人员家属，落实用于接待伤亡人员家属的车辆及住宿，做好相应的接待和安抚解释工作，并及时向指挥部报告善后处理的动态等工作。</w:t>
            </w:r>
          </w:p>
        </w:tc>
      </w:tr>
    </w:tbl>
    <w:p w14:paraId="43AA13A1">
      <w:pPr>
        <w:pStyle w:val="45"/>
        <w:spacing w:before="65" w:after="65"/>
      </w:pPr>
      <w:r>
        <w:rPr>
          <w:rFonts w:hint="eastAsia"/>
        </w:rPr>
        <w:t>预防与预警</w:t>
      </w:r>
    </w:p>
    <w:p w14:paraId="2B1E406D">
      <w:pPr>
        <w:ind w:firstLine="480"/>
      </w:pPr>
      <w:r>
        <w:rPr>
          <w:rFonts w:hint="eastAsia"/>
        </w:rPr>
        <w:t>建立环境安全管理制度、环境安全隐患排查治理制度、重点岗位定期巡检和维护责任制和危险源监控制度等环境风险预防与预警管理制度，同时配备风险防控必要的应急设备，</w:t>
      </w:r>
      <w:r>
        <w:t>建立救援物资储备供给制度和救援队伍建设管理制度</w:t>
      </w:r>
      <w:r>
        <w:rPr>
          <w:rFonts w:hint="eastAsia"/>
        </w:rPr>
        <w:t>，明确防控责任，并定期开展应急演练。</w:t>
      </w:r>
    </w:p>
    <w:p w14:paraId="68BEF6A3">
      <w:pPr>
        <w:ind w:firstLine="480"/>
      </w:pPr>
      <w:r>
        <w:rPr>
          <w:rFonts w:hint="eastAsia"/>
        </w:rPr>
        <w:t>针对项目的特点，</w:t>
      </w:r>
      <w:r>
        <w:t>依据危险源的安全设施配置要求，厂区内配备视频监控系统、行政通话系统、报警系统（电话及手报）、消防灭火系统、通风系统、事故应急处理系统等，同时针对现场人员救援的要求，配备有消防沙、灭火器等消防器材，工作人员定时巡查，使环境风险源的运行在动态监控之中。</w:t>
      </w:r>
      <w:r>
        <w:rPr>
          <w:rFonts w:hint="eastAsia"/>
        </w:rPr>
        <w:t>本项目建成后同样参照项目布设视频监控，设置</w:t>
      </w:r>
      <w:r>
        <w:t>安全员</w:t>
      </w:r>
      <w:r>
        <w:rPr>
          <w:rFonts w:hint="eastAsia"/>
        </w:rPr>
        <w:t>。当调度室发现事件后，立即按照预警电话通知顺序，通知企业应急救援指挥部，应急救援指挥部发布应急救援指令。</w:t>
      </w:r>
    </w:p>
    <w:p w14:paraId="3E52EE64">
      <w:pPr>
        <w:pStyle w:val="45"/>
        <w:spacing w:before="65" w:after="65"/>
      </w:pPr>
      <w:r>
        <w:rPr>
          <w:rFonts w:hint="eastAsia"/>
        </w:rPr>
        <w:t>应急保障措施</w:t>
      </w:r>
    </w:p>
    <w:p w14:paraId="4ACAF6CD">
      <w:pPr>
        <w:ind w:firstLine="480"/>
      </w:pPr>
      <w:r>
        <w:rPr>
          <w:rFonts w:hint="eastAsia"/>
        </w:rPr>
        <w:t>（1）应急装备</w:t>
      </w:r>
    </w:p>
    <w:p w14:paraId="2AB7662B">
      <w:pPr>
        <w:ind w:firstLine="480"/>
      </w:pPr>
      <w:r>
        <w:rPr>
          <w:rFonts w:hint="eastAsia"/>
        </w:rPr>
        <w:t>警戒线、沙袋、消防带、喇叭、消防栓等</w:t>
      </w:r>
    </w:p>
    <w:p w14:paraId="0120B838">
      <w:pPr>
        <w:ind w:firstLine="480"/>
      </w:pPr>
      <w:r>
        <w:rPr>
          <w:rFonts w:hint="eastAsia"/>
        </w:rPr>
        <w:t>装备维护保管：由库房保管员进行维护与保管。</w:t>
      </w:r>
    </w:p>
    <w:p w14:paraId="7CF7A8BA">
      <w:pPr>
        <w:ind w:firstLine="480"/>
      </w:pPr>
      <w:r>
        <w:rPr>
          <w:rFonts w:hint="eastAsia"/>
        </w:rPr>
        <w:t>（2）个人防护装备</w:t>
      </w:r>
    </w:p>
    <w:p w14:paraId="728A8677">
      <w:pPr>
        <w:ind w:firstLine="480"/>
      </w:pPr>
      <w:r>
        <w:rPr>
          <w:rFonts w:hint="eastAsia"/>
        </w:rPr>
        <w:t>个人防护装备种类：防护口罩、防毒口罩、手套、胶鞋、雨衣等。</w:t>
      </w:r>
    </w:p>
    <w:p w14:paraId="7AE0B920">
      <w:pPr>
        <w:ind w:firstLine="480"/>
      </w:pPr>
      <w:r>
        <w:rPr>
          <w:rFonts w:hint="eastAsia"/>
        </w:rPr>
        <w:t>装备维护：由库房保管员进行维护与保管。</w:t>
      </w:r>
    </w:p>
    <w:p w14:paraId="1B432F57">
      <w:pPr>
        <w:ind w:firstLine="480"/>
      </w:pPr>
      <w:r>
        <w:rPr>
          <w:rFonts w:hint="eastAsia"/>
        </w:rPr>
        <w:t>（3）灭火装备</w:t>
      </w:r>
    </w:p>
    <w:p w14:paraId="0052639D">
      <w:pPr>
        <w:ind w:firstLine="480"/>
      </w:pPr>
      <w:r>
        <w:rPr>
          <w:rFonts w:hint="eastAsia"/>
        </w:rPr>
        <w:t>种类：消防栓、干粉灭火器、沙石、消防栓、消防枪等</w:t>
      </w:r>
    </w:p>
    <w:p w14:paraId="68D09E8C">
      <w:pPr>
        <w:ind w:firstLine="480"/>
      </w:pPr>
      <w:r>
        <w:rPr>
          <w:rFonts w:hint="eastAsia"/>
        </w:rPr>
        <w:t>维护保管：由库房保管员进行维护与保管。</w:t>
      </w:r>
    </w:p>
    <w:p w14:paraId="4C1AA64A">
      <w:pPr>
        <w:ind w:firstLine="480"/>
      </w:pPr>
      <w:r>
        <w:rPr>
          <w:rFonts w:hint="eastAsia"/>
        </w:rPr>
        <w:t>（4）通讯设备</w:t>
      </w:r>
    </w:p>
    <w:p w14:paraId="75A47996">
      <w:pPr>
        <w:ind w:firstLine="480"/>
      </w:pPr>
      <w:r>
        <w:rPr>
          <w:rFonts w:hint="eastAsia"/>
        </w:rPr>
        <w:t>维护保管：直拨由办公室保管，手机由领导小组成员维护保管，并保证24小时待机。</w:t>
      </w:r>
    </w:p>
    <w:p w14:paraId="25D6E775">
      <w:pPr>
        <w:pStyle w:val="45"/>
        <w:spacing w:before="65" w:after="65"/>
      </w:pPr>
      <w:r>
        <w:rPr>
          <w:rFonts w:hint="eastAsia"/>
        </w:rPr>
        <w:t>应急监测</w:t>
      </w:r>
    </w:p>
    <w:p w14:paraId="34AE0931">
      <w:pPr>
        <w:ind w:firstLine="480"/>
      </w:pPr>
      <w:r>
        <w:rPr>
          <w:rFonts w:hint="eastAsia"/>
        </w:rPr>
        <w:t>根据公司应急领导小组的指示，建立全公司应急监测网络，组织制定全公司突发性环境污染事故应急监测预案。</w:t>
      </w:r>
    </w:p>
    <w:p w14:paraId="1445BFDF">
      <w:pPr>
        <w:ind w:firstLine="480"/>
      </w:pPr>
      <w:r>
        <w:rPr>
          <w:rFonts w:hint="eastAsia"/>
        </w:rPr>
        <w:t>公司委托具有资质监测单位负责对事故现场进行现场应急监测，对事故性质、参数与后果进行评估，为指挥部门提供决策依据。</w:t>
      </w:r>
    </w:p>
    <w:p w14:paraId="62C05403">
      <w:pPr>
        <w:ind w:firstLine="480"/>
      </w:pPr>
      <w:r>
        <w:rPr>
          <w:rFonts w:hint="eastAsia"/>
        </w:rPr>
        <w:t>监测人员必须严格按照《环境监测技术规范》、《水质监测质量保证手册》、《大气监测质量保证手册》的要求和《环境应急响应实用手册》、《突发性环境污染事故应急监测与处理技术》、《突发环境事件应急监测技术规范》规定进行采样和分析。</w:t>
      </w:r>
    </w:p>
    <w:p w14:paraId="738A735E">
      <w:pPr>
        <w:ind w:firstLine="480"/>
      </w:pPr>
      <w:r>
        <w:rPr>
          <w:rFonts w:hint="eastAsia"/>
        </w:rPr>
        <w:t>突发环境事件时，环境应急监测小组应迅速组织监测人员赶赴现场，根据事件的实际情况，迅速确定监测方案，及时开展应急监测工作，在尽可能短的时间内做出判断，以便对事件及时正确进行处理。</w:t>
      </w:r>
    </w:p>
    <w:p w14:paraId="112CE523">
      <w:pPr>
        <w:ind w:firstLine="480"/>
      </w:pPr>
      <w:r>
        <w:rPr>
          <w:rFonts w:hint="eastAsia"/>
        </w:rPr>
        <w:t>（1）根据公司应急领导小组的指示，建立全公司应急监测网络，组织制定全公司突发性环境污染事故应急监测预案。</w:t>
      </w:r>
    </w:p>
    <w:p w14:paraId="49D9C292">
      <w:pPr>
        <w:ind w:firstLine="480"/>
      </w:pPr>
      <w:r>
        <w:rPr>
          <w:rFonts w:hint="eastAsia"/>
        </w:rPr>
        <w:t>（2）通过初步现场及实验室分析，对污染物进行定性，定量以及确定污染范围。根据不同形式的环境事故，确定好监测对象、监测点位、监测项目、监测方法、监测频次、质控要求。同时做好分工，由小组组长分配好任务。</w:t>
      </w:r>
    </w:p>
    <w:p w14:paraId="03E08F1D">
      <w:pPr>
        <w:ind w:firstLine="480"/>
      </w:pPr>
      <w:r>
        <w:rPr>
          <w:rFonts w:hint="eastAsia"/>
        </w:rPr>
        <w:t>（3）现场采样与监测。由公司应急领导小组进行突发性环境污染事故应急监测的技术指导和应急监测技术研究工作。</w:t>
      </w:r>
    </w:p>
    <w:p w14:paraId="68BC931E">
      <w:pPr>
        <w:ind w:firstLine="480"/>
      </w:pPr>
      <w:r>
        <w:rPr>
          <w:rFonts w:hint="eastAsia"/>
        </w:rPr>
        <w:t>（4）根据事态的变化，在公司应急领导小组的指导下适当调整监测方案。</w:t>
      </w:r>
    </w:p>
    <w:p w14:paraId="3769FC45">
      <w:pPr>
        <w:ind w:firstLine="480"/>
      </w:pPr>
      <w:r>
        <w:rPr>
          <w:rFonts w:hint="eastAsia"/>
        </w:rPr>
        <w:t>（5）应急监测终止后应当根据事故变化情况向领导汇报，并分析事故发生的原因，提出预防措施，进行追踪监测。</w:t>
      </w:r>
    </w:p>
    <w:p w14:paraId="29025D0D">
      <w:pPr>
        <w:ind w:firstLine="480"/>
      </w:pPr>
      <w:r>
        <w:rPr>
          <w:rFonts w:hint="eastAsia"/>
        </w:rPr>
        <w:t>（6）完成公司应急领导小组交办的其他工作。</w:t>
      </w:r>
    </w:p>
    <w:p w14:paraId="615B4A62">
      <w:pPr>
        <w:pStyle w:val="45"/>
        <w:spacing w:before="65" w:after="65"/>
      </w:pPr>
      <w:r>
        <w:rPr>
          <w:rFonts w:hint="eastAsia"/>
        </w:rPr>
        <w:t>应急终止</w:t>
      </w:r>
    </w:p>
    <w:p w14:paraId="10C489E8">
      <w:pPr>
        <w:ind w:firstLine="480"/>
      </w:pPr>
      <w:r>
        <w:rPr>
          <w:rFonts w:hint="eastAsia"/>
        </w:rPr>
        <w:t>符合下列条件之一的，即满足应急终止条件：</w:t>
      </w:r>
    </w:p>
    <w:p w14:paraId="7FB1E90F">
      <w:pPr>
        <w:ind w:firstLine="480"/>
      </w:pPr>
      <w:r>
        <w:rPr>
          <w:rFonts w:hint="eastAsia"/>
        </w:rPr>
        <w:t>（1）事件现场得到控制，事件条件已经消除；</w:t>
      </w:r>
    </w:p>
    <w:p w14:paraId="6ADF097B">
      <w:pPr>
        <w:ind w:firstLine="480"/>
      </w:pPr>
      <w:r>
        <w:rPr>
          <w:rFonts w:hint="eastAsia"/>
        </w:rPr>
        <w:t>（2）污染源的泄漏或释放已降至规定限值以内；</w:t>
      </w:r>
    </w:p>
    <w:p w14:paraId="1B9B1FDC">
      <w:pPr>
        <w:ind w:firstLine="480"/>
      </w:pPr>
      <w:r>
        <w:rPr>
          <w:rFonts w:hint="eastAsia"/>
        </w:rPr>
        <w:t>（3）事件造成的危害已经被消除，无继发可能。</w:t>
      </w:r>
    </w:p>
    <w:p w14:paraId="347AC6C0">
      <w:pPr>
        <w:ind w:firstLine="480"/>
      </w:pPr>
      <w:r>
        <w:rPr>
          <w:rFonts w:hint="eastAsia"/>
        </w:rPr>
        <w:t>（4）事件现场的各种专业应急处置行动已无继续的必要；</w:t>
      </w:r>
    </w:p>
    <w:p w14:paraId="08A64018">
      <w:pPr>
        <w:ind w:firstLine="480"/>
      </w:pPr>
      <w:r>
        <w:rPr>
          <w:rFonts w:hint="eastAsia"/>
        </w:rPr>
        <w:t>（5）采取必要的防护措施以保护公众免受再次危害，并使事件可能引起的中长期影响趋于合理且尽量低的水平。</w:t>
      </w:r>
    </w:p>
    <w:p w14:paraId="4D58E092">
      <w:pPr>
        <w:ind w:firstLine="480"/>
      </w:pPr>
      <w:r>
        <w:rPr>
          <w:rFonts w:hint="eastAsia"/>
        </w:rPr>
        <w:t>在应急终止后，企业应采取以下行动：</w:t>
      </w:r>
    </w:p>
    <w:p w14:paraId="48BEC7E2">
      <w:pPr>
        <w:ind w:firstLine="480"/>
      </w:pPr>
      <w:r>
        <w:t>（1）通知公司各部、车间危险事故已经得到解除；</w:t>
      </w:r>
    </w:p>
    <w:p w14:paraId="06027AED">
      <w:pPr>
        <w:ind w:firstLine="480"/>
      </w:pPr>
      <w:r>
        <w:t>（2）对现场中暴露的工作人员、应急行动人员和受污染设备进行清洁净化；</w:t>
      </w:r>
    </w:p>
    <w:p w14:paraId="178CE45D">
      <w:pPr>
        <w:ind w:firstLine="480"/>
      </w:pPr>
      <w:r>
        <w:t>（3）对于此次发生的环境事故，对起因，过程和结果向有关部门做详细报告；</w:t>
      </w:r>
    </w:p>
    <w:p w14:paraId="42AFF439">
      <w:pPr>
        <w:ind w:firstLine="480"/>
      </w:pPr>
      <w:r>
        <w:t>（4）全力配合事件调查小组，提供事故详细情况，相关情况的说明以及各监测数据等；</w:t>
      </w:r>
    </w:p>
    <w:p w14:paraId="65AF3D50">
      <w:pPr>
        <w:ind w:firstLine="480"/>
      </w:pPr>
      <w:r>
        <w:t>（5）弄清事故发生的原因，调查事故造成的损失并明确各人承担的责任；</w:t>
      </w:r>
    </w:p>
    <w:p w14:paraId="2D869EA9">
      <w:pPr>
        <w:ind w:firstLine="480"/>
      </w:pPr>
      <w:r>
        <w:t>（6）对整个环境应急过程评价；</w:t>
      </w:r>
    </w:p>
    <w:p w14:paraId="5886DD38">
      <w:pPr>
        <w:ind w:firstLine="480"/>
      </w:pPr>
      <w:r>
        <w:t>（7）对环境应急救援工作进行总结，并向公司领导汇报；</w:t>
      </w:r>
    </w:p>
    <w:p w14:paraId="3938254F">
      <w:pPr>
        <w:ind w:firstLine="480"/>
      </w:pPr>
      <w:r>
        <w:t>（8）针对此次突发环境事件，总结经验教训，并对突发环境事件应急预案进行修订；</w:t>
      </w:r>
    </w:p>
    <w:p w14:paraId="42F1E1DA">
      <w:pPr>
        <w:ind w:firstLine="480"/>
      </w:pPr>
      <w:r>
        <w:t>（9）由各负责人维护、保养应急仪器设备。</w:t>
      </w:r>
    </w:p>
    <w:p w14:paraId="2651CB5E">
      <w:pPr>
        <w:pStyle w:val="45"/>
        <w:spacing w:before="65" w:after="65"/>
      </w:pPr>
      <w:r>
        <w:rPr>
          <w:rFonts w:hint="eastAsia"/>
        </w:rPr>
        <w:t>应急培训与演练</w:t>
      </w:r>
    </w:p>
    <w:p w14:paraId="25D77D2D">
      <w:pPr>
        <w:ind w:firstLine="480"/>
      </w:pPr>
      <w:r>
        <w:rPr>
          <w:rFonts w:hint="eastAsia"/>
        </w:rPr>
        <w:t>（1）培训</w:t>
      </w:r>
    </w:p>
    <w:p w14:paraId="33D56582">
      <w:pPr>
        <w:ind w:firstLine="480"/>
      </w:pPr>
      <w:r>
        <w:rPr>
          <w:rFonts w:hint="eastAsia"/>
        </w:rPr>
        <w:t>依据对本企业单位员工、周边工厂企业、人员情况的分析结果，明确培训如下内容：本公司事故应急救援和突发环境污染事故处理的人员培训分二个层次开展，车间级和全厂级。</w:t>
      </w:r>
    </w:p>
    <w:p w14:paraId="4176BD33">
      <w:pPr>
        <w:ind w:firstLine="480"/>
      </w:pPr>
      <w:r>
        <w:rPr>
          <w:rFonts w:hint="eastAsia"/>
        </w:rPr>
        <w:t>全厂级：</w:t>
      </w:r>
      <w:r>
        <w:t>公司级是及时处理事故、紧急避险、自救互救的重要环节，同时也是事故及早发现、及时上报的关键，一般生产装置事故、治污设施故障、化学品泄漏等在这一层次上能够及时处理而避免，对班组职工开展事故急救处理培训非常重要。每季开展一次，培训内容：</w:t>
      </w:r>
    </w:p>
    <w:p w14:paraId="691B4019">
      <w:pPr>
        <w:ind w:firstLine="480"/>
      </w:pPr>
      <w:r>
        <w:rPr>
          <w:rFonts w:hint="eastAsia" w:ascii="宋体" w:hAnsi="宋体" w:cs="宋体"/>
        </w:rPr>
        <w:t>①</w:t>
      </w:r>
      <w:r>
        <w:t>针对各岗位可能发生的事故，在紧急情况下如何进行紧急停车、避险、报警的方法；</w:t>
      </w:r>
    </w:p>
    <w:p w14:paraId="3AD94D76">
      <w:pPr>
        <w:ind w:firstLine="480"/>
      </w:pPr>
      <w:r>
        <w:rPr>
          <w:rFonts w:hint="eastAsia" w:ascii="宋体" w:hAnsi="宋体" w:cs="宋体"/>
        </w:rPr>
        <w:t>②</w:t>
      </w:r>
      <w:r>
        <w:t>针对各岗位可能导致人员伤害类别，现场进行紧急救护方法。</w:t>
      </w:r>
    </w:p>
    <w:p w14:paraId="73AB2594">
      <w:pPr>
        <w:ind w:firstLine="480"/>
      </w:pPr>
      <w:r>
        <w:rPr>
          <w:rFonts w:hint="eastAsia" w:ascii="宋体" w:hAnsi="宋体" w:cs="宋体"/>
        </w:rPr>
        <w:t>③</w:t>
      </w:r>
      <w:r>
        <w:t>针对各岗位可能发生的事故，如何采取有效措施控制事故和避免事故扩大化。</w:t>
      </w:r>
    </w:p>
    <w:p w14:paraId="7A5814FF">
      <w:pPr>
        <w:ind w:firstLine="480"/>
      </w:pPr>
      <w:r>
        <w:rPr>
          <w:rFonts w:hint="eastAsia" w:ascii="宋体" w:hAnsi="宋体" w:cs="宋体"/>
        </w:rPr>
        <w:t>④</w:t>
      </w:r>
      <w:r>
        <w:t>针对可能发生的事故应急救援必须使用的防护装备，学会使用方法，例正压自给式呼吸器、防毒面具等。</w:t>
      </w:r>
    </w:p>
    <w:p w14:paraId="45960C41">
      <w:pPr>
        <w:ind w:firstLine="480"/>
      </w:pPr>
      <w:r>
        <w:rPr>
          <w:rFonts w:hint="eastAsia" w:ascii="宋体" w:hAnsi="宋体" w:cs="宋体"/>
        </w:rPr>
        <w:t>⑤</w:t>
      </w:r>
      <w:r>
        <w:t>针对可能发生的事故学习消防器材和各类设备的使用方法。</w:t>
      </w:r>
    </w:p>
    <w:p w14:paraId="671F6E0A">
      <w:pPr>
        <w:ind w:firstLine="480"/>
      </w:pPr>
      <w:r>
        <w:rPr>
          <w:rFonts w:hint="eastAsia" w:ascii="宋体" w:hAnsi="宋体" w:cs="宋体"/>
        </w:rPr>
        <w:t>⑥</w:t>
      </w:r>
      <w:r>
        <w:t>掌握存在危险化学品特性、健康危害、危险性、急救方法。</w:t>
      </w:r>
    </w:p>
    <w:p w14:paraId="228047DB">
      <w:pPr>
        <w:ind w:firstLine="480"/>
      </w:pPr>
      <w:r>
        <w:rPr>
          <w:rFonts w:hint="eastAsia"/>
        </w:rPr>
        <w:t>车间级：由系长、组长、班长、机动人员等组成</w:t>
      </w:r>
      <w:r>
        <w:t>，成员能够熟练使用现场装备、设施等对事故进行可靠控制。它是应急救援的指挥部与操作者之间的联系，同时也是事故得到及时可靠处理的关键。每年进行二次，培训内容：</w:t>
      </w:r>
    </w:p>
    <w:p w14:paraId="6BD43CC7">
      <w:pPr>
        <w:ind w:firstLine="480"/>
      </w:pPr>
      <w:r>
        <w:rPr>
          <w:rFonts w:hint="eastAsia" w:ascii="宋体" w:hAnsi="宋体" w:cs="宋体"/>
        </w:rPr>
        <w:t>①</w:t>
      </w:r>
      <w:r>
        <w:t>包括公司级培训所有内容。</w:t>
      </w:r>
    </w:p>
    <w:p w14:paraId="299A807B">
      <w:pPr>
        <w:ind w:firstLine="480"/>
      </w:pPr>
      <w:r>
        <w:rPr>
          <w:rFonts w:hint="eastAsia" w:ascii="宋体" w:hAnsi="宋体" w:cs="宋体"/>
        </w:rPr>
        <w:t>②</w:t>
      </w:r>
      <w:r>
        <w:t>掌握应急救援预案，事故时按照预案有条不紊地组织应急救援。</w:t>
      </w:r>
    </w:p>
    <w:p w14:paraId="2692079F">
      <w:pPr>
        <w:ind w:firstLine="480"/>
      </w:pPr>
      <w:r>
        <w:rPr>
          <w:rFonts w:hint="eastAsia" w:ascii="宋体" w:hAnsi="宋体" w:cs="宋体"/>
        </w:rPr>
        <w:t>③</w:t>
      </w:r>
      <w:r>
        <w:t>针对车间生产实际情况，熟悉如何有效控制事故，避免事故失控和扩大化。</w:t>
      </w:r>
    </w:p>
    <w:p w14:paraId="10BAEED6">
      <w:pPr>
        <w:ind w:firstLine="480"/>
      </w:pPr>
      <w:r>
        <w:rPr>
          <w:rFonts w:hint="eastAsia" w:ascii="宋体" w:hAnsi="宋体" w:cs="宋体"/>
        </w:rPr>
        <w:t>④</w:t>
      </w:r>
      <w:r>
        <w:t>各部门依据应急救援的职责和分工开展工作。</w:t>
      </w:r>
    </w:p>
    <w:p w14:paraId="46830A97">
      <w:pPr>
        <w:ind w:firstLine="480"/>
      </w:pPr>
      <w:r>
        <w:rPr>
          <w:rFonts w:hint="eastAsia" w:ascii="宋体" w:hAnsi="宋体" w:cs="宋体"/>
        </w:rPr>
        <w:t>⑤</w:t>
      </w:r>
      <w:r>
        <w:t>组织应急物资的调运。</w:t>
      </w:r>
    </w:p>
    <w:p w14:paraId="163ABD97">
      <w:pPr>
        <w:ind w:firstLine="480"/>
      </w:pPr>
      <w:r>
        <w:rPr>
          <w:rFonts w:hint="eastAsia" w:ascii="宋体" w:hAnsi="宋体" w:cs="宋体"/>
        </w:rPr>
        <w:t>⑥</w:t>
      </w:r>
      <w:r>
        <w:t>申请外部救援力量的报警方法，以及发布事故消息，组织周边社区、政府部门的疏散方法等；</w:t>
      </w:r>
    </w:p>
    <w:p w14:paraId="53A82CB7">
      <w:pPr>
        <w:ind w:firstLine="480"/>
      </w:pPr>
      <w:r>
        <w:rPr>
          <w:rFonts w:hint="eastAsia" w:ascii="宋体" w:hAnsi="宋体" w:cs="宋体"/>
        </w:rPr>
        <w:t>⑦</w:t>
      </w:r>
      <w:r>
        <w:t>事故现场的警戒和隔离，以及事故现场的洗消方法。</w:t>
      </w:r>
    </w:p>
    <w:p w14:paraId="2D25EB3A">
      <w:pPr>
        <w:ind w:firstLine="480"/>
      </w:pPr>
      <w:r>
        <w:rPr>
          <w:rFonts w:hint="eastAsia"/>
        </w:rPr>
        <w:t>（2）演练</w:t>
      </w:r>
    </w:p>
    <w:p w14:paraId="71282F49">
      <w:pPr>
        <w:ind w:firstLine="480"/>
      </w:pPr>
      <w:r>
        <w:rPr>
          <w:rFonts w:hint="eastAsia" w:ascii="宋体" w:hAnsi="宋体" w:cs="宋体"/>
        </w:rPr>
        <w:t>①</w:t>
      </w:r>
      <w:r>
        <w:rPr>
          <w:rFonts w:hint="eastAsia"/>
        </w:rPr>
        <w:t>演练的组织与级别</w:t>
      </w:r>
    </w:p>
    <w:p w14:paraId="1B1C8D21">
      <w:pPr>
        <w:ind w:firstLine="480"/>
      </w:pPr>
      <w:r>
        <w:t>应急演练分为公司级、车间级演练和配合政府部门演练三级。</w:t>
      </w:r>
    </w:p>
    <w:p w14:paraId="7A876E29">
      <w:pPr>
        <w:ind w:firstLine="480"/>
      </w:pPr>
      <w:r>
        <w:t>指挥领导小组从实际出发，针对危险目标可能发生的事故，每年至少组织一次全厂级模拟演习。全厂模拟演习由公司应急指挥小组组织进行，各相关部门参加。车间级的演练由部门负责人（现场指挥）组织进行，安全、环保、技术及相关部门派员观摩指导。另外，与政府有关部门的联合演练，由政府有关部门组织进行，公司应急领导小组成员参加，相关部门人员参加配合。</w:t>
      </w:r>
    </w:p>
    <w:p w14:paraId="4B0A2CB3">
      <w:pPr>
        <w:ind w:firstLine="480"/>
      </w:pPr>
      <w:r>
        <w:t>通过以上应急演练机制，把指挥机构和救援队伍训练成一支思想好、技术精、作风硬的指挥班子和抢救队伍。一旦发生事故，指挥机构能正确指挥，各救援队伍能根据各自任务及时有效地排除险情、控制并消灭事故、抢救伤员，做好应急救援工作。</w:t>
      </w:r>
    </w:p>
    <w:p w14:paraId="0033FE4C">
      <w:pPr>
        <w:ind w:firstLine="480"/>
      </w:pPr>
      <w:r>
        <w:rPr>
          <w:rFonts w:hint="eastAsia" w:ascii="宋体" w:hAnsi="宋体" w:cs="宋体"/>
        </w:rPr>
        <w:t>②</w:t>
      </w:r>
      <w:r>
        <w:rPr>
          <w:rFonts w:hint="eastAsia"/>
        </w:rPr>
        <w:t>演练准备</w:t>
      </w:r>
    </w:p>
    <w:p w14:paraId="1A2EFB2A">
      <w:pPr>
        <w:ind w:firstLine="480"/>
      </w:pPr>
      <w:r>
        <w:t>演练应制订演练方案，按演练级别报应急指挥负责人审批；</w:t>
      </w:r>
    </w:p>
    <w:p w14:paraId="63D098FD">
      <w:pPr>
        <w:ind w:firstLine="480"/>
      </w:pPr>
      <w:r>
        <w:t>演练前应落实所需的各种器材装备与物资、交通车辆、防护器材的准备，以确保演练顺利进行；</w:t>
      </w:r>
    </w:p>
    <w:p w14:paraId="597BE6A5">
      <w:pPr>
        <w:ind w:firstLine="480"/>
      </w:pPr>
      <w:r>
        <w:t>演练前应通知周边社区、企业人员，必要时与新闻媒体沟通，以避免造成不必要的影响。</w:t>
      </w:r>
    </w:p>
    <w:p w14:paraId="58B24AB1">
      <w:pPr>
        <w:ind w:firstLine="480"/>
      </w:pPr>
      <w:r>
        <w:rPr>
          <w:rFonts w:hint="eastAsia" w:ascii="宋体" w:hAnsi="宋体" w:cs="宋体"/>
        </w:rPr>
        <w:t>③</w:t>
      </w:r>
      <w:r>
        <w:rPr>
          <w:rFonts w:hint="eastAsia"/>
        </w:rPr>
        <w:t>演练频次与范围</w:t>
      </w:r>
    </w:p>
    <w:p w14:paraId="5E75ED5D">
      <w:pPr>
        <w:ind w:firstLine="480"/>
      </w:pPr>
      <w:r>
        <w:t>全厂演练（或训练）以报警、报告程序、现场应急处置、紧急疏散等熟悉应急响应和某项应急功能的单项演练，演练频次每年2次以上；</w:t>
      </w:r>
    </w:p>
    <w:p w14:paraId="4BA398DD">
      <w:pPr>
        <w:ind w:firstLine="480"/>
      </w:pPr>
      <w:r>
        <w:t>车间级演练以多个应急小组之间或某些外部应急组织之间相互协调进行的演练与公司级预案全部或部分功能的综合演练，演练频次每年1次以上。</w:t>
      </w:r>
    </w:p>
    <w:p w14:paraId="01DE3C6D">
      <w:pPr>
        <w:ind w:firstLine="480"/>
      </w:pPr>
      <w:r>
        <w:t>与政府有关部门的演练，视政府组织频次情况确定，亦可结合公司级组织的演练进行。</w:t>
      </w:r>
    </w:p>
    <w:p w14:paraId="36E5DDDA">
      <w:pPr>
        <w:pStyle w:val="43"/>
      </w:pPr>
      <w:bookmarkStart w:id="565" w:name="_Toc79515520"/>
      <w:bookmarkStart w:id="566" w:name="_Toc80193149"/>
      <w:bookmarkStart w:id="567" w:name="_Toc82518834"/>
      <w:bookmarkStart w:id="568" w:name="_Toc81214142"/>
      <w:bookmarkStart w:id="569" w:name="_Toc80973574"/>
      <w:bookmarkStart w:id="570" w:name="_Toc152864247"/>
      <w:r>
        <w:rPr>
          <w:rFonts w:hint="eastAsia"/>
        </w:rPr>
        <w:t>风险分析结论</w:t>
      </w:r>
      <w:bookmarkEnd w:id="565"/>
      <w:bookmarkEnd w:id="566"/>
      <w:bookmarkEnd w:id="567"/>
      <w:bookmarkEnd w:id="568"/>
      <w:bookmarkEnd w:id="569"/>
      <w:bookmarkEnd w:id="570"/>
    </w:p>
    <w:p w14:paraId="44497D6D">
      <w:pPr>
        <w:ind w:firstLine="480"/>
      </w:pPr>
      <w:r>
        <w:rPr>
          <w:rFonts w:hint="eastAsia"/>
        </w:rPr>
        <w:t>本项目位于胡杨河经济技术开发区南园区内，确定环境风险评价等级为二级，评价范围为以厂址为中心，半径5km的范围，根据导则分要素对环境风险影响进行预测分析。</w:t>
      </w:r>
    </w:p>
    <w:p w14:paraId="15E35A6B">
      <w:pPr>
        <w:ind w:firstLine="480"/>
      </w:pPr>
      <w:r>
        <w:rPr>
          <w:rFonts w:hint="eastAsia"/>
        </w:rPr>
        <w:t>（1）环境风险评价结论</w:t>
      </w:r>
    </w:p>
    <w:p w14:paraId="7A8692F0">
      <w:pPr>
        <w:ind w:firstLine="480"/>
      </w:pPr>
      <w:r>
        <w:rPr>
          <w:rFonts w:hint="eastAsia"/>
        </w:rPr>
        <w:t>通过对各个环境要素的环境风险分析可知，本项目存在较大环境风险的区域为减线油储罐。若发生环境风险事故，将对周围环境造成一定的危害，但本项目能在较短的时间内控制事故，在环境风险角度的可行的。</w:t>
      </w:r>
    </w:p>
    <w:p w14:paraId="5AD355C2">
      <w:pPr>
        <w:ind w:firstLine="480"/>
      </w:pPr>
      <w:r>
        <w:rPr>
          <w:rFonts w:hint="eastAsia"/>
        </w:rPr>
        <w:t>（2）建议</w:t>
      </w:r>
    </w:p>
    <w:p w14:paraId="7C519953">
      <w:pPr>
        <w:ind w:firstLine="480"/>
      </w:pPr>
      <w:r>
        <w:rPr>
          <w:rFonts w:hint="eastAsia"/>
        </w:rPr>
        <w:t>①本项目在建设过程中严格落实上述安全防范措施；②在运营期间须加强防范，降低环境风险事故的发生概率。</w:t>
      </w:r>
    </w:p>
    <w:p w14:paraId="57FB87C5">
      <w:pPr>
        <w:ind w:firstLine="480"/>
      </w:pPr>
      <w:r>
        <w:rPr>
          <w:rFonts w:hint="eastAsia"/>
        </w:rPr>
        <w:t>环境风险评价自查表见表</w:t>
      </w:r>
      <w:r>
        <w:t>5.7-23</w:t>
      </w:r>
      <w:r>
        <w:rPr>
          <w:rFonts w:hint="eastAsia"/>
        </w:rPr>
        <w:t>。</w:t>
      </w:r>
    </w:p>
    <w:p w14:paraId="13C8B343">
      <w:pPr>
        <w:pStyle w:val="47"/>
        <w:spacing w:before="65"/>
      </w:pPr>
      <w:r>
        <w:rPr>
          <w:rFonts w:hint="eastAsia"/>
        </w:rPr>
        <w:t>表</w:t>
      </w:r>
      <w:r>
        <w:t xml:space="preserve">5.7-23   </w:t>
      </w:r>
      <w:r>
        <w:rPr>
          <w:rFonts w:hint="eastAsia"/>
          <w:lang w:val="en-US"/>
        </w:rPr>
        <w:t>建设项目</w:t>
      </w:r>
      <w:r>
        <w:rPr>
          <w:rFonts w:hint="eastAsia"/>
        </w:rPr>
        <w:t>环境风险</w:t>
      </w:r>
      <w:r>
        <w:rPr>
          <w:rFonts w:hint="eastAsia"/>
          <w:lang w:val="en-US"/>
        </w:rPr>
        <w:t>简单分析内容</w:t>
      </w:r>
      <w:r>
        <w:rPr>
          <w:rFonts w:hint="eastAsia"/>
        </w:rPr>
        <w:t>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37"/>
        <w:gridCol w:w="1041"/>
        <w:gridCol w:w="1114"/>
        <w:gridCol w:w="1152"/>
        <w:gridCol w:w="613"/>
        <w:gridCol w:w="562"/>
        <w:gridCol w:w="503"/>
        <w:gridCol w:w="360"/>
        <w:gridCol w:w="393"/>
        <w:gridCol w:w="625"/>
        <w:gridCol w:w="31"/>
        <w:gridCol w:w="986"/>
        <w:gridCol w:w="1013"/>
      </w:tblGrid>
      <w:tr w14:paraId="0D093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1426" w:type="pct"/>
            <w:gridSpan w:val="3"/>
            <w:tcMar>
              <w:left w:w="0" w:type="dxa"/>
              <w:right w:w="0" w:type="dxa"/>
            </w:tcMar>
            <w:vAlign w:val="center"/>
          </w:tcPr>
          <w:p w14:paraId="46EBBDF4">
            <w:pPr>
              <w:adjustRightInd w:val="0"/>
              <w:snapToGrid w:val="0"/>
              <w:spacing w:line="240" w:lineRule="auto"/>
              <w:ind w:firstLine="0" w:firstLineChars="0"/>
              <w:jc w:val="center"/>
              <w:rPr>
                <w:sz w:val="21"/>
                <w:szCs w:val="21"/>
              </w:rPr>
            </w:pPr>
            <w:r>
              <w:rPr>
                <w:sz w:val="21"/>
                <w:szCs w:val="21"/>
              </w:rPr>
              <w:t>工作内容</w:t>
            </w:r>
          </w:p>
        </w:tc>
        <w:tc>
          <w:tcPr>
            <w:tcW w:w="3574" w:type="pct"/>
            <w:gridSpan w:val="10"/>
            <w:tcMar>
              <w:left w:w="0" w:type="dxa"/>
              <w:right w:w="0" w:type="dxa"/>
            </w:tcMar>
            <w:vAlign w:val="center"/>
          </w:tcPr>
          <w:p w14:paraId="6590297C">
            <w:pPr>
              <w:adjustRightInd w:val="0"/>
              <w:snapToGrid w:val="0"/>
              <w:spacing w:line="240" w:lineRule="auto"/>
              <w:ind w:firstLine="0" w:firstLineChars="0"/>
              <w:jc w:val="center"/>
              <w:rPr>
                <w:sz w:val="21"/>
                <w:szCs w:val="21"/>
              </w:rPr>
            </w:pPr>
            <w:r>
              <w:rPr>
                <w:sz w:val="21"/>
                <w:szCs w:val="21"/>
              </w:rPr>
              <w:t>完成情况</w:t>
            </w:r>
          </w:p>
        </w:tc>
      </w:tr>
      <w:tr w14:paraId="3A298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restart"/>
            <w:tcMar>
              <w:left w:w="0" w:type="dxa"/>
              <w:right w:w="0" w:type="dxa"/>
            </w:tcMar>
            <w:vAlign w:val="center"/>
          </w:tcPr>
          <w:p w14:paraId="73FC366A">
            <w:pPr>
              <w:adjustRightInd w:val="0"/>
              <w:snapToGrid w:val="0"/>
              <w:spacing w:line="240" w:lineRule="auto"/>
              <w:ind w:firstLine="0" w:firstLineChars="0"/>
              <w:jc w:val="center"/>
              <w:rPr>
                <w:sz w:val="21"/>
                <w:szCs w:val="21"/>
              </w:rPr>
            </w:pPr>
            <w:r>
              <w:rPr>
                <w:sz w:val="21"/>
                <w:szCs w:val="21"/>
              </w:rPr>
              <w:t>风险调查</w:t>
            </w:r>
          </w:p>
        </w:tc>
        <w:tc>
          <w:tcPr>
            <w:tcW w:w="595" w:type="pct"/>
            <w:vMerge w:val="restart"/>
            <w:tcMar>
              <w:left w:w="0" w:type="dxa"/>
              <w:right w:w="0" w:type="dxa"/>
            </w:tcMar>
            <w:vAlign w:val="center"/>
          </w:tcPr>
          <w:p w14:paraId="092D69A1">
            <w:pPr>
              <w:adjustRightInd w:val="0"/>
              <w:snapToGrid w:val="0"/>
              <w:spacing w:line="240" w:lineRule="auto"/>
              <w:ind w:firstLine="0" w:firstLineChars="0"/>
              <w:jc w:val="center"/>
              <w:rPr>
                <w:sz w:val="21"/>
                <w:szCs w:val="21"/>
              </w:rPr>
            </w:pPr>
            <w:r>
              <w:rPr>
                <w:sz w:val="21"/>
                <w:szCs w:val="21"/>
              </w:rPr>
              <w:t>危险物质</w:t>
            </w:r>
          </w:p>
        </w:tc>
        <w:tc>
          <w:tcPr>
            <w:tcW w:w="638" w:type="pct"/>
            <w:tcMar>
              <w:left w:w="0" w:type="dxa"/>
              <w:right w:w="0" w:type="dxa"/>
            </w:tcMar>
            <w:vAlign w:val="center"/>
          </w:tcPr>
          <w:p w14:paraId="6A08BEF8">
            <w:pPr>
              <w:adjustRightInd w:val="0"/>
              <w:snapToGrid w:val="0"/>
              <w:spacing w:line="240" w:lineRule="auto"/>
              <w:ind w:firstLine="0" w:firstLineChars="0"/>
              <w:jc w:val="center"/>
              <w:rPr>
                <w:sz w:val="21"/>
                <w:szCs w:val="21"/>
              </w:rPr>
            </w:pPr>
            <w:r>
              <w:rPr>
                <w:sz w:val="21"/>
                <w:szCs w:val="21"/>
              </w:rPr>
              <w:t>名称</w:t>
            </w:r>
          </w:p>
        </w:tc>
        <w:tc>
          <w:tcPr>
            <w:tcW w:w="660" w:type="pct"/>
            <w:tcMar>
              <w:left w:w="0" w:type="dxa"/>
              <w:right w:w="0" w:type="dxa"/>
            </w:tcMar>
            <w:vAlign w:val="center"/>
          </w:tcPr>
          <w:p w14:paraId="55EC47FE">
            <w:pPr>
              <w:adjustRightInd w:val="0"/>
              <w:snapToGrid w:val="0"/>
              <w:spacing w:line="240" w:lineRule="auto"/>
              <w:ind w:firstLine="0" w:firstLineChars="0"/>
              <w:jc w:val="center"/>
              <w:rPr>
                <w:sz w:val="21"/>
                <w:szCs w:val="21"/>
              </w:rPr>
            </w:pPr>
            <w:r>
              <w:rPr>
                <w:rFonts w:hint="eastAsia"/>
                <w:sz w:val="21"/>
                <w:szCs w:val="21"/>
              </w:rPr>
              <w:t>油类物质</w:t>
            </w:r>
          </w:p>
        </w:tc>
        <w:tc>
          <w:tcPr>
            <w:tcW w:w="673" w:type="pct"/>
            <w:gridSpan w:val="2"/>
            <w:tcMar>
              <w:left w:w="0" w:type="dxa"/>
              <w:right w:w="0" w:type="dxa"/>
            </w:tcMar>
            <w:vAlign w:val="center"/>
          </w:tcPr>
          <w:p w14:paraId="719CC978">
            <w:pPr>
              <w:adjustRightInd w:val="0"/>
              <w:snapToGrid w:val="0"/>
              <w:spacing w:line="240" w:lineRule="auto"/>
              <w:ind w:firstLine="0" w:firstLineChars="0"/>
              <w:jc w:val="center"/>
              <w:rPr>
                <w:sz w:val="21"/>
                <w:szCs w:val="21"/>
              </w:rPr>
            </w:pPr>
            <w:r>
              <w:rPr>
                <w:rFonts w:hint="eastAsia"/>
                <w:sz w:val="21"/>
                <w:szCs w:val="21"/>
              </w:rPr>
              <w:t>硫酸（</w:t>
            </w:r>
            <w:r>
              <w:rPr>
                <w:sz w:val="21"/>
                <w:szCs w:val="21"/>
              </w:rPr>
              <w:t>98</w:t>
            </w:r>
            <w:r>
              <w:rPr>
                <w:rFonts w:hint="eastAsia"/>
                <w:sz w:val="21"/>
                <w:szCs w:val="21"/>
              </w:rPr>
              <w:t>%）</w:t>
            </w:r>
          </w:p>
        </w:tc>
        <w:tc>
          <w:tcPr>
            <w:tcW w:w="494" w:type="pct"/>
            <w:gridSpan w:val="2"/>
            <w:tcMar>
              <w:left w:w="0" w:type="dxa"/>
              <w:right w:w="0" w:type="dxa"/>
            </w:tcMar>
            <w:vAlign w:val="center"/>
          </w:tcPr>
          <w:p w14:paraId="26043903">
            <w:pPr>
              <w:adjustRightInd w:val="0"/>
              <w:snapToGrid w:val="0"/>
              <w:spacing w:line="240" w:lineRule="auto"/>
              <w:ind w:firstLine="0" w:firstLineChars="0"/>
              <w:jc w:val="center"/>
              <w:rPr>
                <w:sz w:val="21"/>
                <w:szCs w:val="21"/>
              </w:rPr>
            </w:pPr>
          </w:p>
        </w:tc>
        <w:tc>
          <w:tcPr>
            <w:tcW w:w="583" w:type="pct"/>
            <w:gridSpan w:val="2"/>
            <w:tcMar>
              <w:left w:w="0" w:type="dxa"/>
              <w:right w:w="0" w:type="dxa"/>
            </w:tcMar>
            <w:vAlign w:val="center"/>
          </w:tcPr>
          <w:p w14:paraId="494D235B">
            <w:pPr>
              <w:adjustRightInd w:val="0"/>
              <w:snapToGrid w:val="0"/>
              <w:spacing w:line="240" w:lineRule="auto"/>
              <w:ind w:firstLine="0" w:firstLineChars="0"/>
              <w:jc w:val="center"/>
              <w:rPr>
                <w:sz w:val="21"/>
                <w:szCs w:val="21"/>
              </w:rPr>
            </w:pPr>
          </w:p>
        </w:tc>
        <w:tc>
          <w:tcPr>
            <w:tcW w:w="583" w:type="pct"/>
            <w:gridSpan w:val="2"/>
            <w:tcMar>
              <w:left w:w="0" w:type="dxa"/>
              <w:right w:w="0" w:type="dxa"/>
            </w:tcMar>
            <w:vAlign w:val="center"/>
          </w:tcPr>
          <w:p w14:paraId="2C25CDFC">
            <w:pPr>
              <w:adjustRightInd w:val="0"/>
              <w:snapToGrid w:val="0"/>
              <w:spacing w:line="240" w:lineRule="auto"/>
              <w:ind w:firstLine="0" w:firstLineChars="0"/>
              <w:jc w:val="center"/>
              <w:rPr>
                <w:sz w:val="21"/>
                <w:szCs w:val="21"/>
              </w:rPr>
            </w:pPr>
          </w:p>
        </w:tc>
        <w:tc>
          <w:tcPr>
            <w:tcW w:w="581" w:type="pct"/>
            <w:tcMar>
              <w:left w:w="0" w:type="dxa"/>
              <w:right w:w="0" w:type="dxa"/>
            </w:tcMar>
            <w:vAlign w:val="center"/>
          </w:tcPr>
          <w:p w14:paraId="323C029D">
            <w:pPr>
              <w:adjustRightInd w:val="0"/>
              <w:snapToGrid w:val="0"/>
              <w:spacing w:line="240" w:lineRule="auto"/>
              <w:ind w:firstLine="0" w:firstLineChars="0"/>
              <w:jc w:val="center"/>
              <w:rPr>
                <w:sz w:val="21"/>
                <w:szCs w:val="21"/>
              </w:rPr>
            </w:pPr>
          </w:p>
        </w:tc>
      </w:tr>
      <w:tr w14:paraId="1F0BE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42C495E2">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2D7B8D1A">
            <w:pPr>
              <w:adjustRightInd w:val="0"/>
              <w:snapToGrid w:val="0"/>
              <w:spacing w:line="240" w:lineRule="auto"/>
              <w:ind w:firstLine="0" w:firstLineChars="0"/>
              <w:jc w:val="center"/>
              <w:rPr>
                <w:sz w:val="21"/>
                <w:szCs w:val="21"/>
              </w:rPr>
            </w:pPr>
          </w:p>
        </w:tc>
        <w:tc>
          <w:tcPr>
            <w:tcW w:w="638" w:type="pct"/>
            <w:tcMar>
              <w:left w:w="0" w:type="dxa"/>
              <w:right w:w="0" w:type="dxa"/>
            </w:tcMar>
            <w:vAlign w:val="center"/>
          </w:tcPr>
          <w:p w14:paraId="1FD0A92F">
            <w:pPr>
              <w:adjustRightInd w:val="0"/>
              <w:snapToGrid w:val="0"/>
              <w:spacing w:line="240" w:lineRule="auto"/>
              <w:ind w:firstLine="0" w:firstLineChars="0"/>
              <w:jc w:val="center"/>
              <w:rPr>
                <w:sz w:val="21"/>
                <w:szCs w:val="21"/>
              </w:rPr>
            </w:pPr>
            <w:r>
              <w:rPr>
                <w:sz w:val="21"/>
                <w:szCs w:val="21"/>
              </w:rPr>
              <w:t>存在总量/t</w:t>
            </w:r>
          </w:p>
        </w:tc>
        <w:tc>
          <w:tcPr>
            <w:tcW w:w="660" w:type="pct"/>
            <w:tcMar>
              <w:left w:w="0" w:type="dxa"/>
              <w:right w:w="0" w:type="dxa"/>
            </w:tcMar>
            <w:vAlign w:val="center"/>
          </w:tcPr>
          <w:p w14:paraId="3EA85A0C">
            <w:pPr>
              <w:adjustRightInd w:val="0"/>
              <w:snapToGrid w:val="0"/>
              <w:spacing w:line="240" w:lineRule="auto"/>
              <w:ind w:firstLine="0" w:firstLineChars="0"/>
              <w:jc w:val="center"/>
              <w:rPr>
                <w:sz w:val="21"/>
                <w:szCs w:val="21"/>
              </w:rPr>
            </w:pPr>
            <w:r>
              <w:rPr>
                <w:rFonts w:hint="eastAsia"/>
                <w:sz w:val="21"/>
                <w:szCs w:val="21"/>
              </w:rPr>
              <w:t>19673.6</w:t>
            </w:r>
          </w:p>
        </w:tc>
        <w:tc>
          <w:tcPr>
            <w:tcW w:w="673" w:type="pct"/>
            <w:gridSpan w:val="2"/>
            <w:tcMar>
              <w:left w:w="0" w:type="dxa"/>
              <w:right w:w="0" w:type="dxa"/>
            </w:tcMar>
            <w:vAlign w:val="center"/>
          </w:tcPr>
          <w:p w14:paraId="211ABEE1">
            <w:pPr>
              <w:adjustRightInd w:val="0"/>
              <w:snapToGrid w:val="0"/>
              <w:spacing w:line="240" w:lineRule="auto"/>
              <w:ind w:firstLine="0" w:firstLineChars="0"/>
              <w:jc w:val="center"/>
              <w:rPr>
                <w:sz w:val="21"/>
                <w:szCs w:val="21"/>
              </w:rPr>
            </w:pPr>
            <w:r>
              <w:rPr>
                <w:sz w:val="21"/>
                <w:szCs w:val="21"/>
              </w:rPr>
              <w:t>18.305</w:t>
            </w:r>
          </w:p>
        </w:tc>
        <w:tc>
          <w:tcPr>
            <w:tcW w:w="494" w:type="pct"/>
            <w:gridSpan w:val="2"/>
            <w:tcMar>
              <w:left w:w="0" w:type="dxa"/>
              <w:right w:w="0" w:type="dxa"/>
            </w:tcMar>
            <w:vAlign w:val="center"/>
          </w:tcPr>
          <w:p w14:paraId="3F3E4C56">
            <w:pPr>
              <w:adjustRightInd w:val="0"/>
              <w:snapToGrid w:val="0"/>
              <w:spacing w:line="240" w:lineRule="auto"/>
              <w:ind w:firstLine="0" w:firstLineChars="0"/>
              <w:jc w:val="center"/>
              <w:rPr>
                <w:sz w:val="21"/>
                <w:szCs w:val="21"/>
              </w:rPr>
            </w:pPr>
          </w:p>
        </w:tc>
        <w:tc>
          <w:tcPr>
            <w:tcW w:w="583" w:type="pct"/>
            <w:gridSpan w:val="2"/>
            <w:tcMar>
              <w:left w:w="0" w:type="dxa"/>
              <w:right w:w="0" w:type="dxa"/>
            </w:tcMar>
            <w:vAlign w:val="center"/>
          </w:tcPr>
          <w:p w14:paraId="035A3FEC">
            <w:pPr>
              <w:adjustRightInd w:val="0"/>
              <w:snapToGrid w:val="0"/>
              <w:spacing w:line="240" w:lineRule="auto"/>
              <w:ind w:firstLine="0" w:firstLineChars="0"/>
              <w:jc w:val="center"/>
              <w:rPr>
                <w:sz w:val="21"/>
                <w:szCs w:val="21"/>
              </w:rPr>
            </w:pPr>
          </w:p>
        </w:tc>
        <w:tc>
          <w:tcPr>
            <w:tcW w:w="583" w:type="pct"/>
            <w:gridSpan w:val="2"/>
            <w:tcMar>
              <w:left w:w="0" w:type="dxa"/>
              <w:right w:w="0" w:type="dxa"/>
            </w:tcMar>
            <w:vAlign w:val="center"/>
          </w:tcPr>
          <w:p w14:paraId="4CCF103D">
            <w:pPr>
              <w:adjustRightInd w:val="0"/>
              <w:snapToGrid w:val="0"/>
              <w:spacing w:line="240" w:lineRule="auto"/>
              <w:ind w:firstLine="0" w:firstLineChars="0"/>
              <w:jc w:val="center"/>
              <w:rPr>
                <w:sz w:val="21"/>
                <w:szCs w:val="21"/>
              </w:rPr>
            </w:pPr>
          </w:p>
        </w:tc>
        <w:tc>
          <w:tcPr>
            <w:tcW w:w="581" w:type="pct"/>
            <w:tcMar>
              <w:left w:w="0" w:type="dxa"/>
              <w:right w:w="0" w:type="dxa"/>
            </w:tcMar>
            <w:vAlign w:val="center"/>
          </w:tcPr>
          <w:p w14:paraId="0CBA6572">
            <w:pPr>
              <w:adjustRightInd w:val="0"/>
              <w:snapToGrid w:val="0"/>
              <w:spacing w:line="240" w:lineRule="auto"/>
              <w:ind w:firstLine="0" w:firstLineChars="0"/>
              <w:jc w:val="center"/>
              <w:rPr>
                <w:sz w:val="21"/>
                <w:szCs w:val="21"/>
              </w:rPr>
            </w:pPr>
          </w:p>
        </w:tc>
      </w:tr>
      <w:tr w14:paraId="35C02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515598DD">
            <w:pPr>
              <w:adjustRightInd w:val="0"/>
              <w:snapToGrid w:val="0"/>
              <w:spacing w:line="240" w:lineRule="auto"/>
              <w:ind w:firstLine="0" w:firstLineChars="0"/>
              <w:jc w:val="center"/>
              <w:rPr>
                <w:sz w:val="21"/>
                <w:szCs w:val="21"/>
              </w:rPr>
            </w:pPr>
          </w:p>
        </w:tc>
        <w:tc>
          <w:tcPr>
            <w:tcW w:w="595" w:type="pct"/>
            <w:vMerge w:val="restart"/>
            <w:tcMar>
              <w:left w:w="0" w:type="dxa"/>
              <w:right w:w="0" w:type="dxa"/>
            </w:tcMar>
            <w:vAlign w:val="center"/>
          </w:tcPr>
          <w:p w14:paraId="07874784">
            <w:pPr>
              <w:adjustRightInd w:val="0"/>
              <w:snapToGrid w:val="0"/>
              <w:spacing w:line="240" w:lineRule="auto"/>
              <w:ind w:firstLine="0" w:firstLineChars="0"/>
              <w:jc w:val="center"/>
              <w:rPr>
                <w:sz w:val="21"/>
                <w:szCs w:val="21"/>
              </w:rPr>
            </w:pPr>
            <w:r>
              <w:rPr>
                <w:sz w:val="21"/>
                <w:szCs w:val="21"/>
              </w:rPr>
              <w:t>环境敏感性</w:t>
            </w:r>
          </w:p>
        </w:tc>
        <w:tc>
          <w:tcPr>
            <w:tcW w:w="638" w:type="pct"/>
            <w:vMerge w:val="restart"/>
            <w:tcMar>
              <w:left w:w="0" w:type="dxa"/>
              <w:right w:w="0" w:type="dxa"/>
            </w:tcMar>
            <w:vAlign w:val="center"/>
          </w:tcPr>
          <w:p w14:paraId="18C6E25B">
            <w:pPr>
              <w:adjustRightInd w:val="0"/>
              <w:snapToGrid w:val="0"/>
              <w:spacing w:line="240" w:lineRule="auto"/>
              <w:ind w:firstLine="0" w:firstLineChars="0"/>
              <w:jc w:val="center"/>
              <w:rPr>
                <w:sz w:val="21"/>
                <w:szCs w:val="21"/>
              </w:rPr>
            </w:pPr>
            <w:r>
              <w:rPr>
                <w:sz w:val="21"/>
                <w:szCs w:val="21"/>
              </w:rPr>
              <w:t>大气</w:t>
            </w:r>
          </w:p>
        </w:tc>
        <w:tc>
          <w:tcPr>
            <w:tcW w:w="1621" w:type="pct"/>
            <w:gridSpan w:val="4"/>
            <w:tcMar>
              <w:left w:w="0" w:type="dxa"/>
              <w:right w:w="0" w:type="dxa"/>
            </w:tcMar>
            <w:vAlign w:val="center"/>
          </w:tcPr>
          <w:p w14:paraId="21ED9212">
            <w:pPr>
              <w:adjustRightInd w:val="0"/>
              <w:snapToGrid w:val="0"/>
              <w:spacing w:line="240" w:lineRule="auto"/>
              <w:ind w:firstLine="0" w:firstLineChars="0"/>
              <w:jc w:val="center"/>
              <w:rPr>
                <w:sz w:val="21"/>
                <w:szCs w:val="21"/>
              </w:rPr>
            </w:pPr>
            <w:r>
              <w:rPr>
                <w:sz w:val="21"/>
                <w:szCs w:val="21"/>
              </w:rPr>
              <w:t>500m范围内人口数</w:t>
            </w:r>
            <w:r>
              <w:rPr>
                <w:sz w:val="21"/>
                <w:szCs w:val="21"/>
                <w:u w:val="single"/>
              </w:rPr>
              <w:t xml:space="preserve"> 400 </w:t>
            </w:r>
            <w:r>
              <w:rPr>
                <w:sz w:val="21"/>
                <w:szCs w:val="21"/>
              </w:rPr>
              <w:t>人</w:t>
            </w:r>
          </w:p>
        </w:tc>
        <w:tc>
          <w:tcPr>
            <w:tcW w:w="1953" w:type="pct"/>
            <w:gridSpan w:val="6"/>
            <w:tcMar>
              <w:left w:w="0" w:type="dxa"/>
              <w:right w:w="0" w:type="dxa"/>
            </w:tcMar>
            <w:vAlign w:val="center"/>
          </w:tcPr>
          <w:p w14:paraId="00392792">
            <w:pPr>
              <w:adjustRightInd w:val="0"/>
              <w:snapToGrid w:val="0"/>
              <w:spacing w:line="240" w:lineRule="auto"/>
              <w:ind w:firstLine="0" w:firstLineChars="0"/>
              <w:jc w:val="center"/>
              <w:rPr>
                <w:sz w:val="21"/>
                <w:szCs w:val="21"/>
              </w:rPr>
            </w:pPr>
            <w:r>
              <w:rPr>
                <w:sz w:val="21"/>
                <w:szCs w:val="21"/>
              </w:rPr>
              <w:t>5km范围内人口数</w:t>
            </w:r>
            <w:r>
              <w:rPr>
                <w:sz w:val="21"/>
                <w:szCs w:val="21"/>
                <w:u w:val="single"/>
              </w:rPr>
              <w:t xml:space="preserve"> 1800 </w:t>
            </w:r>
            <w:r>
              <w:rPr>
                <w:sz w:val="21"/>
                <w:szCs w:val="21"/>
              </w:rPr>
              <w:t>人</w:t>
            </w:r>
          </w:p>
        </w:tc>
      </w:tr>
      <w:tr w14:paraId="3285A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7A8E70E6">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246967F8">
            <w:pPr>
              <w:adjustRightInd w:val="0"/>
              <w:snapToGrid w:val="0"/>
              <w:spacing w:line="240" w:lineRule="auto"/>
              <w:ind w:firstLine="0" w:firstLineChars="0"/>
              <w:jc w:val="center"/>
              <w:rPr>
                <w:sz w:val="21"/>
                <w:szCs w:val="21"/>
              </w:rPr>
            </w:pPr>
          </w:p>
        </w:tc>
        <w:tc>
          <w:tcPr>
            <w:tcW w:w="638" w:type="pct"/>
            <w:vMerge w:val="continue"/>
            <w:tcMar>
              <w:left w:w="0" w:type="dxa"/>
              <w:right w:w="0" w:type="dxa"/>
            </w:tcMar>
            <w:vAlign w:val="center"/>
          </w:tcPr>
          <w:p w14:paraId="2621B451">
            <w:pPr>
              <w:adjustRightInd w:val="0"/>
              <w:snapToGrid w:val="0"/>
              <w:spacing w:line="240" w:lineRule="auto"/>
              <w:ind w:firstLine="0" w:firstLineChars="0"/>
              <w:jc w:val="center"/>
              <w:rPr>
                <w:sz w:val="21"/>
                <w:szCs w:val="21"/>
              </w:rPr>
            </w:pPr>
          </w:p>
        </w:tc>
        <w:tc>
          <w:tcPr>
            <w:tcW w:w="2428" w:type="pct"/>
            <w:gridSpan w:val="8"/>
            <w:tcMar>
              <w:left w:w="0" w:type="dxa"/>
              <w:right w:w="0" w:type="dxa"/>
            </w:tcMar>
            <w:vAlign w:val="center"/>
          </w:tcPr>
          <w:p w14:paraId="28F7A8FB">
            <w:pPr>
              <w:adjustRightInd w:val="0"/>
              <w:snapToGrid w:val="0"/>
              <w:spacing w:line="240" w:lineRule="auto"/>
              <w:ind w:firstLine="0" w:firstLineChars="0"/>
              <w:jc w:val="center"/>
              <w:rPr>
                <w:sz w:val="21"/>
                <w:szCs w:val="21"/>
              </w:rPr>
            </w:pPr>
            <w:r>
              <w:rPr>
                <w:sz w:val="21"/>
                <w:szCs w:val="21"/>
              </w:rPr>
              <w:t>每公里管段周边200m范围内人口数（最大）</w:t>
            </w:r>
          </w:p>
        </w:tc>
        <w:tc>
          <w:tcPr>
            <w:tcW w:w="1146" w:type="pct"/>
            <w:gridSpan w:val="2"/>
            <w:tcMar>
              <w:left w:w="0" w:type="dxa"/>
              <w:right w:w="0" w:type="dxa"/>
            </w:tcMar>
            <w:vAlign w:val="center"/>
          </w:tcPr>
          <w:p w14:paraId="00A11923">
            <w:pPr>
              <w:adjustRightInd w:val="0"/>
              <w:snapToGrid w:val="0"/>
              <w:spacing w:line="240" w:lineRule="auto"/>
              <w:ind w:firstLine="0" w:firstLineChars="0"/>
              <w:jc w:val="center"/>
              <w:rPr>
                <w:sz w:val="21"/>
                <w:szCs w:val="21"/>
              </w:rPr>
            </w:pPr>
            <w:r>
              <w:rPr>
                <w:sz w:val="21"/>
                <w:szCs w:val="21"/>
                <w:u w:val="single"/>
              </w:rPr>
              <w:t xml:space="preserve">   /   </w:t>
            </w:r>
            <w:r>
              <w:rPr>
                <w:sz w:val="21"/>
                <w:szCs w:val="21"/>
              </w:rPr>
              <w:t>人</w:t>
            </w:r>
          </w:p>
        </w:tc>
      </w:tr>
      <w:tr w14:paraId="4A907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122BDCAD">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5F8868F6">
            <w:pPr>
              <w:adjustRightInd w:val="0"/>
              <w:snapToGrid w:val="0"/>
              <w:spacing w:line="240" w:lineRule="auto"/>
              <w:ind w:firstLine="0" w:firstLineChars="0"/>
              <w:jc w:val="center"/>
              <w:rPr>
                <w:sz w:val="21"/>
                <w:szCs w:val="21"/>
              </w:rPr>
            </w:pPr>
          </w:p>
        </w:tc>
        <w:tc>
          <w:tcPr>
            <w:tcW w:w="638" w:type="pct"/>
            <w:vMerge w:val="restart"/>
            <w:tcMar>
              <w:left w:w="0" w:type="dxa"/>
              <w:right w:w="0" w:type="dxa"/>
            </w:tcMar>
            <w:vAlign w:val="center"/>
          </w:tcPr>
          <w:p w14:paraId="6498EF68">
            <w:pPr>
              <w:adjustRightInd w:val="0"/>
              <w:snapToGrid w:val="0"/>
              <w:spacing w:line="240" w:lineRule="auto"/>
              <w:ind w:firstLine="0" w:firstLineChars="0"/>
              <w:jc w:val="center"/>
              <w:rPr>
                <w:sz w:val="21"/>
                <w:szCs w:val="21"/>
              </w:rPr>
            </w:pPr>
            <w:r>
              <w:rPr>
                <w:sz w:val="21"/>
                <w:szCs w:val="21"/>
              </w:rPr>
              <w:t>地表水</w:t>
            </w:r>
          </w:p>
        </w:tc>
        <w:tc>
          <w:tcPr>
            <w:tcW w:w="1011" w:type="pct"/>
            <w:gridSpan w:val="2"/>
            <w:tcMar>
              <w:left w:w="0" w:type="dxa"/>
              <w:right w:w="0" w:type="dxa"/>
            </w:tcMar>
            <w:vAlign w:val="center"/>
          </w:tcPr>
          <w:p w14:paraId="2623B4FF">
            <w:pPr>
              <w:adjustRightInd w:val="0"/>
              <w:snapToGrid w:val="0"/>
              <w:spacing w:line="240" w:lineRule="auto"/>
              <w:ind w:firstLine="0" w:firstLineChars="0"/>
              <w:jc w:val="center"/>
              <w:rPr>
                <w:sz w:val="21"/>
                <w:szCs w:val="21"/>
              </w:rPr>
            </w:pPr>
            <w:r>
              <w:rPr>
                <w:sz w:val="21"/>
                <w:szCs w:val="21"/>
              </w:rPr>
              <w:t>地表水功能敏感性</w:t>
            </w:r>
          </w:p>
        </w:tc>
        <w:tc>
          <w:tcPr>
            <w:tcW w:w="610" w:type="pct"/>
            <w:gridSpan w:val="2"/>
            <w:tcMar>
              <w:left w:w="0" w:type="dxa"/>
              <w:right w:w="0" w:type="dxa"/>
            </w:tcMar>
            <w:vAlign w:val="center"/>
          </w:tcPr>
          <w:p w14:paraId="2C035004">
            <w:pPr>
              <w:adjustRightInd w:val="0"/>
              <w:snapToGrid w:val="0"/>
              <w:spacing w:line="240" w:lineRule="auto"/>
              <w:ind w:firstLine="0" w:firstLineChars="0"/>
              <w:jc w:val="center"/>
              <w:rPr>
                <w:sz w:val="21"/>
                <w:szCs w:val="21"/>
              </w:rPr>
            </w:pPr>
            <w:r>
              <w:rPr>
                <w:sz w:val="21"/>
                <w:szCs w:val="21"/>
              </w:rPr>
              <w:t xml:space="preserve">F1 </w:t>
            </w:r>
            <w:r>
              <w:rPr>
                <w:sz w:val="21"/>
                <w:szCs w:val="21"/>
              </w:rPr>
              <w:sym w:font="Wingdings 2" w:char="00A3"/>
            </w:r>
          </w:p>
        </w:tc>
        <w:tc>
          <w:tcPr>
            <w:tcW w:w="807" w:type="pct"/>
            <w:gridSpan w:val="4"/>
            <w:tcMar>
              <w:left w:w="0" w:type="dxa"/>
              <w:right w:w="0" w:type="dxa"/>
            </w:tcMar>
            <w:vAlign w:val="center"/>
          </w:tcPr>
          <w:p w14:paraId="53819E06">
            <w:pPr>
              <w:adjustRightInd w:val="0"/>
              <w:snapToGrid w:val="0"/>
              <w:spacing w:line="240" w:lineRule="auto"/>
              <w:ind w:firstLine="0" w:firstLineChars="0"/>
              <w:jc w:val="center"/>
              <w:rPr>
                <w:sz w:val="21"/>
                <w:szCs w:val="21"/>
              </w:rPr>
            </w:pPr>
            <w:r>
              <w:rPr>
                <w:sz w:val="21"/>
                <w:szCs w:val="21"/>
              </w:rPr>
              <w:t xml:space="preserve">F2 </w:t>
            </w:r>
            <w:r>
              <w:rPr>
                <w:sz w:val="21"/>
                <w:szCs w:val="21"/>
              </w:rPr>
              <w:sym w:font="Wingdings 2" w:char="00A3"/>
            </w:r>
          </w:p>
        </w:tc>
        <w:tc>
          <w:tcPr>
            <w:tcW w:w="1146" w:type="pct"/>
            <w:gridSpan w:val="2"/>
            <w:tcMar>
              <w:left w:w="0" w:type="dxa"/>
              <w:right w:w="0" w:type="dxa"/>
            </w:tcMar>
            <w:vAlign w:val="center"/>
          </w:tcPr>
          <w:p w14:paraId="5870392E">
            <w:pPr>
              <w:adjustRightInd w:val="0"/>
              <w:snapToGrid w:val="0"/>
              <w:spacing w:line="240" w:lineRule="auto"/>
              <w:ind w:firstLine="0" w:firstLineChars="0"/>
              <w:jc w:val="center"/>
              <w:rPr>
                <w:sz w:val="21"/>
                <w:szCs w:val="21"/>
              </w:rPr>
            </w:pPr>
            <w:r>
              <w:rPr>
                <w:sz w:val="21"/>
                <w:szCs w:val="21"/>
              </w:rPr>
              <w:t>F3</w:t>
            </w:r>
            <w:r>
              <w:rPr>
                <w:rFonts w:ascii="Segoe UI Emoji" w:hAnsi="Segoe UI Emoji" w:cs="Segoe UI Emoji"/>
                <w:sz w:val="21"/>
                <w:szCs w:val="21"/>
              </w:rPr>
              <w:t>☑</w:t>
            </w:r>
          </w:p>
        </w:tc>
      </w:tr>
      <w:tr w14:paraId="0C181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6DBD93F6">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02E6B320">
            <w:pPr>
              <w:adjustRightInd w:val="0"/>
              <w:snapToGrid w:val="0"/>
              <w:spacing w:line="240" w:lineRule="auto"/>
              <w:ind w:firstLine="0" w:firstLineChars="0"/>
              <w:jc w:val="center"/>
              <w:rPr>
                <w:sz w:val="21"/>
                <w:szCs w:val="21"/>
              </w:rPr>
            </w:pPr>
          </w:p>
        </w:tc>
        <w:tc>
          <w:tcPr>
            <w:tcW w:w="638" w:type="pct"/>
            <w:vMerge w:val="continue"/>
            <w:tcMar>
              <w:left w:w="0" w:type="dxa"/>
              <w:right w:w="0" w:type="dxa"/>
            </w:tcMar>
            <w:vAlign w:val="center"/>
          </w:tcPr>
          <w:p w14:paraId="6C69DFE8">
            <w:pPr>
              <w:adjustRightInd w:val="0"/>
              <w:snapToGrid w:val="0"/>
              <w:spacing w:line="240" w:lineRule="auto"/>
              <w:ind w:firstLine="0" w:firstLineChars="0"/>
              <w:jc w:val="center"/>
              <w:rPr>
                <w:sz w:val="21"/>
                <w:szCs w:val="21"/>
              </w:rPr>
            </w:pPr>
          </w:p>
        </w:tc>
        <w:tc>
          <w:tcPr>
            <w:tcW w:w="1011" w:type="pct"/>
            <w:gridSpan w:val="2"/>
            <w:tcMar>
              <w:left w:w="0" w:type="dxa"/>
              <w:right w:w="0" w:type="dxa"/>
            </w:tcMar>
            <w:vAlign w:val="center"/>
          </w:tcPr>
          <w:p w14:paraId="231D9E4F">
            <w:pPr>
              <w:adjustRightInd w:val="0"/>
              <w:snapToGrid w:val="0"/>
              <w:spacing w:line="240" w:lineRule="auto"/>
              <w:ind w:firstLine="0" w:firstLineChars="0"/>
              <w:jc w:val="center"/>
              <w:rPr>
                <w:sz w:val="21"/>
                <w:szCs w:val="21"/>
              </w:rPr>
            </w:pPr>
            <w:r>
              <w:rPr>
                <w:sz w:val="21"/>
                <w:szCs w:val="21"/>
              </w:rPr>
              <w:t>环境敏感目标分级</w:t>
            </w:r>
          </w:p>
        </w:tc>
        <w:tc>
          <w:tcPr>
            <w:tcW w:w="610" w:type="pct"/>
            <w:gridSpan w:val="2"/>
            <w:tcMar>
              <w:left w:w="0" w:type="dxa"/>
              <w:right w:w="0" w:type="dxa"/>
            </w:tcMar>
            <w:vAlign w:val="center"/>
          </w:tcPr>
          <w:p w14:paraId="563967DF">
            <w:pPr>
              <w:adjustRightInd w:val="0"/>
              <w:snapToGrid w:val="0"/>
              <w:spacing w:line="240" w:lineRule="auto"/>
              <w:ind w:firstLine="0" w:firstLineChars="0"/>
              <w:jc w:val="center"/>
              <w:rPr>
                <w:sz w:val="21"/>
                <w:szCs w:val="21"/>
              </w:rPr>
            </w:pPr>
            <w:r>
              <w:rPr>
                <w:sz w:val="21"/>
                <w:szCs w:val="21"/>
              </w:rPr>
              <w:t xml:space="preserve">S1 </w:t>
            </w:r>
            <w:r>
              <w:rPr>
                <w:sz w:val="21"/>
                <w:szCs w:val="21"/>
              </w:rPr>
              <w:sym w:font="Wingdings 2" w:char="00A3"/>
            </w:r>
          </w:p>
        </w:tc>
        <w:tc>
          <w:tcPr>
            <w:tcW w:w="807" w:type="pct"/>
            <w:gridSpan w:val="4"/>
            <w:tcMar>
              <w:left w:w="0" w:type="dxa"/>
              <w:right w:w="0" w:type="dxa"/>
            </w:tcMar>
            <w:vAlign w:val="center"/>
          </w:tcPr>
          <w:p w14:paraId="4C388B58">
            <w:pPr>
              <w:adjustRightInd w:val="0"/>
              <w:snapToGrid w:val="0"/>
              <w:spacing w:line="240" w:lineRule="auto"/>
              <w:ind w:firstLine="0" w:firstLineChars="0"/>
              <w:jc w:val="center"/>
              <w:rPr>
                <w:sz w:val="21"/>
                <w:szCs w:val="21"/>
              </w:rPr>
            </w:pPr>
            <w:r>
              <w:rPr>
                <w:sz w:val="21"/>
                <w:szCs w:val="21"/>
              </w:rPr>
              <w:t xml:space="preserve">S2 </w:t>
            </w:r>
            <w:r>
              <w:rPr>
                <w:sz w:val="21"/>
                <w:szCs w:val="21"/>
              </w:rPr>
              <w:sym w:font="Wingdings 2" w:char="00A3"/>
            </w:r>
          </w:p>
        </w:tc>
        <w:tc>
          <w:tcPr>
            <w:tcW w:w="1146" w:type="pct"/>
            <w:gridSpan w:val="2"/>
            <w:tcMar>
              <w:left w:w="0" w:type="dxa"/>
              <w:right w:w="0" w:type="dxa"/>
            </w:tcMar>
            <w:vAlign w:val="center"/>
          </w:tcPr>
          <w:p w14:paraId="21F97EC0">
            <w:pPr>
              <w:adjustRightInd w:val="0"/>
              <w:snapToGrid w:val="0"/>
              <w:spacing w:line="240" w:lineRule="auto"/>
              <w:ind w:firstLine="0" w:firstLineChars="0"/>
              <w:jc w:val="center"/>
              <w:rPr>
                <w:sz w:val="21"/>
                <w:szCs w:val="21"/>
              </w:rPr>
            </w:pPr>
            <w:r>
              <w:rPr>
                <w:sz w:val="21"/>
                <w:szCs w:val="21"/>
              </w:rPr>
              <w:t>S3</w:t>
            </w:r>
            <w:r>
              <w:rPr>
                <w:rFonts w:ascii="Segoe UI Emoji" w:hAnsi="Segoe UI Emoji" w:cs="Segoe UI Emoji"/>
                <w:sz w:val="21"/>
                <w:szCs w:val="21"/>
              </w:rPr>
              <w:t>☑</w:t>
            </w:r>
          </w:p>
        </w:tc>
      </w:tr>
      <w:tr w14:paraId="36B3D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68104E4C">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63EF8492">
            <w:pPr>
              <w:adjustRightInd w:val="0"/>
              <w:snapToGrid w:val="0"/>
              <w:spacing w:line="240" w:lineRule="auto"/>
              <w:ind w:firstLine="0" w:firstLineChars="0"/>
              <w:jc w:val="center"/>
              <w:rPr>
                <w:sz w:val="21"/>
                <w:szCs w:val="21"/>
              </w:rPr>
            </w:pPr>
          </w:p>
        </w:tc>
        <w:tc>
          <w:tcPr>
            <w:tcW w:w="638" w:type="pct"/>
            <w:vMerge w:val="restart"/>
            <w:tcMar>
              <w:left w:w="0" w:type="dxa"/>
              <w:right w:w="0" w:type="dxa"/>
            </w:tcMar>
            <w:vAlign w:val="center"/>
          </w:tcPr>
          <w:p w14:paraId="2EC9C2AF">
            <w:pPr>
              <w:adjustRightInd w:val="0"/>
              <w:snapToGrid w:val="0"/>
              <w:spacing w:line="240" w:lineRule="auto"/>
              <w:ind w:firstLine="0" w:firstLineChars="0"/>
              <w:jc w:val="center"/>
              <w:rPr>
                <w:sz w:val="21"/>
                <w:szCs w:val="21"/>
              </w:rPr>
            </w:pPr>
            <w:r>
              <w:rPr>
                <w:sz w:val="21"/>
                <w:szCs w:val="21"/>
              </w:rPr>
              <w:t>地下水</w:t>
            </w:r>
          </w:p>
        </w:tc>
        <w:tc>
          <w:tcPr>
            <w:tcW w:w="1011" w:type="pct"/>
            <w:gridSpan w:val="2"/>
            <w:tcMar>
              <w:left w:w="0" w:type="dxa"/>
              <w:right w:w="0" w:type="dxa"/>
            </w:tcMar>
            <w:vAlign w:val="center"/>
          </w:tcPr>
          <w:p w14:paraId="07E2A804">
            <w:pPr>
              <w:adjustRightInd w:val="0"/>
              <w:snapToGrid w:val="0"/>
              <w:spacing w:line="240" w:lineRule="auto"/>
              <w:ind w:firstLine="0" w:firstLineChars="0"/>
              <w:jc w:val="center"/>
              <w:rPr>
                <w:sz w:val="21"/>
                <w:szCs w:val="21"/>
              </w:rPr>
            </w:pPr>
            <w:r>
              <w:rPr>
                <w:sz w:val="21"/>
                <w:szCs w:val="21"/>
              </w:rPr>
              <w:t>地下水功能敏感性</w:t>
            </w:r>
          </w:p>
        </w:tc>
        <w:tc>
          <w:tcPr>
            <w:tcW w:w="610" w:type="pct"/>
            <w:gridSpan w:val="2"/>
            <w:tcMar>
              <w:left w:w="0" w:type="dxa"/>
              <w:right w:w="0" w:type="dxa"/>
            </w:tcMar>
            <w:vAlign w:val="center"/>
          </w:tcPr>
          <w:p w14:paraId="445581D0">
            <w:pPr>
              <w:adjustRightInd w:val="0"/>
              <w:snapToGrid w:val="0"/>
              <w:spacing w:line="240" w:lineRule="auto"/>
              <w:ind w:firstLine="0" w:firstLineChars="0"/>
              <w:jc w:val="center"/>
              <w:rPr>
                <w:sz w:val="21"/>
                <w:szCs w:val="21"/>
              </w:rPr>
            </w:pPr>
            <w:r>
              <w:rPr>
                <w:sz w:val="21"/>
                <w:szCs w:val="21"/>
              </w:rPr>
              <w:t xml:space="preserve">G1 </w:t>
            </w:r>
            <w:r>
              <w:rPr>
                <w:sz w:val="21"/>
                <w:szCs w:val="21"/>
              </w:rPr>
              <w:sym w:font="Wingdings 2" w:char="00A3"/>
            </w:r>
          </w:p>
        </w:tc>
        <w:tc>
          <w:tcPr>
            <w:tcW w:w="807" w:type="pct"/>
            <w:gridSpan w:val="4"/>
            <w:tcMar>
              <w:left w:w="0" w:type="dxa"/>
              <w:right w:w="0" w:type="dxa"/>
            </w:tcMar>
            <w:vAlign w:val="center"/>
          </w:tcPr>
          <w:p w14:paraId="419CB004">
            <w:pPr>
              <w:adjustRightInd w:val="0"/>
              <w:snapToGrid w:val="0"/>
              <w:spacing w:line="240" w:lineRule="auto"/>
              <w:ind w:firstLine="0" w:firstLineChars="0"/>
              <w:jc w:val="center"/>
              <w:rPr>
                <w:sz w:val="21"/>
                <w:szCs w:val="21"/>
              </w:rPr>
            </w:pPr>
            <w:r>
              <w:rPr>
                <w:sz w:val="21"/>
                <w:szCs w:val="21"/>
              </w:rPr>
              <w:t xml:space="preserve">G2 </w:t>
            </w:r>
            <w:r>
              <w:rPr>
                <w:sz w:val="21"/>
                <w:szCs w:val="21"/>
              </w:rPr>
              <w:sym w:font="Wingdings 2" w:char="00A3"/>
            </w:r>
          </w:p>
        </w:tc>
        <w:tc>
          <w:tcPr>
            <w:tcW w:w="1146" w:type="pct"/>
            <w:gridSpan w:val="2"/>
            <w:tcMar>
              <w:left w:w="0" w:type="dxa"/>
              <w:right w:w="0" w:type="dxa"/>
            </w:tcMar>
            <w:vAlign w:val="center"/>
          </w:tcPr>
          <w:p w14:paraId="0A895CE5">
            <w:pPr>
              <w:adjustRightInd w:val="0"/>
              <w:snapToGrid w:val="0"/>
              <w:spacing w:line="240" w:lineRule="auto"/>
              <w:ind w:firstLine="0" w:firstLineChars="0"/>
              <w:jc w:val="center"/>
              <w:rPr>
                <w:sz w:val="21"/>
                <w:szCs w:val="21"/>
              </w:rPr>
            </w:pPr>
            <w:r>
              <w:rPr>
                <w:sz w:val="21"/>
                <w:szCs w:val="21"/>
              </w:rPr>
              <w:t>G3</w:t>
            </w:r>
            <w:r>
              <w:rPr>
                <w:rFonts w:ascii="Segoe UI Emoji" w:hAnsi="Segoe UI Emoji" w:cs="Segoe UI Emoji"/>
                <w:sz w:val="21"/>
                <w:szCs w:val="21"/>
              </w:rPr>
              <w:t>☑</w:t>
            </w:r>
          </w:p>
        </w:tc>
      </w:tr>
      <w:tr w14:paraId="527C3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10340910">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19191A80">
            <w:pPr>
              <w:adjustRightInd w:val="0"/>
              <w:snapToGrid w:val="0"/>
              <w:spacing w:line="240" w:lineRule="auto"/>
              <w:ind w:firstLine="0" w:firstLineChars="0"/>
              <w:jc w:val="center"/>
              <w:rPr>
                <w:sz w:val="21"/>
                <w:szCs w:val="21"/>
              </w:rPr>
            </w:pPr>
          </w:p>
        </w:tc>
        <w:tc>
          <w:tcPr>
            <w:tcW w:w="638" w:type="pct"/>
            <w:vMerge w:val="continue"/>
            <w:tcMar>
              <w:left w:w="0" w:type="dxa"/>
              <w:right w:w="0" w:type="dxa"/>
            </w:tcMar>
            <w:vAlign w:val="center"/>
          </w:tcPr>
          <w:p w14:paraId="3F1929B1">
            <w:pPr>
              <w:adjustRightInd w:val="0"/>
              <w:snapToGrid w:val="0"/>
              <w:spacing w:line="240" w:lineRule="auto"/>
              <w:ind w:firstLine="0" w:firstLineChars="0"/>
              <w:jc w:val="center"/>
              <w:rPr>
                <w:sz w:val="21"/>
                <w:szCs w:val="21"/>
              </w:rPr>
            </w:pPr>
          </w:p>
        </w:tc>
        <w:tc>
          <w:tcPr>
            <w:tcW w:w="1011" w:type="pct"/>
            <w:gridSpan w:val="2"/>
            <w:tcMar>
              <w:left w:w="0" w:type="dxa"/>
              <w:right w:w="0" w:type="dxa"/>
            </w:tcMar>
            <w:vAlign w:val="center"/>
          </w:tcPr>
          <w:p w14:paraId="34A67A0C">
            <w:pPr>
              <w:adjustRightInd w:val="0"/>
              <w:snapToGrid w:val="0"/>
              <w:spacing w:line="240" w:lineRule="auto"/>
              <w:ind w:firstLine="0" w:firstLineChars="0"/>
              <w:jc w:val="center"/>
              <w:rPr>
                <w:sz w:val="21"/>
                <w:szCs w:val="21"/>
              </w:rPr>
            </w:pPr>
            <w:r>
              <w:rPr>
                <w:sz w:val="21"/>
                <w:szCs w:val="21"/>
              </w:rPr>
              <w:t>包气带防污性能</w:t>
            </w:r>
          </w:p>
        </w:tc>
        <w:tc>
          <w:tcPr>
            <w:tcW w:w="610" w:type="pct"/>
            <w:gridSpan w:val="2"/>
            <w:tcMar>
              <w:left w:w="0" w:type="dxa"/>
              <w:right w:w="0" w:type="dxa"/>
            </w:tcMar>
            <w:vAlign w:val="center"/>
          </w:tcPr>
          <w:p w14:paraId="3838A235">
            <w:pPr>
              <w:adjustRightInd w:val="0"/>
              <w:snapToGrid w:val="0"/>
              <w:spacing w:line="240" w:lineRule="auto"/>
              <w:ind w:firstLine="0" w:firstLineChars="0"/>
              <w:jc w:val="center"/>
              <w:rPr>
                <w:sz w:val="21"/>
                <w:szCs w:val="21"/>
              </w:rPr>
            </w:pPr>
            <w:r>
              <w:rPr>
                <w:sz w:val="21"/>
                <w:szCs w:val="21"/>
              </w:rPr>
              <w:t xml:space="preserve">D1 </w:t>
            </w:r>
            <w:r>
              <w:rPr>
                <w:rFonts w:ascii="Segoe UI Emoji" w:hAnsi="Segoe UI Emoji" w:cs="Segoe UI Emoji"/>
                <w:sz w:val="21"/>
                <w:szCs w:val="21"/>
              </w:rPr>
              <w:t>☑</w:t>
            </w:r>
          </w:p>
        </w:tc>
        <w:tc>
          <w:tcPr>
            <w:tcW w:w="807" w:type="pct"/>
            <w:gridSpan w:val="4"/>
            <w:tcMar>
              <w:left w:w="0" w:type="dxa"/>
              <w:right w:w="0" w:type="dxa"/>
            </w:tcMar>
            <w:vAlign w:val="center"/>
          </w:tcPr>
          <w:p w14:paraId="4440F632">
            <w:pPr>
              <w:adjustRightInd w:val="0"/>
              <w:snapToGrid w:val="0"/>
              <w:spacing w:line="240" w:lineRule="auto"/>
              <w:ind w:firstLine="0" w:firstLineChars="0"/>
              <w:jc w:val="center"/>
              <w:rPr>
                <w:sz w:val="21"/>
                <w:szCs w:val="21"/>
              </w:rPr>
            </w:pPr>
            <w:r>
              <w:rPr>
                <w:sz w:val="21"/>
                <w:szCs w:val="21"/>
              </w:rPr>
              <w:t xml:space="preserve">D2 </w:t>
            </w:r>
            <w:r>
              <w:rPr>
                <w:sz w:val="21"/>
                <w:szCs w:val="21"/>
              </w:rPr>
              <w:sym w:font="Wingdings 2" w:char="00A3"/>
            </w:r>
          </w:p>
        </w:tc>
        <w:tc>
          <w:tcPr>
            <w:tcW w:w="1146" w:type="pct"/>
            <w:gridSpan w:val="2"/>
            <w:tcMar>
              <w:left w:w="0" w:type="dxa"/>
              <w:right w:w="0" w:type="dxa"/>
            </w:tcMar>
            <w:vAlign w:val="center"/>
          </w:tcPr>
          <w:p w14:paraId="7D88A524">
            <w:pPr>
              <w:adjustRightInd w:val="0"/>
              <w:snapToGrid w:val="0"/>
              <w:spacing w:line="240" w:lineRule="auto"/>
              <w:ind w:firstLine="0" w:firstLineChars="0"/>
              <w:jc w:val="center"/>
              <w:rPr>
                <w:sz w:val="21"/>
                <w:szCs w:val="21"/>
              </w:rPr>
            </w:pPr>
            <w:r>
              <w:rPr>
                <w:sz w:val="21"/>
                <w:szCs w:val="21"/>
              </w:rPr>
              <w:t>D3</w:t>
            </w:r>
            <w:r>
              <w:rPr>
                <w:sz w:val="21"/>
                <w:szCs w:val="21"/>
              </w:rPr>
              <w:sym w:font="Wingdings 2" w:char="00A3"/>
            </w:r>
          </w:p>
        </w:tc>
      </w:tr>
      <w:tr w14:paraId="621B7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vMerge w:val="restart"/>
            <w:tcMar>
              <w:left w:w="0" w:type="dxa"/>
              <w:right w:w="0" w:type="dxa"/>
            </w:tcMar>
            <w:vAlign w:val="center"/>
          </w:tcPr>
          <w:p w14:paraId="27FEB808">
            <w:pPr>
              <w:adjustRightInd w:val="0"/>
              <w:snapToGrid w:val="0"/>
              <w:spacing w:line="240" w:lineRule="auto"/>
              <w:ind w:firstLine="0" w:firstLineChars="0"/>
              <w:jc w:val="center"/>
              <w:rPr>
                <w:sz w:val="21"/>
                <w:szCs w:val="21"/>
              </w:rPr>
            </w:pPr>
            <w:r>
              <w:rPr>
                <w:sz w:val="21"/>
                <w:szCs w:val="21"/>
              </w:rPr>
              <w:t>物质及工艺系统危险性</w:t>
            </w:r>
          </w:p>
        </w:tc>
        <w:tc>
          <w:tcPr>
            <w:tcW w:w="638" w:type="pct"/>
            <w:tcMar>
              <w:left w:w="0" w:type="dxa"/>
              <w:right w:w="0" w:type="dxa"/>
            </w:tcMar>
            <w:vAlign w:val="center"/>
          </w:tcPr>
          <w:p w14:paraId="13DA57D8">
            <w:pPr>
              <w:adjustRightInd w:val="0"/>
              <w:snapToGrid w:val="0"/>
              <w:spacing w:line="240" w:lineRule="auto"/>
              <w:ind w:firstLine="0" w:firstLineChars="0"/>
              <w:jc w:val="center"/>
              <w:rPr>
                <w:sz w:val="21"/>
                <w:szCs w:val="21"/>
              </w:rPr>
            </w:pPr>
            <w:r>
              <w:rPr>
                <w:sz w:val="21"/>
                <w:szCs w:val="21"/>
              </w:rPr>
              <w:t>Q值</w:t>
            </w:r>
          </w:p>
        </w:tc>
        <w:tc>
          <w:tcPr>
            <w:tcW w:w="1011" w:type="pct"/>
            <w:gridSpan w:val="2"/>
            <w:tcMar>
              <w:left w:w="0" w:type="dxa"/>
              <w:right w:w="0" w:type="dxa"/>
            </w:tcMar>
            <w:vAlign w:val="center"/>
          </w:tcPr>
          <w:p w14:paraId="19920403">
            <w:pPr>
              <w:adjustRightInd w:val="0"/>
              <w:snapToGrid w:val="0"/>
              <w:spacing w:line="240" w:lineRule="auto"/>
              <w:ind w:firstLine="0" w:firstLineChars="0"/>
              <w:jc w:val="center"/>
              <w:rPr>
                <w:sz w:val="21"/>
                <w:szCs w:val="21"/>
              </w:rPr>
            </w:pPr>
            <w:r>
              <w:rPr>
                <w:sz w:val="21"/>
                <w:szCs w:val="21"/>
              </w:rPr>
              <w:t xml:space="preserve">Q&lt;1 </w:t>
            </w:r>
            <w:r>
              <w:rPr>
                <w:sz w:val="21"/>
                <w:szCs w:val="21"/>
              </w:rPr>
              <w:sym w:font="Wingdings 2" w:char="00A3"/>
            </w:r>
          </w:p>
        </w:tc>
        <w:tc>
          <w:tcPr>
            <w:tcW w:w="610" w:type="pct"/>
            <w:gridSpan w:val="2"/>
            <w:tcMar>
              <w:left w:w="0" w:type="dxa"/>
              <w:right w:w="0" w:type="dxa"/>
            </w:tcMar>
            <w:vAlign w:val="center"/>
          </w:tcPr>
          <w:p w14:paraId="6AE1F6B3">
            <w:pPr>
              <w:adjustRightInd w:val="0"/>
              <w:snapToGrid w:val="0"/>
              <w:spacing w:line="240" w:lineRule="auto"/>
              <w:ind w:firstLine="0" w:firstLineChars="0"/>
              <w:jc w:val="center"/>
              <w:rPr>
                <w:sz w:val="21"/>
                <w:szCs w:val="21"/>
              </w:rPr>
            </w:pPr>
            <w:r>
              <w:rPr>
                <w:sz w:val="21"/>
                <w:szCs w:val="21"/>
              </w:rPr>
              <w:t>1≤Q&lt;10</w:t>
            </w:r>
            <w:r>
              <w:rPr>
                <w:rFonts w:ascii="Segoe UI Emoji" w:hAnsi="Segoe UI Emoji" w:cs="Segoe UI Emoji"/>
                <w:sz w:val="21"/>
                <w:szCs w:val="21"/>
              </w:rPr>
              <w:t>☑</w:t>
            </w:r>
          </w:p>
        </w:tc>
        <w:tc>
          <w:tcPr>
            <w:tcW w:w="807" w:type="pct"/>
            <w:gridSpan w:val="4"/>
            <w:tcMar>
              <w:left w:w="0" w:type="dxa"/>
              <w:right w:w="0" w:type="dxa"/>
            </w:tcMar>
            <w:vAlign w:val="center"/>
          </w:tcPr>
          <w:p w14:paraId="33FB51B1">
            <w:pPr>
              <w:adjustRightInd w:val="0"/>
              <w:snapToGrid w:val="0"/>
              <w:spacing w:line="240" w:lineRule="auto"/>
              <w:ind w:firstLine="0" w:firstLineChars="0"/>
              <w:jc w:val="center"/>
              <w:rPr>
                <w:sz w:val="21"/>
                <w:szCs w:val="21"/>
              </w:rPr>
            </w:pPr>
            <w:r>
              <w:rPr>
                <w:sz w:val="21"/>
                <w:szCs w:val="21"/>
              </w:rPr>
              <w:t xml:space="preserve">10≤Q&lt;100 </w:t>
            </w:r>
            <w:r>
              <w:rPr>
                <w:sz w:val="21"/>
                <w:szCs w:val="21"/>
              </w:rPr>
              <w:sym w:font="Wingdings 2" w:char="00A3"/>
            </w:r>
          </w:p>
        </w:tc>
        <w:tc>
          <w:tcPr>
            <w:tcW w:w="1146" w:type="pct"/>
            <w:gridSpan w:val="2"/>
            <w:tcMar>
              <w:left w:w="0" w:type="dxa"/>
              <w:right w:w="0" w:type="dxa"/>
            </w:tcMar>
            <w:vAlign w:val="center"/>
          </w:tcPr>
          <w:p w14:paraId="4183AB48">
            <w:pPr>
              <w:adjustRightInd w:val="0"/>
              <w:snapToGrid w:val="0"/>
              <w:spacing w:line="240" w:lineRule="auto"/>
              <w:ind w:firstLine="0" w:firstLineChars="0"/>
              <w:jc w:val="center"/>
              <w:rPr>
                <w:sz w:val="21"/>
                <w:szCs w:val="21"/>
              </w:rPr>
            </w:pPr>
            <w:r>
              <w:rPr>
                <w:sz w:val="21"/>
                <w:szCs w:val="21"/>
              </w:rPr>
              <w:t>Q&gt;100</w:t>
            </w:r>
            <w:r>
              <w:rPr>
                <w:rFonts w:hint="eastAsia"/>
                <w:sz w:val="21"/>
                <w:szCs w:val="21"/>
              </w:rPr>
              <w:t>□</w:t>
            </w:r>
          </w:p>
        </w:tc>
      </w:tr>
      <w:tr w14:paraId="3CB75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vMerge w:val="continue"/>
            <w:tcMar>
              <w:left w:w="0" w:type="dxa"/>
              <w:right w:w="0" w:type="dxa"/>
            </w:tcMar>
            <w:vAlign w:val="center"/>
          </w:tcPr>
          <w:p w14:paraId="46A29ED0">
            <w:pPr>
              <w:adjustRightInd w:val="0"/>
              <w:snapToGrid w:val="0"/>
              <w:spacing w:line="240" w:lineRule="auto"/>
              <w:ind w:firstLine="0" w:firstLineChars="0"/>
              <w:jc w:val="center"/>
              <w:rPr>
                <w:sz w:val="21"/>
                <w:szCs w:val="21"/>
              </w:rPr>
            </w:pPr>
          </w:p>
        </w:tc>
        <w:tc>
          <w:tcPr>
            <w:tcW w:w="638" w:type="pct"/>
            <w:tcMar>
              <w:left w:w="0" w:type="dxa"/>
              <w:right w:w="0" w:type="dxa"/>
            </w:tcMar>
            <w:vAlign w:val="center"/>
          </w:tcPr>
          <w:p w14:paraId="58C32396">
            <w:pPr>
              <w:adjustRightInd w:val="0"/>
              <w:snapToGrid w:val="0"/>
              <w:spacing w:line="240" w:lineRule="auto"/>
              <w:ind w:firstLine="0" w:firstLineChars="0"/>
              <w:jc w:val="center"/>
              <w:rPr>
                <w:sz w:val="21"/>
                <w:szCs w:val="21"/>
              </w:rPr>
            </w:pPr>
            <w:r>
              <w:rPr>
                <w:sz w:val="21"/>
                <w:szCs w:val="21"/>
              </w:rPr>
              <w:t>M值</w:t>
            </w:r>
          </w:p>
        </w:tc>
        <w:tc>
          <w:tcPr>
            <w:tcW w:w="1011" w:type="pct"/>
            <w:gridSpan w:val="2"/>
            <w:tcMar>
              <w:left w:w="0" w:type="dxa"/>
              <w:right w:w="0" w:type="dxa"/>
            </w:tcMar>
            <w:vAlign w:val="center"/>
          </w:tcPr>
          <w:p w14:paraId="3053169C">
            <w:pPr>
              <w:adjustRightInd w:val="0"/>
              <w:snapToGrid w:val="0"/>
              <w:spacing w:line="240" w:lineRule="auto"/>
              <w:ind w:firstLine="0" w:firstLineChars="0"/>
              <w:jc w:val="center"/>
              <w:rPr>
                <w:sz w:val="21"/>
                <w:szCs w:val="21"/>
              </w:rPr>
            </w:pPr>
            <w:r>
              <w:rPr>
                <w:sz w:val="21"/>
                <w:szCs w:val="21"/>
              </w:rPr>
              <w:t>M1</w:t>
            </w:r>
            <w:r>
              <w:rPr>
                <w:rFonts w:hint="eastAsia"/>
                <w:sz w:val="21"/>
                <w:szCs w:val="21"/>
              </w:rPr>
              <w:t>□</w:t>
            </w:r>
          </w:p>
        </w:tc>
        <w:tc>
          <w:tcPr>
            <w:tcW w:w="610" w:type="pct"/>
            <w:gridSpan w:val="2"/>
            <w:tcMar>
              <w:left w:w="0" w:type="dxa"/>
              <w:right w:w="0" w:type="dxa"/>
            </w:tcMar>
            <w:vAlign w:val="center"/>
          </w:tcPr>
          <w:p w14:paraId="4D100854">
            <w:pPr>
              <w:adjustRightInd w:val="0"/>
              <w:snapToGrid w:val="0"/>
              <w:spacing w:line="240" w:lineRule="auto"/>
              <w:ind w:firstLine="0" w:firstLineChars="0"/>
              <w:jc w:val="center"/>
              <w:rPr>
                <w:sz w:val="21"/>
                <w:szCs w:val="21"/>
              </w:rPr>
            </w:pPr>
            <w:r>
              <w:rPr>
                <w:sz w:val="21"/>
                <w:szCs w:val="21"/>
              </w:rPr>
              <w:t>M2</w:t>
            </w:r>
            <w:r>
              <w:rPr>
                <w:sz w:val="21"/>
                <w:szCs w:val="21"/>
              </w:rPr>
              <w:sym w:font="Wingdings 2" w:char="00A3"/>
            </w:r>
          </w:p>
        </w:tc>
        <w:tc>
          <w:tcPr>
            <w:tcW w:w="807" w:type="pct"/>
            <w:gridSpan w:val="4"/>
            <w:tcMar>
              <w:left w:w="0" w:type="dxa"/>
              <w:right w:w="0" w:type="dxa"/>
            </w:tcMar>
            <w:vAlign w:val="center"/>
          </w:tcPr>
          <w:p w14:paraId="2FF2172C">
            <w:pPr>
              <w:adjustRightInd w:val="0"/>
              <w:snapToGrid w:val="0"/>
              <w:spacing w:line="240" w:lineRule="auto"/>
              <w:ind w:firstLine="0" w:firstLineChars="0"/>
              <w:jc w:val="center"/>
              <w:rPr>
                <w:sz w:val="21"/>
                <w:szCs w:val="21"/>
              </w:rPr>
            </w:pPr>
            <w:r>
              <w:rPr>
                <w:sz w:val="21"/>
                <w:szCs w:val="21"/>
              </w:rPr>
              <w:t>M3</w:t>
            </w:r>
            <w:r>
              <w:rPr>
                <w:rFonts w:ascii="Segoe UI Emoji" w:hAnsi="Segoe UI Emoji" w:cs="Segoe UI Emoji"/>
                <w:sz w:val="21"/>
                <w:szCs w:val="21"/>
              </w:rPr>
              <w:t>☑</w:t>
            </w:r>
          </w:p>
        </w:tc>
        <w:tc>
          <w:tcPr>
            <w:tcW w:w="1146" w:type="pct"/>
            <w:gridSpan w:val="2"/>
            <w:tcMar>
              <w:left w:w="0" w:type="dxa"/>
              <w:right w:w="0" w:type="dxa"/>
            </w:tcMar>
            <w:vAlign w:val="center"/>
          </w:tcPr>
          <w:p w14:paraId="3A393E1B">
            <w:pPr>
              <w:adjustRightInd w:val="0"/>
              <w:snapToGrid w:val="0"/>
              <w:spacing w:line="240" w:lineRule="auto"/>
              <w:ind w:firstLine="0" w:firstLineChars="0"/>
              <w:jc w:val="center"/>
              <w:rPr>
                <w:sz w:val="21"/>
                <w:szCs w:val="21"/>
              </w:rPr>
            </w:pPr>
            <w:r>
              <w:rPr>
                <w:sz w:val="21"/>
                <w:szCs w:val="21"/>
              </w:rPr>
              <w:t>M4</w:t>
            </w:r>
            <w:r>
              <w:rPr>
                <w:sz w:val="21"/>
                <w:szCs w:val="21"/>
              </w:rPr>
              <w:sym w:font="Wingdings 2" w:char="00A3"/>
            </w:r>
          </w:p>
        </w:tc>
      </w:tr>
      <w:tr w14:paraId="5765F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vMerge w:val="continue"/>
            <w:tcMar>
              <w:left w:w="0" w:type="dxa"/>
              <w:right w:w="0" w:type="dxa"/>
            </w:tcMar>
            <w:vAlign w:val="center"/>
          </w:tcPr>
          <w:p w14:paraId="54597173">
            <w:pPr>
              <w:adjustRightInd w:val="0"/>
              <w:snapToGrid w:val="0"/>
              <w:spacing w:line="240" w:lineRule="auto"/>
              <w:ind w:firstLine="0" w:firstLineChars="0"/>
              <w:jc w:val="center"/>
              <w:rPr>
                <w:sz w:val="21"/>
                <w:szCs w:val="21"/>
              </w:rPr>
            </w:pPr>
          </w:p>
        </w:tc>
        <w:tc>
          <w:tcPr>
            <w:tcW w:w="638" w:type="pct"/>
            <w:tcMar>
              <w:left w:w="0" w:type="dxa"/>
              <w:right w:w="0" w:type="dxa"/>
            </w:tcMar>
            <w:vAlign w:val="center"/>
          </w:tcPr>
          <w:p w14:paraId="5EACB7E0">
            <w:pPr>
              <w:adjustRightInd w:val="0"/>
              <w:snapToGrid w:val="0"/>
              <w:spacing w:line="240" w:lineRule="auto"/>
              <w:ind w:firstLine="0" w:firstLineChars="0"/>
              <w:jc w:val="center"/>
              <w:rPr>
                <w:sz w:val="21"/>
                <w:szCs w:val="21"/>
              </w:rPr>
            </w:pPr>
            <w:r>
              <w:rPr>
                <w:sz w:val="21"/>
                <w:szCs w:val="21"/>
              </w:rPr>
              <w:t>P值</w:t>
            </w:r>
          </w:p>
        </w:tc>
        <w:tc>
          <w:tcPr>
            <w:tcW w:w="1011" w:type="pct"/>
            <w:gridSpan w:val="2"/>
            <w:tcMar>
              <w:left w:w="0" w:type="dxa"/>
              <w:right w:w="0" w:type="dxa"/>
            </w:tcMar>
            <w:vAlign w:val="center"/>
          </w:tcPr>
          <w:p w14:paraId="48EAB523">
            <w:pPr>
              <w:adjustRightInd w:val="0"/>
              <w:snapToGrid w:val="0"/>
              <w:spacing w:line="240" w:lineRule="auto"/>
              <w:ind w:firstLine="0" w:firstLineChars="0"/>
              <w:jc w:val="center"/>
              <w:rPr>
                <w:sz w:val="21"/>
                <w:szCs w:val="21"/>
              </w:rPr>
            </w:pPr>
            <w:r>
              <w:rPr>
                <w:sz w:val="21"/>
                <w:szCs w:val="21"/>
              </w:rPr>
              <w:t xml:space="preserve">P1 </w:t>
            </w:r>
            <w:r>
              <w:rPr>
                <w:sz w:val="21"/>
                <w:szCs w:val="21"/>
              </w:rPr>
              <w:sym w:font="Wingdings 2" w:char="00A3"/>
            </w:r>
          </w:p>
        </w:tc>
        <w:tc>
          <w:tcPr>
            <w:tcW w:w="610" w:type="pct"/>
            <w:gridSpan w:val="2"/>
            <w:tcMar>
              <w:left w:w="0" w:type="dxa"/>
              <w:right w:w="0" w:type="dxa"/>
            </w:tcMar>
            <w:vAlign w:val="center"/>
          </w:tcPr>
          <w:p w14:paraId="4BF29312">
            <w:pPr>
              <w:adjustRightInd w:val="0"/>
              <w:snapToGrid w:val="0"/>
              <w:spacing w:line="240" w:lineRule="auto"/>
              <w:ind w:firstLine="0" w:firstLineChars="0"/>
              <w:jc w:val="center"/>
              <w:rPr>
                <w:sz w:val="21"/>
                <w:szCs w:val="21"/>
              </w:rPr>
            </w:pPr>
            <w:r>
              <w:rPr>
                <w:sz w:val="21"/>
                <w:szCs w:val="21"/>
              </w:rPr>
              <w:t>P2</w:t>
            </w:r>
            <w:r>
              <w:rPr>
                <w:sz w:val="21"/>
                <w:szCs w:val="21"/>
              </w:rPr>
              <w:sym w:font="Wingdings 2" w:char="00A3"/>
            </w:r>
          </w:p>
        </w:tc>
        <w:tc>
          <w:tcPr>
            <w:tcW w:w="807" w:type="pct"/>
            <w:gridSpan w:val="4"/>
            <w:tcMar>
              <w:left w:w="0" w:type="dxa"/>
              <w:right w:w="0" w:type="dxa"/>
            </w:tcMar>
            <w:vAlign w:val="center"/>
          </w:tcPr>
          <w:p w14:paraId="5E4E1BC9">
            <w:pPr>
              <w:adjustRightInd w:val="0"/>
              <w:snapToGrid w:val="0"/>
              <w:spacing w:line="240" w:lineRule="auto"/>
              <w:ind w:firstLine="0" w:firstLineChars="0"/>
              <w:jc w:val="center"/>
              <w:rPr>
                <w:sz w:val="21"/>
                <w:szCs w:val="21"/>
              </w:rPr>
            </w:pPr>
            <w:r>
              <w:rPr>
                <w:sz w:val="21"/>
                <w:szCs w:val="21"/>
              </w:rPr>
              <w:t xml:space="preserve">P3 </w:t>
            </w:r>
            <w:r>
              <w:rPr>
                <w:sz w:val="21"/>
                <w:szCs w:val="21"/>
              </w:rPr>
              <w:sym w:font="Wingdings 2" w:char="00A3"/>
            </w:r>
          </w:p>
        </w:tc>
        <w:tc>
          <w:tcPr>
            <w:tcW w:w="1146" w:type="pct"/>
            <w:gridSpan w:val="2"/>
            <w:tcMar>
              <w:left w:w="0" w:type="dxa"/>
              <w:right w:w="0" w:type="dxa"/>
            </w:tcMar>
            <w:vAlign w:val="center"/>
          </w:tcPr>
          <w:p w14:paraId="7D95619A">
            <w:pPr>
              <w:adjustRightInd w:val="0"/>
              <w:snapToGrid w:val="0"/>
              <w:spacing w:line="240" w:lineRule="auto"/>
              <w:ind w:firstLine="0" w:firstLineChars="0"/>
              <w:jc w:val="center"/>
              <w:rPr>
                <w:sz w:val="21"/>
                <w:szCs w:val="21"/>
              </w:rPr>
            </w:pPr>
            <w:r>
              <w:rPr>
                <w:sz w:val="21"/>
                <w:szCs w:val="21"/>
              </w:rPr>
              <w:t xml:space="preserve">P4 </w:t>
            </w:r>
            <w:r>
              <w:rPr>
                <w:rFonts w:ascii="Segoe UI Emoji" w:hAnsi="Segoe UI Emoji" w:cs="Segoe UI Emoji"/>
                <w:sz w:val="21"/>
                <w:szCs w:val="21"/>
              </w:rPr>
              <w:t>☑</w:t>
            </w:r>
          </w:p>
        </w:tc>
      </w:tr>
      <w:tr w14:paraId="6872C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vMerge w:val="restart"/>
            <w:tcMar>
              <w:left w:w="0" w:type="dxa"/>
              <w:right w:w="0" w:type="dxa"/>
            </w:tcMar>
            <w:vAlign w:val="center"/>
          </w:tcPr>
          <w:p w14:paraId="1737D5D1">
            <w:pPr>
              <w:adjustRightInd w:val="0"/>
              <w:snapToGrid w:val="0"/>
              <w:spacing w:line="240" w:lineRule="auto"/>
              <w:ind w:firstLine="0" w:firstLineChars="0"/>
              <w:jc w:val="center"/>
              <w:rPr>
                <w:sz w:val="21"/>
                <w:szCs w:val="21"/>
              </w:rPr>
            </w:pPr>
            <w:r>
              <w:rPr>
                <w:sz w:val="21"/>
                <w:szCs w:val="21"/>
              </w:rPr>
              <w:t>环境敏感</w:t>
            </w:r>
          </w:p>
          <w:p w14:paraId="0FDBF7E9">
            <w:pPr>
              <w:adjustRightInd w:val="0"/>
              <w:snapToGrid w:val="0"/>
              <w:spacing w:line="240" w:lineRule="auto"/>
              <w:ind w:firstLine="0" w:firstLineChars="0"/>
              <w:jc w:val="center"/>
              <w:rPr>
                <w:sz w:val="21"/>
                <w:szCs w:val="21"/>
              </w:rPr>
            </w:pPr>
            <w:r>
              <w:rPr>
                <w:sz w:val="21"/>
                <w:szCs w:val="21"/>
              </w:rPr>
              <w:t>程度</w:t>
            </w:r>
          </w:p>
        </w:tc>
        <w:tc>
          <w:tcPr>
            <w:tcW w:w="638" w:type="pct"/>
            <w:tcMar>
              <w:left w:w="0" w:type="dxa"/>
              <w:right w:w="0" w:type="dxa"/>
            </w:tcMar>
            <w:vAlign w:val="center"/>
          </w:tcPr>
          <w:p w14:paraId="0552EF25">
            <w:pPr>
              <w:adjustRightInd w:val="0"/>
              <w:snapToGrid w:val="0"/>
              <w:spacing w:line="240" w:lineRule="auto"/>
              <w:ind w:firstLine="0" w:firstLineChars="0"/>
              <w:jc w:val="center"/>
              <w:rPr>
                <w:sz w:val="21"/>
                <w:szCs w:val="21"/>
              </w:rPr>
            </w:pPr>
            <w:r>
              <w:rPr>
                <w:sz w:val="21"/>
                <w:szCs w:val="21"/>
              </w:rPr>
              <w:t>大气</w:t>
            </w:r>
          </w:p>
        </w:tc>
        <w:tc>
          <w:tcPr>
            <w:tcW w:w="1011" w:type="pct"/>
            <w:gridSpan w:val="2"/>
            <w:tcMar>
              <w:left w:w="0" w:type="dxa"/>
              <w:right w:w="0" w:type="dxa"/>
            </w:tcMar>
            <w:vAlign w:val="center"/>
          </w:tcPr>
          <w:p w14:paraId="0CE71FEF">
            <w:pPr>
              <w:adjustRightInd w:val="0"/>
              <w:snapToGrid w:val="0"/>
              <w:spacing w:line="240" w:lineRule="auto"/>
              <w:ind w:firstLine="0" w:firstLineChars="0"/>
              <w:jc w:val="center"/>
              <w:rPr>
                <w:sz w:val="21"/>
                <w:szCs w:val="21"/>
              </w:rPr>
            </w:pPr>
            <w:r>
              <w:rPr>
                <w:sz w:val="21"/>
                <w:szCs w:val="21"/>
              </w:rPr>
              <w:t xml:space="preserve">E1 </w:t>
            </w:r>
            <w:r>
              <w:rPr>
                <w:sz w:val="21"/>
                <w:szCs w:val="21"/>
              </w:rPr>
              <w:sym w:font="Wingdings 2" w:char="00A3"/>
            </w:r>
          </w:p>
        </w:tc>
        <w:tc>
          <w:tcPr>
            <w:tcW w:w="1041" w:type="pct"/>
            <w:gridSpan w:val="4"/>
            <w:tcMar>
              <w:left w:w="0" w:type="dxa"/>
              <w:right w:w="0" w:type="dxa"/>
            </w:tcMar>
            <w:vAlign w:val="center"/>
          </w:tcPr>
          <w:p w14:paraId="0D78C365">
            <w:pPr>
              <w:adjustRightInd w:val="0"/>
              <w:snapToGrid w:val="0"/>
              <w:spacing w:line="240" w:lineRule="auto"/>
              <w:ind w:firstLine="0" w:firstLineChars="0"/>
              <w:jc w:val="center"/>
              <w:rPr>
                <w:sz w:val="21"/>
                <w:szCs w:val="21"/>
              </w:rPr>
            </w:pPr>
            <w:r>
              <w:rPr>
                <w:sz w:val="21"/>
                <w:szCs w:val="21"/>
              </w:rPr>
              <w:t xml:space="preserve">E2 </w:t>
            </w:r>
            <w:r>
              <w:rPr>
                <w:sz w:val="21"/>
                <w:szCs w:val="21"/>
              </w:rPr>
              <w:sym w:font="Wingdings 2" w:char="00A3"/>
            </w:r>
          </w:p>
        </w:tc>
        <w:tc>
          <w:tcPr>
            <w:tcW w:w="1522" w:type="pct"/>
            <w:gridSpan w:val="4"/>
            <w:tcMar>
              <w:left w:w="0" w:type="dxa"/>
              <w:right w:w="0" w:type="dxa"/>
            </w:tcMar>
            <w:vAlign w:val="center"/>
          </w:tcPr>
          <w:p w14:paraId="0E630DC2">
            <w:pPr>
              <w:adjustRightInd w:val="0"/>
              <w:snapToGrid w:val="0"/>
              <w:spacing w:line="240" w:lineRule="auto"/>
              <w:ind w:firstLine="0" w:firstLineChars="0"/>
              <w:jc w:val="center"/>
              <w:rPr>
                <w:sz w:val="21"/>
                <w:szCs w:val="21"/>
              </w:rPr>
            </w:pPr>
            <w:r>
              <w:rPr>
                <w:sz w:val="21"/>
                <w:szCs w:val="21"/>
              </w:rPr>
              <w:t xml:space="preserve">E3 </w:t>
            </w:r>
            <w:r>
              <w:rPr>
                <w:rFonts w:ascii="Segoe UI Emoji" w:hAnsi="Segoe UI Emoji" w:cs="Segoe UI Emoji"/>
                <w:sz w:val="21"/>
                <w:szCs w:val="21"/>
              </w:rPr>
              <w:t>☑</w:t>
            </w:r>
          </w:p>
        </w:tc>
      </w:tr>
      <w:tr w14:paraId="11609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vMerge w:val="continue"/>
            <w:tcMar>
              <w:left w:w="0" w:type="dxa"/>
              <w:right w:w="0" w:type="dxa"/>
            </w:tcMar>
            <w:vAlign w:val="center"/>
          </w:tcPr>
          <w:p w14:paraId="6054A2A8">
            <w:pPr>
              <w:adjustRightInd w:val="0"/>
              <w:snapToGrid w:val="0"/>
              <w:spacing w:line="240" w:lineRule="auto"/>
              <w:ind w:firstLine="0" w:firstLineChars="0"/>
              <w:jc w:val="center"/>
              <w:rPr>
                <w:sz w:val="21"/>
                <w:szCs w:val="21"/>
              </w:rPr>
            </w:pPr>
          </w:p>
        </w:tc>
        <w:tc>
          <w:tcPr>
            <w:tcW w:w="638" w:type="pct"/>
            <w:tcMar>
              <w:left w:w="0" w:type="dxa"/>
              <w:right w:w="0" w:type="dxa"/>
            </w:tcMar>
            <w:vAlign w:val="center"/>
          </w:tcPr>
          <w:p w14:paraId="5F2BCB8A">
            <w:pPr>
              <w:adjustRightInd w:val="0"/>
              <w:snapToGrid w:val="0"/>
              <w:spacing w:line="240" w:lineRule="auto"/>
              <w:ind w:firstLine="0" w:firstLineChars="0"/>
              <w:jc w:val="center"/>
              <w:rPr>
                <w:sz w:val="21"/>
                <w:szCs w:val="21"/>
              </w:rPr>
            </w:pPr>
            <w:r>
              <w:rPr>
                <w:sz w:val="21"/>
                <w:szCs w:val="21"/>
              </w:rPr>
              <w:t>地表水</w:t>
            </w:r>
          </w:p>
        </w:tc>
        <w:tc>
          <w:tcPr>
            <w:tcW w:w="1011" w:type="pct"/>
            <w:gridSpan w:val="2"/>
            <w:tcMar>
              <w:left w:w="0" w:type="dxa"/>
              <w:right w:w="0" w:type="dxa"/>
            </w:tcMar>
            <w:vAlign w:val="center"/>
          </w:tcPr>
          <w:p w14:paraId="025D297A">
            <w:pPr>
              <w:adjustRightInd w:val="0"/>
              <w:snapToGrid w:val="0"/>
              <w:spacing w:line="240" w:lineRule="auto"/>
              <w:ind w:firstLine="0" w:firstLineChars="0"/>
              <w:jc w:val="center"/>
              <w:rPr>
                <w:sz w:val="21"/>
                <w:szCs w:val="21"/>
              </w:rPr>
            </w:pPr>
            <w:r>
              <w:rPr>
                <w:sz w:val="21"/>
                <w:szCs w:val="21"/>
              </w:rPr>
              <w:t xml:space="preserve">E1 </w:t>
            </w:r>
            <w:r>
              <w:rPr>
                <w:sz w:val="21"/>
                <w:szCs w:val="21"/>
              </w:rPr>
              <w:sym w:font="Wingdings 2" w:char="00A3"/>
            </w:r>
          </w:p>
        </w:tc>
        <w:tc>
          <w:tcPr>
            <w:tcW w:w="1041" w:type="pct"/>
            <w:gridSpan w:val="4"/>
            <w:tcMar>
              <w:left w:w="0" w:type="dxa"/>
              <w:right w:w="0" w:type="dxa"/>
            </w:tcMar>
            <w:vAlign w:val="center"/>
          </w:tcPr>
          <w:p w14:paraId="74D81AD1">
            <w:pPr>
              <w:adjustRightInd w:val="0"/>
              <w:snapToGrid w:val="0"/>
              <w:spacing w:line="240" w:lineRule="auto"/>
              <w:ind w:firstLine="0" w:firstLineChars="0"/>
              <w:jc w:val="center"/>
              <w:rPr>
                <w:sz w:val="21"/>
                <w:szCs w:val="21"/>
              </w:rPr>
            </w:pPr>
            <w:r>
              <w:rPr>
                <w:sz w:val="21"/>
                <w:szCs w:val="21"/>
              </w:rPr>
              <w:t xml:space="preserve">E2 </w:t>
            </w:r>
            <w:r>
              <w:rPr>
                <w:sz w:val="21"/>
                <w:szCs w:val="21"/>
              </w:rPr>
              <w:sym w:font="Wingdings 2" w:char="00A3"/>
            </w:r>
          </w:p>
        </w:tc>
        <w:tc>
          <w:tcPr>
            <w:tcW w:w="1522" w:type="pct"/>
            <w:gridSpan w:val="4"/>
            <w:tcMar>
              <w:left w:w="0" w:type="dxa"/>
              <w:right w:w="0" w:type="dxa"/>
            </w:tcMar>
            <w:vAlign w:val="center"/>
          </w:tcPr>
          <w:p w14:paraId="5F789F12">
            <w:pPr>
              <w:adjustRightInd w:val="0"/>
              <w:snapToGrid w:val="0"/>
              <w:spacing w:line="240" w:lineRule="auto"/>
              <w:ind w:firstLine="0" w:firstLineChars="0"/>
              <w:jc w:val="center"/>
              <w:rPr>
                <w:sz w:val="21"/>
                <w:szCs w:val="21"/>
              </w:rPr>
            </w:pPr>
            <w:r>
              <w:rPr>
                <w:sz w:val="21"/>
                <w:szCs w:val="21"/>
              </w:rPr>
              <w:t xml:space="preserve">E3 </w:t>
            </w:r>
            <w:r>
              <w:rPr>
                <w:rFonts w:ascii="Segoe UI Emoji" w:hAnsi="Segoe UI Emoji" w:cs="Segoe UI Emoji"/>
                <w:sz w:val="21"/>
                <w:szCs w:val="21"/>
              </w:rPr>
              <w:t>☑</w:t>
            </w:r>
          </w:p>
        </w:tc>
      </w:tr>
      <w:tr w14:paraId="48759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vMerge w:val="continue"/>
            <w:tcMar>
              <w:left w:w="0" w:type="dxa"/>
              <w:right w:w="0" w:type="dxa"/>
            </w:tcMar>
            <w:vAlign w:val="center"/>
          </w:tcPr>
          <w:p w14:paraId="1EBF09A6">
            <w:pPr>
              <w:adjustRightInd w:val="0"/>
              <w:snapToGrid w:val="0"/>
              <w:spacing w:line="240" w:lineRule="auto"/>
              <w:ind w:firstLine="0" w:firstLineChars="0"/>
              <w:jc w:val="center"/>
              <w:rPr>
                <w:sz w:val="21"/>
                <w:szCs w:val="21"/>
              </w:rPr>
            </w:pPr>
          </w:p>
        </w:tc>
        <w:tc>
          <w:tcPr>
            <w:tcW w:w="638" w:type="pct"/>
            <w:tcMar>
              <w:left w:w="0" w:type="dxa"/>
              <w:right w:w="0" w:type="dxa"/>
            </w:tcMar>
            <w:vAlign w:val="center"/>
          </w:tcPr>
          <w:p w14:paraId="2406C78D">
            <w:pPr>
              <w:adjustRightInd w:val="0"/>
              <w:snapToGrid w:val="0"/>
              <w:spacing w:line="240" w:lineRule="auto"/>
              <w:ind w:firstLine="0" w:firstLineChars="0"/>
              <w:jc w:val="center"/>
              <w:rPr>
                <w:sz w:val="21"/>
                <w:szCs w:val="21"/>
              </w:rPr>
            </w:pPr>
            <w:r>
              <w:rPr>
                <w:sz w:val="21"/>
                <w:szCs w:val="21"/>
              </w:rPr>
              <w:t>地下水</w:t>
            </w:r>
          </w:p>
        </w:tc>
        <w:tc>
          <w:tcPr>
            <w:tcW w:w="1011" w:type="pct"/>
            <w:gridSpan w:val="2"/>
            <w:tcMar>
              <w:left w:w="0" w:type="dxa"/>
              <w:right w:w="0" w:type="dxa"/>
            </w:tcMar>
            <w:vAlign w:val="center"/>
          </w:tcPr>
          <w:p w14:paraId="604F0CD1">
            <w:pPr>
              <w:adjustRightInd w:val="0"/>
              <w:snapToGrid w:val="0"/>
              <w:spacing w:line="240" w:lineRule="auto"/>
              <w:ind w:firstLine="0" w:firstLineChars="0"/>
              <w:jc w:val="center"/>
              <w:rPr>
                <w:sz w:val="21"/>
                <w:szCs w:val="21"/>
              </w:rPr>
            </w:pPr>
            <w:r>
              <w:rPr>
                <w:sz w:val="21"/>
                <w:szCs w:val="21"/>
              </w:rPr>
              <w:t xml:space="preserve">E1 </w:t>
            </w:r>
            <w:r>
              <w:rPr>
                <w:sz w:val="21"/>
                <w:szCs w:val="21"/>
              </w:rPr>
              <w:sym w:font="Wingdings 2" w:char="00A3"/>
            </w:r>
          </w:p>
        </w:tc>
        <w:tc>
          <w:tcPr>
            <w:tcW w:w="1041" w:type="pct"/>
            <w:gridSpan w:val="4"/>
            <w:tcMar>
              <w:left w:w="0" w:type="dxa"/>
              <w:right w:w="0" w:type="dxa"/>
            </w:tcMar>
            <w:vAlign w:val="center"/>
          </w:tcPr>
          <w:p w14:paraId="442A9263">
            <w:pPr>
              <w:adjustRightInd w:val="0"/>
              <w:snapToGrid w:val="0"/>
              <w:spacing w:line="240" w:lineRule="auto"/>
              <w:ind w:firstLine="0" w:firstLineChars="0"/>
              <w:jc w:val="center"/>
              <w:rPr>
                <w:sz w:val="21"/>
                <w:szCs w:val="21"/>
              </w:rPr>
            </w:pPr>
            <w:r>
              <w:rPr>
                <w:sz w:val="21"/>
                <w:szCs w:val="21"/>
              </w:rPr>
              <w:t xml:space="preserve">E2 </w:t>
            </w:r>
            <w:r>
              <w:rPr>
                <w:sz w:val="21"/>
                <w:szCs w:val="21"/>
              </w:rPr>
              <w:sym w:font="Wingdings 2" w:char="00A3"/>
            </w:r>
          </w:p>
        </w:tc>
        <w:tc>
          <w:tcPr>
            <w:tcW w:w="1522" w:type="pct"/>
            <w:gridSpan w:val="4"/>
            <w:tcMar>
              <w:left w:w="0" w:type="dxa"/>
              <w:right w:w="0" w:type="dxa"/>
            </w:tcMar>
            <w:vAlign w:val="center"/>
          </w:tcPr>
          <w:p w14:paraId="717B1C22">
            <w:pPr>
              <w:adjustRightInd w:val="0"/>
              <w:snapToGrid w:val="0"/>
              <w:spacing w:line="240" w:lineRule="auto"/>
              <w:ind w:firstLine="0" w:firstLineChars="0"/>
              <w:jc w:val="center"/>
              <w:rPr>
                <w:sz w:val="21"/>
                <w:szCs w:val="21"/>
              </w:rPr>
            </w:pPr>
            <w:r>
              <w:rPr>
                <w:sz w:val="21"/>
                <w:szCs w:val="21"/>
              </w:rPr>
              <w:t xml:space="preserve">E3 </w:t>
            </w:r>
            <w:r>
              <w:rPr>
                <w:rFonts w:ascii="Segoe UI Emoji" w:hAnsi="Segoe UI Emoji" w:cs="Segoe UI Emoji"/>
                <w:sz w:val="21"/>
                <w:szCs w:val="21"/>
              </w:rPr>
              <w:t>☑</w:t>
            </w:r>
          </w:p>
        </w:tc>
      </w:tr>
      <w:tr w14:paraId="2E623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tcMar>
              <w:left w:w="0" w:type="dxa"/>
              <w:right w:w="0" w:type="dxa"/>
            </w:tcMar>
            <w:vAlign w:val="center"/>
          </w:tcPr>
          <w:p w14:paraId="7D656260">
            <w:pPr>
              <w:adjustRightInd w:val="0"/>
              <w:snapToGrid w:val="0"/>
              <w:spacing w:line="240" w:lineRule="auto"/>
              <w:ind w:firstLine="0" w:firstLineChars="0"/>
              <w:jc w:val="center"/>
              <w:rPr>
                <w:sz w:val="21"/>
                <w:szCs w:val="21"/>
              </w:rPr>
            </w:pPr>
            <w:r>
              <w:rPr>
                <w:sz w:val="21"/>
                <w:szCs w:val="21"/>
              </w:rPr>
              <w:t>环境风险潜势</w:t>
            </w:r>
          </w:p>
        </w:tc>
        <w:tc>
          <w:tcPr>
            <w:tcW w:w="638" w:type="pct"/>
            <w:tcMar>
              <w:left w:w="0" w:type="dxa"/>
              <w:right w:w="0" w:type="dxa"/>
            </w:tcMar>
            <w:vAlign w:val="center"/>
          </w:tcPr>
          <w:p w14:paraId="1645A4C6">
            <w:pPr>
              <w:adjustRightInd w:val="0"/>
              <w:snapToGrid w:val="0"/>
              <w:spacing w:line="240" w:lineRule="auto"/>
              <w:ind w:firstLine="0" w:firstLineChars="0"/>
              <w:jc w:val="center"/>
              <w:rPr>
                <w:sz w:val="21"/>
                <w:szCs w:val="21"/>
              </w:rPr>
            </w:pPr>
            <w:r>
              <w:rPr>
                <w:sz w:val="21"/>
                <w:szCs w:val="21"/>
              </w:rPr>
              <w:t>Ⅳ</w:t>
            </w:r>
            <w:r>
              <w:rPr>
                <w:sz w:val="21"/>
                <w:szCs w:val="21"/>
                <w:vertAlign w:val="superscript"/>
              </w:rPr>
              <w:t>+</w:t>
            </w:r>
            <w:r>
              <w:rPr>
                <w:sz w:val="21"/>
                <w:szCs w:val="21"/>
              </w:rPr>
              <w:sym w:font="Wingdings 2" w:char="00A3"/>
            </w:r>
          </w:p>
        </w:tc>
        <w:tc>
          <w:tcPr>
            <w:tcW w:w="1011" w:type="pct"/>
            <w:gridSpan w:val="2"/>
            <w:tcMar>
              <w:left w:w="0" w:type="dxa"/>
              <w:right w:w="0" w:type="dxa"/>
            </w:tcMar>
            <w:vAlign w:val="center"/>
          </w:tcPr>
          <w:p w14:paraId="690145CD">
            <w:pPr>
              <w:adjustRightInd w:val="0"/>
              <w:snapToGrid w:val="0"/>
              <w:spacing w:line="240" w:lineRule="auto"/>
              <w:ind w:firstLine="0" w:firstLineChars="0"/>
              <w:jc w:val="center"/>
              <w:rPr>
                <w:sz w:val="21"/>
                <w:szCs w:val="21"/>
              </w:rPr>
            </w:pPr>
            <w:r>
              <w:rPr>
                <w:sz w:val="21"/>
                <w:szCs w:val="21"/>
              </w:rPr>
              <w:t>Ⅳ</w:t>
            </w:r>
            <w:r>
              <w:rPr>
                <w:rFonts w:hint="eastAsia"/>
                <w:sz w:val="21"/>
                <w:szCs w:val="21"/>
              </w:rPr>
              <w:t>□</w:t>
            </w:r>
          </w:p>
        </w:tc>
        <w:tc>
          <w:tcPr>
            <w:tcW w:w="610" w:type="pct"/>
            <w:gridSpan w:val="2"/>
            <w:tcMar>
              <w:left w:w="0" w:type="dxa"/>
              <w:right w:w="0" w:type="dxa"/>
            </w:tcMar>
            <w:vAlign w:val="center"/>
          </w:tcPr>
          <w:p w14:paraId="53B32501">
            <w:pPr>
              <w:adjustRightInd w:val="0"/>
              <w:snapToGrid w:val="0"/>
              <w:spacing w:line="240" w:lineRule="auto"/>
              <w:ind w:firstLine="0" w:firstLineChars="0"/>
              <w:jc w:val="center"/>
              <w:rPr>
                <w:sz w:val="21"/>
                <w:szCs w:val="21"/>
              </w:rPr>
            </w:pPr>
            <w:r>
              <w:rPr>
                <w:sz w:val="21"/>
                <w:szCs w:val="21"/>
              </w:rPr>
              <w:t>Ⅲ</w:t>
            </w:r>
            <w:r>
              <w:rPr>
                <w:sz w:val="21"/>
                <w:szCs w:val="21"/>
              </w:rPr>
              <w:sym w:font="Wingdings 2" w:char="00A3"/>
            </w:r>
          </w:p>
        </w:tc>
        <w:tc>
          <w:tcPr>
            <w:tcW w:w="807" w:type="pct"/>
            <w:gridSpan w:val="4"/>
            <w:tcMar>
              <w:left w:w="0" w:type="dxa"/>
              <w:right w:w="0" w:type="dxa"/>
            </w:tcMar>
            <w:vAlign w:val="center"/>
          </w:tcPr>
          <w:p w14:paraId="02A08849">
            <w:pPr>
              <w:adjustRightInd w:val="0"/>
              <w:snapToGrid w:val="0"/>
              <w:spacing w:line="240" w:lineRule="auto"/>
              <w:ind w:firstLine="0" w:firstLineChars="0"/>
              <w:jc w:val="center"/>
              <w:rPr>
                <w:sz w:val="21"/>
                <w:szCs w:val="21"/>
              </w:rPr>
            </w:pPr>
            <w:r>
              <w:rPr>
                <w:sz w:val="21"/>
                <w:szCs w:val="21"/>
              </w:rPr>
              <w:t>Ⅱ</w:t>
            </w:r>
            <w:r>
              <w:rPr>
                <w:rFonts w:ascii="Segoe UI Emoji" w:hAnsi="Segoe UI Emoji" w:cs="Segoe UI Emoji"/>
                <w:sz w:val="21"/>
                <w:szCs w:val="21"/>
              </w:rPr>
              <w:t>☑</w:t>
            </w:r>
          </w:p>
        </w:tc>
        <w:tc>
          <w:tcPr>
            <w:tcW w:w="1146" w:type="pct"/>
            <w:gridSpan w:val="2"/>
            <w:tcMar>
              <w:left w:w="0" w:type="dxa"/>
              <w:right w:w="0" w:type="dxa"/>
            </w:tcMar>
            <w:vAlign w:val="center"/>
          </w:tcPr>
          <w:p w14:paraId="2329DEF2">
            <w:pPr>
              <w:adjustRightInd w:val="0"/>
              <w:snapToGrid w:val="0"/>
              <w:spacing w:line="240" w:lineRule="auto"/>
              <w:ind w:firstLine="0" w:firstLineChars="0"/>
              <w:jc w:val="center"/>
              <w:rPr>
                <w:sz w:val="21"/>
                <w:szCs w:val="21"/>
              </w:rPr>
            </w:pPr>
            <w:r>
              <w:rPr>
                <w:sz w:val="21"/>
                <w:szCs w:val="21"/>
              </w:rPr>
              <w:t xml:space="preserve">Ⅰ </w:t>
            </w:r>
            <w:r>
              <w:rPr>
                <w:sz w:val="21"/>
                <w:szCs w:val="21"/>
              </w:rPr>
              <w:sym w:font="Wingdings 2" w:char="00A3"/>
            </w:r>
          </w:p>
        </w:tc>
      </w:tr>
      <w:tr w14:paraId="78C70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tcBorders>
              <w:bottom w:val="single" w:color="auto" w:sz="4" w:space="0"/>
            </w:tcBorders>
            <w:tcMar>
              <w:left w:w="0" w:type="dxa"/>
              <w:right w:w="0" w:type="dxa"/>
            </w:tcMar>
            <w:vAlign w:val="center"/>
          </w:tcPr>
          <w:p w14:paraId="3E693FB8">
            <w:pPr>
              <w:adjustRightInd w:val="0"/>
              <w:snapToGrid w:val="0"/>
              <w:spacing w:line="240" w:lineRule="auto"/>
              <w:ind w:firstLine="0" w:firstLineChars="0"/>
              <w:jc w:val="center"/>
              <w:rPr>
                <w:sz w:val="21"/>
                <w:szCs w:val="21"/>
              </w:rPr>
            </w:pPr>
            <w:r>
              <w:rPr>
                <w:sz w:val="21"/>
                <w:szCs w:val="21"/>
              </w:rPr>
              <w:t>评价等级</w:t>
            </w:r>
          </w:p>
        </w:tc>
        <w:tc>
          <w:tcPr>
            <w:tcW w:w="1649" w:type="pct"/>
            <w:gridSpan w:val="3"/>
            <w:tcMar>
              <w:left w:w="0" w:type="dxa"/>
              <w:right w:w="0" w:type="dxa"/>
            </w:tcMar>
            <w:vAlign w:val="center"/>
          </w:tcPr>
          <w:p w14:paraId="74E814DB">
            <w:pPr>
              <w:adjustRightInd w:val="0"/>
              <w:snapToGrid w:val="0"/>
              <w:spacing w:line="240" w:lineRule="auto"/>
              <w:ind w:firstLine="0" w:firstLineChars="0"/>
              <w:jc w:val="center"/>
              <w:rPr>
                <w:sz w:val="21"/>
                <w:szCs w:val="21"/>
              </w:rPr>
            </w:pPr>
            <w:r>
              <w:rPr>
                <w:sz w:val="21"/>
                <w:szCs w:val="21"/>
              </w:rPr>
              <w:t>一级</w:t>
            </w:r>
            <w:r>
              <w:rPr>
                <w:sz w:val="21"/>
                <w:szCs w:val="21"/>
              </w:rPr>
              <w:sym w:font="Wingdings 2" w:char="00A3"/>
            </w:r>
          </w:p>
        </w:tc>
        <w:tc>
          <w:tcPr>
            <w:tcW w:w="610" w:type="pct"/>
            <w:gridSpan w:val="2"/>
            <w:tcMar>
              <w:left w:w="0" w:type="dxa"/>
              <w:right w:w="0" w:type="dxa"/>
            </w:tcMar>
            <w:vAlign w:val="center"/>
          </w:tcPr>
          <w:p w14:paraId="4E3A216B">
            <w:pPr>
              <w:adjustRightInd w:val="0"/>
              <w:snapToGrid w:val="0"/>
              <w:spacing w:line="240" w:lineRule="auto"/>
              <w:ind w:firstLine="0" w:firstLineChars="0"/>
              <w:jc w:val="center"/>
              <w:rPr>
                <w:sz w:val="21"/>
                <w:szCs w:val="21"/>
              </w:rPr>
            </w:pPr>
            <w:r>
              <w:rPr>
                <w:sz w:val="21"/>
                <w:szCs w:val="21"/>
              </w:rPr>
              <w:t>二级</w:t>
            </w:r>
            <w:r>
              <w:rPr>
                <w:sz w:val="21"/>
                <w:szCs w:val="21"/>
              </w:rPr>
              <w:sym w:font="Wingdings 2" w:char="00A3"/>
            </w:r>
          </w:p>
        </w:tc>
        <w:tc>
          <w:tcPr>
            <w:tcW w:w="807" w:type="pct"/>
            <w:gridSpan w:val="4"/>
            <w:tcMar>
              <w:left w:w="0" w:type="dxa"/>
              <w:right w:w="0" w:type="dxa"/>
            </w:tcMar>
            <w:vAlign w:val="center"/>
          </w:tcPr>
          <w:p w14:paraId="5FFC9712">
            <w:pPr>
              <w:adjustRightInd w:val="0"/>
              <w:snapToGrid w:val="0"/>
              <w:spacing w:line="240" w:lineRule="auto"/>
              <w:ind w:firstLine="0" w:firstLineChars="0"/>
              <w:jc w:val="center"/>
              <w:rPr>
                <w:sz w:val="21"/>
                <w:szCs w:val="21"/>
              </w:rPr>
            </w:pPr>
            <w:r>
              <w:rPr>
                <w:sz w:val="21"/>
                <w:szCs w:val="21"/>
              </w:rPr>
              <w:t>三级</w:t>
            </w:r>
            <w:r>
              <w:rPr>
                <w:rFonts w:ascii="Segoe UI Emoji" w:hAnsi="Segoe UI Emoji" w:cs="Segoe UI Emoji"/>
                <w:sz w:val="21"/>
                <w:szCs w:val="21"/>
              </w:rPr>
              <w:t>☑</w:t>
            </w:r>
          </w:p>
        </w:tc>
        <w:tc>
          <w:tcPr>
            <w:tcW w:w="1146" w:type="pct"/>
            <w:gridSpan w:val="2"/>
            <w:tcMar>
              <w:left w:w="0" w:type="dxa"/>
              <w:right w:w="0" w:type="dxa"/>
            </w:tcMar>
            <w:vAlign w:val="center"/>
          </w:tcPr>
          <w:p w14:paraId="1BB1136C">
            <w:pPr>
              <w:adjustRightInd w:val="0"/>
              <w:snapToGrid w:val="0"/>
              <w:spacing w:line="240" w:lineRule="auto"/>
              <w:ind w:firstLine="0" w:firstLineChars="0"/>
              <w:jc w:val="center"/>
              <w:rPr>
                <w:sz w:val="21"/>
                <w:szCs w:val="21"/>
              </w:rPr>
            </w:pPr>
            <w:r>
              <w:rPr>
                <w:sz w:val="21"/>
                <w:szCs w:val="21"/>
              </w:rPr>
              <w:t>简单分析</w:t>
            </w:r>
            <w:r>
              <w:rPr>
                <w:sz w:val="21"/>
                <w:szCs w:val="21"/>
              </w:rPr>
              <w:sym w:font="Wingdings 2" w:char="00A3"/>
            </w:r>
          </w:p>
        </w:tc>
      </w:tr>
      <w:tr w14:paraId="345AC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restart"/>
            <w:tcBorders>
              <w:top w:val="single" w:color="auto" w:sz="4" w:space="0"/>
              <w:bottom w:val="single" w:color="auto" w:sz="4" w:space="0"/>
            </w:tcBorders>
            <w:tcMar>
              <w:left w:w="0" w:type="dxa"/>
              <w:right w:w="0" w:type="dxa"/>
            </w:tcMar>
            <w:vAlign w:val="center"/>
          </w:tcPr>
          <w:p w14:paraId="2933F683">
            <w:pPr>
              <w:adjustRightInd w:val="0"/>
              <w:snapToGrid w:val="0"/>
              <w:spacing w:line="240" w:lineRule="auto"/>
              <w:ind w:firstLine="0" w:firstLineChars="0"/>
              <w:jc w:val="center"/>
              <w:rPr>
                <w:sz w:val="21"/>
                <w:szCs w:val="21"/>
              </w:rPr>
            </w:pPr>
            <w:r>
              <w:rPr>
                <w:sz w:val="21"/>
                <w:szCs w:val="21"/>
              </w:rPr>
              <w:t>风险识别</w:t>
            </w:r>
          </w:p>
        </w:tc>
        <w:tc>
          <w:tcPr>
            <w:tcW w:w="595" w:type="pct"/>
            <w:tcBorders>
              <w:top w:val="single" w:color="auto" w:sz="4" w:space="0"/>
              <w:bottom w:val="single" w:color="auto" w:sz="4" w:space="0"/>
            </w:tcBorders>
            <w:tcMar>
              <w:left w:w="0" w:type="dxa"/>
              <w:right w:w="0" w:type="dxa"/>
            </w:tcMar>
            <w:vAlign w:val="center"/>
          </w:tcPr>
          <w:p w14:paraId="0852A6D5">
            <w:pPr>
              <w:adjustRightInd w:val="0"/>
              <w:snapToGrid w:val="0"/>
              <w:spacing w:line="240" w:lineRule="auto"/>
              <w:ind w:firstLine="0" w:firstLineChars="0"/>
              <w:jc w:val="center"/>
              <w:rPr>
                <w:sz w:val="21"/>
                <w:szCs w:val="21"/>
              </w:rPr>
            </w:pPr>
            <w:r>
              <w:rPr>
                <w:sz w:val="21"/>
                <w:szCs w:val="21"/>
              </w:rPr>
              <w:t>物质危险性</w:t>
            </w:r>
          </w:p>
        </w:tc>
        <w:tc>
          <w:tcPr>
            <w:tcW w:w="1649" w:type="pct"/>
            <w:gridSpan w:val="3"/>
            <w:tcBorders>
              <w:bottom w:val="single" w:color="auto" w:sz="4" w:space="0"/>
            </w:tcBorders>
            <w:tcMar>
              <w:left w:w="0" w:type="dxa"/>
              <w:right w:w="0" w:type="dxa"/>
            </w:tcMar>
            <w:vAlign w:val="center"/>
          </w:tcPr>
          <w:p w14:paraId="5972CCAB">
            <w:pPr>
              <w:adjustRightInd w:val="0"/>
              <w:snapToGrid w:val="0"/>
              <w:spacing w:line="240" w:lineRule="auto"/>
              <w:ind w:firstLine="0" w:firstLineChars="0"/>
              <w:jc w:val="center"/>
              <w:rPr>
                <w:sz w:val="21"/>
                <w:szCs w:val="21"/>
              </w:rPr>
            </w:pPr>
            <w:r>
              <w:rPr>
                <w:sz w:val="21"/>
                <w:szCs w:val="21"/>
              </w:rPr>
              <w:t>有毒有害</w:t>
            </w:r>
            <w:r>
              <w:rPr>
                <w:rFonts w:ascii="Segoe UI Emoji" w:hAnsi="Segoe UI Emoji" w:cs="Segoe UI Emoji"/>
                <w:sz w:val="21"/>
                <w:szCs w:val="21"/>
              </w:rPr>
              <w:t>☑</w:t>
            </w:r>
          </w:p>
        </w:tc>
        <w:tc>
          <w:tcPr>
            <w:tcW w:w="2563" w:type="pct"/>
            <w:gridSpan w:val="8"/>
            <w:tcBorders>
              <w:bottom w:val="single" w:color="auto" w:sz="4" w:space="0"/>
            </w:tcBorders>
            <w:tcMar>
              <w:left w:w="0" w:type="dxa"/>
              <w:right w:w="0" w:type="dxa"/>
            </w:tcMar>
            <w:vAlign w:val="center"/>
          </w:tcPr>
          <w:p w14:paraId="426FF6F4">
            <w:pPr>
              <w:adjustRightInd w:val="0"/>
              <w:snapToGrid w:val="0"/>
              <w:spacing w:line="240" w:lineRule="auto"/>
              <w:ind w:firstLine="0" w:firstLineChars="0"/>
              <w:jc w:val="center"/>
              <w:rPr>
                <w:sz w:val="21"/>
                <w:szCs w:val="21"/>
              </w:rPr>
            </w:pPr>
            <w:r>
              <w:rPr>
                <w:sz w:val="21"/>
                <w:szCs w:val="21"/>
              </w:rPr>
              <w:t>易燃易爆</w:t>
            </w:r>
            <w:r>
              <w:rPr>
                <w:rFonts w:ascii="Segoe UI Emoji" w:hAnsi="Segoe UI Emoji" w:cs="Segoe UI Emoji"/>
                <w:sz w:val="21"/>
                <w:szCs w:val="21"/>
              </w:rPr>
              <w:t>☑</w:t>
            </w:r>
          </w:p>
        </w:tc>
      </w:tr>
      <w:tr w14:paraId="5B3BC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Borders>
              <w:top w:val="single" w:color="auto" w:sz="4" w:space="0"/>
            </w:tcBorders>
            <w:tcMar>
              <w:left w:w="0" w:type="dxa"/>
              <w:right w:w="0" w:type="dxa"/>
            </w:tcMar>
            <w:vAlign w:val="center"/>
          </w:tcPr>
          <w:p w14:paraId="29B99E38">
            <w:pPr>
              <w:adjustRightInd w:val="0"/>
              <w:snapToGrid w:val="0"/>
              <w:spacing w:line="240" w:lineRule="auto"/>
              <w:ind w:firstLine="0" w:firstLineChars="0"/>
              <w:jc w:val="center"/>
              <w:rPr>
                <w:sz w:val="21"/>
                <w:szCs w:val="21"/>
              </w:rPr>
            </w:pPr>
          </w:p>
        </w:tc>
        <w:tc>
          <w:tcPr>
            <w:tcW w:w="595" w:type="pct"/>
            <w:tcBorders>
              <w:top w:val="single" w:color="auto" w:sz="4" w:space="0"/>
            </w:tcBorders>
            <w:tcMar>
              <w:left w:w="0" w:type="dxa"/>
              <w:right w:w="0" w:type="dxa"/>
            </w:tcMar>
            <w:vAlign w:val="center"/>
          </w:tcPr>
          <w:p w14:paraId="09069848">
            <w:pPr>
              <w:adjustRightInd w:val="0"/>
              <w:snapToGrid w:val="0"/>
              <w:spacing w:line="240" w:lineRule="auto"/>
              <w:ind w:firstLine="0" w:firstLineChars="0"/>
              <w:jc w:val="center"/>
              <w:rPr>
                <w:sz w:val="21"/>
                <w:szCs w:val="21"/>
              </w:rPr>
            </w:pPr>
            <w:r>
              <w:rPr>
                <w:sz w:val="21"/>
                <w:szCs w:val="21"/>
              </w:rPr>
              <w:t>环境风险</w:t>
            </w:r>
          </w:p>
          <w:p w14:paraId="6430654F">
            <w:pPr>
              <w:adjustRightInd w:val="0"/>
              <w:snapToGrid w:val="0"/>
              <w:spacing w:line="240" w:lineRule="auto"/>
              <w:ind w:firstLine="0" w:firstLineChars="0"/>
              <w:jc w:val="center"/>
              <w:rPr>
                <w:sz w:val="21"/>
                <w:szCs w:val="21"/>
              </w:rPr>
            </w:pPr>
            <w:r>
              <w:rPr>
                <w:sz w:val="21"/>
                <w:szCs w:val="21"/>
              </w:rPr>
              <w:t>类型</w:t>
            </w:r>
          </w:p>
        </w:tc>
        <w:tc>
          <w:tcPr>
            <w:tcW w:w="1649" w:type="pct"/>
            <w:gridSpan w:val="3"/>
            <w:tcBorders>
              <w:top w:val="single" w:color="auto" w:sz="4" w:space="0"/>
              <w:bottom w:val="single" w:color="auto" w:sz="4" w:space="0"/>
              <w:right w:val="nil"/>
            </w:tcBorders>
            <w:tcMar>
              <w:left w:w="0" w:type="dxa"/>
              <w:right w:w="0" w:type="dxa"/>
            </w:tcMar>
            <w:vAlign w:val="center"/>
          </w:tcPr>
          <w:p w14:paraId="56D9AA46">
            <w:pPr>
              <w:adjustRightInd w:val="0"/>
              <w:snapToGrid w:val="0"/>
              <w:spacing w:line="240" w:lineRule="auto"/>
              <w:ind w:firstLine="0" w:firstLineChars="0"/>
              <w:jc w:val="center"/>
              <w:rPr>
                <w:sz w:val="21"/>
                <w:szCs w:val="21"/>
              </w:rPr>
            </w:pPr>
            <w:r>
              <w:rPr>
                <w:sz w:val="21"/>
                <w:szCs w:val="21"/>
              </w:rPr>
              <w:t>泄漏</w:t>
            </w:r>
            <w:r>
              <w:rPr>
                <w:rFonts w:ascii="Segoe UI Emoji" w:hAnsi="Segoe UI Emoji" w:cs="Segoe UI Emoji"/>
                <w:sz w:val="21"/>
                <w:szCs w:val="21"/>
              </w:rPr>
              <w:t>☑</w:t>
            </w:r>
          </w:p>
        </w:tc>
        <w:tc>
          <w:tcPr>
            <w:tcW w:w="2563" w:type="pct"/>
            <w:gridSpan w:val="8"/>
            <w:tcBorders>
              <w:top w:val="single" w:color="auto" w:sz="4" w:space="0"/>
              <w:left w:val="nil"/>
              <w:bottom w:val="single" w:color="auto" w:sz="4" w:space="0"/>
            </w:tcBorders>
            <w:tcMar>
              <w:left w:w="0" w:type="dxa"/>
              <w:right w:w="0" w:type="dxa"/>
            </w:tcMar>
            <w:vAlign w:val="center"/>
          </w:tcPr>
          <w:p w14:paraId="5047EACC">
            <w:pPr>
              <w:adjustRightInd w:val="0"/>
              <w:snapToGrid w:val="0"/>
              <w:spacing w:line="240" w:lineRule="auto"/>
              <w:ind w:firstLine="0" w:firstLineChars="0"/>
              <w:jc w:val="center"/>
              <w:rPr>
                <w:sz w:val="21"/>
                <w:szCs w:val="21"/>
              </w:rPr>
            </w:pPr>
            <w:r>
              <w:rPr>
                <w:sz w:val="21"/>
                <w:szCs w:val="21"/>
              </w:rPr>
              <w:t>火灾、爆炸引发伴生/次生污染物排放</w:t>
            </w:r>
            <w:r>
              <w:rPr>
                <w:rFonts w:hint="eastAsia"/>
                <w:sz w:val="21"/>
                <w:szCs w:val="21"/>
              </w:rPr>
              <w:t xml:space="preserve"> </w:t>
            </w:r>
            <w:r>
              <w:rPr>
                <w:sz w:val="21"/>
                <w:szCs w:val="21"/>
              </w:rPr>
              <w:sym w:font="Wingdings 2" w:char="00A3"/>
            </w:r>
          </w:p>
        </w:tc>
      </w:tr>
      <w:tr w14:paraId="4BD7A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42A81FAD">
            <w:pPr>
              <w:adjustRightInd w:val="0"/>
              <w:snapToGrid w:val="0"/>
              <w:spacing w:line="240" w:lineRule="auto"/>
              <w:ind w:firstLine="0" w:firstLineChars="0"/>
              <w:jc w:val="center"/>
              <w:rPr>
                <w:sz w:val="21"/>
                <w:szCs w:val="21"/>
              </w:rPr>
            </w:pPr>
          </w:p>
        </w:tc>
        <w:tc>
          <w:tcPr>
            <w:tcW w:w="595" w:type="pct"/>
            <w:tcMar>
              <w:left w:w="0" w:type="dxa"/>
              <w:right w:w="0" w:type="dxa"/>
            </w:tcMar>
            <w:vAlign w:val="center"/>
          </w:tcPr>
          <w:p w14:paraId="5ECB3CBA">
            <w:pPr>
              <w:adjustRightInd w:val="0"/>
              <w:snapToGrid w:val="0"/>
              <w:spacing w:line="240" w:lineRule="auto"/>
              <w:ind w:firstLine="0" w:firstLineChars="0"/>
              <w:jc w:val="center"/>
              <w:rPr>
                <w:sz w:val="21"/>
                <w:szCs w:val="21"/>
              </w:rPr>
            </w:pPr>
            <w:r>
              <w:rPr>
                <w:sz w:val="21"/>
                <w:szCs w:val="21"/>
              </w:rPr>
              <w:t>影响途径</w:t>
            </w:r>
          </w:p>
        </w:tc>
        <w:tc>
          <w:tcPr>
            <w:tcW w:w="1649" w:type="pct"/>
            <w:gridSpan w:val="3"/>
            <w:tcBorders>
              <w:top w:val="single" w:color="auto" w:sz="4" w:space="0"/>
            </w:tcBorders>
            <w:tcMar>
              <w:left w:w="0" w:type="dxa"/>
              <w:right w:w="0" w:type="dxa"/>
            </w:tcMar>
            <w:vAlign w:val="center"/>
          </w:tcPr>
          <w:p w14:paraId="23B724E0">
            <w:pPr>
              <w:adjustRightInd w:val="0"/>
              <w:snapToGrid w:val="0"/>
              <w:spacing w:line="240" w:lineRule="auto"/>
              <w:ind w:firstLine="0" w:firstLineChars="0"/>
              <w:jc w:val="center"/>
              <w:rPr>
                <w:sz w:val="21"/>
                <w:szCs w:val="21"/>
              </w:rPr>
            </w:pPr>
            <w:r>
              <w:rPr>
                <w:sz w:val="21"/>
                <w:szCs w:val="21"/>
              </w:rPr>
              <w:t>大气</w:t>
            </w:r>
            <w:r>
              <w:rPr>
                <w:rFonts w:ascii="Segoe UI Emoji" w:hAnsi="Segoe UI Emoji" w:cs="Segoe UI Emoji"/>
                <w:sz w:val="21"/>
                <w:szCs w:val="21"/>
              </w:rPr>
              <w:t>☑</w:t>
            </w:r>
          </w:p>
        </w:tc>
        <w:tc>
          <w:tcPr>
            <w:tcW w:w="1041" w:type="pct"/>
            <w:gridSpan w:val="4"/>
            <w:tcBorders>
              <w:top w:val="single" w:color="auto" w:sz="4" w:space="0"/>
            </w:tcBorders>
            <w:tcMar>
              <w:left w:w="0" w:type="dxa"/>
              <w:right w:w="0" w:type="dxa"/>
            </w:tcMar>
            <w:vAlign w:val="center"/>
          </w:tcPr>
          <w:p w14:paraId="6254DE2B">
            <w:pPr>
              <w:adjustRightInd w:val="0"/>
              <w:snapToGrid w:val="0"/>
              <w:spacing w:line="240" w:lineRule="auto"/>
              <w:ind w:firstLine="0" w:firstLineChars="0"/>
              <w:jc w:val="center"/>
              <w:rPr>
                <w:sz w:val="21"/>
                <w:szCs w:val="21"/>
              </w:rPr>
            </w:pPr>
            <w:r>
              <w:rPr>
                <w:sz w:val="21"/>
                <w:szCs w:val="21"/>
              </w:rPr>
              <w:t xml:space="preserve">地表水 </w:t>
            </w:r>
            <w:r>
              <w:rPr>
                <w:sz w:val="21"/>
                <w:szCs w:val="21"/>
              </w:rPr>
              <w:sym w:font="Wingdings 2" w:char="00A3"/>
            </w:r>
          </w:p>
        </w:tc>
        <w:tc>
          <w:tcPr>
            <w:tcW w:w="1522" w:type="pct"/>
            <w:gridSpan w:val="4"/>
            <w:tcBorders>
              <w:top w:val="single" w:color="auto" w:sz="4" w:space="0"/>
            </w:tcBorders>
            <w:tcMar>
              <w:left w:w="0" w:type="dxa"/>
              <w:right w:w="0" w:type="dxa"/>
            </w:tcMar>
            <w:vAlign w:val="center"/>
          </w:tcPr>
          <w:p w14:paraId="4FD10A94">
            <w:pPr>
              <w:adjustRightInd w:val="0"/>
              <w:snapToGrid w:val="0"/>
              <w:spacing w:line="240" w:lineRule="auto"/>
              <w:ind w:firstLine="0" w:firstLineChars="0"/>
              <w:jc w:val="center"/>
              <w:rPr>
                <w:sz w:val="21"/>
                <w:szCs w:val="21"/>
              </w:rPr>
            </w:pPr>
            <w:r>
              <w:rPr>
                <w:sz w:val="21"/>
                <w:szCs w:val="21"/>
              </w:rPr>
              <w:t>地下水</w:t>
            </w:r>
            <w:r>
              <w:rPr>
                <w:rFonts w:ascii="Segoe UI Emoji" w:hAnsi="Segoe UI Emoji" w:cs="Segoe UI Emoji"/>
                <w:sz w:val="21"/>
                <w:szCs w:val="21"/>
              </w:rPr>
              <w:t>☑</w:t>
            </w:r>
          </w:p>
        </w:tc>
      </w:tr>
      <w:tr w14:paraId="55D27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tcMar>
              <w:left w:w="0" w:type="dxa"/>
              <w:right w:w="0" w:type="dxa"/>
            </w:tcMar>
            <w:vAlign w:val="center"/>
          </w:tcPr>
          <w:p w14:paraId="2613090C">
            <w:pPr>
              <w:adjustRightInd w:val="0"/>
              <w:snapToGrid w:val="0"/>
              <w:spacing w:line="240" w:lineRule="auto"/>
              <w:ind w:firstLine="0" w:firstLineChars="0"/>
              <w:jc w:val="center"/>
              <w:rPr>
                <w:sz w:val="21"/>
                <w:szCs w:val="21"/>
              </w:rPr>
            </w:pPr>
            <w:r>
              <w:rPr>
                <w:sz w:val="21"/>
                <w:szCs w:val="21"/>
              </w:rPr>
              <w:t>事故情形分析</w:t>
            </w:r>
          </w:p>
        </w:tc>
        <w:tc>
          <w:tcPr>
            <w:tcW w:w="638" w:type="pct"/>
            <w:tcMar>
              <w:left w:w="0" w:type="dxa"/>
              <w:right w:w="0" w:type="dxa"/>
            </w:tcMar>
            <w:vAlign w:val="center"/>
          </w:tcPr>
          <w:p w14:paraId="0341574B">
            <w:pPr>
              <w:adjustRightInd w:val="0"/>
              <w:snapToGrid w:val="0"/>
              <w:spacing w:line="240" w:lineRule="auto"/>
              <w:ind w:firstLine="0" w:firstLineChars="0"/>
              <w:jc w:val="center"/>
              <w:rPr>
                <w:sz w:val="21"/>
                <w:szCs w:val="21"/>
              </w:rPr>
            </w:pPr>
            <w:r>
              <w:rPr>
                <w:sz w:val="21"/>
                <w:szCs w:val="21"/>
              </w:rPr>
              <w:t>源强设定方法</w:t>
            </w:r>
          </w:p>
        </w:tc>
        <w:tc>
          <w:tcPr>
            <w:tcW w:w="1011" w:type="pct"/>
            <w:gridSpan w:val="2"/>
            <w:tcMar>
              <w:left w:w="0" w:type="dxa"/>
              <w:right w:w="0" w:type="dxa"/>
            </w:tcMar>
            <w:vAlign w:val="center"/>
          </w:tcPr>
          <w:p w14:paraId="2C93F5A8">
            <w:pPr>
              <w:adjustRightInd w:val="0"/>
              <w:snapToGrid w:val="0"/>
              <w:spacing w:line="240" w:lineRule="auto"/>
              <w:ind w:firstLine="0" w:firstLineChars="0"/>
              <w:jc w:val="center"/>
              <w:rPr>
                <w:sz w:val="21"/>
                <w:szCs w:val="21"/>
              </w:rPr>
            </w:pPr>
            <w:r>
              <w:rPr>
                <w:sz w:val="21"/>
                <w:szCs w:val="21"/>
              </w:rPr>
              <w:t>计算法</w:t>
            </w:r>
            <w:r>
              <w:rPr>
                <w:sz w:val="21"/>
                <w:szCs w:val="21"/>
              </w:rPr>
              <w:sym w:font="Wingdings 2" w:char="00A3"/>
            </w:r>
          </w:p>
        </w:tc>
        <w:tc>
          <w:tcPr>
            <w:tcW w:w="1041" w:type="pct"/>
            <w:gridSpan w:val="4"/>
            <w:tcMar>
              <w:left w:w="0" w:type="dxa"/>
              <w:right w:w="0" w:type="dxa"/>
            </w:tcMar>
            <w:vAlign w:val="center"/>
          </w:tcPr>
          <w:p w14:paraId="23E6F1F6">
            <w:pPr>
              <w:adjustRightInd w:val="0"/>
              <w:snapToGrid w:val="0"/>
              <w:spacing w:line="240" w:lineRule="auto"/>
              <w:ind w:firstLine="0" w:firstLineChars="0"/>
              <w:jc w:val="center"/>
              <w:rPr>
                <w:sz w:val="21"/>
                <w:szCs w:val="21"/>
              </w:rPr>
            </w:pPr>
            <w:r>
              <w:rPr>
                <w:sz w:val="21"/>
                <w:szCs w:val="21"/>
              </w:rPr>
              <w:t xml:space="preserve">经验估算法 </w:t>
            </w:r>
            <w:r>
              <w:rPr>
                <w:sz w:val="21"/>
                <w:szCs w:val="21"/>
              </w:rPr>
              <w:sym w:font="Wingdings 2" w:char="00A3"/>
            </w:r>
          </w:p>
        </w:tc>
        <w:tc>
          <w:tcPr>
            <w:tcW w:w="1522" w:type="pct"/>
            <w:gridSpan w:val="4"/>
            <w:tcMar>
              <w:left w:w="0" w:type="dxa"/>
              <w:right w:w="0" w:type="dxa"/>
            </w:tcMar>
            <w:vAlign w:val="center"/>
          </w:tcPr>
          <w:p w14:paraId="3706F846">
            <w:pPr>
              <w:adjustRightInd w:val="0"/>
              <w:snapToGrid w:val="0"/>
              <w:spacing w:line="240" w:lineRule="auto"/>
              <w:ind w:firstLine="0" w:firstLineChars="0"/>
              <w:jc w:val="center"/>
              <w:rPr>
                <w:sz w:val="21"/>
                <w:szCs w:val="21"/>
              </w:rPr>
            </w:pPr>
            <w:r>
              <w:rPr>
                <w:sz w:val="21"/>
                <w:szCs w:val="21"/>
              </w:rPr>
              <w:t>其他估算法</w:t>
            </w:r>
            <w:r>
              <w:rPr>
                <w:rFonts w:ascii="Segoe UI Emoji" w:hAnsi="Segoe UI Emoji" w:cs="Segoe UI Emoji"/>
                <w:sz w:val="21"/>
                <w:szCs w:val="21"/>
              </w:rPr>
              <w:t>☑</w:t>
            </w:r>
          </w:p>
        </w:tc>
      </w:tr>
      <w:tr w14:paraId="304B9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restart"/>
            <w:tcMar>
              <w:left w:w="0" w:type="dxa"/>
              <w:right w:w="0" w:type="dxa"/>
            </w:tcMar>
            <w:vAlign w:val="center"/>
          </w:tcPr>
          <w:p w14:paraId="7FCF2B84">
            <w:pPr>
              <w:adjustRightInd w:val="0"/>
              <w:snapToGrid w:val="0"/>
              <w:spacing w:line="240" w:lineRule="auto"/>
              <w:ind w:firstLine="0" w:firstLineChars="0"/>
              <w:jc w:val="center"/>
              <w:rPr>
                <w:sz w:val="21"/>
                <w:szCs w:val="21"/>
              </w:rPr>
            </w:pPr>
            <w:r>
              <w:rPr>
                <w:sz w:val="21"/>
                <w:szCs w:val="21"/>
              </w:rPr>
              <w:t>风险预测与评价</w:t>
            </w:r>
          </w:p>
        </w:tc>
        <w:tc>
          <w:tcPr>
            <w:tcW w:w="595" w:type="pct"/>
            <w:vMerge w:val="restart"/>
            <w:tcMar>
              <w:left w:w="0" w:type="dxa"/>
              <w:right w:w="0" w:type="dxa"/>
            </w:tcMar>
            <w:vAlign w:val="center"/>
          </w:tcPr>
          <w:p w14:paraId="669C6379">
            <w:pPr>
              <w:adjustRightInd w:val="0"/>
              <w:snapToGrid w:val="0"/>
              <w:spacing w:line="240" w:lineRule="auto"/>
              <w:ind w:firstLine="0" w:firstLineChars="0"/>
              <w:jc w:val="center"/>
              <w:rPr>
                <w:sz w:val="21"/>
                <w:szCs w:val="21"/>
              </w:rPr>
            </w:pPr>
            <w:r>
              <w:rPr>
                <w:sz w:val="21"/>
                <w:szCs w:val="21"/>
              </w:rPr>
              <w:t>大气</w:t>
            </w:r>
          </w:p>
        </w:tc>
        <w:tc>
          <w:tcPr>
            <w:tcW w:w="638" w:type="pct"/>
            <w:tcMar>
              <w:left w:w="0" w:type="dxa"/>
              <w:right w:w="0" w:type="dxa"/>
            </w:tcMar>
            <w:vAlign w:val="center"/>
          </w:tcPr>
          <w:p w14:paraId="61CD9D84">
            <w:pPr>
              <w:adjustRightInd w:val="0"/>
              <w:snapToGrid w:val="0"/>
              <w:spacing w:line="240" w:lineRule="auto"/>
              <w:ind w:firstLine="0" w:firstLineChars="0"/>
              <w:jc w:val="center"/>
              <w:rPr>
                <w:sz w:val="21"/>
                <w:szCs w:val="21"/>
              </w:rPr>
            </w:pPr>
            <w:r>
              <w:rPr>
                <w:sz w:val="21"/>
                <w:szCs w:val="21"/>
              </w:rPr>
              <w:t>预测模型</w:t>
            </w:r>
          </w:p>
        </w:tc>
        <w:tc>
          <w:tcPr>
            <w:tcW w:w="1011" w:type="pct"/>
            <w:gridSpan w:val="2"/>
            <w:tcMar>
              <w:left w:w="0" w:type="dxa"/>
              <w:right w:w="0" w:type="dxa"/>
            </w:tcMar>
            <w:vAlign w:val="center"/>
          </w:tcPr>
          <w:p w14:paraId="269125DA">
            <w:pPr>
              <w:adjustRightInd w:val="0"/>
              <w:snapToGrid w:val="0"/>
              <w:spacing w:line="240" w:lineRule="auto"/>
              <w:ind w:firstLine="0" w:firstLineChars="0"/>
              <w:jc w:val="center"/>
              <w:rPr>
                <w:sz w:val="21"/>
                <w:szCs w:val="21"/>
              </w:rPr>
            </w:pPr>
            <w:r>
              <w:rPr>
                <w:sz w:val="21"/>
                <w:szCs w:val="21"/>
              </w:rPr>
              <w:t>SLAB</w:t>
            </w:r>
            <w:r>
              <w:rPr>
                <w:sz w:val="21"/>
                <w:szCs w:val="21"/>
              </w:rPr>
              <w:sym w:font="Wingdings 2" w:char="00A3"/>
            </w:r>
          </w:p>
        </w:tc>
        <w:tc>
          <w:tcPr>
            <w:tcW w:w="1041" w:type="pct"/>
            <w:gridSpan w:val="4"/>
            <w:tcMar>
              <w:left w:w="0" w:type="dxa"/>
              <w:right w:w="0" w:type="dxa"/>
            </w:tcMar>
            <w:vAlign w:val="center"/>
          </w:tcPr>
          <w:p w14:paraId="4E9430EF">
            <w:pPr>
              <w:adjustRightInd w:val="0"/>
              <w:snapToGrid w:val="0"/>
              <w:spacing w:line="240" w:lineRule="auto"/>
              <w:ind w:firstLine="0" w:firstLineChars="0"/>
              <w:jc w:val="center"/>
              <w:rPr>
                <w:sz w:val="21"/>
                <w:szCs w:val="21"/>
              </w:rPr>
            </w:pPr>
            <w:r>
              <w:rPr>
                <w:sz w:val="21"/>
                <w:szCs w:val="21"/>
              </w:rPr>
              <w:t>AFTOX</w:t>
            </w:r>
            <w:r>
              <w:rPr>
                <w:sz w:val="21"/>
                <w:szCs w:val="21"/>
              </w:rPr>
              <w:sym w:font="Wingdings 2" w:char="00A3"/>
            </w:r>
          </w:p>
        </w:tc>
        <w:tc>
          <w:tcPr>
            <w:tcW w:w="1522" w:type="pct"/>
            <w:gridSpan w:val="4"/>
            <w:tcMar>
              <w:left w:w="0" w:type="dxa"/>
              <w:right w:w="0" w:type="dxa"/>
            </w:tcMar>
            <w:vAlign w:val="center"/>
          </w:tcPr>
          <w:p w14:paraId="5BEC13E9">
            <w:pPr>
              <w:adjustRightInd w:val="0"/>
              <w:snapToGrid w:val="0"/>
              <w:spacing w:line="240" w:lineRule="auto"/>
              <w:ind w:firstLine="0" w:firstLineChars="0"/>
              <w:jc w:val="center"/>
              <w:rPr>
                <w:sz w:val="21"/>
                <w:szCs w:val="21"/>
              </w:rPr>
            </w:pPr>
            <w:r>
              <w:rPr>
                <w:sz w:val="21"/>
                <w:szCs w:val="21"/>
              </w:rPr>
              <w:t xml:space="preserve">其他 </w:t>
            </w:r>
            <w:r>
              <w:rPr>
                <w:sz w:val="21"/>
                <w:szCs w:val="21"/>
              </w:rPr>
              <w:sym w:font="Wingdings 2" w:char="00A3"/>
            </w:r>
          </w:p>
        </w:tc>
      </w:tr>
      <w:tr w14:paraId="5EA3F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56D39E82">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68CA3366">
            <w:pPr>
              <w:adjustRightInd w:val="0"/>
              <w:snapToGrid w:val="0"/>
              <w:spacing w:line="240" w:lineRule="auto"/>
              <w:ind w:firstLine="0" w:firstLineChars="0"/>
              <w:jc w:val="center"/>
              <w:rPr>
                <w:sz w:val="21"/>
                <w:szCs w:val="21"/>
              </w:rPr>
            </w:pPr>
          </w:p>
        </w:tc>
        <w:tc>
          <w:tcPr>
            <w:tcW w:w="638" w:type="pct"/>
            <w:vMerge w:val="restart"/>
            <w:tcMar>
              <w:left w:w="0" w:type="dxa"/>
              <w:right w:w="0" w:type="dxa"/>
            </w:tcMar>
            <w:vAlign w:val="center"/>
          </w:tcPr>
          <w:p w14:paraId="500DA39D">
            <w:pPr>
              <w:adjustRightInd w:val="0"/>
              <w:snapToGrid w:val="0"/>
              <w:spacing w:line="240" w:lineRule="auto"/>
              <w:ind w:firstLine="0" w:firstLineChars="0"/>
              <w:jc w:val="center"/>
              <w:rPr>
                <w:sz w:val="21"/>
                <w:szCs w:val="21"/>
              </w:rPr>
            </w:pPr>
            <w:r>
              <w:rPr>
                <w:sz w:val="21"/>
                <w:szCs w:val="21"/>
              </w:rPr>
              <w:t>预测结果</w:t>
            </w:r>
          </w:p>
        </w:tc>
        <w:tc>
          <w:tcPr>
            <w:tcW w:w="3574" w:type="pct"/>
            <w:gridSpan w:val="10"/>
            <w:tcMar>
              <w:left w:w="0" w:type="dxa"/>
              <w:right w:w="0" w:type="dxa"/>
            </w:tcMar>
            <w:vAlign w:val="center"/>
          </w:tcPr>
          <w:p w14:paraId="5551BD51">
            <w:pPr>
              <w:adjustRightInd w:val="0"/>
              <w:snapToGrid w:val="0"/>
              <w:spacing w:line="240" w:lineRule="auto"/>
              <w:ind w:firstLine="0" w:firstLineChars="0"/>
              <w:jc w:val="center"/>
              <w:rPr>
                <w:sz w:val="21"/>
                <w:szCs w:val="21"/>
              </w:rPr>
            </w:pPr>
            <w:r>
              <w:rPr>
                <w:sz w:val="21"/>
                <w:szCs w:val="21"/>
              </w:rPr>
              <w:t>大气毒性终点浓度-1 最大影响范围</w:t>
            </w:r>
            <w:r>
              <w:rPr>
                <w:sz w:val="21"/>
                <w:szCs w:val="21"/>
                <w:u w:val="single"/>
              </w:rPr>
              <w:t xml:space="preserve"> /  </w:t>
            </w:r>
            <w:r>
              <w:rPr>
                <w:sz w:val="21"/>
                <w:szCs w:val="21"/>
              </w:rPr>
              <w:t>m</w:t>
            </w:r>
          </w:p>
        </w:tc>
      </w:tr>
      <w:tr w14:paraId="3D8B8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691DE257">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1CA72FF3">
            <w:pPr>
              <w:adjustRightInd w:val="0"/>
              <w:snapToGrid w:val="0"/>
              <w:spacing w:line="240" w:lineRule="auto"/>
              <w:ind w:firstLine="0" w:firstLineChars="0"/>
              <w:jc w:val="center"/>
              <w:rPr>
                <w:sz w:val="21"/>
                <w:szCs w:val="21"/>
              </w:rPr>
            </w:pPr>
          </w:p>
        </w:tc>
        <w:tc>
          <w:tcPr>
            <w:tcW w:w="638" w:type="pct"/>
            <w:vMerge w:val="continue"/>
            <w:tcMar>
              <w:left w:w="0" w:type="dxa"/>
              <w:right w:w="0" w:type="dxa"/>
            </w:tcMar>
            <w:vAlign w:val="center"/>
          </w:tcPr>
          <w:p w14:paraId="1F9C2B96">
            <w:pPr>
              <w:adjustRightInd w:val="0"/>
              <w:snapToGrid w:val="0"/>
              <w:spacing w:line="240" w:lineRule="auto"/>
              <w:ind w:firstLine="0" w:firstLineChars="0"/>
              <w:jc w:val="center"/>
              <w:rPr>
                <w:sz w:val="21"/>
                <w:szCs w:val="21"/>
              </w:rPr>
            </w:pPr>
          </w:p>
        </w:tc>
        <w:tc>
          <w:tcPr>
            <w:tcW w:w="3574" w:type="pct"/>
            <w:gridSpan w:val="10"/>
            <w:tcMar>
              <w:left w:w="0" w:type="dxa"/>
              <w:right w:w="0" w:type="dxa"/>
            </w:tcMar>
            <w:vAlign w:val="center"/>
          </w:tcPr>
          <w:p w14:paraId="14009738">
            <w:pPr>
              <w:adjustRightInd w:val="0"/>
              <w:snapToGrid w:val="0"/>
              <w:spacing w:line="240" w:lineRule="auto"/>
              <w:ind w:firstLine="0" w:firstLineChars="0"/>
              <w:jc w:val="center"/>
              <w:rPr>
                <w:sz w:val="21"/>
                <w:szCs w:val="21"/>
              </w:rPr>
            </w:pPr>
            <w:r>
              <w:rPr>
                <w:sz w:val="21"/>
                <w:szCs w:val="21"/>
              </w:rPr>
              <w:t>大气毒性终点浓度-2 最大影响范围</w:t>
            </w:r>
            <w:r>
              <w:rPr>
                <w:sz w:val="21"/>
                <w:szCs w:val="21"/>
                <w:u w:val="single"/>
              </w:rPr>
              <w:t xml:space="preserve"> /  </w:t>
            </w:r>
            <w:r>
              <w:rPr>
                <w:sz w:val="21"/>
                <w:szCs w:val="21"/>
              </w:rPr>
              <w:t>m</w:t>
            </w:r>
          </w:p>
        </w:tc>
      </w:tr>
      <w:tr w14:paraId="64799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0AF65E8F">
            <w:pPr>
              <w:adjustRightInd w:val="0"/>
              <w:snapToGrid w:val="0"/>
              <w:spacing w:line="240" w:lineRule="auto"/>
              <w:ind w:firstLine="0" w:firstLineChars="0"/>
              <w:jc w:val="center"/>
              <w:rPr>
                <w:sz w:val="21"/>
                <w:szCs w:val="21"/>
              </w:rPr>
            </w:pPr>
          </w:p>
        </w:tc>
        <w:tc>
          <w:tcPr>
            <w:tcW w:w="595" w:type="pct"/>
            <w:tcMar>
              <w:left w:w="0" w:type="dxa"/>
              <w:right w:w="0" w:type="dxa"/>
            </w:tcMar>
            <w:vAlign w:val="center"/>
          </w:tcPr>
          <w:p w14:paraId="5F0722D1">
            <w:pPr>
              <w:adjustRightInd w:val="0"/>
              <w:snapToGrid w:val="0"/>
              <w:spacing w:line="240" w:lineRule="auto"/>
              <w:ind w:firstLine="0" w:firstLineChars="0"/>
              <w:jc w:val="center"/>
              <w:rPr>
                <w:sz w:val="21"/>
                <w:szCs w:val="21"/>
              </w:rPr>
            </w:pPr>
            <w:r>
              <w:rPr>
                <w:sz w:val="21"/>
                <w:szCs w:val="21"/>
              </w:rPr>
              <w:t>地表水</w:t>
            </w:r>
          </w:p>
        </w:tc>
        <w:tc>
          <w:tcPr>
            <w:tcW w:w="4211" w:type="pct"/>
            <w:gridSpan w:val="11"/>
            <w:tcMar>
              <w:left w:w="0" w:type="dxa"/>
              <w:right w:w="0" w:type="dxa"/>
            </w:tcMar>
            <w:vAlign w:val="center"/>
          </w:tcPr>
          <w:p w14:paraId="26AB39DA">
            <w:pPr>
              <w:adjustRightInd w:val="0"/>
              <w:snapToGrid w:val="0"/>
              <w:spacing w:line="240" w:lineRule="auto"/>
              <w:ind w:firstLine="0" w:firstLineChars="0"/>
              <w:jc w:val="center"/>
              <w:rPr>
                <w:sz w:val="21"/>
                <w:szCs w:val="21"/>
              </w:rPr>
            </w:pPr>
            <w:r>
              <w:rPr>
                <w:sz w:val="21"/>
                <w:szCs w:val="21"/>
              </w:rPr>
              <w:t>最近环境敏感目标</w:t>
            </w:r>
            <w:r>
              <w:rPr>
                <w:sz w:val="21"/>
                <w:szCs w:val="21"/>
                <w:u w:val="single"/>
              </w:rPr>
              <w:t xml:space="preserve">       /       </w:t>
            </w:r>
            <w:r>
              <w:rPr>
                <w:sz w:val="21"/>
                <w:szCs w:val="21"/>
              </w:rPr>
              <w:t>，到达时间</w:t>
            </w:r>
            <w:r>
              <w:rPr>
                <w:sz w:val="21"/>
                <w:szCs w:val="21"/>
                <w:u w:val="single"/>
              </w:rPr>
              <w:t xml:space="preserve">    /    </w:t>
            </w:r>
            <w:r>
              <w:rPr>
                <w:sz w:val="21"/>
                <w:szCs w:val="21"/>
              </w:rPr>
              <w:t>h</w:t>
            </w:r>
          </w:p>
        </w:tc>
      </w:tr>
      <w:tr w14:paraId="76F96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285FD285">
            <w:pPr>
              <w:adjustRightInd w:val="0"/>
              <w:snapToGrid w:val="0"/>
              <w:spacing w:line="240" w:lineRule="auto"/>
              <w:ind w:firstLine="0" w:firstLineChars="0"/>
              <w:jc w:val="center"/>
              <w:rPr>
                <w:sz w:val="21"/>
                <w:szCs w:val="21"/>
              </w:rPr>
            </w:pPr>
          </w:p>
        </w:tc>
        <w:tc>
          <w:tcPr>
            <w:tcW w:w="595" w:type="pct"/>
            <w:vMerge w:val="restart"/>
            <w:tcMar>
              <w:left w:w="0" w:type="dxa"/>
              <w:right w:w="0" w:type="dxa"/>
            </w:tcMar>
            <w:vAlign w:val="center"/>
          </w:tcPr>
          <w:p w14:paraId="0D13E598">
            <w:pPr>
              <w:adjustRightInd w:val="0"/>
              <w:snapToGrid w:val="0"/>
              <w:spacing w:line="240" w:lineRule="auto"/>
              <w:ind w:firstLine="0" w:firstLineChars="0"/>
              <w:jc w:val="center"/>
              <w:rPr>
                <w:sz w:val="21"/>
                <w:szCs w:val="21"/>
              </w:rPr>
            </w:pPr>
            <w:r>
              <w:rPr>
                <w:sz w:val="21"/>
                <w:szCs w:val="21"/>
              </w:rPr>
              <w:t>地下水</w:t>
            </w:r>
          </w:p>
        </w:tc>
        <w:tc>
          <w:tcPr>
            <w:tcW w:w="4211" w:type="pct"/>
            <w:gridSpan w:val="11"/>
            <w:tcMar>
              <w:left w:w="0" w:type="dxa"/>
              <w:right w:w="0" w:type="dxa"/>
            </w:tcMar>
            <w:vAlign w:val="center"/>
          </w:tcPr>
          <w:p w14:paraId="612B4A76">
            <w:pPr>
              <w:adjustRightInd w:val="0"/>
              <w:snapToGrid w:val="0"/>
              <w:spacing w:line="240" w:lineRule="auto"/>
              <w:ind w:firstLine="0" w:firstLineChars="0"/>
              <w:jc w:val="center"/>
              <w:rPr>
                <w:sz w:val="21"/>
                <w:szCs w:val="21"/>
              </w:rPr>
            </w:pPr>
            <w:r>
              <w:rPr>
                <w:sz w:val="21"/>
                <w:szCs w:val="21"/>
              </w:rPr>
              <w:t>下游厂区边界到达时间</w:t>
            </w:r>
            <w:r>
              <w:rPr>
                <w:sz w:val="21"/>
                <w:szCs w:val="21"/>
                <w:u w:val="single"/>
              </w:rPr>
              <w:t xml:space="preserve"> 100 </w:t>
            </w:r>
            <w:r>
              <w:rPr>
                <w:sz w:val="21"/>
                <w:szCs w:val="21"/>
              </w:rPr>
              <w:t>d</w:t>
            </w:r>
          </w:p>
        </w:tc>
      </w:tr>
      <w:tr w14:paraId="2BB59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3" w:type="pct"/>
            <w:vMerge w:val="continue"/>
            <w:tcMar>
              <w:left w:w="0" w:type="dxa"/>
              <w:right w:w="0" w:type="dxa"/>
            </w:tcMar>
            <w:vAlign w:val="center"/>
          </w:tcPr>
          <w:p w14:paraId="53CD685A">
            <w:pPr>
              <w:adjustRightInd w:val="0"/>
              <w:snapToGrid w:val="0"/>
              <w:spacing w:line="240" w:lineRule="auto"/>
              <w:ind w:firstLine="0" w:firstLineChars="0"/>
              <w:jc w:val="center"/>
              <w:rPr>
                <w:sz w:val="21"/>
                <w:szCs w:val="21"/>
              </w:rPr>
            </w:pPr>
          </w:p>
        </w:tc>
        <w:tc>
          <w:tcPr>
            <w:tcW w:w="595" w:type="pct"/>
            <w:vMerge w:val="continue"/>
            <w:tcMar>
              <w:left w:w="0" w:type="dxa"/>
              <w:right w:w="0" w:type="dxa"/>
            </w:tcMar>
            <w:vAlign w:val="center"/>
          </w:tcPr>
          <w:p w14:paraId="5D054363">
            <w:pPr>
              <w:adjustRightInd w:val="0"/>
              <w:snapToGrid w:val="0"/>
              <w:spacing w:line="240" w:lineRule="auto"/>
              <w:ind w:firstLine="0" w:firstLineChars="0"/>
              <w:jc w:val="center"/>
              <w:rPr>
                <w:sz w:val="21"/>
                <w:szCs w:val="21"/>
              </w:rPr>
            </w:pPr>
          </w:p>
        </w:tc>
        <w:tc>
          <w:tcPr>
            <w:tcW w:w="4211" w:type="pct"/>
            <w:gridSpan w:val="11"/>
            <w:tcMar>
              <w:left w:w="0" w:type="dxa"/>
              <w:right w:w="0" w:type="dxa"/>
            </w:tcMar>
            <w:vAlign w:val="center"/>
          </w:tcPr>
          <w:p w14:paraId="511F31B4">
            <w:pPr>
              <w:adjustRightInd w:val="0"/>
              <w:snapToGrid w:val="0"/>
              <w:spacing w:line="240" w:lineRule="auto"/>
              <w:ind w:firstLine="0" w:firstLineChars="0"/>
              <w:jc w:val="center"/>
              <w:rPr>
                <w:sz w:val="21"/>
                <w:szCs w:val="21"/>
              </w:rPr>
            </w:pPr>
            <w:r>
              <w:rPr>
                <w:sz w:val="21"/>
                <w:szCs w:val="21"/>
              </w:rPr>
              <w:t>最近环境敏感目标</w:t>
            </w:r>
            <w:r>
              <w:rPr>
                <w:sz w:val="21"/>
                <w:szCs w:val="21"/>
                <w:u w:val="single"/>
              </w:rPr>
              <w:t xml:space="preserve">       /       </w:t>
            </w:r>
            <w:r>
              <w:rPr>
                <w:sz w:val="21"/>
                <w:szCs w:val="21"/>
              </w:rPr>
              <w:t>，到达时间</w:t>
            </w:r>
            <w:r>
              <w:rPr>
                <w:sz w:val="21"/>
                <w:szCs w:val="21"/>
                <w:u w:val="single"/>
              </w:rPr>
              <w:t xml:space="preserve">    /    </w:t>
            </w:r>
            <w:r>
              <w:rPr>
                <w:sz w:val="21"/>
                <w:szCs w:val="21"/>
              </w:rPr>
              <w:t>d</w:t>
            </w:r>
          </w:p>
        </w:tc>
      </w:tr>
      <w:tr w14:paraId="6A2F8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tcMar>
              <w:left w:w="0" w:type="dxa"/>
              <w:right w:w="0" w:type="dxa"/>
            </w:tcMar>
            <w:vAlign w:val="center"/>
          </w:tcPr>
          <w:p w14:paraId="681072B7">
            <w:pPr>
              <w:adjustRightInd w:val="0"/>
              <w:snapToGrid w:val="0"/>
              <w:spacing w:line="240" w:lineRule="auto"/>
              <w:ind w:firstLine="0" w:firstLineChars="0"/>
              <w:jc w:val="center"/>
              <w:rPr>
                <w:sz w:val="21"/>
                <w:szCs w:val="21"/>
              </w:rPr>
            </w:pPr>
            <w:r>
              <w:rPr>
                <w:sz w:val="21"/>
                <w:szCs w:val="21"/>
              </w:rPr>
              <w:t>重点风险防范</w:t>
            </w:r>
          </w:p>
          <w:p w14:paraId="2DB12B2F">
            <w:pPr>
              <w:adjustRightInd w:val="0"/>
              <w:snapToGrid w:val="0"/>
              <w:spacing w:line="240" w:lineRule="auto"/>
              <w:ind w:firstLine="0" w:firstLineChars="0"/>
              <w:jc w:val="center"/>
              <w:rPr>
                <w:sz w:val="21"/>
                <w:szCs w:val="21"/>
              </w:rPr>
            </w:pPr>
            <w:r>
              <w:rPr>
                <w:sz w:val="21"/>
                <w:szCs w:val="21"/>
              </w:rPr>
              <w:t>措施</w:t>
            </w:r>
          </w:p>
        </w:tc>
        <w:tc>
          <w:tcPr>
            <w:tcW w:w="4211" w:type="pct"/>
            <w:gridSpan w:val="11"/>
            <w:tcMar>
              <w:left w:w="0" w:type="dxa"/>
              <w:right w:w="0" w:type="dxa"/>
            </w:tcMar>
            <w:vAlign w:val="center"/>
          </w:tcPr>
          <w:p w14:paraId="47E48693">
            <w:pPr>
              <w:adjustRightInd w:val="0"/>
              <w:snapToGrid w:val="0"/>
              <w:spacing w:line="240" w:lineRule="auto"/>
              <w:ind w:firstLine="0" w:firstLineChars="0"/>
              <w:jc w:val="center"/>
              <w:rPr>
                <w:sz w:val="21"/>
                <w:szCs w:val="21"/>
              </w:rPr>
            </w:pPr>
            <w:r>
              <w:rPr>
                <w:sz w:val="21"/>
                <w:szCs w:val="21"/>
              </w:rPr>
              <w:t>（1）危险品安装防范及消防措施；（2）地下水分区防渗及监控。</w:t>
            </w:r>
          </w:p>
        </w:tc>
      </w:tr>
      <w:tr w14:paraId="016C9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789" w:type="pct"/>
            <w:gridSpan w:val="2"/>
            <w:tcMar>
              <w:left w:w="0" w:type="dxa"/>
              <w:right w:w="0" w:type="dxa"/>
            </w:tcMar>
            <w:vAlign w:val="center"/>
          </w:tcPr>
          <w:p w14:paraId="522DD204">
            <w:pPr>
              <w:adjustRightInd w:val="0"/>
              <w:snapToGrid w:val="0"/>
              <w:spacing w:line="240" w:lineRule="auto"/>
              <w:ind w:firstLine="0" w:firstLineChars="0"/>
              <w:jc w:val="center"/>
              <w:rPr>
                <w:sz w:val="21"/>
                <w:szCs w:val="21"/>
              </w:rPr>
            </w:pPr>
            <w:r>
              <w:rPr>
                <w:sz w:val="21"/>
                <w:szCs w:val="21"/>
              </w:rPr>
              <w:t>评价结论与建议</w:t>
            </w:r>
          </w:p>
        </w:tc>
        <w:tc>
          <w:tcPr>
            <w:tcW w:w="4211" w:type="pct"/>
            <w:gridSpan w:val="11"/>
            <w:tcMar>
              <w:left w:w="0" w:type="dxa"/>
              <w:right w:w="0" w:type="dxa"/>
            </w:tcMar>
            <w:vAlign w:val="center"/>
          </w:tcPr>
          <w:p w14:paraId="11DFC1A2">
            <w:pPr>
              <w:adjustRightInd w:val="0"/>
              <w:snapToGrid w:val="0"/>
              <w:spacing w:line="240" w:lineRule="auto"/>
              <w:ind w:firstLine="420"/>
              <w:rPr>
                <w:sz w:val="21"/>
                <w:szCs w:val="21"/>
              </w:rPr>
            </w:pPr>
            <w:r>
              <w:rPr>
                <w:sz w:val="21"/>
                <w:szCs w:val="21"/>
              </w:rPr>
              <w:t>本项目涉及的</w:t>
            </w:r>
            <w:r>
              <w:rPr>
                <w:rFonts w:hint="eastAsia"/>
                <w:sz w:val="21"/>
                <w:szCs w:val="21"/>
              </w:rPr>
              <w:t>危险物质主要为油类物质</w:t>
            </w:r>
            <w:r>
              <w:rPr>
                <w:sz w:val="21"/>
                <w:szCs w:val="21"/>
              </w:rPr>
              <w:t>，</w:t>
            </w:r>
            <w:r>
              <w:rPr>
                <w:rFonts w:hint="eastAsia"/>
                <w:sz w:val="21"/>
                <w:szCs w:val="21"/>
              </w:rPr>
              <w:t>油类物质挥发性较小，</w:t>
            </w:r>
            <w:r>
              <w:rPr>
                <w:sz w:val="21"/>
                <w:szCs w:val="21"/>
              </w:rPr>
              <w:t>发生泄漏事故</w:t>
            </w:r>
            <w:r>
              <w:rPr>
                <w:rFonts w:hint="eastAsia"/>
                <w:sz w:val="21"/>
                <w:szCs w:val="21"/>
              </w:rPr>
              <w:t>时</w:t>
            </w:r>
            <w:r>
              <w:rPr>
                <w:sz w:val="21"/>
                <w:szCs w:val="21"/>
              </w:rPr>
              <w:t>，</w:t>
            </w:r>
            <w:r>
              <w:rPr>
                <w:rFonts w:hint="eastAsia"/>
                <w:sz w:val="21"/>
                <w:szCs w:val="21"/>
              </w:rPr>
              <w:t>对大气</w:t>
            </w:r>
            <w:r>
              <w:rPr>
                <w:sz w:val="21"/>
                <w:szCs w:val="21"/>
              </w:rPr>
              <w:t>环境影响不会很大；最大可信事故为</w:t>
            </w:r>
            <w:r>
              <w:rPr>
                <w:rFonts w:hint="eastAsia"/>
                <w:sz w:val="21"/>
                <w:szCs w:val="21"/>
              </w:rPr>
              <w:t>原料储</w:t>
            </w:r>
            <w:r>
              <w:rPr>
                <w:sz w:val="21"/>
                <w:szCs w:val="21"/>
              </w:rPr>
              <w:t>罐发生破裂，储罐内的</w:t>
            </w:r>
            <w:r>
              <w:rPr>
                <w:rFonts w:hint="eastAsia"/>
                <w:sz w:val="21"/>
                <w:szCs w:val="21"/>
              </w:rPr>
              <w:t>油类物质</w:t>
            </w:r>
            <w:r>
              <w:rPr>
                <w:sz w:val="21"/>
                <w:szCs w:val="21"/>
              </w:rPr>
              <w:t>泄漏后</w:t>
            </w:r>
            <w:r>
              <w:rPr>
                <w:rFonts w:hint="eastAsia"/>
                <w:sz w:val="21"/>
                <w:szCs w:val="21"/>
              </w:rPr>
              <w:t>进入土壤、地下水</w:t>
            </w:r>
            <w:r>
              <w:rPr>
                <w:sz w:val="21"/>
                <w:szCs w:val="21"/>
              </w:rPr>
              <w:t>。</w:t>
            </w:r>
          </w:p>
          <w:p w14:paraId="75AE451E">
            <w:pPr>
              <w:adjustRightInd w:val="0"/>
              <w:snapToGrid w:val="0"/>
              <w:spacing w:line="240" w:lineRule="auto"/>
              <w:ind w:firstLine="420"/>
              <w:rPr>
                <w:sz w:val="21"/>
                <w:szCs w:val="21"/>
              </w:rPr>
            </w:pPr>
            <w:r>
              <w:rPr>
                <w:sz w:val="21"/>
                <w:szCs w:val="21"/>
              </w:rPr>
              <w:t>环境敏感点调查结果表明，企业周围5km范围内的常驻居民主要为</w:t>
            </w:r>
            <w:r>
              <w:rPr>
                <w:rFonts w:hint="eastAsia"/>
                <w:sz w:val="21"/>
                <w:szCs w:val="21"/>
              </w:rPr>
              <w:t>西</w:t>
            </w:r>
            <w:r>
              <w:rPr>
                <w:sz w:val="21"/>
                <w:szCs w:val="21"/>
              </w:rPr>
              <w:t>南</w:t>
            </w:r>
            <w:r>
              <w:rPr>
                <w:rFonts w:hint="eastAsia"/>
                <w:sz w:val="21"/>
                <w:szCs w:val="21"/>
              </w:rPr>
              <w:t>方</w:t>
            </w:r>
            <w:r>
              <w:rPr>
                <w:sz w:val="21"/>
                <w:szCs w:val="21"/>
              </w:rPr>
              <w:t>向1.8km处的</w:t>
            </w:r>
            <w:r>
              <w:rPr>
                <w:rFonts w:hint="eastAsia"/>
                <w:sz w:val="21"/>
                <w:szCs w:val="21"/>
              </w:rPr>
              <w:t>1</w:t>
            </w:r>
            <w:r>
              <w:rPr>
                <w:sz w:val="21"/>
                <w:szCs w:val="21"/>
              </w:rPr>
              <w:t>30</w:t>
            </w:r>
            <w:r>
              <w:rPr>
                <w:rFonts w:hint="eastAsia"/>
                <w:sz w:val="21"/>
                <w:szCs w:val="21"/>
              </w:rPr>
              <w:t>团2</w:t>
            </w:r>
            <w:r>
              <w:rPr>
                <w:sz w:val="21"/>
                <w:szCs w:val="21"/>
              </w:rPr>
              <w:t>2</w:t>
            </w:r>
            <w:r>
              <w:rPr>
                <w:rFonts w:hint="eastAsia"/>
                <w:sz w:val="21"/>
                <w:szCs w:val="21"/>
              </w:rPr>
              <w:t>连</w:t>
            </w:r>
            <w:r>
              <w:rPr>
                <w:sz w:val="21"/>
                <w:szCs w:val="21"/>
              </w:rPr>
              <w:t>，位于事故影响范围之外。但是事故可能造成本项目职工及周边企业职工中毒。</w:t>
            </w:r>
          </w:p>
        </w:tc>
      </w:tr>
      <w:tr w14:paraId="2F27E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13"/>
            <w:tcMar>
              <w:left w:w="0" w:type="dxa"/>
              <w:right w:w="0" w:type="dxa"/>
            </w:tcMar>
            <w:vAlign w:val="center"/>
          </w:tcPr>
          <w:p w14:paraId="0391A99D">
            <w:pPr>
              <w:adjustRightInd w:val="0"/>
              <w:snapToGrid w:val="0"/>
              <w:spacing w:line="240" w:lineRule="auto"/>
              <w:ind w:firstLine="0" w:firstLineChars="0"/>
              <w:jc w:val="center"/>
              <w:rPr>
                <w:sz w:val="21"/>
                <w:szCs w:val="21"/>
              </w:rPr>
            </w:pPr>
            <w:r>
              <w:rPr>
                <w:sz w:val="21"/>
                <w:szCs w:val="21"/>
              </w:rPr>
              <w:t>注：“</w:t>
            </w:r>
            <w:r>
              <w:rPr>
                <w:sz w:val="21"/>
                <w:szCs w:val="21"/>
              </w:rPr>
              <w:sym w:font="Wingdings 2" w:char="00A3"/>
            </w:r>
            <w:r>
              <w:rPr>
                <w:sz w:val="21"/>
                <w:szCs w:val="21"/>
              </w:rPr>
              <w:t>”为勾选项，“</w:t>
            </w:r>
            <w:r>
              <w:rPr>
                <w:sz w:val="21"/>
                <w:szCs w:val="21"/>
                <w:u w:val="single"/>
              </w:rPr>
              <w:t xml:space="preserve">       </w:t>
            </w:r>
            <w:r>
              <w:rPr>
                <w:sz w:val="21"/>
                <w:szCs w:val="21"/>
              </w:rPr>
              <w:t>”为填写项。</w:t>
            </w:r>
          </w:p>
        </w:tc>
      </w:tr>
    </w:tbl>
    <w:p w14:paraId="601CDD55">
      <w:pPr>
        <w:ind w:firstLine="480"/>
        <w:rPr>
          <w:lang w:val="zh-CN"/>
        </w:rPr>
      </w:pPr>
      <w:r>
        <w:rPr>
          <w:rFonts w:hint="eastAsia"/>
        </w:rPr>
        <w:t>综上所述，本项目环境风险可接受。</w:t>
      </w:r>
    </w:p>
    <w:p w14:paraId="0A63AB4F">
      <w:pPr>
        <w:pStyle w:val="41"/>
      </w:pPr>
      <w:bookmarkStart w:id="571" w:name="_Toc152864248"/>
      <w:r>
        <w:rPr>
          <w:rFonts w:hint="eastAsia"/>
        </w:rPr>
        <w:t>施工期环境影响分析</w:t>
      </w:r>
      <w:bookmarkEnd w:id="571"/>
    </w:p>
    <w:p w14:paraId="51D04034">
      <w:pPr>
        <w:pStyle w:val="43"/>
      </w:pPr>
      <w:bookmarkStart w:id="572" w:name="_Toc79515522"/>
      <w:bookmarkStart w:id="573" w:name="_Toc80973576"/>
      <w:bookmarkStart w:id="574" w:name="_Toc77007844"/>
      <w:bookmarkStart w:id="575" w:name="_Toc82518836"/>
      <w:bookmarkStart w:id="576" w:name="_Toc152864249"/>
      <w:bookmarkStart w:id="577" w:name="_Toc81214144"/>
      <w:bookmarkStart w:id="578" w:name="_Toc80193151"/>
      <w:r>
        <w:rPr>
          <w:rFonts w:hint="eastAsia"/>
        </w:rPr>
        <w:t>施工期大气环境影响分析</w:t>
      </w:r>
      <w:bookmarkEnd w:id="572"/>
      <w:bookmarkEnd w:id="573"/>
      <w:bookmarkEnd w:id="574"/>
      <w:bookmarkEnd w:id="575"/>
      <w:bookmarkEnd w:id="576"/>
      <w:bookmarkEnd w:id="577"/>
      <w:bookmarkEnd w:id="578"/>
    </w:p>
    <w:p w14:paraId="49654268">
      <w:pPr>
        <w:ind w:firstLine="480"/>
      </w:pPr>
      <w:r>
        <w:rPr>
          <w:rFonts w:hint="eastAsia"/>
        </w:rPr>
        <w:t>施工废气污染主要来自以下几个方面：①基础开挖、土地平整及填筑等施工过程。如遇大风天气，会造成粉尘、扬尘等大气污染。②施工期燃油机械和车辆会产生废气，其主要污染物为烃类、一氧化碳及氮氧化物等。施工区大气污染源源强不大，且具有流动性和间歇性的特点，其主要影响对象为施工人员。</w:t>
      </w:r>
    </w:p>
    <w:p w14:paraId="47CFC9BF">
      <w:pPr>
        <w:pStyle w:val="45"/>
        <w:spacing w:before="65" w:after="65"/>
      </w:pPr>
      <w:r>
        <w:rPr>
          <w:rFonts w:hint="eastAsia"/>
        </w:rPr>
        <w:t>扬尘影响分析</w:t>
      </w:r>
    </w:p>
    <w:p w14:paraId="135C9D6B">
      <w:pPr>
        <w:ind w:firstLine="480"/>
      </w:pPr>
      <w:r>
        <w:rPr>
          <w:rFonts w:hint="eastAsia"/>
        </w:rPr>
        <w:t>（1）主要来源</w:t>
      </w:r>
    </w:p>
    <w:p w14:paraId="2CB068BB">
      <w:pPr>
        <w:ind w:firstLine="480"/>
      </w:pPr>
      <w:r>
        <w:rPr>
          <w:rFonts w:hint="eastAsia"/>
        </w:rPr>
        <w:t>施工废气污染主要来自以下几个方面：①干燥地表开挖和钻孔产生的灰尘，一部分悬浮于空中，另一部分随风飘落到附近地面和建筑物表面；②基础开挖、土地平整及填筑等施工过程。如遇大风天气，会造成粉尘、扬尘等大气污染。</w:t>
      </w:r>
    </w:p>
    <w:p w14:paraId="687EB424">
      <w:pPr>
        <w:ind w:firstLine="480"/>
      </w:pPr>
      <w:r>
        <w:rPr>
          <w:rFonts w:hint="eastAsia"/>
        </w:rPr>
        <w:t>③施工期燃油机械和车辆会产生废气，其主要污染物为烃类、一氧化碳及氮氧化物等。施工区大气污染源源强不大，且具有流动性和间歇性的特点，其主要影响对象为施工人员。</w:t>
      </w:r>
    </w:p>
    <w:p w14:paraId="5B5819FB">
      <w:pPr>
        <w:ind w:firstLine="480"/>
      </w:pPr>
      <w:r>
        <w:rPr>
          <w:rFonts w:hint="eastAsia"/>
        </w:rPr>
        <w:t>（2）施工扬尘影响分析</w:t>
      </w:r>
    </w:p>
    <w:p w14:paraId="61F47B26">
      <w:pPr>
        <w:ind w:firstLine="480"/>
      </w:pPr>
      <w:r>
        <w:rPr>
          <w:rFonts w:hint="eastAsia"/>
        </w:rPr>
        <w:t>扬尘起尘量与许多因素有关，如挖土机等施工机械在工作时的起尘量决定于挖坑深度、挖土机抓斗与地面的相对高度、风速、土壤的颗粒度、土壤含水量、渣土分散度等条件；而对于渣土堆场而言，起尘量还与堆放方式、起动风速及堆场有无防护措施等密切相关。</w:t>
      </w:r>
    </w:p>
    <w:p w14:paraId="280CFDED">
      <w:pPr>
        <w:ind w:firstLine="480"/>
      </w:pPr>
      <w:r>
        <w:rPr>
          <w:rFonts w:hint="eastAsia"/>
        </w:rPr>
        <w:t>在不同气象条件下，施工场地扬尘影响分析结果表明：在一般气象条件下，平均风速2-3m/s的情况下，建筑工地下风向TSP浓度为上风向对照点的2.0-2.5倍。如果不采取防护措施，300m以内将会受到扬尘的严重影响：采用一般的防护措施，150m内会有影响；在做好施工期扬尘的防护措施下施工，下风向50m处的TSP浓度会小于0.3mg/m</w:t>
      </w:r>
      <w:r>
        <w:rPr>
          <w:rFonts w:hint="eastAsia"/>
          <w:vertAlign w:val="superscript"/>
        </w:rPr>
        <w:t>3</w:t>
      </w:r>
      <w:r>
        <w:rPr>
          <w:rFonts w:hint="eastAsia"/>
        </w:rPr>
        <w:t>，符合《环境空气质量标准》（GB3095-2012）二级</w:t>
      </w:r>
      <w:r>
        <w:t>标准的要求。</w:t>
      </w:r>
    </w:p>
    <w:p w14:paraId="4739C6AD">
      <w:pPr>
        <w:ind w:firstLine="480"/>
      </w:pPr>
      <w:r>
        <w:t>由于运输车辆往来，在运输土方、砂石料、水泥等建筑材料以及弃土、废料等废弃物运输过程因密闭不好而引起粉尘泄漏均会对环境产生明显不利影响。运输车辆扬尘的产生量及扬尘污染程度与车辆的运输方式、路面状况、天气条件等因素关系密切，类比调查在施工过程中拉、运、卸、平土石方过程其周围产生的TSP的平均值可达到0.768mg/m</w:t>
      </w:r>
      <w:r>
        <w:rPr>
          <w:vertAlign w:val="superscript"/>
        </w:rPr>
        <w:t>3</w:t>
      </w:r>
      <w:r>
        <w:t>。</w:t>
      </w:r>
    </w:p>
    <w:p w14:paraId="3A301C34">
      <w:pPr>
        <w:ind w:firstLine="480"/>
      </w:pPr>
      <w:r>
        <w:t>综上所述，建筑工地扬尘对环境空气的影响范围主要是在工地围墙外100m以内：下风向一侧0-50m为重污染带；50-150m为较重污染带；大于150m为轻污染带，可见施工产生的扬尘主要对施工人员会有一定影响，应采取必要的个人</w:t>
      </w:r>
      <w:r>
        <w:rPr>
          <w:rFonts w:hint="eastAsia"/>
        </w:rPr>
        <w:t>防护</w:t>
      </w:r>
      <w:r>
        <w:t>措施。</w:t>
      </w:r>
    </w:p>
    <w:p w14:paraId="1E5F8CCF">
      <w:pPr>
        <w:pStyle w:val="45"/>
        <w:spacing w:before="65" w:after="65"/>
      </w:pPr>
      <w:r>
        <w:rPr>
          <w:rFonts w:hint="eastAsia"/>
        </w:rPr>
        <w:t>施工期废气影响分析</w:t>
      </w:r>
    </w:p>
    <w:p w14:paraId="4109B337">
      <w:pPr>
        <w:ind w:firstLine="480"/>
      </w:pPr>
      <w:r>
        <w:rPr>
          <w:rFonts w:hint="eastAsia"/>
        </w:rPr>
        <w:t>施工废气主要包括：各种燃油机械的废气排放、运输车辆产生的尾气。主要污染物为NOx、CO和碳氢化合物（HC）等。这些污染物量很小，且周围连队距离项目很远，周围居民基本不会受到影响，但会对施工人员产生一定的影响，要加强对施工人员的防护措施。</w:t>
      </w:r>
    </w:p>
    <w:p w14:paraId="5DF32E5D">
      <w:pPr>
        <w:pStyle w:val="43"/>
      </w:pPr>
      <w:bookmarkStart w:id="579" w:name="_Toc82518837"/>
      <w:bookmarkStart w:id="580" w:name="_Toc152864250"/>
      <w:bookmarkStart w:id="581" w:name="_Toc81214145"/>
      <w:bookmarkStart w:id="582" w:name="_Toc80193152"/>
      <w:bookmarkStart w:id="583" w:name="_Toc80973577"/>
      <w:bookmarkStart w:id="584" w:name="_Toc77007845"/>
      <w:bookmarkStart w:id="585" w:name="_Toc79515523"/>
      <w:r>
        <w:rPr>
          <w:rFonts w:hint="eastAsia"/>
        </w:rPr>
        <w:t>施工期水环境影响分析</w:t>
      </w:r>
      <w:bookmarkEnd w:id="579"/>
      <w:bookmarkEnd w:id="580"/>
      <w:bookmarkEnd w:id="581"/>
      <w:bookmarkEnd w:id="582"/>
      <w:bookmarkEnd w:id="583"/>
      <w:bookmarkEnd w:id="584"/>
      <w:bookmarkEnd w:id="585"/>
    </w:p>
    <w:p w14:paraId="370FA721">
      <w:pPr>
        <w:ind w:firstLine="480"/>
      </w:pPr>
      <w:r>
        <w:rPr>
          <w:rFonts w:hint="eastAsia"/>
        </w:rPr>
        <w:t>（1）生产污水</w:t>
      </w:r>
    </w:p>
    <w:p w14:paraId="2F1B3A9F">
      <w:pPr>
        <w:ind w:firstLine="480"/>
      </w:pPr>
      <w:r>
        <w:rPr>
          <w:rFonts w:hint="eastAsia"/>
        </w:rPr>
        <w:t>施工期生产废水主要来自施工拌料、清洗机械和车辆产生的废水。据有关资料统计，一般施工过程中产生的废水水质见表5</w:t>
      </w:r>
      <w:r>
        <w:t>.8-1</w:t>
      </w:r>
      <w:r>
        <w:rPr>
          <w:rFonts w:hint="eastAsia"/>
        </w:rPr>
        <w:t>。由表可见，施工活动产生的污水主要污染物为泥沙悬浮颗粒。施工过程中产生的泥浆水应集中至沉淀池沉淀后回用。</w:t>
      </w:r>
    </w:p>
    <w:p w14:paraId="7B257359">
      <w:pPr>
        <w:pStyle w:val="47"/>
        <w:spacing w:before="65"/>
      </w:pPr>
      <w:r>
        <w:rPr>
          <w:rFonts w:hint="eastAsia"/>
        </w:rPr>
        <w:t>表5</w:t>
      </w:r>
      <w:r>
        <w:t>.8-1   施工期间排放废水水质单位：mg/L</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094"/>
        <w:gridCol w:w="1369"/>
        <w:gridCol w:w="800"/>
        <w:gridCol w:w="725"/>
        <w:gridCol w:w="920"/>
        <w:gridCol w:w="822"/>
      </w:tblGrid>
      <w:tr w14:paraId="0FEDF2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2345" w:type="pct"/>
            <w:vMerge w:val="restart"/>
            <w:shd w:val="clear" w:color="auto" w:fill="auto"/>
            <w:vAlign w:val="center"/>
          </w:tcPr>
          <w:p w14:paraId="4A8473B7">
            <w:pPr>
              <w:adjustRightInd w:val="0"/>
              <w:snapToGrid w:val="0"/>
              <w:spacing w:line="240" w:lineRule="auto"/>
              <w:ind w:firstLine="0" w:firstLineChars="0"/>
              <w:jc w:val="center"/>
              <w:rPr>
                <w:sz w:val="21"/>
                <w:szCs w:val="21"/>
                <w:lang w:eastAsia="en-US"/>
              </w:rPr>
            </w:pPr>
            <w:r>
              <w:rPr>
                <w:sz w:val="21"/>
                <w:szCs w:val="21"/>
                <w:lang w:eastAsia="en-US"/>
              </w:rPr>
              <w:t>排水类型</w:t>
            </w:r>
          </w:p>
        </w:tc>
        <w:tc>
          <w:tcPr>
            <w:tcW w:w="784" w:type="pct"/>
            <w:vMerge w:val="restart"/>
            <w:shd w:val="clear" w:color="auto" w:fill="auto"/>
            <w:vAlign w:val="center"/>
          </w:tcPr>
          <w:p w14:paraId="30AB63E4">
            <w:pPr>
              <w:adjustRightInd w:val="0"/>
              <w:snapToGrid w:val="0"/>
              <w:spacing w:line="240" w:lineRule="auto"/>
              <w:ind w:firstLine="0" w:firstLineChars="0"/>
              <w:jc w:val="center"/>
              <w:rPr>
                <w:sz w:val="21"/>
                <w:szCs w:val="21"/>
                <w:lang w:eastAsia="en-US"/>
              </w:rPr>
            </w:pPr>
            <w:r>
              <w:rPr>
                <w:sz w:val="21"/>
                <w:szCs w:val="21"/>
                <w:lang w:eastAsia="en-US"/>
              </w:rPr>
              <w:t>预处理方式</w:t>
            </w:r>
          </w:p>
        </w:tc>
        <w:tc>
          <w:tcPr>
            <w:tcW w:w="1871" w:type="pct"/>
            <w:gridSpan w:val="4"/>
            <w:shd w:val="clear" w:color="auto" w:fill="auto"/>
            <w:vAlign w:val="center"/>
          </w:tcPr>
          <w:p w14:paraId="78468C09">
            <w:pPr>
              <w:adjustRightInd w:val="0"/>
              <w:snapToGrid w:val="0"/>
              <w:spacing w:line="240" w:lineRule="auto"/>
              <w:ind w:firstLine="0" w:firstLineChars="0"/>
              <w:jc w:val="center"/>
              <w:rPr>
                <w:sz w:val="21"/>
                <w:szCs w:val="21"/>
                <w:lang w:eastAsia="en-US"/>
              </w:rPr>
            </w:pPr>
            <w:r>
              <w:rPr>
                <w:sz w:val="21"/>
                <w:szCs w:val="21"/>
                <w:lang w:eastAsia="en-US"/>
              </w:rPr>
              <w:t>外排水水质</w:t>
            </w:r>
          </w:p>
        </w:tc>
      </w:tr>
      <w:tr w14:paraId="778E55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2345" w:type="pct"/>
            <w:vMerge w:val="continue"/>
            <w:shd w:val="clear" w:color="auto" w:fill="auto"/>
            <w:vAlign w:val="center"/>
          </w:tcPr>
          <w:p w14:paraId="6DBC1BFA">
            <w:pPr>
              <w:adjustRightInd w:val="0"/>
              <w:snapToGrid w:val="0"/>
              <w:spacing w:line="240" w:lineRule="auto"/>
              <w:ind w:firstLine="0" w:firstLineChars="0"/>
              <w:jc w:val="center"/>
              <w:rPr>
                <w:rFonts w:ascii="Calibri" w:hAnsi="Calibri"/>
                <w:sz w:val="21"/>
                <w:szCs w:val="21"/>
                <w:lang w:eastAsia="en-US"/>
              </w:rPr>
            </w:pPr>
          </w:p>
        </w:tc>
        <w:tc>
          <w:tcPr>
            <w:tcW w:w="784" w:type="pct"/>
            <w:vMerge w:val="continue"/>
            <w:shd w:val="clear" w:color="auto" w:fill="auto"/>
            <w:vAlign w:val="center"/>
          </w:tcPr>
          <w:p w14:paraId="2EE68509">
            <w:pPr>
              <w:adjustRightInd w:val="0"/>
              <w:snapToGrid w:val="0"/>
              <w:spacing w:line="240" w:lineRule="auto"/>
              <w:ind w:firstLine="0" w:firstLineChars="0"/>
              <w:jc w:val="center"/>
              <w:rPr>
                <w:rFonts w:ascii="Calibri" w:hAnsi="Calibri"/>
                <w:sz w:val="21"/>
                <w:szCs w:val="21"/>
                <w:lang w:eastAsia="en-US"/>
              </w:rPr>
            </w:pPr>
          </w:p>
        </w:tc>
        <w:tc>
          <w:tcPr>
            <w:tcW w:w="458" w:type="pct"/>
            <w:shd w:val="clear" w:color="auto" w:fill="auto"/>
            <w:vAlign w:val="center"/>
          </w:tcPr>
          <w:p w14:paraId="4D0EF8C7">
            <w:pPr>
              <w:adjustRightInd w:val="0"/>
              <w:snapToGrid w:val="0"/>
              <w:spacing w:line="240" w:lineRule="auto"/>
              <w:ind w:firstLine="0" w:firstLineChars="0"/>
              <w:jc w:val="center"/>
              <w:rPr>
                <w:rFonts w:eastAsia="Times New Roman"/>
                <w:sz w:val="21"/>
                <w:szCs w:val="21"/>
                <w:lang w:eastAsia="en-US"/>
              </w:rPr>
            </w:pPr>
            <w:r>
              <w:rPr>
                <w:rFonts w:hAnsi="Calibri"/>
                <w:position w:val="1"/>
                <w:sz w:val="21"/>
                <w:szCs w:val="21"/>
                <w:lang w:eastAsia="en-US"/>
              </w:rPr>
              <w:t>COD</w:t>
            </w:r>
            <w:r>
              <w:rPr>
                <w:rFonts w:hAnsi="Calibri"/>
                <w:sz w:val="21"/>
                <w:szCs w:val="21"/>
                <w:lang w:eastAsia="en-US"/>
              </w:rPr>
              <w:t>cr</w:t>
            </w:r>
          </w:p>
        </w:tc>
        <w:tc>
          <w:tcPr>
            <w:tcW w:w="415" w:type="pct"/>
            <w:shd w:val="clear" w:color="auto" w:fill="auto"/>
            <w:vAlign w:val="center"/>
          </w:tcPr>
          <w:p w14:paraId="34321F5B">
            <w:pPr>
              <w:adjustRightInd w:val="0"/>
              <w:snapToGrid w:val="0"/>
              <w:spacing w:line="240" w:lineRule="auto"/>
              <w:ind w:firstLine="0" w:firstLineChars="0"/>
              <w:jc w:val="center"/>
              <w:rPr>
                <w:rFonts w:eastAsia="Times New Roman"/>
                <w:sz w:val="21"/>
                <w:szCs w:val="21"/>
                <w:lang w:eastAsia="en-US"/>
              </w:rPr>
            </w:pPr>
            <w:r>
              <w:rPr>
                <w:rFonts w:hAnsi="Calibri"/>
                <w:position w:val="1"/>
                <w:sz w:val="21"/>
                <w:szCs w:val="21"/>
                <w:lang w:eastAsia="en-US"/>
              </w:rPr>
              <w:t>BOD</w:t>
            </w:r>
            <w:r>
              <w:rPr>
                <w:rFonts w:hAnsi="Calibri"/>
                <w:sz w:val="21"/>
                <w:szCs w:val="21"/>
                <w:vertAlign w:val="subscript"/>
                <w:lang w:eastAsia="en-US"/>
              </w:rPr>
              <w:t>5</w:t>
            </w:r>
          </w:p>
        </w:tc>
        <w:tc>
          <w:tcPr>
            <w:tcW w:w="527" w:type="pct"/>
            <w:shd w:val="clear" w:color="auto" w:fill="auto"/>
            <w:vAlign w:val="center"/>
          </w:tcPr>
          <w:p w14:paraId="57E734C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SS</w:t>
            </w:r>
          </w:p>
        </w:tc>
        <w:tc>
          <w:tcPr>
            <w:tcW w:w="471" w:type="pct"/>
            <w:shd w:val="clear" w:color="auto" w:fill="auto"/>
            <w:vAlign w:val="center"/>
          </w:tcPr>
          <w:p w14:paraId="267019C0">
            <w:pPr>
              <w:adjustRightInd w:val="0"/>
              <w:snapToGrid w:val="0"/>
              <w:spacing w:line="240" w:lineRule="auto"/>
              <w:ind w:firstLine="0" w:firstLineChars="0"/>
              <w:jc w:val="center"/>
              <w:rPr>
                <w:sz w:val="21"/>
                <w:szCs w:val="21"/>
                <w:lang w:eastAsia="en-US"/>
              </w:rPr>
            </w:pPr>
            <w:r>
              <w:rPr>
                <w:sz w:val="21"/>
                <w:szCs w:val="21"/>
                <w:lang w:eastAsia="en-US"/>
              </w:rPr>
              <w:t>矿物油</w:t>
            </w:r>
          </w:p>
        </w:tc>
      </w:tr>
      <w:tr w14:paraId="51B32E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2345" w:type="pct"/>
            <w:shd w:val="clear" w:color="auto" w:fill="auto"/>
            <w:vAlign w:val="center"/>
          </w:tcPr>
          <w:p w14:paraId="001BE576">
            <w:pPr>
              <w:adjustRightInd w:val="0"/>
              <w:snapToGrid w:val="0"/>
              <w:spacing w:line="240" w:lineRule="auto"/>
              <w:ind w:firstLine="0" w:firstLineChars="0"/>
              <w:jc w:val="center"/>
              <w:rPr>
                <w:sz w:val="21"/>
                <w:szCs w:val="21"/>
                <w:lang w:eastAsia="en-US"/>
              </w:rPr>
            </w:pPr>
            <w:r>
              <w:rPr>
                <w:sz w:val="21"/>
                <w:szCs w:val="21"/>
                <w:lang w:eastAsia="en-US"/>
              </w:rPr>
              <w:t>土方阶段降水并排水</w:t>
            </w:r>
          </w:p>
        </w:tc>
        <w:tc>
          <w:tcPr>
            <w:tcW w:w="784" w:type="pct"/>
            <w:shd w:val="clear" w:color="auto" w:fill="auto"/>
            <w:vAlign w:val="center"/>
          </w:tcPr>
          <w:p w14:paraId="553654B4">
            <w:pPr>
              <w:adjustRightInd w:val="0"/>
              <w:snapToGrid w:val="0"/>
              <w:spacing w:line="240" w:lineRule="auto"/>
              <w:ind w:firstLine="0" w:firstLineChars="0"/>
              <w:jc w:val="center"/>
              <w:rPr>
                <w:sz w:val="21"/>
                <w:szCs w:val="21"/>
                <w:lang w:eastAsia="en-US"/>
              </w:rPr>
            </w:pPr>
            <w:r>
              <w:rPr>
                <w:sz w:val="21"/>
                <w:szCs w:val="21"/>
                <w:lang w:eastAsia="en-US"/>
              </w:rPr>
              <w:t>沉淀箱沉淀</w:t>
            </w:r>
          </w:p>
        </w:tc>
        <w:tc>
          <w:tcPr>
            <w:tcW w:w="458" w:type="pct"/>
            <w:shd w:val="clear" w:color="auto" w:fill="auto"/>
            <w:vAlign w:val="center"/>
          </w:tcPr>
          <w:p w14:paraId="7D3183C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c>
          <w:tcPr>
            <w:tcW w:w="415" w:type="pct"/>
            <w:shd w:val="clear" w:color="auto" w:fill="auto"/>
            <w:vAlign w:val="center"/>
          </w:tcPr>
          <w:p w14:paraId="6FAFD05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c>
          <w:tcPr>
            <w:tcW w:w="527" w:type="pct"/>
            <w:shd w:val="clear" w:color="auto" w:fill="auto"/>
            <w:vAlign w:val="center"/>
          </w:tcPr>
          <w:p w14:paraId="628F869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50-80</w:t>
            </w:r>
          </w:p>
        </w:tc>
        <w:tc>
          <w:tcPr>
            <w:tcW w:w="471" w:type="pct"/>
            <w:shd w:val="clear" w:color="auto" w:fill="auto"/>
            <w:vAlign w:val="center"/>
          </w:tcPr>
          <w:p w14:paraId="7B8922C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543A9B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2345" w:type="pct"/>
            <w:shd w:val="clear" w:color="auto" w:fill="auto"/>
            <w:vAlign w:val="center"/>
          </w:tcPr>
          <w:p w14:paraId="797FF47B">
            <w:pPr>
              <w:adjustRightInd w:val="0"/>
              <w:snapToGrid w:val="0"/>
              <w:spacing w:line="240" w:lineRule="auto"/>
              <w:ind w:firstLine="0" w:firstLineChars="0"/>
              <w:jc w:val="center"/>
              <w:rPr>
                <w:sz w:val="21"/>
                <w:szCs w:val="21"/>
              </w:rPr>
            </w:pPr>
            <w:r>
              <w:rPr>
                <w:sz w:val="21"/>
                <w:szCs w:val="21"/>
              </w:rPr>
              <w:t>冲车水</w:t>
            </w:r>
            <w:r>
              <w:rPr>
                <w:rFonts w:eastAsia="Times New Roman"/>
                <w:sz w:val="21"/>
                <w:szCs w:val="21"/>
              </w:rPr>
              <w:t>+</w:t>
            </w:r>
            <w:r>
              <w:rPr>
                <w:sz w:val="21"/>
                <w:szCs w:val="21"/>
              </w:rPr>
              <w:t>混凝土养护水</w:t>
            </w:r>
            <w:r>
              <w:rPr>
                <w:rFonts w:eastAsia="Times New Roman"/>
                <w:sz w:val="21"/>
                <w:szCs w:val="21"/>
              </w:rPr>
              <w:t>+</w:t>
            </w:r>
            <w:r>
              <w:rPr>
                <w:sz w:val="21"/>
                <w:szCs w:val="21"/>
              </w:rPr>
              <w:t>路面清洗水</w:t>
            </w:r>
          </w:p>
        </w:tc>
        <w:tc>
          <w:tcPr>
            <w:tcW w:w="784" w:type="pct"/>
            <w:shd w:val="clear" w:color="auto" w:fill="auto"/>
            <w:vAlign w:val="center"/>
          </w:tcPr>
          <w:p w14:paraId="1C8CA042">
            <w:pPr>
              <w:adjustRightInd w:val="0"/>
              <w:snapToGrid w:val="0"/>
              <w:spacing w:line="240" w:lineRule="auto"/>
              <w:ind w:firstLine="0" w:firstLineChars="0"/>
              <w:jc w:val="center"/>
              <w:rPr>
                <w:sz w:val="21"/>
                <w:szCs w:val="21"/>
                <w:lang w:eastAsia="en-US"/>
              </w:rPr>
            </w:pPr>
            <w:r>
              <w:rPr>
                <w:sz w:val="21"/>
                <w:szCs w:val="21"/>
                <w:lang w:eastAsia="en-US"/>
              </w:rPr>
              <w:t>沉淀池沉淀</w:t>
            </w:r>
          </w:p>
        </w:tc>
        <w:tc>
          <w:tcPr>
            <w:tcW w:w="458" w:type="pct"/>
            <w:shd w:val="clear" w:color="auto" w:fill="auto"/>
            <w:vAlign w:val="center"/>
          </w:tcPr>
          <w:p w14:paraId="42F344C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60-120</w:t>
            </w:r>
          </w:p>
        </w:tc>
        <w:tc>
          <w:tcPr>
            <w:tcW w:w="415" w:type="pct"/>
            <w:shd w:val="clear" w:color="auto" w:fill="auto"/>
            <w:vAlign w:val="center"/>
          </w:tcPr>
          <w:p w14:paraId="1EB4D7F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&lt;20</w:t>
            </w:r>
          </w:p>
        </w:tc>
        <w:tc>
          <w:tcPr>
            <w:tcW w:w="527" w:type="pct"/>
            <w:shd w:val="clear" w:color="auto" w:fill="auto"/>
            <w:vAlign w:val="center"/>
          </w:tcPr>
          <w:p w14:paraId="1CDE14C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150-200</w:t>
            </w:r>
          </w:p>
        </w:tc>
        <w:tc>
          <w:tcPr>
            <w:tcW w:w="471" w:type="pct"/>
            <w:shd w:val="clear" w:color="auto" w:fill="auto"/>
            <w:vAlign w:val="center"/>
          </w:tcPr>
          <w:p w14:paraId="5C0C95B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10-25</w:t>
            </w:r>
          </w:p>
        </w:tc>
      </w:tr>
    </w:tbl>
    <w:p w14:paraId="304EF6A7">
      <w:pPr>
        <w:ind w:firstLine="480"/>
      </w:pPr>
      <w:r>
        <w:t>（2）生活污水</w:t>
      </w:r>
    </w:p>
    <w:p w14:paraId="23F2C1A3">
      <w:pPr>
        <w:ind w:firstLine="480"/>
      </w:pPr>
      <w:r>
        <w:t>生活污水主要是施工人员产生的盥洗水。本项目在施工过程中，以平均施工人数</w:t>
      </w:r>
      <w:r>
        <w:rPr>
          <w:rFonts w:hint="eastAsia"/>
        </w:rPr>
        <w:t>2</w:t>
      </w:r>
      <w:r>
        <w:t>0人，人均日产生盥洗水80L计算，排水系数取0.8，则施工期的生活污水产生量为1.28m</w:t>
      </w:r>
      <w:r>
        <w:rPr>
          <w:vertAlign w:val="superscript"/>
        </w:rPr>
        <w:t>3</w:t>
      </w:r>
      <w:r>
        <w:t>/d。污水中主要污染物有COD和氨氮等，污染物成分较为简单，直接排入园区排水管网，对环境影响小</w:t>
      </w:r>
      <w:r>
        <w:rPr>
          <w:rFonts w:hint="eastAsia"/>
        </w:rPr>
        <w:t>。</w:t>
      </w:r>
    </w:p>
    <w:p w14:paraId="50BDF787">
      <w:pPr>
        <w:pStyle w:val="43"/>
      </w:pPr>
      <w:bookmarkStart w:id="586" w:name="_Toc81214146"/>
      <w:bookmarkStart w:id="587" w:name="_Toc77007846"/>
      <w:bookmarkStart w:id="588" w:name="_Toc79515524"/>
      <w:bookmarkStart w:id="589" w:name="_Toc80973578"/>
      <w:bookmarkStart w:id="590" w:name="_Toc82518838"/>
      <w:bookmarkStart w:id="591" w:name="_Toc80193153"/>
      <w:bookmarkStart w:id="592" w:name="_Toc152864251"/>
      <w:r>
        <w:rPr>
          <w:rFonts w:hint="eastAsia"/>
        </w:rPr>
        <w:t>施工期噪声影响分析</w:t>
      </w:r>
      <w:bookmarkEnd w:id="586"/>
      <w:bookmarkEnd w:id="587"/>
      <w:bookmarkEnd w:id="588"/>
      <w:bookmarkEnd w:id="589"/>
      <w:bookmarkEnd w:id="590"/>
      <w:bookmarkEnd w:id="591"/>
      <w:bookmarkEnd w:id="592"/>
    </w:p>
    <w:p w14:paraId="3AEBDE5D">
      <w:pPr>
        <w:pStyle w:val="45"/>
        <w:spacing w:before="65" w:after="65"/>
      </w:pPr>
      <w:r>
        <w:rPr>
          <w:rFonts w:hint="eastAsia"/>
        </w:rPr>
        <w:t>施工噪声源</w:t>
      </w:r>
    </w:p>
    <w:p w14:paraId="008AC14F">
      <w:pPr>
        <w:ind w:firstLine="480"/>
      </w:pPr>
      <w:r>
        <w:rPr>
          <w:rFonts w:hint="eastAsia"/>
        </w:rPr>
        <w:t>本项目施工期噪声主要是由施工机械和运输车辆造成。随着项目进展，将采用不同的机械设备施工，如在平整土地时采用挖掘机、推土机，安装设备时使用运输车辆、吊装机，焊接时使用电焊机等，这些施工均为白天作业，根据施工内容交替使用施工机械。</w:t>
      </w:r>
    </w:p>
    <w:p w14:paraId="7DD8049D">
      <w:pPr>
        <w:ind w:firstLine="480"/>
      </w:pPr>
      <w:r>
        <w:rPr>
          <w:rFonts w:hint="eastAsia"/>
        </w:rPr>
        <w:t>根据类比调查以及项目可行性研究报告提供的主要设备选型等有关资料分析，设备高达85dB（A）以上的噪声源施工机械有：挖掘机、吊装机、电焊机、推土机、混凝土搅拌机、切割机等，具体见下表。</w:t>
      </w:r>
    </w:p>
    <w:p w14:paraId="492338A0">
      <w:pPr>
        <w:pStyle w:val="47"/>
        <w:spacing w:before="65"/>
      </w:pPr>
      <w:r>
        <w:rPr>
          <w:rFonts w:hint="eastAsia"/>
        </w:rPr>
        <w:t>表5</w:t>
      </w:r>
      <w:r>
        <w:t>.8-2   主要施工机械噪声值单位：dB（A）</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04"/>
        <w:gridCol w:w="1900"/>
        <w:gridCol w:w="1454"/>
        <w:gridCol w:w="985"/>
        <w:gridCol w:w="1919"/>
        <w:gridCol w:w="1468"/>
      </w:tblGrid>
      <w:tr w14:paraId="445BA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75" w:type="pct"/>
            <w:shd w:val="clear" w:color="auto" w:fill="auto"/>
            <w:vAlign w:val="center"/>
          </w:tcPr>
          <w:p w14:paraId="61154DA1">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1088" w:type="pct"/>
            <w:shd w:val="clear" w:color="auto" w:fill="auto"/>
            <w:vAlign w:val="center"/>
          </w:tcPr>
          <w:p w14:paraId="7B5D884D">
            <w:pPr>
              <w:adjustRightInd w:val="0"/>
              <w:snapToGrid w:val="0"/>
              <w:spacing w:line="240" w:lineRule="auto"/>
              <w:ind w:firstLine="0" w:firstLineChars="0"/>
              <w:jc w:val="center"/>
              <w:rPr>
                <w:sz w:val="21"/>
                <w:szCs w:val="21"/>
                <w:lang w:eastAsia="en-US"/>
              </w:rPr>
            </w:pPr>
            <w:r>
              <w:rPr>
                <w:sz w:val="21"/>
                <w:szCs w:val="21"/>
                <w:lang w:eastAsia="en-US"/>
              </w:rPr>
              <w:t>噪声源</w:t>
            </w:r>
          </w:p>
        </w:tc>
        <w:tc>
          <w:tcPr>
            <w:tcW w:w="833" w:type="pct"/>
            <w:shd w:val="clear" w:color="auto" w:fill="auto"/>
            <w:vAlign w:val="center"/>
          </w:tcPr>
          <w:p w14:paraId="246F7243">
            <w:pPr>
              <w:adjustRightInd w:val="0"/>
              <w:snapToGrid w:val="0"/>
              <w:spacing w:line="240" w:lineRule="auto"/>
              <w:ind w:firstLine="0" w:firstLineChars="0"/>
              <w:jc w:val="center"/>
              <w:rPr>
                <w:sz w:val="21"/>
                <w:szCs w:val="21"/>
                <w:lang w:eastAsia="en-US"/>
              </w:rPr>
            </w:pPr>
            <w:r>
              <w:rPr>
                <w:sz w:val="21"/>
                <w:szCs w:val="21"/>
                <w:lang w:eastAsia="en-US"/>
              </w:rPr>
              <w:t>噪声强度</w:t>
            </w:r>
          </w:p>
        </w:tc>
        <w:tc>
          <w:tcPr>
            <w:tcW w:w="564" w:type="pct"/>
            <w:shd w:val="clear" w:color="auto" w:fill="auto"/>
            <w:vAlign w:val="center"/>
          </w:tcPr>
          <w:p w14:paraId="4449B98B">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1099" w:type="pct"/>
            <w:shd w:val="clear" w:color="auto" w:fill="auto"/>
            <w:vAlign w:val="center"/>
          </w:tcPr>
          <w:p w14:paraId="14C700CA">
            <w:pPr>
              <w:adjustRightInd w:val="0"/>
              <w:snapToGrid w:val="0"/>
              <w:spacing w:line="240" w:lineRule="auto"/>
              <w:ind w:firstLine="0" w:firstLineChars="0"/>
              <w:jc w:val="center"/>
              <w:rPr>
                <w:sz w:val="21"/>
                <w:szCs w:val="21"/>
                <w:lang w:eastAsia="en-US"/>
              </w:rPr>
            </w:pPr>
            <w:r>
              <w:rPr>
                <w:sz w:val="21"/>
                <w:szCs w:val="21"/>
                <w:lang w:eastAsia="en-US"/>
              </w:rPr>
              <w:t>噪声源</w:t>
            </w:r>
          </w:p>
        </w:tc>
        <w:tc>
          <w:tcPr>
            <w:tcW w:w="841" w:type="pct"/>
            <w:shd w:val="clear" w:color="auto" w:fill="auto"/>
            <w:vAlign w:val="center"/>
          </w:tcPr>
          <w:p w14:paraId="3C31C851">
            <w:pPr>
              <w:adjustRightInd w:val="0"/>
              <w:snapToGrid w:val="0"/>
              <w:spacing w:line="240" w:lineRule="auto"/>
              <w:ind w:firstLine="0" w:firstLineChars="0"/>
              <w:jc w:val="center"/>
              <w:rPr>
                <w:sz w:val="21"/>
                <w:szCs w:val="21"/>
                <w:lang w:eastAsia="en-US"/>
              </w:rPr>
            </w:pPr>
            <w:r>
              <w:rPr>
                <w:sz w:val="21"/>
                <w:szCs w:val="21"/>
                <w:lang w:eastAsia="en-US"/>
              </w:rPr>
              <w:t>噪声强度</w:t>
            </w:r>
          </w:p>
        </w:tc>
      </w:tr>
      <w:tr w14:paraId="1E647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75" w:type="pct"/>
            <w:shd w:val="clear" w:color="auto" w:fill="auto"/>
            <w:vAlign w:val="center"/>
          </w:tcPr>
          <w:p w14:paraId="4BCDC75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w:t>
            </w:r>
          </w:p>
        </w:tc>
        <w:tc>
          <w:tcPr>
            <w:tcW w:w="1088" w:type="pct"/>
            <w:shd w:val="clear" w:color="auto" w:fill="auto"/>
            <w:vAlign w:val="center"/>
          </w:tcPr>
          <w:p w14:paraId="6748F1AC">
            <w:pPr>
              <w:adjustRightInd w:val="0"/>
              <w:snapToGrid w:val="0"/>
              <w:spacing w:line="240" w:lineRule="auto"/>
              <w:ind w:firstLine="0" w:firstLineChars="0"/>
              <w:jc w:val="center"/>
              <w:rPr>
                <w:sz w:val="21"/>
                <w:szCs w:val="21"/>
                <w:lang w:eastAsia="en-US"/>
              </w:rPr>
            </w:pPr>
            <w:r>
              <w:rPr>
                <w:sz w:val="21"/>
                <w:szCs w:val="21"/>
                <w:lang w:eastAsia="en-US"/>
              </w:rPr>
              <w:t>挖掘机</w:t>
            </w:r>
          </w:p>
        </w:tc>
        <w:tc>
          <w:tcPr>
            <w:tcW w:w="833" w:type="pct"/>
            <w:shd w:val="clear" w:color="auto" w:fill="auto"/>
            <w:vAlign w:val="center"/>
          </w:tcPr>
          <w:p w14:paraId="5EACD01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92</w:t>
            </w:r>
          </w:p>
        </w:tc>
        <w:tc>
          <w:tcPr>
            <w:tcW w:w="564" w:type="pct"/>
            <w:shd w:val="clear" w:color="auto" w:fill="auto"/>
            <w:vAlign w:val="center"/>
          </w:tcPr>
          <w:p w14:paraId="7A5A92E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w:t>
            </w:r>
          </w:p>
        </w:tc>
        <w:tc>
          <w:tcPr>
            <w:tcW w:w="1099" w:type="pct"/>
            <w:shd w:val="clear" w:color="auto" w:fill="auto"/>
            <w:vAlign w:val="center"/>
          </w:tcPr>
          <w:p w14:paraId="4801AE9E">
            <w:pPr>
              <w:adjustRightInd w:val="0"/>
              <w:snapToGrid w:val="0"/>
              <w:spacing w:line="240" w:lineRule="auto"/>
              <w:ind w:firstLine="0" w:firstLineChars="0"/>
              <w:jc w:val="center"/>
              <w:rPr>
                <w:sz w:val="21"/>
                <w:szCs w:val="21"/>
                <w:lang w:eastAsia="en-US"/>
              </w:rPr>
            </w:pPr>
            <w:r>
              <w:rPr>
                <w:sz w:val="21"/>
                <w:szCs w:val="21"/>
                <w:lang w:eastAsia="en-US"/>
              </w:rPr>
              <w:t>混凝土搅拌机</w:t>
            </w:r>
          </w:p>
        </w:tc>
        <w:tc>
          <w:tcPr>
            <w:tcW w:w="841" w:type="pct"/>
            <w:shd w:val="clear" w:color="auto" w:fill="auto"/>
            <w:vAlign w:val="center"/>
          </w:tcPr>
          <w:p w14:paraId="1C36CB5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95</w:t>
            </w:r>
          </w:p>
        </w:tc>
      </w:tr>
      <w:tr w14:paraId="2D6A74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75" w:type="pct"/>
            <w:shd w:val="clear" w:color="auto" w:fill="auto"/>
            <w:vAlign w:val="center"/>
          </w:tcPr>
          <w:p w14:paraId="26927AB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w:t>
            </w:r>
          </w:p>
        </w:tc>
        <w:tc>
          <w:tcPr>
            <w:tcW w:w="1088" w:type="pct"/>
            <w:shd w:val="clear" w:color="auto" w:fill="auto"/>
            <w:vAlign w:val="center"/>
          </w:tcPr>
          <w:p w14:paraId="213A8BBE">
            <w:pPr>
              <w:adjustRightInd w:val="0"/>
              <w:snapToGrid w:val="0"/>
              <w:spacing w:line="240" w:lineRule="auto"/>
              <w:ind w:firstLine="0" w:firstLineChars="0"/>
              <w:jc w:val="center"/>
              <w:rPr>
                <w:sz w:val="21"/>
                <w:szCs w:val="21"/>
                <w:lang w:eastAsia="en-US"/>
              </w:rPr>
            </w:pPr>
            <w:r>
              <w:rPr>
                <w:sz w:val="21"/>
                <w:szCs w:val="21"/>
                <w:lang w:eastAsia="en-US"/>
              </w:rPr>
              <w:t>吊装机</w:t>
            </w:r>
          </w:p>
        </w:tc>
        <w:tc>
          <w:tcPr>
            <w:tcW w:w="833" w:type="pct"/>
            <w:shd w:val="clear" w:color="auto" w:fill="auto"/>
            <w:vAlign w:val="center"/>
          </w:tcPr>
          <w:p w14:paraId="42DE418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88</w:t>
            </w:r>
          </w:p>
        </w:tc>
        <w:tc>
          <w:tcPr>
            <w:tcW w:w="564" w:type="pct"/>
            <w:shd w:val="clear" w:color="auto" w:fill="auto"/>
            <w:vAlign w:val="center"/>
          </w:tcPr>
          <w:p w14:paraId="5468EED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w:t>
            </w:r>
          </w:p>
        </w:tc>
        <w:tc>
          <w:tcPr>
            <w:tcW w:w="1099" w:type="pct"/>
            <w:shd w:val="clear" w:color="auto" w:fill="auto"/>
            <w:vAlign w:val="center"/>
          </w:tcPr>
          <w:p w14:paraId="4D18BA59">
            <w:pPr>
              <w:adjustRightInd w:val="0"/>
              <w:snapToGrid w:val="0"/>
              <w:spacing w:line="240" w:lineRule="auto"/>
              <w:ind w:firstLine="0" w:firstLineChars="0"/>
              <w:jc w:val="center"/>
              <w:rPr>
                <w:sz w:val="21"/>
                <w:szCs w:val="21"/>
                <w:lang w:eastAsia="en-US"/>
              </w:rPr>
            </w:pPr>
            <w:r>
              <w:rPr>
                <w:sz w:val="21"/>
                <w:szCs w:val="21"/>
                <w:lang w:eastAsia="en-US"/>
              </w:rPr>
              <w:t>混凝土翻斗车</w:t>
            </w:r>
          </w:p>
        </w:tc>
        <w:tc>
          <w:tcPr>
            <w:tcW w:w="841" w:type="pct"/>
            <w:shd w:val="clear" w:color="auto" w:fill="auto"/>
            <w:vAlign w:val="center"/>
          </w:tcPr>
          <w:p w14:paraId="2868E9E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90</w:t>
            </w:r>
          </w:p>
        </w:tc>
      </w:tr>
      <w:tr w14:paraId="44C99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75" w:type="pct"/>
            <w:shd w:val="clear" w:color="auto" w:fill="auto"/>
            <w:vAlign w:val="center"/>
          </w:tcPr>
          <w:p w14:paraId="7552472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w:t>
            </w:r>
          </w:p>
        </w:tc>
        <w:tc>
          <w:tcPr>
            <w:tcW w:w="1088" w:type="pct"/>
            <w:shd w:val="clear" w:color="auto" w:fill="auto"/>
            <w:vAlign w:val="center"/>
          </w:tcPr>
          <w:p w14:paraId="41FCA80D">
            <w:pPr>
              <w:adjustRightInd w:val="0"/>
              <w:snapToGrid w:val="0"/>
              <w:spacing w:line="240" w:lineRule="auto"/>
              <w:ind w:firstLine="0" w:firstLineChars="0"/>
              <w:jc w:val="center"/>
              <w:rPr>
                <w:sz w:val="21"/>
                <w:szCs w:val="21"/>
                <w:lang w:eastAsia="en-US"/>
              </w:rPr>
            </w:pPr>
            <w:r>
              <w:rPr>
                <w:sz w:val="21"/>
                <w:szCs w:val="21"/>
                <w:lang w:eastAsia="en-US"/>
              </w:rPr>
              <w:t>电焊机</w:t>
            </w:r>
          </w:p>
        </w:tc>
        <w:tc>
          <w:tcPr>
            <w:tcW w:w="833" w:type="pct"/>
            <w:shd w:val="clear" w:color="auto" w:fill="auto"/>
            <w:vAlign w:val="center"/>
          </w:tcPr>
          <w:p w14:paraId="1A781F4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85</w:t>
            </w:r>
          </w:p>
        </w:tc>
        <w:tc>
          <w:tcPr>
            <w:tcW w:w="564" w:type="pct"/>
            <w:shd w:val="clear" w:color="auto" w:fill="auto"/>
            <w:vAlign w:val="center"/>
          </w:tcPr>
          <w:p w14:paraId="44D7ED3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w:t>
            </w:r>
          </w:p>
        </w:tc>
        <w:tc>
          <w:tcPr>
            <w:tcW w:w="1099" w:type="pct"/>
            <w:shd w:val="clear" w:color="auto" w:fill="auto"/>
            <w:vAlign w:val="center"/>
          </w:tcPr>
          <w:p w14:paraId="2C5A6AFB">
            <w:pPr>
              <w:adjustRightInd w:val="0"/>
              <w:snapToGrid w:val="0"/>
              <w:spacing w:line="240" w:lineRule="auto"/>
              <w:ind w:firstLine="0" w:firstLineChars="0"/>
              <w:jc w:val="center"/>
              <w:rPr>
                <w:sz w:val="21"/>
                <w:szCs w:val="21"/>
                <w:lang w:eastAsia="en-US"/>
              </w:rPr>
            </w:pPr>
            <w:r>
              <w:rPr>
                <w:sz w:val="21"/>
                <w:szCs w:val="21"/>
                <w:lang w:eastAsia="en-US"/>
              </w:rPr>
              <w:t>切割机</w:t>
            </w:r>
          </w:p>
        </w:tc>
        <w:tc>
          <w:tcPr>
            <w:tcW w:w="841" w:type="pct"/>
            <w:shd w:val="clear" w:color="auto" w:fill="auto"/>
            <w:vAlign w:val="center"/>
          </w:tcPr>
          <w:p w14:paraId="53B0BD4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95</w:t>
            </w:r>
          </w:p>
        </w:tc>
      </w:tr>
      <w:tr w14:paraId="01276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75" w:type="pct"/>
            <w:shd w:val="clear" w:color="auto" w:fill="auto"/>
            <w:vAlign w:val="center"/>
          </w:tcPr>
          <w:p w14:paraId="5DBA94D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w:t>
            </w:r>
          </w:p>
        </w:tc>
        <w:tc>
          <w:tcPr>
            <w:tcW w:w="1088" w:type="pct"/>
            <w:shd w:val="clear" w:color="auto" w:fill="auto"/>
            <w:vAlign w:val="center"/>
          </w:tcPr>
          <w:p w14:paraId="2357A8B4">
            <w:pPr>
              <w:adjustRightInd w:val="0"/>
              <w:snapToGrid w:val="0"/>
              <w:spacing w:line="240" w:lineRule="auto"/>
              <w:ind w:firstLine="0" w:firstLineChars="0"/>
              <w:jc w:val="center"/>
              <w:rPr>
                <w:sz w:val="21"/>
                <w:szCs w:val="21"/>
                <w:lang w:eastAsia="en-US"/>
              </w:rPr>
            </w:pPr>
            <w:r>
              <w:rPr>
                <w:sz w:val="21"/>
                <w:szCs w:val="21"/>
                <w:lang w:eastAsia="en-US"/>
              </w:rPr>
              <w:t>推土机</w:t>
            </w:r>
          </w:p>
        </w:tc>
        <w:tc>
          <w:tcPr>
            <w:tcW w:w="833" w:type="pct"/>
            <w:shd w:val="clear" w:color="auto" w:fill="auto"/>
            <w:vAlign w:val="center"/>
          </w:tcPr>
          <w:p w14:paraId="10DA455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90</w:t>
            </w:r>
          </w:p>
        </w:tc>
        <w:tc>
          <w:tcPr>
            <w:tcW w:w="564" w:type="pct"/>
            <w:shd w:val="clear" w:color="auto" w:fill="auto"/>
            <w:vAlign w:val="center"/>
          </w:tcPr>
          <w:p w14:paraId="363A88E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w:t>
            </w:r>
          </w:p>
        </w:tc>
        <w:tc>
          <w:tcPr>
            <w:tcW w:w="1099" w:type="pct"/>
            <w:shd w:val="clear" w:color="auto" w:fill="auto"/>
            <w:vAlign w:val="center"/>
          </w:tcPr>
          <w:p w14:paraId="072ABCFE">
            <w:pPr>
              <w:adjustRightInd w:val="0"/>
              <w:snapToGrid w:val="0"/>
              <w:spacing w:line="240" w:lineRule="auto"/>
              <w:ind w:firstLine="0" w:firstLineChars="0"/>
              <w:jc w:val="center"/>
              <w:rPr>
                <w:sz w:val="21"/>
                <w:szCs w:val="21"/>
                <w:lang w:eastAsia="en-US"/>
              </w:rPr>
            </w:pPr>
            <w:r>
              <w:rPr>
                <w:rFonts w:hint="eastAsia"/>
                <w:sz w:val="21"/>
                <w:szCs w:val="21"/>
              </w:rPr>
              <w:t>倒运车</w:t>
            </w:r>
          </w:p>
        </w:tc>
        <w:tc>
          <w:tcPr>
            <w:tcW w:w="841" w:type="pct"/>
            <w:shd w:val="clear" w:color="auto" w:fill="auto"/>
            <w:vAlign w:val="center"/>
          </w:tcPr>
          <w:p w14:paraId="452B7AD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100</w:t>
            </w:r>
          </w:p>
        </w:tc>
      </w:tr>
    </w:tbl>
    <w:p w14:paraId="0D1959C2">
      <w:pPr>
        <w:pStyle w:val="45"/>
        <w:spacing w:before="65" w:after="65"/>
      </w:pPr>
      <w:r>
        <w:rPr>
          <w:rFonts w:hint="eastAsia"/>
        </w:rPr>
        <w:t>施工期噪声影响评价</w:t>
      </w:r>
    </w:p>
    <w:p w14:paraId="4B3DE3DA">
      <w:pPr>
        <w:ind w:firstLine="480"/>
      </w:pPr>
      <w:r>
        <w:rPr>
          <w:rFonts w:hint="eastAsia"/>
        </w:rPr>
        <w:t>（1）噪声预测公式的选用</w:t>
      </w:r>
    </w:p>
    <w:p w14:paraId="3975DF84">
      <w:pPr>
        <w:ind w:firstLine="480"/>
      </w:pPr>
      <w:r>
        <w:rPr>
          <w:rFonts w:hint="eastAsia"/>
        </w:rPr>
        <w:t>当声源的大小与预测距离相比小的多时，可以将此声源看作点源，声源噪声值随距离衰减的计算公式如下：</w:t>
      </w:r>
    </w:p>
    <w:p w14:paraId="01062115">
      <w:pPr>
        <w:adjustRightInd w:val="0"/>
        <w:snapToGrid w:val="0"/>
        <w:spacing w:line="240" w:lineRule="auto"/>
        <w:ind w:firstLine="0" w:firstLineChars="0"/>
        <w:jc w:val="center"/>
      </w:pPr>
      <w:r>
        <w:rPr>
          <w:position w:val="-30"/>
        </w:rPr>
        <w:object>
          <v:shape id="_x0000_i1037" o:spt="75" type="#_x0000_t75" style="height:35.25pt;width:87pt;" o:ole="t" filled="f" o:preferrelative="t" stroked="f" coordsize="21600,21600">
            <v:path/>
            <v:fill on="f" focussize="0,0"/>
            <v:stroke on="f" joinstyle="miter"/>
            <v:imagedata r:id="rId101" o:title=""/>
            <o:lock v:ext="edit" aspectratio="t"/>
            <w10:wrap type="none"/>
            <w10:anchorlock/>
          </v:shape>
          <o:OLEObject Type="Embed" ProgID="Equation.3" ShapeID="_x0000_i1037" DrawAspect="Content" ObjectID="_1468075737" r:id="rId100">
            <o:LockedField>false</o:LockedField>
          </o:OLEObject>
        </w:object>
      </w:r>
    </w:p>
    <w:p w14:paraId="57C7FCD2">
      <w:pPr>
        <w:ind w:firstLine="480"/>
      </w:pPr>
      <w:r>
        <w:t>式中：</w:t>
      </w:r>
    </w:p>
    <w:p w14:paraId="51D9DECB">
      <w:pPr>
        <w:ind w:firstLine="480"/>
      </w:pPr>
      <w:r>
        <w:t>r</w:t>
      </w:r>
      <w:r>
        <w:rPr>
          <w:vertAlign w:val="subscript"/>
        </w:rPr>
        <w:t>1</w:t>
      </w:r>
      <w:r>
        <w:t>、r</w:t>
      </w:r>
      <w:r>
        <w:rPr>
          <w:vertAlign w:val="subscript"/>
        </w:rPr>
        <w:t>2</w:t>
      </w:r>
      <w:r>
        <w:t>为距声源的距离（m）；</w:t>
      </w:r>
    </w:p>
    <w:p w14:paraId="0088EB9B">
      <w:pPr>
        <w:ind w:firstLine="480"/>
      </w:pPr>
      <w:r>
        <w:t>L</w:t>
      </w:r>
      <w:r>
        <w:rPr>
          <w:vertAlign w:val="subscript"/>
        </w:rPr>
        <w:t>1</w:t>
      </w:r>
      <w:r>
        <w:t>、L</w:t>
      </w:r>
      <w:r>
        <w:rPr>
          <w:vertAlign w:val="subscript"/>
        </w:rPr>
        <w:t>2</w:t>
      </w:r>
      <w:r>
        <w:t>为声源相距r</w:t>
      </w:r>
      <w:r>
        <w:rPr>
          <w:vertAlign w:val="subscript"/>
        </w:rPr>
        <w:t>1</w:t>
      </w:r>
      <w:r>
        <w:t>、r</w:t>
      </w:r>
      <w:r>
        <w:rPr>
          <w:vertAlign w:val="subscript"/>
        </w:rPr>
        <w:t>2</w:t>
      </w:r>
      <w:r>
        <w:t>处的噪声声级dB（A）。</w:t>
      </w:r>
    </w:p>
    <w:p w14:paraId="1F9CB7B9">
      <w:pPr>
        <w:ind w:firstLine="480"/>
      </w:pPr>
      <w:r>
        <w:t>（2）预测结果及评价</w:t>
      </w:r>
    </w:p>
    <w:p w14:paraId="48D67BC7">
      <w:pPr>
        <w:ind w:firstLine="480"/>
      </w:pPr>
      <w:r>
        <w:rPr>
          <w:rFonts w:hint="eastAsia" w:ascii="宋体" w:hAnsi="宋体" w:cs="宋体"/>
        </w:rPr>
        <w:t>①</w:t>
      </w:r>
      <w:r>
        <w:t>不同施工机械噪声随距离的衰减分布</w:t>
      </w:r>
    </w:p>
    <w:p w14:paraId="6DB1EC55">
      <w:pPr>
        <w:ind w:firstLine="480"/>
      </w:pPr>
      <w:r>
        <w:t>通常施工场地上有多台不同种类的施工机械同时作业，它们的辐射声级将叠加，其强度增量视噪声源种类、数量、相对分布的距离等因素而不同。施工噪声随距离衰减后的预测值见下表</w:t>
      </w:r>
      <w:r>
        <w:rPr>
          <w:rFonts w:hint="eastAsia"/>
        </w:rPr>
        <w:t>。</w:t>
      </w:r>
    </w:p>
    <w:p w14:paraId="2B50F45E">
      <w:pPr>
        <w:pStyle w:val="47"/>
        <w:spacing w:before="65"/>
      </w:pPr>
      <w:r>
        <w:rPr>
          <w:rFonts w:hint="eastAsia"/>
        </w:rPr>
        <w:t>表5</w:t>
      </w:r>
      <w:r>
        <w:t>.8-3   施工噪声随距离的衰减情况单位：</w:t>
      </w:r>
      <w:r>
        <w:rPr>
          <w:rFonts w:eastAsia="Times New Roman"/>
        </w:rPr>
        <w:t>dB</w:t>
      </w:r>
      <w:r>
        <w:t>（</w:t>
      </w:r>
      <w:r>
        <w:rPr>
          <w:rFonts w:eastAsia="Times New Roman"/>
        </w:rPr>
        <w:t>A</w:t>
      </w:r>
      <w:r>
        <w:t>）</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170"/>
        <w:gridCol w:w="625"/>
        <w:gridCol w:w="627"/>
        <w:gridCol w:w="625"/>
        <w:gridCol w:w="629"/>
        <w:gridCol w:w="779"/>
        <w:gridCol w:w="782"/>
        <w:gridCol w:w="780"/>
        <w:gridCol w:w="779"/>
        <w:gridCol w:w="934"/>
      </w:tblGrid>
      <w:tr w14:paraId="3EADCE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5295BCF0">
            <w:pPr>
              <w:adjustRightInd w:val="0"/>
              <w:snapToGrid w:val="0"/>
              <w:spacing w:line="240" w:lineRule="auto"/>
              <w:ind w:firstLine="0" w:firstLineChars="0"/>
              <w:jc w:val="center"/>
              <w:rPr>
                <w:sz w:val="21"/>
                <w:szCs w:val="21"/>
                <w:lang w:eastAsia="en-US"/>
              </w:rPr>
            </w:pPr>
            <w:r>
              <w:rPr>
                <w:sz w:val="21"/>
                <w:szCs w:val="21"/>
                <w:lang w:eastAsia="en-US"/>
              </w:rPr>
              <w:t>距离（</w:t>
            </w:r>
            <w:r>
              <w:rPr>
                <w:rFonts w:eastAsia="Times New Roman"/>
                <w:sz w:val="21"/>
                <w:szCs w:val="21"/>
                <w:lang w:eastAsia="en-US"/>
              </w:rPr>
              <w:t>m</w:t>
            </w:r>
            <w:r>
              <w:rPr>
                <w:sz w:val="21"/>
                <w:szCs w:val="21"/>
                <w:lang w:eastAsia="en-US"/>
              </w:rPr>
              <w:t>）</w:t>
            </w:r>
          </w:p>
        </w:tc>
        <w:tc>
          <w:tcPr>
            <w:tcW w:w="358" w:type="pct"/>
            <w:shd w:val="clear" w:color="auto" w:fill="auto"/>
            <w:vAlign w:val="center"/>
          </w:tcPr>
          <w:p w14:paraId="322458C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w:t>
            </w:r>
          </w:p>
        </w:tc>
        <w:tc>
          <w:tcPr>
            <w:tcW w:w="359" w:type="pct"/>
            <w:shd w:val="clear" w:color="auto" w:fill="auto"/>
            <w:vAlign w:val="center"/>
          </w:tcPr>
          <w:p w14:paraId="3B28F36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w:t>
            </w:r>
          </w:p>
        </w:tc>
        <w:tc>
          <w:tcPr>
            <w:tcW w:w="358" w:type="pct"/>
            <w:shd w:val="clear" w:color="auto" w:fill="auto"/>
            <w:vAlign w:val="center"/>
          </w:tcPr>
          <w:p w14:paraId="2E02CD7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w:t>
            </w:r>
          </w:p>
        </w:tc>
        <w:tc>
          <w:tcPr>
            <w:tcW w:w="360" w:type="pct"/>
            <w:shd w:val="clear" w:color="auto" w:fill="auto"/>
            <w:vAlign w:val="center"/>
          </w:tcPr>
          <w:p w14:paraId="2DF85BD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80</w:t>
            </w:r>
          </w:p>
        </w:tc>
        <w:tc>
          <w:tcPr>
            <w:tcW w:w="446" w:type="pct"/>
            <w:shd w:val="clear" w:color="auto" w:fill="auto"/>
            <w:vAlign w:val="center"/>
          </w:tcPr>
          <w:p w14:paraId="4594B3C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100</w:t>
            </w:r>
          </w:p>
        </w:tc>
        <w:tc>
          <w:tcPr>
            <w:tcW w:w="448" w:type="pct"/>
            <w:shd w:val="clear" w:color="auto" w:fill="auto"/>
            <w:vAlign w:val="center"/>
          </w:tcPr>
          <w:p w14:paraId="5DD99B1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200</w:t>
            </w:r>
          </w:p>
        </w:tc>
        <w:tc>
          <w:tcPr>
            <w:tcW w:w="447" w:type="pct"/>
            <w:shd w:val="clear" w:color="auto" w:fill="auto"/>
            <w:vAlign w:val="center"/>
          </w:tcPr>
          <w:p w14:paraId="1BDEC37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400</w:t>
            </w:r>
          </w:p>
        </w:tc>
        <w:tc>
          <w:tcPr>
            <w:tcW w:w="446" w:type="pct"/>
            <w:shd w:val="clear" w:color="auto" w:fill="auto"/>
            <w:vAlign w:val="center"/>
          </w:tcPr>
          <w:p w14:paraId="0BD4136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800</w:t>
            </w:r>
          </w:p>
        </w:tc>
        <w:tc>
          <w:tcPr>
            <w:tcW w:w="535" w:type="pct"/>
            <w:shd w:val="clear" w:color="auto" w:fill="auto"/>
            <w:vAlign w:val="center"/>
          </w:tcPr>
          <w:p w14:paraId="7BE77D4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1000</w:t>
            </w:r>
          </w:p>
        </w:tc>
      </w:tr>
      <w:tr w14:paraId="40177F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6A1AF00C">
            <w:pPr>
              <w:adjustRightInd w:val="0"/>
              <w:snapToGrid w:val="0"/>
              <w:spacing w:line="240" w:lineRule="auto"/>
              <w:ind w:firstLine="0" w:firstLineChars="0"/>
              <w:jc w:val="center"/>
              <w:rPr>
                <w:sz w:val="21"/>
                <w:szCs w:val="21"/>
                <w:lang w:eastAsia="en-US"/>
              </w:rPr>
            </w:pPr>
            <w:r>
              <w:rPr>
                <w:sz w:val="21"/>
                <w:szCs w:val="21"/>
                <w:lang w:eastAsia="en-US"/>
              </w:rPr>
              <w:t>挖掘机</w:t>
            </w:r>
          </w:p>
        </w:tc>
        <w:tc>
          <w:tcPr>
            <w:tcW w:w="358" w:type="pct"/>
            <w:shd w:val="clear" w:color="auto" w:fill="auto"/>
            <w:vAlign w:val="center"/>
          </w:tcPr>
          <w:p w14:paraId="092FA87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80</w:t>
            </w:r>
          </w:p>
        </w:tc>
        <w:tc>
          <w:tcPr>
            <w:tcW w:w="359" w:type="pct"/>
            <w:shd w:val="clear" w:color="auto" w:fill="auto"/>
            <w:vAlign w:val="center"/>
          </w:tcPr>
          <w:p w14:paraId="2B8228E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74</w:t>
            </w:r>
          </w:p>
        </w:tc>
        <w:tc>
          <w:tcPr>
            <w:tcW w:w="358" w:type="pct"/>
            <w:shd w:val="clear" w:color="auto" w:fill="auto"/>
            <w:vAlign w:val="center"/>
          </w:tcPr>
          <w:p w14:paraId="1878636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68</w:t>
            </w:r>
          </w:p>
        </w:tc>
        <w:tc>
          <w:tcPr>
            <w:tcW w:w="360" w:type="pct"/>
            <w:shd w:val="clear" w:color="auto" w:fill="auto"/>
            <w:vAlign w:val="center"/>
          </w:tcPr>
          <w:p w14:paraId="79DC1EA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62</w:t>
            </w:r>
          </w:p>
        </w:tc>
        <w:tc>
          <w:tcPr>
            <w:tcW w:w="446" w:type="pct"/>
            <w:shd w:val="clear" w:color="auto" w:fill="auto"/>
            <w:vAlign w:val="center"/>
          </w:tcPr>
          <w:p w14:paraId="363E9F1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60</w:t>
            </w:r>
          </w:p>
        </w:tc>
        <w:tc>
          <w:tcPr>
            <w:tcW w:w="448" w:type="pct"/>
            <w:shd w:val="clear" w:color="auto" w:fill="auto"/>
            <w:vAlign w:val="center"/>
          </w:tcPr>
          <w:p w14:paraId="776B766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54</w:t>
            </w:r>
          </w:p>
        </w:tc>
        <w:tc>
          <w:tcPr>
            <w:tcW w:w="447" w:type="pct"/>
            <w:shd w:val="clear" w:color="auto" w:fill="auto"/>
            <w:vAlign w:val="center"/>
          </w:tcPr>
          <w:p w14:paraId="5446552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48</w:t>
            </w:r>
          </w:p>
        </w:tc>
        <w:tc>
          <w:tcPr>
            <w:tcW w:w="446" w:type="pct"/>
            <w:shd w:val="clear" w:color="auto" w:fill="auto"/>
            <w:vAlign w:val="center"/>
          </w:tcPr>
          <w:p w14:paraId="3536F4C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42</w:t>
            </w:r>
          </w:p>
        </w:tc>
        <w:tc>
          <w:tcPr>
            <w:tcW w:w="535" w:type="pct"/>
            <w:shd w:val="clear" w:color="auto" w:fill="auto"/>
            <w:vAlign w:val="center"/>
          </w:tcPr>
          <w:p w14:paraId="59C6584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w:t>
            </w:r>
          </w:p>
        </w:tc>
      </w:tr>
      <w:tr w14:paraId="3B033B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54BD3B77">
            <w:pPr>
              <w:adjustRightInd w:val="0"/>
              <w:snapToGrid w:val="0"/>
              <w:spacing w:line="240" w:lineRule="auto"/>
              <w:ind w:firstLine="0" w:firstLineChars="0"/>
              <w:jc w:val="center"/>
              <w:rPr>
                <w:sz w:val="21"/>
                <w:szCs w:val="21"/>
                <w:lang w:eastAsia="en-US"/>
              </w:rPr>
            </w:pPr>
            <w:r>
              <w:rPr>
                <w:sz w:val="21"/>
                <w:szCs w:val="21"/>
                <w:lang w:eastAsia="en-US"/>
              </w:rPr>
              <w:t>吊装机</w:t>
            </w:r>
          </w:p>
        </w:tc>
        <w:tc>
          <w:tcPr>
            <w:tcW w:w="358" w:type="pct"/>
            <w:shd w:val="clear" w:color="auto" w:fill="auto"/>
            <w:vAlign w:val="center"/>
          </w:tcPr>
          <w:p w14:paraId="75A5F81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76</w:t>
            </w:r>
          </w:p>
        </w:tc>
        <w:tc>
          <w:tcPr>
            <w:tcW w:w="359" w:type="pct"/>
            <w:shd w:val="clear" w:color="auto" w:fill="auto"/>
            <w:vAlign w:val="center"/>
          </w:tcPr>
          <w:p w14:paraId="74A4491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70</w:t>
            </w:r>
          </w:p>
        </w:tc>
        <w:tc>
          <w:tcPr>
            <w:tcW w:w="358" w:type="pct"/>
            <w:shd w:val="clear" w:color="auto" w:fill="auto"/>
            <w:vAlign w:val="center"/>
          </w:tcPr>
          <w:p w14:paraId="4B86DFB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64</w:t>
            </w:r>
          </w:p>
        </w:tc>
        <w:tc>
          <w:tcPr>
            <w:tcW w:w="360" w:type="pct"/>
            <w:shd w:val="clear" w:color="auto" w:fill="auto"/>
            <w:vAlign w:val="center"/>
          </w:tcPr>
          <w:p w14:paraId="55732CE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58</w:t>
            </w:r>
          </w:p>
        </w:tc>
        <w:tc>
          <w:tcPr>
            <w:tcW w:w="446" w:type="pct"/>
            <w:shd w:val="clear" w:color="auto" w:fill="auto"/>
            <w:vAlign w:val="center"/>
          </w:tcPr>
          <w:p w14:paraId="46CEF03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56</w:t>
            </w:r>
          </w:p>
        </w:tc>
        <w:tc>
          <w:tcPr>
            <w:tcW w:w="448" w:type="pct"/>
            <w:shd w:val="clear" w:color="auto" w:fill="auto"/>
            <w:vAlign w:val="center"/>
          </w:tcPr>
          <w:p w14:paraId="7FEB375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w:t>
            </w:r>
          </w:p>
        </w:tc>
        <w:tc>
          <w:tcPr>
            <w:tcW w:w="447" w:type="pct"/>
            <w:shd w:val="clear" w:color="auto" w:fill="auto"/>
            <w:vAlign w:val="center"/>
          </w:tcPr>
          <w:p w14:paraId="76A80545">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44</w:t>
            </w:r>
          </w:p>
        </w:tc>
        <w:tc>
          <w:tcPr>
            <w:tcW w:w="446" w:type="pct"/>
            <w:shd w:val="clear" w:color="auto" w:fill="auto"/>
            <w:vAlign w:val="center"/>
          </w:tcPr>
          <w:p w14:paraId="4F4A9FE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38</w:t>
            </w:r>
          </w:p>
        </w:tc>
        <w:tc>
          <w:tcPr>
            <w:tcW w:w="535" w:type="pct"/>
            <w:shd w:val="clear" w:color="auto" w:fill="auto"/>
            <w:vAlign w:val="center"/>
          </w:tcPr>
          <w:p w14:paraId="44DE244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36</w:t>
            </w:r>
          </w:p>
        </w:tc>
      </w:tr>
      <w:tr w14:paraId="3672F4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0682D4DA">
            <w:pPr>
              <w:adjustRightInd w:val="0"/>
              <w:snapToGrid w:val="0"/>
              <w:spacing w:line="240" w:lineRule="auto"/>
              <w:ind w:firstLine="0" w:firstLineChars="0"/>
              <w:jc w:val="center"/>
              <w:rPr>
                <w:sz w:val="21"/>
                <w:szCs w:val="21"/>
                <w:lang w:eastAsia="en-US"/>
              </w:rPr>
            </w:pPr>
            <w:r>
              <w:rPr>
                <w:sz w:val="21"/>
                <w:szCs w:val="21"/>
                <w:lang w:eastAsia="en-US"/>
              </w:rPr>
              <w:t>电焊机</w:t>
            </w:r>
          </w:p>
        </w:tc>
        <w:tc>
          <w:tcPr>
            <w:tcW w:w="358" w:type="pct"/>
            <w:shd w:val="clear" w:color="auto" w:fill="auto"/>
            <w:vAlign w:val="center"/>
          </w:tcPr>
          <w:p w14:paraId="400DA21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73</w:t>
            </w:r>
          </w:p>
        </w:tc>
        <w:tc>
          <w:tcPr>
            <w:tcW w:w="359" w:type="pct"/>
            <w:shd w:val="clear" w:color="auto" w:fill="auto"/>
            <w:vAlign w:val="center"/>
          </w:tcPr>
          <w:p w14:paraId="78F9EEA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67</w:t>
            </w:r>
          </w:p>
        </w:tc>
        <w:tc>
          <w:tcPr>
            <w:tcW w:w="358" w:type="pct"/>
            <w:shd w:val="clear" w:color="auto" w:fill="auto"/>
            <w:vAlign w:val="center"/>
          </w:tcPr>
          <w:p w14:paraId="7BF6E1F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61</w:t>
            </w:r>
          </w:p>
        </w:tc>
        <w:tc>
          <w:tcPr>
            <w:tcW w:w="360" w:type="pct"/>
            <w:shd w:val="clear" w:color="auto" w:fill="auto"/>
            <w:vAlign w:val="center"/>
          </w:tcPr>
          <w:p w14:paraId="691EF63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55</w:t>
            </w:r>
          </w:p>
        </w:tc>
        <w:tc>
          <w:tcPr>
            <w:tcW w:w="446" w:type="pct"/>
            <w:shd w:val="clear" w:color="auto" w:fill="auto"/>
            <w:vAlign w:val="center"/>
          </w:tcPr>
          <w:p w14:paraId="0491ACB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53</w:t>
            </w:r>
          </w:p>
        </w:tc>
        <w:tc>
          <w:tcPr>
            <w:tcW w:w="448" w:type="pct"/>
            <w:shd w:val="clear" w:color="auto" w:fill="auto"/>
            <w:vAlign w:val="center"/>
          </w:tcPr>
          <w:p w14:paraId="6AC98DD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47</w:t>
            </w:r>
          </w:p>
        </w:tc>
        <w:tc>
          <w:tcPr>
            <w:tcW w:w="447" w:type="pct"/>
            <w:shd w:val="clear" w:color="auto" w:fill="auto"/>
            <w:vAlign w:val="center"/>
          </w:tcPr>
          <w:p w14:paraId="00F7CF9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41</w:t>
            </w:r>
          </w:p>
        </w:tc>
        <w:tc>
          <w:tcPr>
            <w:tcW w:w="446" w:type="pct"/>
            <w:shd w:val="clear" w:color="auto" w:fill="auto"/>
            <w:vAlign w:val="center"/>
          </w:tcPr>
          <w:p w14:paraId="6A28C8F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35</w:t>
            </w:r>
          </w:p>
        </w:tc>
        <w:tc>
          <w:tcPr>
            <w:tcW w:w="535" w:type="pct"/>
            <w:shd w:val="clear" w:color="auto" w:fill="auto"/>
            <w:vAlign w:val="center"/>
          </w:tcPr>
          <w:p w14:paraId="3217911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33</w:t>
            </w:r>
          </w:p>
        </w:tc>
      </w:tr>
      <w:tr w14:paraId="1F0C5F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7F3AC8A0">
            <w:pPr>
              <w:adjustRightInd w:val="0"/>
              <w:snapToGrid w:val="0"/>
              <w:spacing w:line="240" w:lineRule="auto"/>
              <w:ind w:firstLine="0" w:firstLineChars="0"/>
              <w:jc w:val="center"/>
              <w:rPr>
                <w:sz w:val="21"/>
                <w:szCs w:val="21"/>
                <w:lang w:eastAsia="en-US"/>
              </w:rPr>
            </w:pPr>
            <w:r>
              <w:rPr>
                <w:sz w:val="21"/>
                <w:szCs w:val="21"/>
                <w:lang w:eastAsia="en-US"/>
              </w:rPr>
              <w:t>推土机</w:t>
            </w:r>
          </w:p>
        </w:tc>
        <w:tc>
          <w:tcPr>
            <w:tcW w:w="358" w:type="pct"/>
            <w:shd w:val="clear" w:color="auto" w:fill="auto"/>
            <w:vAlign w:val="center"/>
          </w:tcPr>
          <w:p w14:paraId="4E60C45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78</w:t>
            </w:r>
          </w:p>
        </w:tc>
        <w:tc>
          <w:tcPr>
            <w:tcW w:w="359" w:type="pct"/>
            <w:shd w:val="clear" w:color="auto" w:fill="auto"/>
            <w:vAlign w:val="center"/>
          </w:tcPr>
          <w:p w14:paraId="17F3702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72</w:t>
            </w:r>
          </w:p>
        </w:tc>
        <w:tc>
          <w:tcPr>
            <w:tcW w:w="358" w:type="pct"/>
            <w:shd w:val="clear" w:color="auto" w:fill="auto"/>
            <w:vAlign w:val="center"/>
          </w:tcPr>
          <w:p w14:paraId="5C6675D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66</w:t>
            </w:r>
          </w:p>
        </w:tc>
        <w:tc>
          <w:tcPr>
            <w:tcW w:w="360" w:type="pct"/>
            <w:shd w:val="clear" w:color="auto" w:fill="auto"/>
            <w:vAlign w:val="center"/>
          </w:tcPr>
          <w:p w14:paraId="66D39D2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60</w:t>
            </w:r>
          </w:p>
        </w:tc>
        <w:tc>
          <w:tcPr>
            <w:tcW w:w="446" w:type="pct"/>
            <w:shd w:val="clear" w:color="auto" w:fill="auto"/>
            <w:vAlign w:val="center"/>
          </w:tcPr>
          <w:p w14:paraId="3C78503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58</w:t>
            </w:r>
          </w:p>
        </w:tc>
        <w:tc>
          <w:tcPr>
            <w:tcW w:w="448" w:type="pct"/>
            <w:shd w:val="clear" w:color="auto" w:fill="auto"/>
            <w:vAlign w:val="center"/>
          </w:tcPr>
          <w:p w14:paraId="213FE7C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52</w:t>
            </w:r>
          </w:p>
        </w:tc>
        <w:tc>
          <w:tcPr>
            <w:tcW w:w="447" w:type="pct"/>
            <w:shd w:val="clear" w:color="auto" w:fill="auto"/>
            <w:vAlign w:val="center"/>
          </w:tcPr>
          <w:p w14:paraId="350F711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46</w:t>
            </w:r>
          </w:p>
        </w:tc>
        <w:tc>
          <w:tcPr>
            <w:tcW w:w="446" w:type="pct"/>
            <w:shd w:val="clear" w:color="auto" w:fill="auto"/>
            <w:vAlign w:val="center"/>
          </w:tcPr>
          <w:p w14:paraId="60D1BB6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w:t>
            </w:r>
          </w:p>
        </w:tc>
        <w:tc>
          <w:tcPr>
            <w:tcW w:w="535" w:type="pct"/>
            <w:shd w:val="clear" w:color="auto" w:fill="auto"/>
            <w:vAlign w:val="center"/>
          </w:tcPr>
          <w:p w14:paraId="46A717A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38</w:t>
            </w:r>
          </w:p>
        </w:tc>
      </w:tr>
      <w:tr w14:paraId="286E75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77F815C7">
            <w:pPr>
              <w:adjustRightInd w:val="0"/>
              <w:snapToGrid w:val="0"/>
              <w:spacing w:line="240" w:lineRule="auto"/>
              <w:ind w:firstLine="0" w:firstLineChars="0"/>
              <w:jc w:val="center"/>
              <w:rPr>
                <w:sz w:val="21"/>
                <w:szCs w:val="21"/>
                <w:lang w:eastAsia="en-US"/>
              </w:rPr>
            </w:pPr>
            <w:r>
              <w:rPr>
                <w:sz w:val="21"/>
                <w:szCs w:val="21"/>
                <w:lang w:eastAsia="en-US"/>
              </w:rPr>
              <w:t>混凝土搅拌机</w:t>
            </w:r>
          </w:p>
        </w:tc>
        <w:tc>
          <w:tcPr>
            <w:tcW w:w="358" w:type="pct"/>
            <w:shd w:val="clear" w:color="auto" w:fill="auto"/>
            <w:vAlign w:val="center"/>
          </w:tcPr>
          <w:p w14:paraId="68214FC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83</w:t>
            </w:r>
          </w:p>
        </w:tc>
        <w:tc>
          <w:tcPr>
            <w:tcW w:w="359" w:type="pct"/>
            <w:shd w:val="clear" w:color="auto" w:fill="auto"/>
            <w:vAlign w:val="center"/>
          </w:tcPr>
          <w:p w14:paraId="0276EAD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77</w:t>
            </w:r>
          </w:p>
        </w:tc>
        <w:tc>
          <w:tcPr>
            <w:tcW w:w="358" w:type="pct"/>
            <w:shd w:val="clear" w:color="auto" w:fill="auto"/>
            <w:vAlign w:val="center"/>
          </w:tcPr>
          <w:p w14:paraId="35B8594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71</w:t>
            </w:r>
          </w:p>
        </w:tc>
        <w:tc>
          <w:tcPr>
            <w:tcW w:w="360" w:type="pct"/>
            <w:shd w:val="clear" w:color="auto" w:fill="auto"/>
            <w:vAlign w:val="center"/>
          </w:tcPr>
          <w:p w14:paraId="4F0E5AD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65</w:t>
            </w:r>
          </w:p>
        </w:tc>
        <w:tc>
          <w:tcPr>
            <w:tcW w:w="446" w:type="pct"/>
            <w:shd w:val="clear" w:color="auto" w:fill="auto"/>
            <w:vAlign w:val="center"/>
          </w:tcPr>
          <w:p w14:paraId="65A6E2F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63</w:t>
            </w:r>
          </w:p>
        </w:tc>
        <w:tc>
          <w:tcPr>
            <w:tcW w:w="448" w:type="pct"/>
            <w:shd w:val="clear" w:color="auto" w:fill="auto"/>
            <w:vAlign w:val="center"/>
          </w:tcPr>
          <w:p w14:paraId="70DA65D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57</w:t>
            </w:r>
          </w:p>
        </w:tc>
        <w:tc>
          <w:tcPr>
            <w:tcW w:w="447" w:type="pct"/>
            <w:shd w:val="clear" w:color="auto" w:fill="auto"/>
            <w:vAlign w:val="center"/>
          </w:tcPr>
          <w:p w14:paraId="4B6BEAE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51</w:t>
            </w:r>
          </w:p>
        </w:tc>
        <w:tc>
          <w:tcPr>
            <w:tcW w:w="446" w:type="pct"/>
            <w:shd w:val="clear" w:color="auto" w:fill="auto"/>
            <w:vAlign w:val="center"/>
          </w:tcPr>
          <w:p w14:paraId="521E9FC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45</w:t>
            </w:r>
          </w:p>
        </w:tc>
        <w:tc>
          <w:tcPr>
            <w:tcW w:w="535" w:type="pct"/>
            <w:shd w:val="clear" w:color="auto" w:fill="auto"/>
            <w:vAlign w:val="center"/>
          </w:tcPr>
          <w:p w14:paraId="12DEFFC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43</w:t>
            </w:r>
          </w:p>
        </w:tc>
      </w:tr>
      <w:tr w14:paraId="225E48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2B4F3CA6">
            <w:pPr>
              <w:adjustRightInd w:val="0"/>
              <w:snapToGrid w:val="0"/>
              <w:spacing w:line="240" w:lineRule="auto"/>
              <w:ind w:firstLine="0" w:firstLineChars="0"/>
              <w:jc w:val="center"/>
              <w:rPr>
                <w:sz w:val="21"/>
                <w:szCs w:val="21"/>
                <w:lang w:eastAsia="en-US"/>
              </w:rPr>
            </w:pPr>
            <w:r>
              <w:rPr>
                <w:sz w:val="21"/>
                <w:szCs w:val="21"/>
                <w:lang w:eastAsia="en-US"/>
              </w:rPr>
              <w:t>混凝土翻斗车</w:t>
            </w:r>
          </w:p>
        </w:tc>
        <w:tc>
          <w:tcPr>
            <w:tcW w:w="358" w:type="pct"/>
            <w:shd w:val="clear" w:color="auto" w:fill="auto"/>
            <w:vAlign w:val="center"/>
          </w:tcPr>
          <w:p w14:paraId="5158899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78</w:t>
            </w:r>
          </w:p>
        </w:tc>
        <w:tc>
          <w:tcPr>
            <w:tcW w:w="359" w:type="pct"/>
            <w:shd w:val="clear" w:color="auto" w:fill="auto"/>
            <w:vAlign w:val="center"/>
          </w:tcPr>
          <w:p w14:paraId="019178D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72</w:t>
            </w:r>
          </w:p>
        </w:tc>
        <w:tc>
          <w:tcPr>
            <w:tcW w:w="358" w:type="pct"/>
            <w:shd w:val="clear" w:color="auto" w:fill="auto"/>
            <w:vAlign w:val="center"/>
          </w:tcPr>
          <w:p w14:paraId="31A7D3B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66</w:t>
            </w:r>
          </w:p>
        </w:tc>
        <w:tc>
          <w:tcPr>
            <w:tcW w:w="360" w:type="pct"/>
            <w:shd w:val="clear" w:color="auto" w:fill="auto"/>
            <w:vAlign w:val="center"/>
          </w:tcPr>
          <w:p w14:paraId="1A09667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60</w:t>
            </w:r>
          </w:p>
        </w:tc>
        <w:tc>
          <w:tcPr>
            <w:tcW w:w="446" w:type="pct"/>
            <w:shd w:val="clear" w:color="auto" w:fill="auto"/>
            <w:vAlign w:val="center"/>
          </w:tcPr>
          <w:p w14:paraId="6BCB8E2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58</w:t>
            </w:r>
          </w:p>
        </w:tc>
        <w:tc>
          <w:tcPr>
            <w:tcW w:w="448" w:type="pct"/>
            <w:shd w:val="clear" w:color="auto" w:fill="auto"/>
            <w:vAlign w:val="center"/>
          </w:tcPr>
          <w:p w14:paraId="5979B31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52</w:t>
            </w:r>
          </w:p>
        </w:tc>
        <w:tc>
          <w:tcPr>
            <w:tcW w:w="447" w:type="pct"/>
            <w:shd w:val="clear" w:color="auto" w:fill="auto"/>
            <w:vAlign w:val="center"/>
          </w:tcPr>
          <w:p w14:paraId="474486E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46</w:t>
            </w:r>
          </w:p>
        </w:tc>
        <w:tc>
          <w:tcPr>
            <w:tcW w:w="446" w:type="pct"/>
            <w:shd w:val="clear" w:color="auto" w:fill="auto"/>
            <w:vAlign w:val="center"/>
          </w:tcPr>
          <w:p w14:paraId="4109653C">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40</w:t>
            </w:r>
          </w:p>
        </w:tc>
        <w:tc>
          <w:tcPr>
            <w:tcW w:w="535" w:type="pct"/>
            <w:shd w:val="clear" w:color="auto" w:fill="auto"/>
            <w:vAlign w:val="center"/>
          </w:tcPr>
          <w:p w14:paraId="2F4828B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38</w:t>
            </w:r>
          </w:p>
        </w:tc>
      </w:tr>
      <w:tr w14:paraId="5AE72D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56EDB073">
            <w:pPr>
              <w:adjustRightInd w:val="0"/>
              <w:snapToGrid w:val="0"/>
              <w:spacing w:line="240" w:lineRule="auto"/>
              <w:ind w:firstLine="0" w:firstLineChars="0"/>
              <w:jc w:val="center"/>
              <w:rPr>
                <w:sz w:val="21"/>
                <w:szCs w:val="21"/>
                <w:lang w:eastAsia="en-US"/>
              </w:rPr>
            </w:pPr>
            <w:r>
              <w:rPr>
                <w:sz w:val="21"/>
                <w:szCs w:val="21"/>
                <w:lang w:eastAsia="en-US"/>
              </w:rPr>
              <w:t>切割机</w:t>
            </w:r>
          </w:p>
        </w:tc>
        <w:tc>
          <w:tcPr>
            <w:tcW w:w="358" w:type="pct"/>
            <w:shd w:val="clear" w:color="auto" w:fill="auto"/>
            <w:vAlign w:val="center"/>
          </w:tcPr>
          <w:p w14:paraId="228ECD0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83</w:t>
            </w:r>
          </w:p>
        </w:tc>
        <w:tc>
          <w:tcPr>
            <w:tcW w:w="359" w:type="pct"/>
            <w:shd w:val="clear" w:color="auto" w:fill="auto"/>
            <w:vAlign w:val="center"/>
          </w:tcPr>
          <w:p w14:paraId="3917D1F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77</w:t>
            </w:r>
          </w:p>
        </w:tc>
        <w:tc>
          <w:tcPr>
            <w:tcW w:w="358" w:type="pct"/>
            <w:shd w:val="clear" w:color="auto" w:fill="auto"/>
            <w:vAlign w:val="center"/>
          </w:tcPr>
          <w:p w14:paraId="448E184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71</w:t>
            </w:r>
          </w:p>
        </w:tc>
        <w:tc>
          <w:tcPr>
            <w:tcW w:w="360" w:type="pct"/>
            <w:shd w:val="clear" w:color="auto" w:fill="auto"/>
            <w:vAlign w:val="center"/>
          </w:tcPr>
          <w:p w14:paraId="06D01E4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65</w:t>
            </w:r>
          </w:p>
        </w:tc>
        <w:tc>
          <w:tcPr>
            <w:tcW w:w="446" w:type="pct"/>
            <w:shd w:val="clear" w:color="auto" w:fill="auto"/>
            <w:vAlign w:val="center"/>
          </w:tcPr>
          <w:p w14:paraId="65ED1CC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63</w:t>
            </w:r>
          </w:p>
        </w:tc>
        <w:tc>
          <w:tcPr>
            <w:tcW w:w="448" w:type="pct"/>
            <w:shd w:val="clear" w:color="auto" w:fill="auto"/>
            <w:vAlign w:val="center"/>
          </w:tcPr>
          <w:p w14:paraId="2856EFC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57</w:t>
            </w:r>
          </w:p>
        </w:tc>
        <w:tc>
          <w:tcPr>
            <w:tcW w:w="447" w:type="pct"/>
            <w:shd w:val="clear" w:color="auto" w:fill="auto"/>
            <w:vAlign w:val="center"/>
          </w:tcPr>
          <w:p w14:paraId="7232E314">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51</w:t>
            </w:r>
          </w:p>
        </w:tc>
        <w:tc>
          <w:tcPr>
            <w:tcW w:w="446" w:type="pct"/>
            <w:shd w:val="clear" w:color="auto" w:fill="auto"/>
            <w:vAlign w:val="center"/>
          </w:tcPr>
          <w:p w14:paraId="3AB7AC0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45</w:t>
            </w:r>
          </w:p>
        </w:tc>
        <w:tc>
          <w:tcPr>
            <w:tcW w:w="535" w:type="pct"/>
            <w:shd w:val="clear" w:color="auto" w:fill="auto"/>
            <w:vAlign w:val="center"/>
          </w:tcPr>
          <w:p w14:paraId="10F2875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43</w:t>
            </w:r>
          </w:p>
        </w:tc>
      </w:tr>
      <w:tr w14:paraId="34C502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43" w:type="pct"/>
            <w:shd w:val="clear" w:color="auto" w:fill="auto"/>
            <w:vAlign w:val="center"/>
          </w:tcPr>
          <w:p w14:paraId="063418EE">
            <w:pPr>
              <w:adjustRightInd w:val="0"/>
              <w:snapToGrid w:val="0"/>
              <w:spacing w:line="240" w:lineRule="auto"/>
              <w:ind w:firstLine="0" w:firstLineChars="0"/>
              <w:jc w:val="center"/>
              <w:rPr>
                <w:sz w:val="21"/>
                <w:szCs w:val="21"/>
                <w:lang w:eastAsia="en-US"/>
              </w:rPr>
            </w:pPr>
            <w:r>
              <w:rPr>
                <w:rFonts w:hint="eastAsia"/>
                <w:sz w:val="21"/>
                <w:szCs w:val="21"/>
              </w:rPr>
              <w:t>倒运车</w:t>
            </w:r>
          </w:p>
        </w:tc>
        <w:tc>
          <w:tcPr>
            <w:tcW w:w="358" w:type="pct"/>
            <w:shd w:val="clear" w:color="auto" w:fill="auto"/>
            <w:vAlign w:val="center"/>
          </w:tcPr>
          <w:p w14:paraId="0033445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88</w:t>
            </w:r>
          </w:p>
        </w:tc>
        <w:tc>
          <w:tcPr>
            <w:tcW w:w="359" w:type="pct"/>
            <w:shd w:val="clear" w:color="auto" w:fill="auto"/>
            <w:vAlign w:val="center"/>
          </w:tcPr>
          <w:p w14:paraId="02CC77F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82</w:t>
            </w:r>
          </w:p>
        </w:tc>
        <w:tc>
          <w:tcPr>
            <w:tcW w:w="358" w:type="pct"/>
            <w:shd w:val="clear" w:color="auto" w:fill="auto"/>
            <w:vAlign w:val="center"/>
          </w:tcPr>
          <w:p w14:paraId="7F45C951">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76</w:t>
            </w:r>
          </w:p>
        </w:tc>
        <w:tc>
          <w:tcPr>
            <w:tcW w:w="360" w:type="pct"/>
            <w:shd w:val="clear" w:color="auto" w:fill="auto"/>
            <w:vAlign w:val="center"/>
          </w:tcPr>
          <w:p w14:paraId="697CD7A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70</w:t>
            </w:r>
          </w:p>
        </w:tc>
        <w:tc>
          <w:tcPr>
            <w:tcW w:w="446" w:type="pct"/>
            <w:shd w:val="clear" w:color="auto" w:fill="auto"/>
            <w:vAlign w:val="center"/>
          </w:tcPr>
          <w:p w14:paraId="171FDC5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68</w:t>
            </w:r>
          </w:p>
        </w:tc>
        <w:tc>
          <w:tcPr>
            <w:tcW w:w="448" w:type="pct"/>
            <w:shd w:val="clear" w:color="auto" w:fill="auto"/>
            <w:vAlign w:val="center"/>
          </w:tcPr>
          <w:p w14:paraId="5F22721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62</w:t>
            </w:r>
          </w:p>
        </w:tc>
        <w:tc>
          <w:tcPr>
            <w:tcW w:w="447" w:type="pct"/>
            <w:shd w:val="clear" w:color="auto" w:fill="auto"/>
            <w:vAlign w:val="center"/>
          </w:tcPr>
          <w:p w14:paraId="35F8219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56</w:t>
            </w:r>
          </w:p>
        </w:tc>
        <w:tc>
          <w:tcPr>
            <w:tcW w:w="446" w:type="pct"/>
            <w:shd w:val="clear" w:color="auto" w:fill="auto"/>
            <w:vAlign w:val="center"/>
          </w:tcPr>
          <w:p w14:paraId="043EF517">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50</w:t>
            </w:r>
          </w:p>
        </w:tc>
        <w:tc>
          <w:tcPr>
            <w:tcW w:w="535" w:type="pct"/>
            <w:shd w:val="clear" w:color="auto" w:fill="auto"/>
            <w:vAlign w:val="center"/>
          </w:tcPr>
          <w:p w14:paraId="3A00633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48</w:t>
            </w:r>
          </w:p>
        </w:tc>
      </w:tr>
    </w:tbl>
    <w:p w14:paraId="1486ACF4">
      <w:pPr>
        <w:ind w:firstLine="480"/>
      </w:pPr>
      <w:r>
        <w:t>从上表可以看出：主要机械在80m以外均不超过建筑物施工场界昼间噪声限值70dB（A），而在夜间若不超过55dB（A）的标准，其距离要远到200m以上。</w:t>
      </w:r>
    </w:p>
    <w:p w14:paraId="5AABBFBB">
      <w:pPr>
        <w:ind w:firstLine="480"/>
      </w:pPr>
      <w:r>
        <w:rPr>
          <w:rFonts w:hint="eastAsia" w:ascii="宋体" w:hAnsi="宋体" w:cs="宋体"/>
        </w:rPr>
        <w:t>②</w:t>
      </w:r>
      <w:r>
        <w:t>施工机械对周围声环境的影响</w:t>
      </w:r>
    </w:p>
    <w:p w14:paraId="434FA856">
      <w:pPr>
        <w:ind w:firstLine="480"/>
      </w:pPr>
      <w:r>
        <w:t>由</w:t>
      </w:r>
      <w:r>
        <w:rPr>
          <w:rFonts w:hint="eastAsia"/>
        </w:rPr>
        <w:t>表5</w:t>
      </w:r>
      <w:r>
        <w:t>.8-3可见，各施工机械产生的噪声在200m处衰减至62dB（A）或以下，小于施工场界昼间噪声限值70dB（A）。同时，施工噪声具有短暂性，一般在白天施工，在采取相应噪声防治措施后，一般不会对周围环境产生较大影响，加之项目区周围1km范围内不存在居民区等声环境保护目标，施工噪声影响</w:t>
      </w:r>
      <w:r>
        <w:rPr>
          <w:rFonts w:hint="eastAsia"/>
        </w:rPr>
        <w:t>人员主要为现场施工人员。</w:t>
      </w:r>
    </w:p>
    <w:p w14:paraId="69FFE35D">
      <w:pPr>
        <w:pStyle w:val="43"/>
      </w:pPr>
      <w:bookmarkStart w:id="593" w:name="_Toc77007847"/>
      <w:bookmarkStart w:id="594" w:name="_Toc152864252"/>
      <w:bookmarkStart w:id="595" w:name="_Toc79515525"/>
      <w:bookmarkStart w:id="596" w:name="_Toc80193154"/>
      <w:bookmarkStart w:id="597" w:name="_Toc80973579"/>
      <w:bookmarkStart w:id="598" w:name="_Toc81214147"/>
      <w:bookmarkStart w:id="599" w:name="_Toc82518839"/>
      <w:r>
        <w:rPr>
          <w:rFonts w:hint="eastAsia"/>
        </w:rPr>
        <w:t>施工固体废物影响分析</w:t>
      </w:r>
      <w:bookmarkEnd w:id="593"/>
      <w:bookmarkEnd w:id="594"/>
      <w:bookmarkEnd w:id="595"/>
      <w:bookmarkEnd w:id="596"/>
      <w:bookmarkEnd w:id="597"/>
      <w:bookmarkEnd w:id="598"/>
      <w:bookmarkEnd w:id="599"/>
    </w:p>
    <w:p w14:paraId="44FFDD76">
      <w:pPr>
        <w:ind w:firstLine="480"/>
      </w:pPr>
      <w:r>
        <w:rPr>
          <w:rFonts w:hint="eastAsia"/>
        </w:rPr>
        <w:t>施工期的固体废物主要有三类：一是施工建设过程中产生的建筑垃圾；二是建（构）筑物基础开挖时产生的土石方；三是施工人员的生活垃圾。</w:t>
      </w:r>
    </w:p>
    <w:p w14:paraId="66A603AB">
      <w:pPr>
        <w:ind w:firstLine="480"/>
      </w:pPr>
      <w:r>
        <w:rPr>
          <w:rFonts w:hint="eastAsia"/>
        </w:rPr>
        <w:t>（1）建筑垃圾</w:t>
      </w:r>
    </w:p>
    <w:p w14:paraId="7A2A87FC">
      <w:pPr>
        <w:ind w:firstLine="480"/>
      </w:pPr>
      <w:r>
        <w:rPr>
          <w:rFonts w:hint="eastAsia"/>
        </w:rPr>
        <w:t>建筑垃圾产生于厂房等建（构）筑物建设，污染源就是施工现场，产生的建筑垃圾需要集中收集堆放，分选后对土石瓦块就地填方，金属、木块等废物回收利用。</w:t>
      </w:r>
    </w:p>
    <w:p w14:paraId="1ECFAF20">
      <w:pPr>
        <w:ind w:firstLine="480"/>
      </w:pPr>
      <w:r>
        <w:rPr>
          <w:rFonts w:hint="eastAsia"/>
        </w:rPr>
        <w:t>（2）建筑开挖的土石方</w:t>
      </w:r>
    </w:p>
    <w:p w14:paraId="53C53F6B">
      <w:pPr>
        <w:ind w:firstLine="480"/>
      </w:pPr>
      <w:r>
        <w:rPr>
          <w:rFonts w:hint="eastAsia"/>
        </w:rPr>
        <w:t>本项目建设区域整体地势平坦开阔，地形坡降平均为1-2</w:t>
      </w:r>
      <w:r>
        <w:t>‰</w:t>
      </w:r>
      <w:r>
        <w:rPr>
          <w:rFonts w:hint="eastAsia"/>
        </w:rPr>
        <w:t>，土石方开挖基本能够达到平衡，其影响较小。</w:t>
      </w:r>
    </w:p>
    <w:p w14:paraId="3E793A6F">
      <w:pPr>
        <w:ind w:firstLine="480"/>
      </w:pPr>
      <w:r>
        <w:rPr>
          <w:rFonts w:hint="eastAsia"/>
        </w:rPr>
        <w:t>（3）施工人员的生活垃圾</w:t>
      </w:r>
    </w:p>
    <w:p w14:paraId="6F723B78">
      <w:pPr>
        <w:ind w:firstLine="480"/>
      </w:pPr>
      <w:r>
        <w:rPr>
          <w:rFonts w:hint="eastAsia"/>
        </w:rPr>
        <w:t>生活垃圾主要为就餐后的废饭盒和办公区的少量日常办公垃圾，如果施工期间能及时收集、清理和转运，则不会对当地环境产生明显影响。</w:t>
      </w:r>
    </w:p>
    <w:p w14:paraId="5F8EA605">
      <w:pPr>
        <w:pStyle w:val="43"/>
      </w:pPr>
      <w:bookmarkStart w:id="600" w:name="_Toc152864253"/>
      <w:bookmarkStart w:id="601" w:name="_Toc80973580"/>
      <w:bookmarkStart w:id="602" w:name="_Toc77007848"/>
      <w:bookmarkStart w:id="603" w:name="_Toc81214148"/>
      <w:bookmarkStart w:id="604" w:name="_Toc82518840"/>
      <w:bookmarkStart w:id="605" w:name="_Toc80193155"/>
      <w:bookmarkStart w:id="606" w:name="_Toc79515526"/>
      <w:r>
        <w:rPr>
          <w:rFonts w:hint="eastAsia"/>
        </w:rPr>
        <w:t>施工期生态影响分析</w:t>
      </w:r>
      <w:bookmarkEnd w:id="600"/>
      <w:bookmarkEnd w:id="601"/>
      <w:bookmarkEnd w:id="602"/>
      <w:bookmarkEnd w:id="603"/>
      <w:bookmarkEnd w:id="604"/>
      <w:bookmarkEnd w:id="605"/>
      <w:bookmarkEnd w:id="606"/>
    </w:p>
    <w:p w14:paraId="4580C66D">
      <w:pPr>
        <w:pStyle w:val="45"/>
        <w:spacing w:before="65" w:after="65"/>
      </w:pPr>
      <w:r>
        <w:rPr>
          <w:rFonts w:hint="eastAsia"/>
        </w:rPr>
        <w:t>工程占地影响评价</w:t>
      </w:r>
    </w:p>
    <w:p w14:paraId="3C98E033">
      <w:pPr>
        <w:ind w:firstLine="480"/>
      </w:pPr>
      <w:r>
        <w:rPr>
          <w:rFonts w:hint="eastAsia"/>
        </w:rPr>
        <w:t>本项目建设将彻底改变该区域的土地利用方式，对占地区域的现有地表自然植被和土壤造成破坏，表现出土壤质地粘重、结构变差、同一层次土壤松紧度增大、根系变少、容重增大、土壤pH值降低、酸性增强等特点。</w:t>
      </w:r>
    </w:p>
    <w:p w14:paraId="25241603">
      <w:pPr>
        <w:pStyle w:val="45"/>
        <w:spacing w:before="65" w:after="65"/>
      </w:pPr>
      <w:r>
        <w:rPr>
          <w:rFonts w:hint="eastAsia"/>
        </w:rPr>
        <w:t>工程建设对自然景观影响分析</w:t>
      </w:r>
    </w:p>
    <w:p w14:paraId="36080FD4">
      <w:pPr>
        <w:ind w:firstLine="480"/>
      </w:pPr>
      <w:r>
        <w:rPr>
          <w:rFonts w:hint="eastAsia"/>
        </w:rPr>
        <w:t>本项目建成后，为了使项目建设与周围生态景观相协调，在建筑外观设计上应与周围环境相协调。既保持厂区特有的工业建筑景观特点，又要考虑与周围生态景观的融合。在本工程建设期和运营期应及早投入绿化工作，并提前做好厂区内外的绿化规划工作，在建设过程中，不断根据本厂及周围工业区的发展情况及时调整绿化方案，以达到与周围协调，改善区域生态环境。加强厂区周围绿化，以便恢复区域生态环境。</w:t>
      </w:r>
    </w:p>
    <w:p w14:paraId="21D76CE8">
      <w:pPr>
        <w:ind w:firstLine="480"/>
        <w:sectPr>
          <w:footerReference r:id="rId31"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7E875362">
      <w:pPr>
        <w:pStyle w:val="40"/>
      </w:pPr>
      <w:bookmarkStart w:id="607" w:name="_Toc152864254"/>
      <w:r>
        <w:rPr>
          <w:rFonts w:hint="eastAsia"/>
        </w:rPr>
        <w:t>环境保护措施及其可行性论证</w:t>
      </w:r>
      <w:bookmarkEnd w:id="607"/>
    </w:p>
    <w:p w14:paraId="13433E72">
      <w:pPr>
        <w:pStyle w:val="41"/>
      </w:pPr>
      <w:bookmarkStart w:id="608" w:name="_Toc152864255"/>
      <w:r>
        <w:rPr>
          <w:rFonts w:hint="eastAsia"/>
        </w:rPr>
        <w:t>废气防治措施及可行性分析</w:t>
      </w:r>
      <w:bookmarkEnd w:id="608"/>
    </w:p>
    <w:p w14:paraId="70256C69">
      <w:pPr>
        <w:ind w:firstLine="480"/>
      </w:pPr>
      <w:r>
        <w:rPr>
          <w:rFonts w:hint="eastAsia"/>
        </w:rPr>
        <w:t>依据《排污许可证申请与核发技术规范 石化工业》（HJ</w:t>
      </w:r>
      <w:r>
        <w:t>853-2017</w:t>
      </w:r>
      <w:r>
        <w:rPr>
          <w:rFonts w:hint="eastAsia"/>
        </w:rPr>
        <w:t>）表5，废气治理可行技术见下表。</w:t>
      </w:r>
    </w:p>
    <w:p w14:paraId="25D23BF4">
      <w:pPr>
        <w:pStyle w:val="47"/>
        <w:spacing w:before="65"/>
      </w:pPr>
      <w:r>
        <w:rPr>
          <w:rFonts w:hint="eastAsia"/>
        </w:rPr>
        <w:t>表6</w:t>
      </w:r>
      <w:r>
        <w:t xml:space="preserve">.1-1   </w:t>
      </w:r>
      <w:r>
        <w:rPr>
          <w:rFonts w:hint="eastAsia"/>
        </w:rPr>
        <w:t>废气污染防治可行技术参考表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521"/>
        <w:gridCol w:w="5720"/>
      </w:tblGrid>
      <w:tr w14:paraId="47273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shd w:val="clear" w:color="auto" w:fill="auto"/>
            <w:tcMar>
              <w:left w:w="0" w:type="dxa"/>
              <w:right w:w="0" w:type="dxa"/>
            </w:tcMar>
            <w:vAlign w:val="center"/>
          </w:tcPr>
          <w:p w14:paraId="11FB66FB">
            <w:pPr>
              <w:adjustRightInd w:val="0"/>
              <w:snapToGrid w:val="0"/>
              <w:spacing w:line="240" w:lineRule="auto"/>
              <w:ind w:firstLine="0" w:firstLineChars="0"/>
              <w:jc w:val="center"/>
              <w:rPr>
                <w:sz w:val="21"/>
                <w:szCs w:val="21"/>
              </w:rPr>
            </w:pPr>
            <w:r>
              <w:rPr>
                <w:rFonts w:hint="eastAsia"/>
                <w:sz w:val="21"/>
                <w:szCs w:val="21"/>
              </w:rPr>
              <w:t>行业</w:t>
            </w:r>
          </w:p>
        </w:tc>
        <w:tc>
          <w:tcPr>
            <w:tcW w:w="871" w:type="pct"/>
            <w:shd w:val="clear" w:color="auto" w:fill="auto"/>
            <w:tcMar>
              <w:left w:w="0" w:type="dxa"/>
              <w:right w:w="0" w:type="dxa"/>
            </w:tcMar>
            <w:vAlign w:val="center"/>
          </w:tcPr>
          <w:p w14:paraId="7D735E3F">
            <w:pPr>
              <w:adjustRightInd w:val="0"/>
              <w:snapToGrid w:val="0"/>
              <w:spacing w:line="240" w:lineRule="auto"/>
              <w:ind w:firstLine="0" w:firstLineChars="0"/>
              <w:jc w:val="center"/>
              <w:rPr>
                <w:sz w:val="21"/>
                <w:szCs w:val="21"/>
              </w:rPr>
            </w:pPr>
            <w:r>
              <w:rPr>
                <w:rFonts w:hint="eastAsia"/>
                <w:sz w:val="21"/>
                <w:szCs w:val="21"/>
              </w:rPr>
              <w:t>污染物种类</w:t>
            </w:r>
          </w:p>
        </w:tc>
        <w:tc>
          <w:tcPr>
            <w:tcW w:w="3276" w:type="pct"/>
            <w:shd w:val="clear" w:color="auto" w:fill="auto"/>
            <w:tcMar>
              <w:left w:w="0" w:type="dxa"/>
              <w:right w:w="0" w:type="dxa"/>
            </w:tcMar>
            <w:vAlign w:val="center"/>
          </w:tcPr>
          <w:p w14:paraId="4835DE26">
            <w:pPr>
              <w:adjustRightInd w:val="0"/>
              <w:snapToGrid w:val="0"/>
              <w:spacing w:line="240" w:lineRule="auto"/>
              <w:ind w:firstLine="0" w:firstLineChars="0"/>
              <w:jc w:val="center"/>
              <w:rPr>
                <w:sz w:val="21"/>
                <w:szCs w:val="21"/>
              </w:rPr>
            </w:pPr>
            <w:r>
              <w:rPr>
                <w:rFonts w:hint="eastAsia"/>
                <w:sz w:val="21"/>
                <w:szCs w:val="21"/>
              </w:rPr>
              <w:t>可行技术</w:t>
            </w:r>
          </w:p>
        </w:tc>
      </w:tr>
      <w:tr w14:paraId="5271C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shd w:val="clear" w:color="auto" w:fill="auto"/>
            <w:tcMar>
              <w:left w:w="0" w:type="dxa"/>
              <w:right w:w="0" w:type="dxa"/>
            </w:tcMar>
            <w:vAlign w:val="center"/>
          </w:tcPr>
          <w:p w14:paraId="7BC77DA6">
            <w:pPr>
              <w:adjustRightInd w:val="0"/>
              <w:snapToGrid w:val="0"/>
              <w:spacing w:line="240" w:lineRule="auto"/>
              <w:ind w:firstLine="0" w:firstLineChars="0"/>
              <w:jc w:val="center"/>
              <w:rPr>
                <w:sz w:val="21"/>
                <w:szCs w:val="21"/>
              </w:rPr>
            </w:pPr>
            <w:r>
              <w:rPr>
                <w:rFonts w:hint="eastAsia"/>
                <w:sz w:val="21"/>
                <w:szCs w:val="21"/>
              </w:rPr>
              <w:t>设备与管线组件</w:t>
            </w:r>
          </w:p>
        </w:tc>
        <w:tc>
          <w:tcPr>
            <w:tcW w:w="871" w:type="pct"/>
            <w:shd w:val="clear" w:color="auto" w:fill="auto"/>
            <w:tcMar>
              <w:left w:w="0" w:type="dxa"/>
              <w:right w:w="0" w:type="dxa"/>
            </w:tcMar>
            <w:vAlign w:val="center"/>
          </w:tcPr>
          <w:p w14:paraId="5B3739A6">
            <w:pPr>
              <w:adjustRightInd w:val="0"/>
              <w:snapToGrid w:val="0"/>
              <w:spacing w:line="240" w:lineRule="auto"/>
              <w:ind w:firstLine="0" w:firstLineChars="0"/>
              <w:jc w:val="center"/>
              <w:rPr>
                <w:sz w:val="21"/>
                <w:szCs w:val="21"/>
              </w:rPr>
            </w:pPr>
            <w:r>
              <w:rPr>
                <w:rFonts w:hint="eastAsia"/>
                <w:sz w:val="21"/>
                <w:szCs w:val="21"/>
              </w:rPr>
              <w:t>挥发性有机物</w:t>
            </w:r>
          </w:p>
        </w:tc>
        <w:tc>
          <w:tcPr>
            <w:tcW w:w="3276" w:type="pct"/>
            <w:shd w:val="clear" w:color="auto" w:fill="auto"/>
            <w:tcMar>
              <w:left w:w="0" w:type="dxa"/>
              <w:right w:w="0" w:type="dxa"/>
            </w:tcMar>
            <w:vAlign w:val="center"/>
          </w:tcPr>
          <w:p w14:paraId="50C61375">
            <w:pPr>
              <w:adjustRightInd w:val="0"/>
              <w:snapToGrid w:val="0"/>
              <w:spacing w:line="240" w:lineRule="auto"/>
              <w:ind w:firstLine="0" w:firstLineChars="0"/>
              <w:jc w:val="center"/>
              <w:rPr>
                <w:sz w:val="21"/>
                <w:szCs w:val="21"/>
              </w:rPr>
            </w:pPr>
            <w:r>
              <w:rPr>
                <w:rFonts w:hint="eastAsia"/>
                <w:sz w:val="21"/>
                <w:szCs w:val="21"/>
              </w:rPr>
              <w:t>泄漏检测与修复（LDAR）</w:t>
            </w:r>
          </w:p>
        </w:tc>
      </w:tr>
      <w:tr w14:paraId="38C56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shd w:val="clear" w:color="auto" w:fill="auto"/>
            <w:tcMar>
              <w:left w:w="0" w:type="dxa"/>
              <w:right w:w="0" w:type="dxa"/>
            </w:tcMar>
            <w:vAlign w:val="center"/>
          </w:tcPr>
          <w:p w14:paraId="3AC9D67C">
            <w:pPr>
              <w:adjustRightInd w:val="0"/>
              <w:snapToGrid w:val="0"/>
              <w:spacing w:line="240" w:lineRule="auto"/>
              <w:ind w:firstLine="0" w:firstLineChars="0"/>
              <w:jc w:val="center"/>
              <w:rPr>
                <w:sz w:val="21"/>
                <w:szCs w:val="21"/>
              </w:rPr>
            </w:pPr>
            <w:r>
              <w:rPr>
                <w:rFonts w:hint="eastAsia"/>
                <w:sz w:val="21"/>
                <w:szCs w:val="21"/>
              </w:rPr>
              <w:t>储罐</w:t>
            </w:r>
          </w:p>
        </w:tc>
        <w:tc>
          <w:tcPr>
            <w:tcW w:w="871" w:type="pct"/>
            <w:shd w:val="clear" w:color="auto" w:fill="auto"/>
            <w:tcMar>
              <w:left w:w="0" w:type="dxa"/>
              <w:right w:w="0" w:type="dxa"/>
            </w:tcMar>
            <w:vAlign w:val="center"/>
          </w:tcPr>
          <w:p w14:paraId="499E9E47">
            <w:pPr>
              <w:adjustRightInd w:val="0"/>
              <w:snapToGrid w:val="0"/>
              <w:spacing w:line="240" w:lineRule="auto"/>
              <w:ind w:firstLine="0" w:firstLineChars="0"/>
              <w:jc w:val="center"/>
              <w:rPr>
                <w:sz w:val="21"/>
                <w:szCs w:val="21"/>
              </w:rPr>
            </w:pPr>
            <w:r>
              <w:rPr>
                <w:rFonts w:hint="eastAsia"/>
                <w:sz w:val="21"/>
                <w:szCs w:val="21"/>
              </w:rPr>
              <w:t>挥发性有机物</w:t>
            </w:r>
          </w:p>
        </w:tc>
        <w:tc>
          <w:tcPr>
            <w:tcW w:w="3276" w:type="pct"/>
            <w:shd w:val="clear" w:color="auto" w:fill="auto"/>
            <w:tcMar>
              <w:left w:w="0" w:type="dxa"/>
              <w:right w:w="0" w:type="dxa"/>
            </w:tcMar>
            <w:vAlign w:val="center"/>
          </w:tcPr>
          <w:p w14:paraId="60DB08A8">
            <w:pPr>
              <w:adjustRightInd w:val="0"/>
              <w:snapToGrid w:val="0"/>
              <w:spacing w:line="240" w:lineRule="auto"/>
              <w:ind w:firstLine="0" w:firstLineChars="0"/>
              <w:jc w:val="center"/>
              <w:rPr>
                <w:sz w:val="21"/>
                <w:szCs w:val="21"/>
              </w:rPr>
            </w:pPr>
            <w:r>
              <w:rPr>
                <w:rFonts w:hint="eastAsia"/>
                <w:sz w:val="21"/>
                <w:szCs w:val="21"/>
              </w:rPr>
              <w:t>油气平衡、油气回收（冷凝、吸附、吸收、膜分离或组合技术等）、燃烧净化（热力焚烧、催化燃烧、蓄热燃烧）</w:t>
            </w:r>
          </w:p>
        </w:tc>
      </w:tr>
      <w:tr w14:paraId="650D4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shd w:val="clear" w:color="auto" w:fill="auto"/>
            <w:tcMar>
              <w:left w:w="0" w:type="dxa"/>
              <w:right w:w="0" w:type="dxa"/>
            </w:tcMar>
            <w:vAlign w:val="center"/>
          </w:tcPr>
          <w:p w14:paraId="43B92630">
            <w:pPr>
              <w:adjustRightInd w:val="0"/>
              <w:snapToGrid w:val="0"/>
              <w:spacing w:line="240" w:lineRule="auto"/>
              <w:ind w:firstLine="0" w:firstLineChars="0"/>
              <w:jc w:val="center"/>
              <w:rPr>
                <w:sz w:val="21"/>
                <w:szCs w:val="21"/>
              </w:rPr>
            </w:pPr>
            <w:r>
              <w:rPr>
                <w:rFonts w:hint="eastAsia"/>
                <w:sz w:val="21"/>
                <w:szCs w:val="21"/>
              </w:rPr>
              <w:t>装载</w:t>
            </w:r>
          </w:p>
        </w:tc>
        <w:tc>
          <w:tcPr>
            <w:tcW w:w="871" w:type="pct"/>
            <w:shd w:val="clear" w:color="auto" w:fill="auto"/>
            <w:tcMar>
              <w:left w:w="0" w:type="dxa"/>
              <w:right w:w="0" w:type="dxa"/>
            </w:tcMar>
            <w:vAlign w:val="center"/>
          </w:tcPr>
          <w:p w14:paraId="701F360A">
            <w:pPr>
              <w:adjustRightInd w:val="0"/>
              <w:snapToGrid w:val="0"/>
              <w:spacing w:line="240" w:lineRule="auto"/>
              <w:ind w:firstLine="0" w:firstLineChars="0"/>
              <w:jc w:val="center"/>
              <w:rPr>
                <w:sz w:val="21"/>
                <w:szCs w:val="21"/>
              </w:rPr>
            </w:pPr>
            <w:r>
              <w:rPr>
                <w:rFonts w:hint="eastAsia"/>
                <w:sz w:val="21"/>
                <w:szCs w:val="21"/>
              </w:rPr>
              <w:t>挥发性有机物</w:t>
            </w:r>
          </w:p>
        </w:tc>
        <w:tc>
          <w:tcPr>
            <w:tcW w:w="3276" w:type="pct"/>
            <w:shd w:val="clear" w:color="auto" w:fill="auto"/>
            <w:tcMar>
              <w:left w:w="0" w:type="dxa"/>
              <w:right w:w="0" w:type="dxa"/>
            </w:tcMar>
            <w:vAlign w:val="center"/>
          </w:tcPr>
          <w:p w14:paraId="11E8C16D">
            <w:pPr>
              <w:adjustRightInd w:val="0"/>
              <w:snapToGrid w:val="0"/>
              <w:spacing w:line="240" w:lineRule="auto"/>
              <w:ind w:firstLine="0" w:firstLineChars="0"/>
              <w:jc w:val="center"/>
              <w:rPr>
                <w:sz w:val="21"/>
                <w:szCs w:val="21"/>
              </w:rPr>
            </w:pPr>
            <w:r>
              <w:rPr>
                <w:rFonts w:hint="eastAsia"/>
                <w:sz w:val="21"/>
                <w:szCs w:val="21"/>
              </w:rPr>
              <w:t>顶部浸没式或底部装载方式+油气回收或燃烧净化</w:t>
            </w:r>
          </w:p>
        </w:tc>
      </w:tr>
    </w:tbl>
    <w:p w14:paraId="0EC26744">
      <w:pPr>
        <w:ind w:firstLine="480"/>
      </w:pPr>
      <w:r>
        <w:rPr>
          <w:rFonts w:hint="eastAsia"/>
        </w:rPr>
        <w:t>本项目主要污染物为生产车间生产、罐区储罐储存和装卸过程产生的有机废气，其中生产车间及储罐等设备与管线组件采取</w:t>
      </w:r>
      <w:r>
        <w:t>泄漏检测与修复（</w:t>
      </w:r>
      <w:r>
        <w:rPr>
          <w:rFonts w:hint="eastAsia"/>
        </w:rPr>
        <w:t>LDAR</w:t>
      </w:r>
      <w:r>
        <w:t>）</w:t>
      </w:r>
      <w:r>
        <w:rPr>
          <w:rFonts w:hint="eastAsia"/>
        </w:rPr>
        <w:t>措施；罐区储罐储存过程采用油气平衡+油气回收（冷凝+吸附）处理措施；装卸过程采用顶部浸没式装卸，并与储罐共用1套油气回收（冷凝+吸附）处理措施。</w:t>
      </w:r>
    </w:p>
    <w:p w14:paraId="74578C5F">
      <w:pPr>
        <w:pStyle w:val="43"/>
      </w:pPr>
      <w:r>
        <w:rPr>
          <w:rFonts w:hint="eastAsia"/>
        </w:rPr>
        <w:t>泄漏检测与修复（LDAR）</w:t>
      </w:r>
    </w:p>
    <w:p w14:paraId="7F345D2A">
      <w:pPr>
        <w:ind w:firstLine="480"/>
      </w:pPr>
      <w:r>
        <w:rPr>
          <w:rFonts w:hint="eastAsia"/>
        </w:rPr>
        <w:t>本项目生产过程中使用的是从石化工业企业购买的减线油（减二线、减三线），通过添加白土、硫酸及添加剂等辅料，采用调和工艺生产不同种类的润滑油，或进一步将润滑油调和，生产润滑脂，设置的2座生产车间在生产过程中的中间罐、设备及管道等连接处，不可避免的会产生挥发性有机物的逸散，根据《排污许可证申请与核发技术规范 石化工业》（HJ853-2017）要求，采取文件中列明的</w:t>
      </w:r>
      <w:r>
        <w:t>泄漏检测与修复（</w:t>
      </w:r>
      <w:r>
        <w:rPr>
          <w:rFonts w:hint="eastAsia"/>
        </w:rPr>
        <w:t>LDAR</w:t>
      </w:r>
      <w:r>
        <w:t>）</w:t>
      </w:r>
      <w:r>
        <w:rPr>
          <w:rFonts w:hint="eastAsia"/>
        </w:rPr>
        <w:t>措施，减少挥发性有机物（以非甲烷总烃计）的无组织排放，具体治理措施介绍如下：</w:t>
      </w:r>
    </w:p>
    <w:p w14:paraId="6D56A356">
      <w:pPr>
        <w:ind w:firstLine="480"/>
      </w:pPr>
      <w:r>
        <w:rPr>
          <w:rFonts w:hint="eastAsia"/>
        </w:rPr>
        <w:t>根据《工业企业挥发性有机物泄漏检测与修复技术指南》（HJ</w:t>
      </w:r>
      <w:r>
        <w:t>1230-2021</w:t>
      </w:r>
      <w:r>
        <w:rPr>
          <w:rFonts w:hint="eastAsia"/>
        </w:rPr>
        <w:t>）中的定义，泄漏检测与修复（LDAR）是指：通过常规或非常规检测手段，检测或检査密封点，并在一定期限内采取有效措施修复泄漏点，对工业生产全过程物料泄漏进行控制的系统工程。</w:t>
      </w:r>
    </w:p>
    <w:p w14:paraId="1E74C713">
      <w:pPr>
        <w:ind w:firstLine="480"/>
      </w:pPr>
      <w:r>
        <w:rPr>
          <w:rFonts w:hint="eastAsia"/>
        </w:rPr>
        <w:t>泄漏检测与修复（LDAR）措施主要包括3个步骤：</w:t>
      </w:r>
    </w:p>
    <w:p w14:paraId="3C3D346E">
      <w:pPr>
        <w:ind w:firstLine="480"/>
      </w:pPr>
      <w:r>
        <w:rPr>
          <w:rFonts w:hint="eastAsia"/>
        </w:rPr>
        <w:t>（1）项目建立</w:t>
      </w:r>
    </w:p>
    <w:p w14:paraId="2E8C9693">
      <w:pPr>
        <w:ind w:firstLine="480"/>
      </w:pPr>
      <w:r>
        <w:rPr>
          <w:rFonts w:hint="eastAsia" w:ascii="宋体" w:hAnsi="宋体" w:cs="宋体"/>
        </w:rPr>
        <w:t>①</w:t>
      </w:r>
      <w:r>
        <w:rPr>
          <w:rFonts w:hint="eastAsia"/>
        </w:rPr>
        <w:t>在充分收集本项目的工艺流程图、管道仪表图、物料平衡表、工艺操作规程、装置平面布置图和设备台账等基础资料后，通过分析研判，识别出受控设备及管线组件的位置及其涉及的VOCs质量分数；除《工业企业挥发性有机物泄漏检测与修复技术指南》（HJ</w:t>
      </w:r>
      <w:r>
        <w:t>1230-2021</w:t>
      </w:r>
      <w:r>
        <w:rPr>
          <w:rFonts w:hint="eastAsia"/>
        </w:rPr>
        <w:t>）“5</w:t>
      </w:r>
      <w:r>
        <w:t>.3</w:t>
      </w:r>
      <w:r>
        <w:rPr>
          <w:rFonts w:hint="eastAsia"/>
        </w:rPr>
        <w:t>设备与管线组件适合性分析”中列明的豁免情况外，其余均应纳入泄漏检测与修复（LDAR）项目范围内。</w:t>
      </w:r>
    </w:p>
    <w:p w14:paraId="43C5E322">
      <w:pPr>
        <w:ind w:firstLine="480"/>
      </w:pPr>
      <w:r>
        <w:rPr>
          <w:rFonts w:hint="eastAsia" w:ascii="宋体" w:hAnsi="宋体" w:cs="宋体"/>
        </w:rPr>
        <w:t>②</w:t>
      </w:r>
      <w:r>
        <w:rPr>
          <w:rFonts w:hint="eastAsia"/>
        </w:rPr>
        <w:t>对不同独立生产单元进行划分，区分出明显的边界，按照密封点分类情况，统计各类泵、阀门、泄压设备等的数量并建立台账；</w:t>
      </w:r>
    </w:p>
    <w:p w14:paraId="56BBE80F">
      <w:pPr>
        <w:ind w:firstLine="480"/>
      </w:pPr>
      <w:r>
        <w:rPr>
          <w:rFonts w:hint="eastAsia" w:ascii="宋体" w:hAnsi="宋体" w:cs="宋体"/>
        </w:rPr>
        <w:t>③</w:t>
      </w:r>
      <w:r>
        <w:rPr>
          <w:rFonts w:hint="eastAsia"/>
        </w:rPr>
        <w:t>根据建立的台账中识别出的密封点。对其进行编号，密封点台账由基本信息和辅助信息构成，其中基本信息为必需项，辅助信息为可选项。基本信息涉及密封点唯一性标识（编号）、密封点类型、定位、物料名称、物料温度（仅适用于工艺条件下呈液态的VOCs物料）、物料状态、公称直径、是否保温和是否可达等内容；辅助信息主要涉及物料组分及含量、工艺条件等信息。</w:t>
      </w:r>
    </w:p>
    <w:p w14:paraId="707A6F33">
      <w:pPr>
        <w:ind w:firstLine="480"/>
      </w:pPr>
      <w:r>
        <w:rPr>
          <w:rFonts w:hint="eastAsia"/>
        </w:rPr>
        <w:t>（2）现场检测</w:t>
      </w:r>
    </w:p>
    <w:p w14:paraId="3A3295AE">
      <w:pPr>
        <w:ind w:firstLine="480"/>
      </w:pPr>
      <w:r>
        <w:rPr>
          <w:rFonts w:hint="eastAsia"/>
        </w:rPr>
        <w:t>建设单位应配备符合HJ</w:t>
      </w:r>
      <w:r>
        <w:t>733</w:t>
      </w:r>
      <w:r>
        <w:rPr>
          <w:rFonts w:hint="eastAsia"/>
        </w:rPr>
        <w:t>的氢火焰离子化检测仪器，以及相应检测所需的校准气体、零气和燃料气等，同时配备气象仪、相机等辅助器材。按照《工业企业挥发性有机物泄漏检测与修复技术指南》（HJ</w:t>
      </w:r>
      <w:r>
        <w:t>1230-2021</w:t>
      </w:r>
      <w:r>
        <w:rPr>
          <w:rFonts w:hint="eastAsia"/>
        </w:rPr>
        <w:t>）“6现场监测”中的具体要求开展现场检测。</w:t>
      </w:r>
    </w:p>
    <w:p w14:paraId="05DB76EF">
      <w:pPr>
        <w:ind w:firstLine="480"/>
      </w:pPr>
      <w:r>
        <w:rPr>
          <w:rFonts w:hint="eastAsia"/>
        </w:rPr>
        <w:t>（3）泄漏修复</w:t>
      </w:r>
    </w:p>
    <w:p w14:paraId="775477C1">
      <w:pPr>
        <w:ind w:firstLine="480"/>
      </w:pPr>
      <w:r>
        <w:rPr>
          <w:rFonts w:hint="eastAsia"/>
        </w:rPr>
        <w:t>泄漏点应在发现泄漏之日起5日内进行首次尝试维修。首次尝试维修后仍然泄漏的，除符合《工业企业挥发性有机物泄漏检测与修复技术指南》（HJ1230-2021）“7.2 延迟修复要求”规定外的，应在发现泄漏之日起1</w:t>
      </w:r>
      <w:r>
        <w:t>5</w:t>
      </w:r>
      <w:r>
        <w:rPr>
          <w:rFonts w:hint="eastAsia"/>
        </w:rPr>
        <w:t>日内进行实质性维修并完成修复。</w:t>
      </w:r>
    </w:p>
    <w:p w14:paraId="6092CC46">
      <w:pPr>
        <w:pStyle w:val="43"/>
      </w:pPr>
      <w:r>
        <w:rPr>
          <w:rFonts w:hint="eastAsia"/>
        </w:rPr>
        <w:t>油气平衡+油气回收</w:t>
      </w:r>
    </w:p>
    <w:p w14:paraId="7B3E72D5">
      <w:pPr>
        <w:ind w:firstLine="480"/>
      </w:pPr>
      <w:r>
        <w:rPr>
          <w:rFonts w:hint="eastAsia"/>
        </w:rPr>
        <w:t>油气平衡原理涉及的是油气在储罐中的储存与释放过程，确保油气不会无谓地损耗，同时保持储罐内部压力的稳定。</w:t>
      </w:r>
    </w:p>
    <w:p w14:paraId="4A6C33B0">
      <w:pPr>
        <w:ind w:firstLine="480"/>
      </w:pPr>
      <w:r>
        <w:rPr>
          <w:rFonts w:hint="eastAsia"/>
        </w:rPr>
        <w:t>本项目涉及2</w:t>
      </w:r>
      <w:r>
        <w:t>9</w:t>
      </w:r>
      <w:r>
        <w:rPr>
          <w:rFonts w:hint="eastAsia"/>
        </w:rPr>
        <w:t>个储罐的储存，且均储存的是油类物质，在储存过程中，不可避免的会有部分油气挥发，形成挥发性有机废气，本项目采用油气平衡+油气回收的治理措施对在储存过程中产生的挥发性有机废气（非甲烷总烃计）进行治理，减少有机废气排放进入大气环境，具体如下：</w:t>
      </w:r>
    </w:p>
    <w:p w14:paraId="547972E8">
      <w:pPr>
        <w:ind w:firstLine="480"/>
      </w:pPr>
      <w:r>
        <w:rPr>
          <w:rFonts w:hint="eastAsia" w:ascii="宋体" w:hAnsi="宋体" w:cs="宋体"/>
        </w:rPr>
        <w:t>①</w:t>
      </w:r>
      <w:r>
        <w:t>汽油储罐设计为密闭系统，以减少油气蒸发损失和外界空气的进入。通过这种方式，可以最大限度减少油气的自然通风损耗，即由于储罐密封不严密导致油气逸出和空气进入。</w:t>
      </w:r>
    </w:p>
    <w:p w14:paraId="46D9BBB6">
      <w:pPr>
        <w:ind w:firstLine="480"/>
      </w:pPr>
      <w:r>
        <w:rPr>
          <w:rFonts w:hint="eastAsia" w:ascii="宋体" w:hAnsi="宋体" w:cs="宋体"/>
        </w:rPr>
        <w:t>②</w:t>
      </w:r>
      <w:r>
        <w:rPr>
          <w:rFonts w:hint="eastAsia"/>
        </w:rPr>
        <w:t>为了防止储罐内部压力因油气蒸发而显著增加，储罐设有通气管，允许油气蒸发到大气中，同时防止罐内压力过高。通气管通常连接到一个集合管，这样多个储罐的油气蒸发可以集中排放。</w:t>
      </w:r>
    </w:p>
    <w:p w14:paraId="79C7FCDC">
      <w:pPr>
        <w:ind w:firstLine="480"/>
      </w:pPr>
      <w:r>
        <w:rPr>
          <w:rFonts w:hint="eastAsia" w:ascii="宋体" w:hAnsi="宋体" w:cs="宋体"/>
        </w:rPr>
        <w:t>③</w:t>
      </w:r>
      <w:r>
        <w:t>呼吸阀安装在储罐顶部，用于调节罐内压力。当罐内压力由于油气蒸发而增加时，呼吸阀自动开启，释放多余的气体；当罐内压力由于油气冷凝而降低时，呼吸阀的真空阀盘打开，外界空气进入储罐，以维持压力平衡。</w:t>
      </w:r>
    </w:p>
    <w:p w14:paraId="488407DC">
      <w:pPr>
        <w:ind w:firstLine="480"/>
      </w:pPr>
      <w:r>
        <w:rPr>
          <w:rFonts w:hint="eastAsia" w:ascii="宋体" w:hAnsi="宋体" w:cs="宋体"/>
        </w:rPr>
        <w:t>④</w:t>
      </w:r>
      <w:r>
        <w:rPr>
          <w:rFonts w:hint="eastAsia"/>
        </w:rPr>
        <w:t>将上述集气管和呼吸阀产生的油气均通过管道引至油气回收系统，采用冷凝+吸附的工艺处理后，经1</w:t>
      </w:r>
      <w:r>
        <w:t>5</w:t>
      </w:r>
      <w:r>
        <w:rPr>
          <w:rFonts w:hint="eastAsia"/>
        </w:rPr>
        <w:t>m排气筒排放（DA</w:t>
      </w:r>
      <w:r>
        <w:t>001</w:t>
      </w:r>
      <w:r>
        <w:rPr>
          <w:rFonts w:hint="eastAsia"/>
        </w:rPr>
        <w:t>）。</w:t>
      </w:r>
    </w:p>
    <w:p w14:paraId="5ADB6BC5">
      <w:pPr>
        <w:pStyle w:val="43"/>
      </w:pPr>
      <w:r>
        <w:rPr>
          <w:rFonts w:hint="eastAsia"/>
        </w:rPr>
        <w:t>浸没式装卸</w:t>
      </w:r>
    </w:p>
    <w:p w14:paraId="00A0E849">
      <w:pPr>
        <w:ind w:firstLine="480"/>
      </w:pPr>
      <w:r>
        <w:t>浸没式装卸是一种用于液体储罐的装卸操作方式，适用于装卸液体物质的场景。具体操作是将装卸管道浸没在装卸液体中，使液体通过管道进出储罐。浸没式装卸的主要原理是通过液体的流动来实现装卸，因为在液体表面以下的空间，不会发生气体蒸发、爆炸、引燃等安全问题。</w:t>
      </w:r>
      <w:r>
        <w:rPr>
          <w:rFonts w:hint="eastAsia"/>
        </w:rPr>
        <w:t>浸没式</w:t>
      </w:r>
      <w:r>
        <w:t>装卸方式有以下特点：</w:t>
      </w:r>
    </w:p>
    <w:p w14:paraId="35D0ABCF">
      <w:pPr>
        <w:ind w:firstLine="480"/>
      </w:pPr>
      <w:r>
        <w:t>1.安全性高：浸没式装卸使得装卸过程中液体与空气接触减少，大大降低了液体挥发、气体积聚和引发火灾爆炸等安全风险。</w:t>
      </w:r>
    </w:p>
    <w:p w14:paraId="29247AF5">
      <w:pPr>
        <w:ind w:firstLine="480"/>
      </w:pPr>
      <w:r>
        <w:t>2.减少蒸发损失：由于装卸管道浸没在液体中，可以有效减少液体挥发造成的蒸发损失，提高了液体的利用率。</w:t>
      </w:r>
    </w:p>
    <w:p w14:paraId="3402E289">
      <w:pPr>
        <w:ind w:firstLine="480"/>
      </w:pPr>
      <w:r>
        <w:t>3.操作简便：浸没式装卸方式相对其他装卸方式，操作相对简单，操作人员只需将装卸管道正确接入液体即可，因此提高了装卸效率和工作效果。</w:t>
      </w:r>
    </w:p>
    <w:p w14:paraId="49E9E457">
      <w:pPr>
        <w:ind w:firstLine="480"/>
      </w:pPr>
      <w:r>
        <w:rPr>
          <w:rFonts w:hint="eastAsia"/>
        </w:rPr>
        <w:t>综上所述，本项目废气污染防治技术为《排污许可证申请与核发技术规范 石化工业》（HJ</w:t>
      </w:r>
      <w:r>
        <w:t>853-2017</w:t>
      </w:r>
      <w:r>
        <w:rPr>
          <w:rFonts w:hint="eastAsia"/>
        </w:rPr>
        <w:t>）</w:t>
      </w:r>
      <w:r>
        <w:t>中</w:t>
      </w:r>
      <w:r>
        <w:rPr>
          <w:rFonts w:hint="eastAsia"/>
        </w:rPr>
        <w:t>已列明的</w:t>
      </w:r>
      <w:r>
        <w:t>可行技术。</w:t>
      </w:r>
    </w:p>
    <w:p w14:paraId="2E223867">
      <w:pPr>
        <w:pStyle w:val="43"/>
      </w:pPr>
      <w:r>
        <w:rPr>
          <w:rFonts w:hint="eastAsia"/>
        </w:rPr>
        <w:t>废气治理措施可行性分析</w:t>
      </w:r>
    </w:p>
    <w:p w14:paraId="0A404547">
      <w:pPr>
        <w:ind w:firstLine="480"/>
      </w:pPr>
      <w:r>
        <w:rPr>
          <w:rFonts w:hint="eastAsia"/>
        </w:rPr>
        <w:t>根据《</w:t>
      </w:r>
      <w:r>
        <w:rPr>
          <w:rFonts w:hint="eastAsia"/>
          <w:kern w:val="0"/>
          <w:szCs w:val="24"/>
        </w:rPr>
        <w:t>石油炼制工业废气治理工程技术规范</w:t>
      </w:r>
      <w:r>
        <w:rPr>
          <w:rFonts w:hint="eastAsia"/>
        </w:rPr>
        <w:t>》（</w:t>
      </w:r>
      <w:r>
        <w:t>HJ1094-2020</w:t>
      </w:r>
      <w:r>
        <w:rPr>
          <w:rFonts w:hint="eastAsia"/>
        </w:rPr>
        <w:t>）中的要求：挥发性有机液体装载作业排气、挥发性有机液体储罐排气可采用冷凝油气回收工艺，具体工艺流程见下图6</w:t>
      </w:r>
      <w:r>
        <w:t>.1-1</w:t>
      </w:r>
      <w:r>
        <w:rPr>
          <w:rFonts w:hint="eastAsia"/>
        </w:rPr>
        <w:t>。</w:t>
      </w:r>
    </w:p>
    <w:p w14:paraId="3BA6CBD0">
      <w:pPr>
        <w:spacing w:line="240" w:lineRule="auto"/>
        <w:ind w:firstLine="0" w:firstLineChars="0"/>
        <w:jc w:val="center"/>
      </w:pPr>
      <w:r>
        <w:drawing>
          <wp:inline distT="0" distB="0" distL="114300" distR="114300">
            <wp:extent cx="4619625" cy="771525"/>
            <wp:effectExtent l="0" t="0" r="9525" b="9525"/>
            <wp:docPr id="4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0"/>
                    <pic:cNvPicPr>
                      <a:picLocks noChangeAspect="1"/>
                    </pic:cNvPicPr>
                  </pic:nvPicPr>
                  <pic:blipFill>
                    <a:blip r:embed="rId102"/>
                    <a:stretch>
                      <a:fillRect/>
                    </a:stretch>
                  </pic:blipFill>
                  <pic:spPr>
                    <a:xfrm>
                      <a:off x="0" y="0"/>
                      <a:ext cx="4619625" cy="771525"/>
                    </a:xfrm>
                    <a:prstGeom prst="rect">
                      <a:avLst/>
                    </a:prstGeom>
                    <a:noFill/>
                    <a:ln>
                      <a:noFill/>
                    </a:ln>
                  </pic:spPr>
                </pic:pic>
              </a:graphicData>
            </a:graphic>
          </wp:inline>
        </w:drawing>
      </w:r>
    </w:p>
    <w:p w14:paraId="729DC2FB">
      <w:pPr>
        <w:pStyle w:val="49"/>
        <w:spacing w:before="163" w:after="163"/>
      </w:pPr>
      <w:r>
        <w:rPr>
          <w:rFonts w:hint="eastAsia"/>
        </w:rPr>
        <w:t>图6</w:t>
      </w:r>
      <w:r>
        <w:t xml:space="preserve">.1-1   </w:t>
      </w:r>
      <w:r>
        <w:rPr>
          <w:rFonts w:hint="eastAsia"/>
        </w:rPr>
        <w:t>冷凝油气回收工艺流程图</w:t>
      </w:r>
    </w:p>
    <w:p w14:paraId="40C7D7C3">
      <w:pPr>
        <w:ind w:firstLine="480"/>
      </w:pPr>
      <w:r>
        <w:rPr>
          <w:rFonts w:hint="eastAsia"/>
        </w:rPr>
        <w:t>本项目在采用冷凝油气回收工艺处理罐区有机液体装载作业排气、挥发性有机液体储罐排气后，为确保废气达标排放，后续配套增加了活性炭吸附，配套的活性炭吸附工艺在《</w:t>
      </w:r>
      <w:r>
        <w:rPr>
          <w:rFonts w:hint="eastAsia"/>
          <w:kern w:val="0"/>
          <w:szCs w:val="24"/>
        </w:rPr>
        <w:t>石油炼制工业废气治理工程技术规范</w:t>
      </w:r>
      <w:r>
        <w:rPr>
          <w:rFonts w:hint="eastAsia"/>
        </w:rPr>
        <w:t>》（</w:t>
      </w:r>
      <w:r>
        <w:t>HJ1094-2020</w:t>
      </w:r>
      <w:r>
        <w:rPr>
          <w:rFonts w:hint="eastAsia"/>
        </w:rPr>
        <w:t>）中依然属于可行技术。综上所述，本项目有机废气采用冷凝吸附工艺处理是可行的。</w:t>
      </w:r>
    </w:p>
    <w:p w14:paraId="21B16C76">
      <w:pPr>
        <w:pStyle w:val="41"/>
      </w:pPr>
      <w:bookmarkStart w:id="609" w:name="_Toc152864256"/>
      <w:r>
        <w:rPr>
          <w:rFonts w:hint="eastAsia"/>
        </w:rPr>
        <w:t>废水污染防治措施及可行性分析</w:t>
      </w:r>
      <w:bookmarkEnd w:id="609"/>
    </w:p>
    <w:p w14:paraId="00D3682F">
      <w:pPr>
        <w:pStyle w:val="43"/>
      </w:pPr>
      <w:bookmarkStart w:id="610" w:name="_Toc81214154"/>
      <w:bookmarkStart w:id="611" w:name="_Toc79515532"/>
      <w:bookmarkStart w:id="612" w:name="_Toc152864257"/>
      <w:bookmarkStart w:id="613" w:name="_Toc80973586"/>
      <w:bookmarkStart w:id="614" w:name="_Toc77007854"/>
      <w:bookmarkStart w:id="615" w:name="_Toc80193161"/>
      <w:bookmarkStart w:id="616" w:name="_Toc82518846"/>
      <w:r>
        <w:rPr>
          <w:rFonts w:hint="eastAsia"/>
        </w:rPr>
        <w:t>废水产生情况</w:t>
      </w:r>
      <w:bookmarkEnd w:id="610"/>
      <w:bookmarkEnd w:id="611"/>
      <w:bookmarkEnd w:id="612"/>
      <w:bookmarkEnd w:id="613"/>
      <w:bookmarkEnd w:id="614"/>
      <w:bookmarkEnd w:id="615"/>
      <w:bookmarkEnd w:id="616"/>
    </w:p>
    <w:p w14:paraId="06F8FB75">
      <w:pPr>
        <w:ind w:firstLine="480"/>
      </w:pPr>
      <w:r>
        <w:rPr>
          <w:rFonts w:hint="eastAsia"/>
        </w:rPr>
        <w:t>本项目生产废水主要为生产废水、车间冲洗废水、循环水排污和生活污水，废水产生情况具体见表6</w:t>
      </w:r>
      <w:r>
        <w:t>.2-1</w:t>
      </w:r>
      <w:r>
        <w:rPr>
          <w:rFonts w:hint="eastAsia"/>
        </w:rPr>
        <w:t>。</w:t>
      </w:r>
    </w:p>
    <w:p w14:paraId="583CDA88">
      <w:pPr>
        <w:pStyle w:val="47"/>
        <w:spacing w:before="65"/>
      </w:pPr>
      <w:r>
        <w:rPr>
          <w:rFonts w:hint="eastAsia"/>
        </w:rPr>
        <w:t>表6</w:t>
      </w:r>
      <w:r>
        <w:t>.2-1   本项目废水产生情况汇总表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6"/>
        <w:gridCol w:w="1276"/>
        <w:gridCol w:w="1433"/>
        <w:gridCol w:w="1091"/>
        <w:gridCol w:w="1091"/>
        <w:gridCol w:w="1091"/>
        <w:gridCol w:w="1091"/>
        <w:gridCol w:w="1091"/>
      </w:tblGrid>
      <w:tr w14:paraId="210AE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shd w:val="clear" w:color="auto" w:fill="auto"/>
            <w:vAlign w:val="center"/>
          </w:tcPr>
          <w:p w14:paraId="3BA532A2">
            <w:pPr>
              <w:pStyle w:val="90"/>
            </w:pPr>
            <w:r>
              <w:rPr>
                <w:rFonts w:hint="eastAsia"/>
              </w:rPr>
              <w:t>排放源</w:t>
            </w:r>
          </w:p>
        </w:tc>
        <w:tc>
          <w:tcPr>
            <w:tcW w:w="730" w:type="pct"/>
            <w:shd w:val="clear" w:color="auto" w:fill="auto"/>
            <w:vAlign w:val="center"/>
          </w:tcPr>
          <w:p w14:paraId="2CEF4379">
            <w:pPr>
              <w:pStyle w:val="90"/>
            </w:pPr>
            <w:r>
              <w:rPr>
                <w:rFonts w:hint="eastAsia"/>
              </w:rPr>
              <w:t>污染物</w:t>
            </w:r>
          </w:p>
        </w:tc>
        <w:tc>
          <w:tcPr>
            <w:tcW w:w="820" w:type="pct"/>
            <w:shd w:val="clear" w:color="auto" w:fill="auto"/>
            <w:vAlign w:val="center"/>
          </w:tcPr>
          <w:p w14:paraId="673B4A4A">
            <w:pPr>
              <w:pStyle w:val="90"/>
            </w:pPr>
            <w:r>
              <w:rPr>
                <w:rFonts w:hint="eastAsia"/>
              </w:rPr>
              <w:t>产生量（</w:t>
            </w:r>
            <w:r>
              <w:t>t/a）</w:t>
            </w:r>
          </w:p>
        </w:tc>
        <w:tc>
          <w:tcPr>
            <w:tcW w:w="624" w:type="pct"/>
            <w:shd w:val="clear" w:color="auto" w:fill="auto"/>
            <w:vAlign w:val="center"/>
          </w:tcPr>
          <w:p w14:paraId="41A99851">
            <w:pPr>
              <w:pStyle w:val="90"/>
            </w:pPr>
            <w:r>
              <w:rPr>
                <w:rFonts w:hint="eastAsia"/>
              </w:rPr>
              <w:t>产生浓度（</w:t>
            </w:r>
            <w:r>
              <w:t>mg/L）</w:t>
            </w:r>
          </w:p>
        </w:tc>
        <w:tc>
          <w:tcPr>
            <w:tcW w:w="624" w:type="pct"/>
            <w:shd w:val="clear" w:color="auto" w:fill="auto"/>
            <w:vAlign w:val="center"/>
          </w:tcPr>
          <w:p w14:paraId="4947D145">
            <w:pPr>
              <w:pStyle w:val="90"/>
            </w:pPr>
            <w:r>
              <w:rPr>
                <w:rFonts w:hint="eastAsia"/>
              </w:rPr>
              <w:t>治理措施</w:t>
            </w:r>
          </w:p>
        </w:tc>
        <w:tc>
          <w:tcPr>
            <w:tcW w:w="624" w:type="pct"/>
            <w:shd w:val="clear" w:color="auto" w:fill="auto"/>
            <w:vAlign w:val="center"/>
          </w:tcPr>
          <w:p w14:paraId="4DCF0961">
            <w:pPr>
              <w:pStyle w:val="90"/>
            </w:pPr>
            <w:r>
              <w:rPr>
                <w:rFonts w:hint="eastAsia"/>
              </w:rPr>
              <w:t>排放量（</w:t>
            </w:r>
            <w:r>
              <w:t>t/a）</w:t>
            </w:r>
          </w:p>
        </w:tc>
        <w:tc>
          <w:tcPr>
            <w:tcW w:w="624" w:type="pct"/>
            <w:shd w:val="clear" w:color="auto" w:fill="auto"/>
            <w:vAlign w:val="center"/>
          </w:tcPr>
          <w:p w14:paraId="6DE5F8B2">
            <w:pPr>
              <w:pStyle w:val="90"/>
            </w:pPr>
            <w:r>
              <w:rPr>
                <w:rFonts w:hint="eastAsia"/>
              </w:rPr>
              <w:t>排放浓度（</w:t>
            </w:r>
            <w:r>
              <w:t>mg/L）</w:t>
            </w:r>
          </w:p>
        </w:tc>
        <w:tc>
          <w:tcPr>
            <w:tcW w:w="624" w:type="pct"/>
            <w:shd w:val="clear" w:color="auto" w:fill="auto"/>
            <w:vAlign w:val="center"/>
          </w:tcPr>
          <w:p w14:paraId="7027291F">
            <w:pPr>
              <w:pStyle w:val="90"/>
            </w:pPr>
            <w:r>
              <w:rPr>
                <w:rFonts w:hint="eastAsia"/>
              </w:rPr>
              <w:t>最终去向</w:t>
            </w:r>
          </w:p>
        </w:tc>
      </w:tr>
      <w:tr w14:paraId="3B240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512845D2">
            <w:pPr>
              <w:pStyle w:val="90"/>
            </w:pPr>
            <w:r>
              <w:rPr>
                <w:rFonts w:hint="eastAsia"/>
              </w:rPr>
              <w:t>生产车间废水</w:t>
            </w:r>
          </w:p>
        </w:tc>
        <w:tc>
          <w:tcPr>
            <w:tcW w:w="730" w:type="pct"/>
            <w:shd w:val="clear" w:color="auto" w:fill="auto"/>
            <w:vAlign w:val="center"/>
          </w:tcPr>
          <w:p w14:paraId="1A1CB844">
            <w:pPr>
              <w:pStyle w:val="90"/>
            </w:pPr>
            <w:r>
              <w:rPr>
                <w:rFonts w:hint="eastAsia"/>
              </w:rPr>
              <w:t>废水量</w:t>
            </w:r>
          </w:p>
        </w:tc>
        <w:tc>
          <w:tcPr>
            <w:tcW w:w="820" w:type="pct"/>
            <w:shd w:val="clear" w:color="auto" w:fill="auto"/>
            <w:vAlign w:val="center"/>
          </w:tcPr>
          <w:p w14:paraId="6060BA0A">
            <w:pPr>
              <w:pStyle w:val="90"/>
            </w:pPr>
            <w:r>
              <w:rPr>
                <w:rFonts w:hint="eastAsia"/>
              </w:rPr>
              <w:t>7</w:t>
            </w:r>
            <w:r>
              <w:t>70</w:t>
            </w:r>
            <w:r>
              <w:rPr>
                <w:rFonts w:hint="eastAsia"/>
              </w:rPr>
              <w:t>m</w:t>
            </w:r>
            <w:r>
              <w:rPr>
                <w:vertAlign w:val="superscript"/>
              </w:rPr>
              <w:t>3</w:t>
            </w:r>
            <w:r>
              <w:t>/a</w:t>
            </w:r>
          </w:p>
        </w:tc>
        <w:tc>
          <w:tcPr>
            <w:tcW w:w="624" w:type="pct"/>
            <w:shd w:val="clear" w:color="auto" w:fill="auto"/>
            <w:vAlign w:val="center"/>
          </w:tcPr>
          <w:p w14:paraId="3C36535E">
            <w:pPr>
              <w:pStyle w:val="90"/>
            </w:pPr>
            <w:r>
              <w:rPr>
                <w:rFonts w:hint="eastAsia"/>
              </w:rPr>
              <w:t>/</w:t>
            </w:r>
          </w:p>
        </w:tc>
        <w:tc>
          <w:tcPr>
            <w:tcW w:w="624" w:type="pct"/>
            <w:vMerge w:val="restart"/>
            <w:shd w:val="clear" w:color="auto" w:fill="auto"/>
            <w:vAlign w:val="center"/>
          </w:tcPr>
          <w:p w14:paraId="6AC53479">
            <w:pPr>
              <w:pStyle w:val="90"/>
            </w:pPr>
            <w:r>
              <w:rPr>
                <w:rFonts w:hint="eastAsia"/>
              </w:rPr>
              <w:t>厂区污水处理站</w:t>
            </w:r>
          </w:p>
        </w:tc>
        <w:tc>
          <w:tcPr>
            <w:tcW w:w="624" w:type="pct"/>
            <w:shd w:val="clear" w:color="auto" w:fill="auto"/>
            <w:vAlign w:val="center"/>
          </w:tcPr>
          <w:p w14:paraId="04E2BE7E">
            <w:pPr>
              <w:pStyle w:val="90"/>
            </w:pPr>
            <w:r>
              <w:rPr>
                <w:rFonts w:hint="eastAsia"/>
              </w:rPr>
              <w:t>7</w:t>
            </w:r>
            <w:r>
              <w:t>70</w:t>
            </w:r>
            <w:r>
              <w:rPr>
                <w:rFonts w:hint="eastAsia"/>
              </w:rPr>
              <w:t>m</w:t>
            </w:r>
            <w:r>
              <w:rPr>
                <w:vertAlign w:val="superscript"/>
              </w:rPr>
              <w:t>3</w:t>
            </w:r>
            <w:r>
              <w:t>/a</w:t>
            </w:r>
          </w:p>
        </w:tc>
        <w:tc>
          <w:tcPr>
            <w:tcW w:w="624" w:type="pct"/>
            <w:shd w:val="clear" w:color="auto" w:fill="auto"/>
            <w:vAlign w:val="center"/>
          </w:tcPr>
          <w:p w14:paraId="7B8A15E3">
            <w:pPr>
              <w:pStyle w:val="90"/>
            </w:pPr>
            <w:r>
              <w:rPr>
                <w:rFonts w:hint="eastAsia"/>
              </w:rPr>
              <w:t>/</w:t>
            </w:r>
          </w:p>
        </w:tc>
        <w:tc>
          <w:tcPr>
            <w:tcW w:w="624" w:type="pct"/>
            <w:vMerge w:val="restart"/>
            <w:shd w:val="clear" w:color="auto" w:fill="auto"/>
            <w:vAlign w:val="center"/>
          </w:tcPr>
          <w:p w14:paraId="34FD33A0">
            <w:pPr>
              <w:pStyle w:val="90"/>
            </w:pPr>
            <w:r>
              <w:rPr>
                <w:rFonts w:hint="eastAsia"/>
              </w:rPr>
              <w:t>排入园区污水处理厂处理</w:t>
            </w:r>
          </w:p>
        </w:tc>
      </w:tr>
      <w:tr w14:paraId="1CF06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469D5409">
            <w:pPr>
              <w:pStyle w:val="90"/>
            </w:pPr>
          </w:p>
        </w:tc>
        <w:tc>
          <w:tcPr>
            <w:tcW w:w="730" w:type="pct"/>
            <w:shd w:val="clear" w:color="auto" w:fill="auto"/>
            <w:vAlign w:val="center"/>
          </w:tcPr>
          <w:p w14:paraId="2B9D7B3D">
            <w:pPr>
              <w:pStyle w:val="90"/>
            </w:pPr>
            <w:r>
              <w:rPr>
                <w:rFonts w:hint="eastAsia"/>
              </w:rPr>
              <w:t>化学需氧量</w:t>
            </w:r>
          </w:p>
        </w:tc>
        <w:tc>
          <w:tcPr>
            <w:tcW w:w="820" w:type="pct"/>
            <w:shd w:val="clear" w:color="auto" w:fill="auto"/>
            <w:vAlign w:val="center"/>
          </w:tcPr>
          <w:p w14:paraId="2FAB89F2">
            <w:pPr>
              <w:pStyle w:val="90"/>
            </w:pPr>
            <w:r>
              <w:rPr>
                <w:rFonts w:hint="eastAsia"/>
              </w:rPr>
              <w:t>1</w:t>
            </w:r>
            <w:r>
              <w:t>.01</w:t>
            </w:r>
          </w:p>
        </w:tc>
        <w:tc>
          <w:tcPr>
            <w:tcW w:w="624" w:type="pct"/>
            <w:shd w:val="clear" w:color="auto" w:fill="auto"/>
            <w:vAlign w:val="center"/>
          </w:tcPr>
          <w:p w14:paraId="17C0F181">
            <w:pPr>
              <w:pStyle w:val="90"/>
            </w:pPr>
            <w:r>
              <w:rPr>
                <w:rFonts w:hint="eastAsia"/>
              </w:rPr>
              <w:t>1</w:t>
            </w:r>
            <w:r>
              <w:t>311.69</w:t>
            </w:r>
          </w:p>
        </w:tc>
        <w:tc>
          <w:tcPr>
            <w:tcW w:w="624" w:type="pct"/>
            <w:vMerge w:val="continue"/>
            <w:shd w:val="clear" w:color="auto" w:fill="auto"/>
            <w:vAlign w:val="center"/>
          </w:tcPr>
          <w:p w14:paraId="2E0B7AD1">
            <w:pPr>
              <w:pStyle w:val="90"/>
            </w:pPr>
          </w:p>
        </w:tc>
        <w:tc>
          <w:tcPr>
            <w:tcW w:w="624" w:type="pct"/>
            <w:shd w:val="clear" w:color="auto" w:fill="auto"/>
            <w:vAlign w:val="center"/>
          </w:tcPr>
          <w:p w14:paraId="32A4F29F">
            <w:pPr>
              <w:pStyle w:val="90"/>
              <w:rPr>
                <w:kern w:val="0"/>
              </w:rPr>
            </w:pPr>
            <w:r>
              <w:rPr>
                <w:rFonts w:hint="eastAsia"/>
              </w:rPr>
              <w:t>0.1717</w:t>
            </w:r>
          </w:p>
        </w:tc>
        <w:tc>
          <w:tcPr>
            <w:tcW w:w="624" w:type="pct"/>
            <w:shd w:val="clear" w:color="auto" w:fill="auto"/>
            <w:vAlign w:val="center"/>
          </w:tcPr>
          <w:p w14:paraId="2CE3AD08">
            <w:pPr>
              <w:pStyle w:val="90"/>
              <w:rPr>
                <w:kern w:val="0"/>
              </w:rPr>
            </w:pPr>
            <w:r>
              <w:rPr>
                <w:rFonts w:hint="eastAsia"/>
              </w:rPr>
              <w:t>222.99</w:t>
            </w:r>
          </w:p>
        </w:tc>
        <w:tc>
          <w:tcPr>
            <w:tcW w:w="624" w:type="pct"/>
            <w:vMerge w:val="continue"/>
            <w:shd w:val="clear" w:color="auto" w:fill="auto"/>
            <w:vAlign w:val="center"/>
          </w:tcPr>
          <w:p w14:paraId="0E4F8A90">
            <w:pPr>
              <w:pStyle w:val="90"/>
            </w:pPr>
          </w:p>
        </w:tc>
      </w:tr>
      <w:tr w14:paraId="4CFDA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11F0F695">
            <w:pPr>
              <w:pStyle w:val="90"/>
            </w:pPr>
          </w:p>
        </w:tc>
        <w:tc>
          <w:tcPr>
            <w:tcW w:w="730" w:type="pct"/>
            <w:shd w:val="clear" w:color="auto" w:fill="auto"/>
            <w:vAlign w:val="center"/>
          </w:tcPr>
          <w:p w14:paraId="46B1776E">
            <w:pPr>
              <w:pStyle w:val="90"/>
            </w:pPr>
            <w:r>
              <w:rPr>
                <w:rFonts w:hint="eastAsia"/>
              </w:rPr>
              <w:t>氨氮</w:t>
            </w:r>
          </w:p>
        </w:tc>
        <w:tc>
          <w:tcPr>
            <w:tcW w:w="820" w:type="pct"/>
            <w:shd w:val="clear" w:color="auto" w:fill="auto"/>
            <w:vAlign w:val="center"/>
          </w:tcPr>
          <w:p w14:paraId="6AEB1AA1">
            <w:pPr>
              <w:pStyle w:val="90"/>
            </w:pPr>
            <w:r>
              <w:rPr>
                <w:rFonts w:hint="eastAsia"/>
              </w:rPr>
              <w:t>0</w:t>
            </w:r>
            <w:r>
              <w:t>.00721</w:t>
            </w:r>
          </w:p>
        </w:tc>
        <w:tc>
          <w:tcPr>
            <w:tcW w:w="624" w:type="pct"/>
            <w:shd w:val="clear" w:color="auto" w:fill="auto"/>
            <w:vAlign w:val="center"/>
          </w:tcPr>
          <w:p w14:paraId="127CD9F0">
            <w:pPr>
              <w:pStyle w:val="90"/>
            </w:pPr>
            <w:r>
              <w:t>9.36</w:t>
            </w:r>
          </w:p>
        </w:tc>
        <w:tc>
          <w:tcPr>
            <w:tcW w:w="624" w:type="pct"/>
            <w:vMerge w:val="continue"/>
            <w:shd w:val="clear" w:color="auto" w:fill="auto"/>
            <w:vAlign w:val="center"/>
          </w:tcPr>
          <w:p w14:paraId="303EDBAF">
            <w:pPr>
              <w:pStyle w:val="90"/>
            </w:pPr>
          </w:p>
        </w:tc>
        <w:tc>
          <w:tcPr>
            <w:tcW w:w="624" w:type="pct"/>
            <w:shd w:val="clear" w:color="auto" w:fill="auto"/>
            <w:vAlign w:val="center"/>
          </w:tcPr>
          <w:p w14:paraId="0117CD8A">
            <w:pPr>
              <w:pStyle w:val="90"/>
            </w:pPr>
            <w:r>
              <w:rPr>
                <w:rFonts w:hint="eastAsia"/>
              </w:rPr>
              <w:t>0.00180</w:t>
            </w:r>
          </w:p>
        </w:tc>
        <w:tc>
          <w:tcPr>
            <w:tcW w:w="624" w:type="pct"/>
            <w:shd w:val="clear" w:color="auto" w:fill="auto"/>
            <w:vAlign w:val="center"/>
          </w:tcPr>
          <w:p w14:paraId="09A53C50">
            <w:pPr>
              <w:pStyle w:val="90"/>
            </w:pPr>
            <w:r>
              <w:rPr>
                <w:rFonts w:hint="eastAsia"/>
              </w:rPr>
              <w:t>2.34</w:t>
            </w:r>
          </w:p>
        </w:tc>
        <w:tc>
          <w:tcPr>
            <w:tcW w:w="624" w:type="pct"/>
            <w:vMerge w:val="continue"/>
            <w:shd w:val="clear" w:color="auto" w:fill="auto"/>
            <w:vAlign w:val="center"/>
          </w:tcPr>
          <w:p w14:paraId="07CC3152">
            <w:pPr>
              <w:pStyle w:val="90"/>
            </w:pPr>
          </w:p>
        </w:tc>
      </w:tr>
      <w:tr w14:paraId="76F6D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5E4E0DE1">
            <w:pPr>
              <w:pStyle w:val="90"/>
            </w:pPr>
          </w:p>
        </w:tc>
        <w:tc>
          <w:tcPr>
            <w:tcW w:w="730" w:type="pct"/>
            <w:shd w:val="clear" w:color="auto" w:fill="auto"/>
            <w:vAlign w:val="center"/>
          </w:tcPr>
          <w:p w14:paraId="6D0D140C">
            <w:pPr>
              <w:pStyle w:val="90"/>
            </w:pPr>
            <w:r>
              <w:rPr>
                <w:rFonts w:hint="eastAsia"/>
              </w:rPr>
              <w:t>石油类</w:t>
            </w:r>
          </w:p>
        </w:tc>
        <w:tc>
          <w:tcPr>
            <w:tcW w:w="820" w:type="pct"/>
            <w:shd w:val="clear" w:color="auto" w:fill="auto"/>
            <w:vAlign w:val="center"/>
          </w:tcPr>
          <w:p w14:paraId="211A5A6F">
            <w:pPr>
              <w:pStyle w:val="90"/>
            </w:pPr>
            <w:r>
              <w:rPr>
                <w:rFonts w:hint="eastAsia"/>
              </w:rPr>
              <w:t>0</w:t>
            </w:r>
            <w:r>
              <w:t>.0151</w:t>
            </w:r>
          </w:p>
        </w:tc>
        <w:tc>
          <w:tcPr>
            <w:tcW w:w="624" w:type="pct"/>
            <w:shd w:val="clear" w:color="auto" w:fill="auto"/>
            <w:vAlign w:val="center"/>
          </w:tcPr>
          <w:p w14:paraId="2F80F79D">
            <w:pPr>
              <w:pStyle w:val="90"/>
            </w:pPr>
            <w:r>
              <w:rPr>
                <w:rFonts w:hint="eastAsia"/>
              </w:rPr>
              <w:t>1</w:t>
            </w:r>
            <w:r>
              <w:t>9.61</w:t>
            </w:r>
          </w:p>
        </w:tc>
        <w:tc>
          <w:tcPr>
            <w:tcW w:w="624" w:type="pct"/>
            <w:vMerge w:val="continue"/>
            <w:shd w:val="clear" w:color="auto" w:fill="auto"/>
            <w:vAlign w:val="center"/>
          </w:tcPr>
          <w:p w14:paraId="50BC7FFB">
            <w:pPr>
              <w:pStyle w:val="90"/>
            </w:pPr>
          </w:p>
        </w:tc>
        <w:tc>
          <w:tcPr>
            <w:tcW w:w="624" w:type="pct"/>
            <w:shd w:val="clear" w:color="auto" w:fill="auto"/>
            <w:vAlign w:val="center"/>
          </w:tcPr>
          <w:p w14:paraId="4643DF1F">
            <w:pPr>
              <w:pStyle w:val="90"/>
            </w:pPr>
            <w:r>
              <w:rPr>
                <w:rFonts w:hint="eastAsia"/>
              </w:rPr>
              <w:t>0.00106</w:t>
            </w:r>
          </w:p>
        </w:tc>
        <w:tc>
          <w:tcPr>
            <w:tcW w:w="624" w:type="pct"/>
            <w:shd w:val="clear" w:color="auto" w:fill="auto"/>
            <w:vAlign w:val="center"/>
          </w:tcPr>
          <w:p w14:paraId="38810C23">
            <w:pPr>
              <w:pStyle w:val="90"/>
            </w:pPr>
            <w:r>
              <w:rPr>
                <w:rFonts w:hint="eastAsia"/>
              </w:rPr>
              <w:t>1.37</w:t>
            </w:r>
          </w:p>
        </w:tc>
        <w:tc>
          <w:tcPr>
            <w:tcW w:w="624" w:type="pct"/>
            <w:vMerge w:val="continue"/>
            <w:shd w:val="clear" w:color="auto" w:fill="auto"/>
            <w:vAlign w:val="center"/>
          </w:tcPr>
          <w:p w14:paraId="7BBD6B66">
            <w:pPr>
              <w:pStyle w:val="90"/>
            </w:pPr>
          </w:p>
        </w:tc>
      </w:tr>
      <w:tr w14:paraId="61A5D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74A990B1">
            <w:pPr>
              <w:pStyle w:val="90"/>
            </w:pPr>
          </w:p>
        </w:tc>
        <w:tc>
          <w:tcPr>
            <w:tcW w:w="730" w:type="pct"/>
            <w:shd w:val="clear" w:color="auto" w:fill="auto"/>
            <w:vAlign w:val="center"/>
          </w:tcPr>
          <w:p w14:paraId="48354483">
            <w:pPr>
              <w:pStyle w:val="90"/>
            </w:pPr>
            <w:r>
              <w:rPr>
                <w:rFonts w:hint="eastAsia"/>
              </w:rPr>
              <w:t>挥发酚</w:t>
            </w:r>
          </w:p>
        </w:tc>
        <w:tc>
          <w:tcPr>
            <w:tcW w:w="820" w:type="pct"/>
            <w:shd w:val="clear" w:color="auto" w:fill="auto"/>
            <w:vAlign w:val="center"/>
          </w:tcPr>
          <w:p w14:paraId="371D6EB1">
            <w:pPr>
              <w:pStyle w:val="90"/>
            </w:pPr>
            <w:r>
              <w:rPr>
                <w:rFonts w:hint="eastAsia"/>
              </w:rPr>
              <w:t>0</w:t>
            </w:r>
            <w:r>
              <w:t>.0004</w:t>
            </w:r>
          </w:p>
        </w:tc>
        <w:tc>
          <w:tcPr>
            <w:tcW w:w="624" w:type="pct"/>
            <w:shd w:val="clear" w:color="auto" w:fill="auto"/>
            <w:vAlign w:val="center"/>
          </w:tcPr>
          <w:p w14:paraId="0DE8A43F">
            <w:pPr>
              <w:pStyle w:val="90"/>
            </w:pPr>
            <w:r>
              <w:rPr>
                <w:rFonts w:hint="eastAsia"/>
              </w:rPr>
              <w:t>0</w:t>
            </w:r>
            <w:r>
              <w:t>.52</w:t>
            </w:r>
          </w:p>
        </w:tc>
        <w:tc>
          <w:tcPr>
            <w:tcW w:w="624" w:type="pct"/>
            <w:vMerge w:val="continue"/>
            <w:shd w:val="clear" w:color="auto" w:fill="auto"/>
            <w:vAlign w:val="center"/>
          </w:tcPr>
          <w:p w14:paraId="55B162E2">
            <w:pPr>
              <w:pStyle w:val="90"/>
            </w:pPr>
          </w:p>
        </w:tc>
        <w:tc>
          <w:tcPr>
            <w:tcW w:w="624" w:type="pct"/>
            <w:shd w:val="clear" w:color="auto" w:fill="auto"/>
            <w:vAlign w:val="center"/>
          </w:tcPr>
          <w:p w14:paraId="1AC38BEA">
            <w:pPr>
              <w:pStyle w:val="90"/>
            </w:pPr>
            <w:r>
              <w:rPr>
                <w:rFonts w:hint="eastAsia"/>
              </w:rPr>
              <w:t>0.0000</w:t>
            </w:r>
          </w:p>
        </w:tc>
        <w:tc>
          <w:tcPr>
            <w:tcW w:w="624" w:type="pct"/>
            <w:shd w:val="clear" w:color="auto" w:fill="auto"/>
            <w:vAlign w:val="center"/>
          </w:tcPr>
          <w:p w14:paraId="1717FD71">
            <w:pPr>
              <w:pStyle w:val="90"/>
            </w:pPr>
            <w:r>
              <w:rPr>
                <w:rFonts w:hint="eastAsia"/>
              </w:rPr>
              <w:t>0.02</w:t>
            </w:r>
          </w:p>
        </w:tc>
        <w:tc>
          <w:tcPr>
            <w:tcW w:w="624" w:type="pct"/>
            <w:vMerge w:val="continue"/>
            <w:shd w:val="clear" w:color="auto" w:fill="auto"/>
            <w:vAlign w:val="center"/>
          </w:tcPr>
          <w:p w14:paraId="407E621B">
            <w:pPr>
              <w:pStyle w:val="90"/>
            </w:pPr>
          </w:p>
        </w:tc>
      </w:tr>
      <w:tr w14:paraId="4D3EB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1338D113">
            <w:pPr>
              <w:pStyle w:val="90"/>
            </w:pPr>
          </w:p>
        </w:tc>
        <w:tc>
          <w:tcPr>
            <w:tcW w:w="730" w:type="pct"/>
            <w:shd w:val="clear" w:color="auto" w:fill="auto"/>
            <w:vAlign w:val="center"/>
          </w:tcPr>
          <w:p w14:paraId="3E4E5651">
            <w:pPr>
              <w:pStyle w:val="90"/>
            </w:pPr>
            <w:r>
              <w:rPr>
                <w:rFonts w:hint="eastAsia"/>
              </w:rPr>
              <w:t>氰化物</w:t>
            </w:r>
          </w:p>
        </w:tc>
        <w:tc>
          <w:tcPr>
            <w:tcW w:w="820" w:type="pct"/>
            <w:shd w:val="clear" w:color="auto" w:fill="auto"/>
            <w:vAlign w:val="center"/>
          </w:tcPr>
          <w:p w14:paraId="38A0335D">
            <w:pPr>
              <w:pStyle w:val="90"/>
            </w:pPr>
            <w:r>
              <w:rPr>
                <w:rFonts w:hint="eastAsia"/>
              </w:rPr>
              <w:t>0</w:t>
            </w:r>
            <w:r>
              <w:t>.00058</w:t>
            </w:r>
          </w:p>
        </w:tc>
        <w:tc>
          <w:tcPr>
            <w:tcW w:w="624" w:type="pct"/>
            <w:shd w:val="clear" w:color="auto" w:fill="auto"/>
            <w:vAlign w:val="center"/>
          </w:tcPr>
          <w:p w14:paraId="7A771831">
            <w:pPr>
              <w:pStyle w:val="90"/>
            </w:pPr>
            <w:r>
              <w:rPr>
                <w:rFonts w:hint="eastAsia"/>
              </w:rPr>
              <w:t>0</w:t>
            </w:r>
            <w:r>
              <w:t>.75</w:t>
            </w:r>
          </w:p>
        </w:tc>
        <w:tc>
          <w:tcPr>
            <w:tcW w:w="624" w:type="pct"/>
            <w:vMerge w:val="continue"/>
            <w:shd w:val="clear" w:color="auto" w:fill="auto"/>
            <w:vAlign w:val="center"/>
          </w:tcPr>
          <w:p w14:paraId="4BEB03AA">
            <w:pPr>
              <w:pStyle w:val="90"/>
            </w:pPr>
          </w:p>
        </w:tc>
        <w:tc>
          <w:tcPr>
            <w:tcW w:w="624" w:type="pct"/>
            <w:shd w:val="clear" w:color="auto" w:fill="auto"/>
            <w:vAlign w:val="center"/>
          </w:tcPr>
          <w:p w14:paraId="4D3AC6AE">
            <w:pPr>
              <w:pStyle w:val="90"/>
            </w:pPr>
            <w:r>
              <w:rPr>
                <w:rFonts w:hint="eastAsia"/>
              </w:rPr>
              <w:t>0.00012</w:t>
            </w:r>
          </w:p>
        </w:tc>
        <w:tc>
          <w:tcPr>
            <w:tcW w:w="624" w:type="pct"/>
            <w:shd w:val="clear" w:color="auto" w:fill="auto"/>
            <w:vAlign w:val="center"/>
          </w:tcPr>
          <w:p w14:paraId="33CF64A8">
            <w:pPr>
              <w:pStyle w:val="90"/>
            </w:pPr>
            <w:r>
              <w:rPr>
                <w:rFonts w:hint="eastAsia"/>
              </w:rPr>
              <w:t>0.16</w:t>
            </w:r>
          </w:p>
        </w:tc>
        <w:tc>
          <w:tcPr>
            <w:tcW w:w="624" w:type="pct"/>
            <w:vMerge w:val="continue"/>
            <w:shd w:val="clear" w:color="auto" w:fill="auto"/>
            <w:vAlign w:val="center"/>
          </w:tcPr>
          <w:p w14:paraId="2848E9BD">
            <w:pPr>
              <w:pStyle w:val="90"/>
            </w:pPr>
          </w:p>
        </w:tc>
      </w:tr>
      <w:tr w14:paraId="2A54C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0B5D686A">
            <w:pPr>
              <w:pStyle w:val="90"/>
            </w:pPr>
            <w:r>
              <w:rPr>
                <w:rFonts w:hint="eastAsia"/>
              </w:rPr>
              <w:t>冲洗废水</w:t>
            </w:r>
          </w:p>
        </w:tc>
        <w:tc>
          <w:tcPr>
            <w:tcW w:w="730" w:type="pct"/>
            <w:shd w:val="clear" w:color="auto" w:fill="auto"/>
            <w:vAlign w:val="center"/>
          </w:tcPr>
          <w:p w14:paraId="307F7F77">
            <w:pPr>
              <w:pStyle w:val="90"/>
            </w:pPr>
            <w:r>
              <w:rPr>
                <w:rFonts w:hint="eastAsia"/>
              </w:rPr>
              <w:t>废水量</w:t>
            </w:r>
          </w:p>
        </w:tc>
        <w:tc>
          <w:tcPr>
            <w:tcW w:w="820" w:type="pct"/>
            <w:shd w:val="clear" w:color="auto" w:fill="auto"/>
            <w:vAlign w:val="center"/>
          </w:tcPr>
          <w:p w14:paraId="0CE6EDF0">
            <w:pPr>
              <w:pStyle w:val="90"/>
            </w:pPr>
            <w:r>
              <w:rPr>
                <w:rFonts w:hint="eastAsia"/>
              </w:rPr>
              <w:t>2</w:t>
            </w:r>
            <w:r>
              <w:t>52.74</w:t>
            </w:r>
            <w:r>
              <w:rPr>
                <w:rFonts w:hint="eastAsia"/>
              </w:rPr>
              <w:t>m</w:t>
            </w:r>
            <w:r>
              <w:rPr>
                <w:vertAlign w:val="superscript"/>
              </w:rPr>
              <w:t>3</w:t>
            </w:r>
            <w:r>
              <w:t>/a</w:t>
            </w:r>
          </w:p>
        </w:tc>
        <w:tc>
          <w:tcPr>
            <w:tcW w:w="624" w:type="pct"/>
            <w:shd w:val="clear" w:color="auto" w:fill="auto"/>
            <w:vAlign w:val="center"/>
          </w:tcPr>
          <w:p w14:paraId="55FD2EF8">
            <w:pPr>
              <w:pStyle w:val="90"/>
            </w:pPr>
            <w:r>
              <w:rPr>
                <w:rFonts w:hint="eastAsia"/>
              </w:rPr>
              <w:t>/</w:t>
            </w:r>
          </w:p>
        </w:tc>
        <w:tc>
          <w:tcPr>
            <w:tcW w:w="624" w:type="pct"/>
            <w:vMerge w:val="continue"/>
            <w:shd w:val="clear" w:color="auto" w:fill="auto"/>
            <w:vAlign w:val="center"/>
          </w:tcPr>
          <w:p w14:paraId="7B177239">
            <w:pPr>
              <w:pStyle w:val="90"/>
            </w:pPr>
          </w:p>
        </w:tc>
        <w:tc>
          <w:tcPr>
            <w:tcW w:w="624" w:type="pct"/>
            <w:shd w:val="clear" w:color="auto" w:fill="auto"/>
            <w:vAlign w:val="center"/>
          </w:tcPr>
          <w:p w14:paraId="25037959">
            <w:pPr>
              <w:pStyle w:val="90"/>
            </w:pPr>
            <w:r>
              <w:rPr>
                <w:rFonts w:hint="eastAsia"/>
              </w:rPr>
              <w:t>2</w:t>
            </w:r>
            <w:r>
              <w:t>52.74</w:t>
            </w:r>
          </w:p>
        </w:tc>
        <w:tc>
          <w:tcPr>
            <w:tcW w:w="624" w:type="pct"/>
            <w:shd w:val="clear" w:color="auto" w:fill="auto"/>
            <w:vAlign w:val="center"/>
          </w:tcPr>
          <w:p w14:paraId="29444B99">
            <w:pPr>
              <w:pStyle w:val="90"/>
            </w:pPr>
            <w:r>
              <w:rPr>
                <w:rFonts w:hint="eastAsia"/>
              </w:rPr>
              <w:t>/</w:t>
            </w:r>
          </w:p>
        </w:tc>
        <w:tc>
          <w:tcPr>
            <w:tcW w:w="624" w:type="pct"/>
            <w:vMerge w:val="continue"/>
            <w:shd w:val="clear" w:color="auto" w:fill="auto"/>
            <w:vAlign w:val="center"/>
          </w:tcPr>
          <w:p w14:paraId="2CCBD506">
            <w:pPr>
              <w:pStyle w:val="90"/>
            </w:pPr>
          </w:p>
        </w:tc>
      </w:tr>
      <w:tr w14:paraId="6494F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5F43B763">
            <w:pPr>
              <w:pStyle w:val="90"/>
            </w:pPr>
          </w:p>
        </w:tc>
        <w:tc>
          <w:tcPr>
            <w:tcW w:w="730" w:type="pct"/>
            <w:shd w:val="clear" w:color="auto" w:fill="auto"/>
            <w:vAlign w:val="center"/>
          </w:tcPr>
          <w:p w14:paraId="616C7ECD">
            <w:pPr>
              <w:pStyle w:val="90"/>
            </w:pPr>
            <w:r>
              <w:rPr>
                <w:rFonts w:hint="eastAsia"/>
              </w:rPr>
              <w:t>COD</w:t>
            </w:r>
          </w:p>
        </w:tc>
        <w:tc>
          <w:tcPr>
            <w:tcW w:w="820" w:type="pct"/>
            <w:shd w:val="clear" w:color="auto" w:fill="auto"/>
            <w:vAlign w:val="bottom"/>
          </w:tcPr>
          <w:p w14:paraId="2B22B9EF">
            <w:pPr>
              <w:pStyle w:val="90"/>
              <w:rPr>
                <w:kern w:val="0"/>
              </w:rPr>
            </w:pPr>
            <w:r>
              <w:rPr>
                <w:rFonts w:hint="eastAsia"/>
              </w:rPr>
              <w:t>0.17</w:t>
            </w:r>
            <w:r>
              <w:t>7</w:t>
            </w:r>
          </w:p>
        </w:tc>
        <w:tc>
          <w:tcPr>
            <w:tcW w:w="624" w:type="pct"/>
            <w:shd w:val="clear" w:color="auto" w:fill="auto"/>
            <w:vAlign w:val="center"/>
          </w:tcPr>
          <w:p w14:paraId="639ADCC0">
            <w:pPr>
              <w:pStyle w:val="90"/>
            </w:pPr>
            <w:r>
              <w:rPr>
                <w:rFonts w:hint="eastAsia"/>
              </w:rPr>
              <w:t>7</w:t>
            </w:r>
            <w:r>
              <w:t>00</w:t>
            </w:r>
          </w:p>
        </w:tc>
        <w:tc>
          <w:tcPr>
            <w:tcW w:w="624" w:type="pct"/>
            <w:vMerge w:val="continue"/>
            <w:shd w:val="clear" w:color="auto" w:fill="auto"/>
            <w:vAlign w:val="center"/>
          </w:tcPr>
          <w:p w14:paraId="6271D7C6">
            <w:pPr>
              <w:pStyle w:val="90"/>
            </w:pPr>
          </w:p>
        </w:tc>
        <w:tc>
          <w:tcPr>
            <w:tcW w:w="624" w:type="pct"/>
            <w:shd w:val="clear" w:color="auto" w:fill="auto"/>
            <w:vAlign w:val="bottom"/>
          </w:tcPr>
          <w:p w14:paraId="6C84C9C6">
            <w:pPr>
              <w:pStyle w:val="90"/>
              <w:rPr>
                <w:kern w:val="0"/>
              </w:rPr>
            </w:pPr>
            <w:r>
              <w:rPr>
                <w:rFonts w:hint="eastAsia"/>
              </w:rPr>
              <w:t>0.063</w:t>
            </w:r>
          </w:p>
        </w:tc>
        <w:tc>
          <w:tcPr>
            <w:tcW w:w="624" w:type="pct"/>
            <w:shd w:val="clear" w:color="auto" w:fill="auto"/>
            <w:vAlign w:val="center"/>
          </w:tcPr>
          <w:p w14:paraId="0E18B2A7">
            <w:pPr>
              <w:pStyle w:val="90"/>
            </w:pPr>
            <w:r>
              <w:rPr>
                <w:rFonts w:hint="eastAsia"/>
              </w:rPr>
              <w:t>2</w:t>
            </w:r>
            <w:r>
              <w:t>50</w:t>
            </w:r>
          </w:p>
        </w:tc>
        <w:tc>
          <w:tcPr>
            <w:tcW w:w="624" w:type="pct"/>
            <w:vMerge w:val="continue"/>
            <w:shd w:val="clear" w:color="auto" w:fill="auto"/>
            <w:vAlign w:val="center"/>
          </w:tcPr>
          <w:p w14:paraId="6286413B">
            <w:pPr>
              <w:pStyle w:val="90"/>
            </w:pPr>
          </w:p>
        </w:tc>
      </w:tr>
      <w:tr w14:paraId="51DF6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7E4EA1C6">
            <w:pPr>
              <w:pStyle w:val="90"/>
            </w:pPr>
          </w:p>
        </w:tc>
        <w:tc>
          <w:tcPr>
            <w:tcW w:w="730" w:type="pct"/>
            <w:shd w:val="clear" w:color="auto" w:fill="auto"/>
            <w:vAlign w:val="center"/>
          </w:tcPr>
          <w:p w14:paraId="7040C814">
            <w:pPr>
              <w:pStyle w:val="90"/>
            </w:pPr>
            <w:r>
              <w:rPr>
                <w:rFonts w:hint="eastAsia"/>
              </w:rPr>
              <w:t>BOD</w:t>
            </w:r>
            <w:r>
              <w:rPr>
                <w:vertAlign w:val="subscript"/>
              </w:rPr>
              <w:t>5</w:t>
            </w:r>
          </w:p>
        </w:tc>
        <w:tc>
          <w:tcPr>
            <w:tcW w:w="820" w:type="pct"/>
            <w:shd w:val="clear" w:color="auto" w:fill="auto"/>
            <w:vAlign w:val="bottom"/>
          </w:tcPr>
          <w:p w14:paraId="2475E6E1">
            <w:pPr>
              <w:pStyle w:val="90"/>
            </w:pPr>
            <w:r>
              <w:rPr>
                <w:rFonts w:hint="eastAsia"/>
              </w:rPr>
              <w:t>0.00</w:t>
            </w:r>
            <w:r>
              <w:t>8</w:t>
            </w:r>
          </w:p>
        </w:tc>
        <w:tc>
          <w:tcPr>
            <w:tcW w:w="624" w:type="pct"/>
            <w:shd w:val="clear" w:color="auto" w:fill="auto"/>
            <w:vAlign w:val="center"/>
          </w:tcPr>
          <w:p w14:paraId="1ECF5B05">
            <w:pPr>
              <w:pStyle w:val="90"/>
            </w:pPr>
            <w:r>
              <w:rPr>
                <w:rFonts w:hint="eastAsia"/>
              </w:rPr>
              <w:t>3</w:t>
            </w:r>
            <w:r>
              <w:t>0</w:t>
            </w:r>
          </w:p>
        </w:tc>
        <w:tc>
          <w:tcPr>
            <w:tcW w:w="624" w:type="pct"/>
            <w:vMerge w:val="continue"/>
            <w:shd w:val="clear" w:color="auto" w:fill="auto"/>
            <w:vAlign w:val="center"/>
          </w:tcPr>
          <w:p w14:paraId="276A1C8E">
            <w:pPr>
              <w:pStyle w:val="90"/>
            </w:pPr>
          </w:p>
        </w:tc>
        <w:tc>
          <w:tcPr>
            <w:tcW w:w="624" w:type="pct"/>
            <w:shd w:val="clear" w:color="auto" w:fill="auto"/>
            <w:vAlign w:val="bottom"/>
          </w:tcPr>
          <w:p w14:paraId="69150FF9">
            <w:pPr>
              <w:pStyle w:val="90"/>
            </w:pPr>
            <w:r>
              <w:rPr>
                <w:rFonts w:hint="eastAsia"/>
              </w:rPr>
              <w:t>0.00</w:t>
            </w:r>
            <w:r>
              <w:t>3</w:t>
            </w:r>
          </w:p>
        </w:tc>
        <w:tc>
          <w:tcPr>
            <w:tcW w:w="624" w:type="pct"/>
            <w:shd w:val="clear" w:color="auto" w:fill="auto"/>
            <w:vAlign w:val="center"/>
          </w:tcPr>
          <w:p w14:paraId="347E2192">
            <w:pPr>
              <w:pStyle w:val="90"/>
            </w:pPr>
            <w:r>
              <w:rPr>
                <w:rFonts w:hint="eastAsia"/>
              </w:rPr>
              <w:t>1</w:t>
            </w:r>
            <w:r>
              <w:t>0</w:t>
            </w:r>
          </w:p>
        </w:tc>
        <w:tc>
          <w:tcPr>
            <w:tcW w:w="624" w:type="pct"/>
            <w:vMerge w:val="continue"/>
            <w:shd w:val="clear" w:color="auto" w:fill="auto"/>
            <w:vAlign w:val="center"/>
          </w:tcPr>
          <w:p w14:paraId="72A908EC">
            <w:pPr>
              <w:pStyle w:val="90"/>
            </w:pPr>
          </w:p>
        </w:tc>
      </w:tr>
      <w:tr w14:paraId="388DD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52B0AA2F">
            <w:pPr>
              <w:pStyle w:val="90"/>
            </w:pPr>
          </w:p>
        </w:tc>
        <w:tc>
          <w:tcPr>
            <w:tcW w:w="730" w:type="pct"/>
            <w:shd w:val="clear" w:color="auto" w:fill="auto"/>
            <w:vAlign w:val="center"/>
          </w:tcPr>
          <w:p w14:paraId="246A1D41">
            <w:pPr>
              <w:pStyle w:val="90"/>
            </w:pPr>
            <w:r>
              <w:rPr>
                <w:rFonts w:hint="eastAsia"/>
              </w:rPr>
              <w:t>SS</w:t>
            </w:r>
          </w:p>
        </w:tc>
        <w:tc>
          <w:tcPr>
            <w:tcW w:w="820" w:type="pct"/>
            <w:shd w:val="clear" w:color="auto" w:fill="auto"/>
            <w:vAlign w:val="bottom"/>
          </w:tcPr>
          <w:p w14:paraId="5E378F0A">
            <w:pPr>
              <w:pStyle w:val="90"/>
            </w:pPr>
            <w:r>
              <w:rPr>
                <w:rFonts w:hint="eastAsia"/>
              </w:rPr>
              <w:t>0.101</w:t>
            </w:r>
          </w:p>
        </w:tc>
        <w:tc>
          <w:tcPr>
            <w:tcW w:w="624" w:type="pct"/>
            <w:shd w:val="clear" w:color="auto" w:fill="auto"/>
            <w:vAlign w:val="center"/>
          </w:tcPr>
          <w:p w14:paraId="64110609">
            <w:pPr>
              <w:pStyle w:val="90"/>
            </w:pPr>
            <w:r>
              <w:rPr>
                <w:rFonts w:hint="eastAsia"/>
              </w:rPr>
              <w:t>4</w:t>
            </w:r>
            <w:r>
              <w:t>00</w:t>
            </w:r>
          </w:p>
        </w:tc>
        <w:tc>
          <w:tcPr>
            <w:tcW w:w="624" w:type="pct"/>
            <w:vMerge w:val="continue"/>
            <w:shd w:val="clear" w:color="auto" w:fill="auto"/>
            <w:vAlign w:val="center"/>
          </w:tcPr>
          <w:p w14:paraId="471A2C2C">
            <w:pPr>
              <w:pStyle w:val="90"/>
            </w:pPr>
          </w:p>
        </w:tc>
        <w:tc>
          <w:tcPr>
            <w:tcW w:w="624" w:type="pct"/>
            <w:shd w:val="clear" w:color="auto" w:fill="auto"/>
            <w:vAlign w:val="bottom"/>
          </w:tcPr>
          <w:p w14:paraId="156E1988">
            <w:pPr>
              <w:pStyle w:val="90"/>
            </w:pPr>
            <w:r>
              <w:rPr>
                <w:rFonts w:hint="eastAsia"/>
              </w:rPr>
              <w:t>0.025</w:t>
            </w:r>
          </w:p>
        </w:tc>
        <w:tc>
          <w:tcPr>
            <w:tcW w:w="624" w:type="pct"/>
            <w:shd w:val="clear" w:color="auto" w:fill="auto"/>
            <w:vAlign w:val="center"/>
          </w:tcPr>
          <w:p w14:paraId="6FBC1978">
            <w:pPr>
              <w:pStyle w:val="90"/>
            </w:pPr>
            <w:r>
              <w:rPr>
                <w:rFonts w:hint="eastAsia"/>
              </w:rPr>
              <w:t>1</w:t>
            </w:r>
            <w:r>
              <w:t>00</w:t>
            </w:r>
          </w:p>
        </w:tc>
        <w:tc>
          <w:tcPr>
            <w:tcW w:w="624" w:type="pct"/>
            <w:vMerge w:val="continue"/>
            <w:shd w:val="clear" w:color="auto" w:fill="auto"/>
            <w:vAlign w:val="center"/>
          </w:tcPr>
          <w:p w14:paraId="16F93969">
            <w:pPr>
              <w:pStyle w:val="90"/>
            </w:pPr>
          </w:p>
        </w:tc>
      </w:tr>
      <w:tr w14:paraId="445BB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5EFD91A9">
            <w:pPr>
              <w:pStyle w:val="90"/>
            </w:pPr>
          </w:p>
        </w:tc>
        <w:tc>
          <w:tcPr>
            <w:tcW w:w="730" w:type="pct"/>
            <w:shd w:val="clear" w:color="auto" w:fill="auto"/>
            <w:vAlign w:val="center"/>
          </w:tcPr>
          <w:p w14:paraId="0A3BFBB9">
            <w:pPr>
              <w:pStyle w:val="90"/>
            </w:pPr>
            <w:r>
              <w:rPr>
                <w:rFonts w:hint="eastAsia"/>
              </w:rPr>
              <w:t>石油类</w:t>
            </w:r>
          </w:p>
        </w:tc>
        <w:tc>
          <w:tcPr>
            <w:tcW w:w="820" w:type="pct"/>
            <w:shd w:val="clear" w:color="auto" w:fill="auto"/>
            <w:vAlign w:val="bottom"/>
          </w:tcPr>
          <w:p w14:paraId="7C548C5D">
            <w:pPr>
              <w:pStyle w:val="90"/>
            </w:pPr>
            <w:r>
              <w:rPr>
                <w:rFonts w:hint="eastAsia"/>
              </w:rPr>
              <w:t>0.126</w:t>
            </w:r>
          </w:p>
        </w:tc>
        <w:tc>
          <w:tcPr>
            <w:tcW w:w="624" w:type="pct"/>
            <w:shd w:val="clear" w:color="auto" w:fill="auto"/>
            <w:vAlign w:val="center"/>
          </w:tcPr>
          <w:p w14:paraId="2E9DF9F7">
            <w:pPr>
              <w:pStyle w:val="90"/>
            </w:pPr>
            <w:r>
              <w:rPr>
                <w:rFonts w:hint="eastAsia"/>
              </w:rPr>
              <w:t>5</w:t>
            </w:r>
            <w:r>
              <w:t>00</w:t>
            </w:r>
          </w:p>
        </w:tc>
        <w:tc>
          <w:tcPr>
            <w:tcW w:w="624" w:type="pct"/>
            <w:vMerge w:val="continue"/>
            <w:shd w:val="clear" w:color="auto" w:fill="auto"/>
            <w:vAlign w:val="center"/>
          </w:tcPr>
          <w:p w14:paraId="738A5AE9">
            <w:pPr>
              <w:pStyle w:val="90"/>
            </w:pPr>
          </w:p>
        </w:tc>
        <w:tc>
          <w:tcPr>
            <w:tcW w:w="624" w:type="pct"/>
            <w:shd w:val="clear" w:color="auto" w:fill="auto"/>
            <w:vAlign w:val="bottom"/>
          </w:tcPr>
          <w:p w14:paraId="3158D3D7">
            <w:pPr>
              <w:pStyle w:val="90"/>
            </w:pPr>
            <w:r>
              <w:rPr>
                <w:rFonts w:hint="eastAsia"/>
              </w:rPr>
              <w:t>0.00</w:t>
            </w:r>
            <w:r>
              <w:t>4</w:t>
            </w:r>
          </w:p>
        </w:tc>
        <w:tc>
          <w:tcPr>
            <w:tcW w:w="624" w:type="pct"/>
            <w:shd w:val="clear" w:color="auto" w:fill="auto"/>
            <w:vAlign w:val="center"/>
          </w:tcPr>
          <w:p w14:paraId="68D75ED8">
            <w:pPr>
              <w:pStyle w:val="90"/>
            </w:pPr>
            <w:r>
              <w:rPr>
                <w:rFonts w:hint="eastAsia"/>
              </w:rPr>
              <w:t>1</w:t>
            </w:r>
            <w:r>
              <w:t>5</w:t>
            </w:r>
          </w:p>
        </w:tc>
        <w:tc>
          <w:tcPr>
            <w:tcW w:w="624" w:type="pct"/>
            <w:vMerge w:val="continue"/>
            <w:shd w:val="clear" w:color="auto" w:fill="auto"/>
            <w:vAlign w:val="center"/>
          </w:tcPr>
          <w:p w14:paraId="6563CC55">
            <w:pPr>
              <w:pStyle w:val="90"/>
            </w:pPr>
          </w:p>
        </w:tc>
      </w:tr>
      <w:tr w14:paraId="04263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14E11F6E">
            <w:pPr>
              <w:pStyle w:val="90"/>
            </w:pPr>
          </w:p>
        </w:tc>
        <w:tc>
          <w:tcPr>
            <w:tcW w:w="730" w:type="pct"/>
            <w:shd w:val="clear" w:color="auto" w:fill="auto"/>
            <w:vAlign w:val="center"/>
          </w:tcPr>
          <w:p w14:paraId="3BB24DE5">
            <w:pPr>
              <w:pStyle w:val="90"/>
            </w:pPr>
            <w:r>
              <w:rPr>
                <w:rFonts w:hint="eastAsia"/>
              </w:rPr>
              <w:t>氨氮</w:t>
            </w:r>
          </w:p>
        </w:tc>
        <w:tc>
          <w:tcPr>
            <w:tcW w:w="820" w:type="pct"/>
            <w:shd w:val="clear" w:color="auto" w:fill="auto"/>
            <w:vAlign w:val="bottom"/>
          </w:tcPr>
          <w:p w14:paraId="2698AD4F">
            <w:pPr>
              <w:pStyle w:val="90"/>
            </w:pPr>
            <w:r>
              <w:rPr>
                <w:rFonts w:hint="eastAsia"/>
              </w:rPr>
              <w:t>0.005</w:t>
            </w:r>
          </w:p>
        </w:tc>
        <w:tc>
          <w:tcPr>
            <w:tcW w:w="624" w:type="pct"/>
            <w:shd w:val="clear" w:color="auto" w:fill="auto"/>
            <w:vAlign w:val="center"/>
          </w:tcPr>
          <w:p w14:paraId="61AC57AC">
            <w:pPr>
              <w:pStyle w:val="90"/>
            </w:pPr>
            <w:r>
              <w:rPr>
                <w:rFonts w:hint="eastAsia"/>
              </w:rPr>
              <w:t>2</w:t>
            </w:r>
            <w:r>
              <w:t>0</w:t>
            </w:r>
          </w:p>
        </w:tc>
        <w:tc>
          <w:tcPr>
            <w:tcW w:w="624" w:type="pct"/>
            <w:vMerge w:val="continue"/>
            <w:shd w:val="clear" w:color="auto" w:fill="auto"/>
            <w:vAlign w:val="center"/>
          </w:tcPr>
          <w:p w14:paraId="3AD60CEF">
            <w:pPr>
              <w:pStyle w:val="90"/>
            </w:pPr>
          </w:p>
        </w:tc>
        <w:tc>
          <w:tcPr>
            <w:tcW w:w="624" w:type="pct"/>
            <w:shd w:val="clear" w:color="auto" w:fill="auto"/>
            <w:vAlign w:val="bottom"/>
          </w:tcPr>
          <w:p w14:paraId="52F461A4">
            <w:pPr>
              <w:pStyle w:val="90"/>
            </w:pPr>
            <w:r>
              <w:rPr>
                <w:rFonts w:hint="eastAsia"/>
              </w:rPr>
              <w:t>0.00</w:t>
            </w:r>
            <w:r>
              <w:t>3</w:t>
            </w:r>
          </w:p>
        </w:tc>
        <w:tc>
          <w:tcPr>
            <w:tcW w:w="624" w:type="pct"/>
            <w:shd w:val="clear" w:color="auto" w:fill="auto"/>
            <w:vAlign w:val="center"/>
          </w:tcPr>
          <w:p w14:paraId="3A042E82">
            <w:pPr>
              <w:pStyle w:val="90"/>
            </w:pPr>
            <w:r>
              <w:t>10</w:t>
            </w:r>
          </w:p>
        </w:tc>
        <w:tc>
          <w:tcPr>
            <w:tcW w:w="624" w:type="pct"/>
            <w:vMerge w:val="continue"/>
            <w:shd w:val="clear" w:color="auto" w:fill="auto"/>
            <w:vAlign w:val="center"/>
          </w:tcPr>
          <w:p w14:paraId="279565D4">
            <w:pPr>
              <w:pStyle w:val="90"/>
            </w:pPr>
          </w:p>
        </w:tc>
      </w:tr>
      <w:tr w14:paraId="0AD9F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67D63F93">
            <w:pPr>
              <w:pStyle w:val="90"/>
            </w:pPr>
          </w:p>
        </w:tc>
        <w:tc>
          <w:tcPr>
            <w:tcW w:w="730" w:type="pct"/>
            <w:shd w:val="clear" w:color="auto" w:fill="auto"/>
            <w:vAlign w:val="center"/>
          </w:tcPr>
          <w:p w14:paraId="46F20B24">
            <w:pPr>
              <w:pStyle w:val="90"/>
            </w:pPr>
            <w:r>
              <w:rPr>
                <w:rFonts w:hint="eastAsia"/>
              </w:rPr>
              <w:t>TDS</w:t>
            </w:r>
          </w:p>
        </w:tc>
        <w:tc>
          <w:tcPr>
            <w:tcW w:w="820" w:type="pct"/>
            <w:shd w:val="clear" w:color="auto" w:fill="auto"/>
            <w:vAlign w:val="bottom"/>
          </w:tcPr>
          <w:p w14:paraId="294D5C49">
            <w:pPr>
              <w:pStyle w:val="90"/>
            </w:pPr>
            <w:r>
              <w:rPr>
                <w:rFonts w:hint="eastAsia"/>
              </w:rPr>
              <w:t>0.126</w:t>
            </w:r>
          </w:p>
        </w:tc>
        <w:tc>
          <w:tcPr>
            <w:tcW w:w="624" w:type="pct"/>
            <w:shd w:val="clear" w:color="auto" w:fill="auto"/>
            <w:vAlign w:val="center"/>
          </w:tcPr>
          <w:p w14:paraId="0F3817FB">
            <w:pPr>
              <w:pStyle w:val="90"/>
            </w:pPr>
            <w:r>
              <w:rPr>
                <w:rFonts w:hint="eastAsia"/>
              </w:rPr>
              <w:t>5</w:t>
            </w:r>
            <w:r>
              <w:t>00</w:t>
            </w:r>
          </w:p>
        </w:tc>
        <w:tc>
          <w:tcPr>
            <w:tcW w:w="624" w:type="pct"/>
            <w:vMerge w:val="continue"/>
            <w:shd w:val="clear" w:color="auto" w:fill="auto"/>
            <w:vAlign w:val="center"/>
          </w:tcPr>
          <w:p w14:paraId="405553D3">
            <w:pPr>
              <w:pStyle w:val="90"/>
            </w:pPr>
          </w:p>
        </w:tc>
        <w:tc>
          <w:tcPr>
            <w:tcW w:w="624" w:type="pct"/>
            <w:shd w:val="clear" w:color="auto" w:fill="auto"/>
            <w:vAlign w:val="bottom"/>
          </w:tcPr>
          <w:p w14:paraId="413797D7">
            <w:pPr>
              <w:pStyle w:val="90"/>
            </w:pPr>
            <w:r>
              <w:rPr>
                <w:rFonts w:hint="eastAsia"/>
              </w:rPr>
              <w:t>0.005</w:t>
            </w:r>
          </w:p>
        </w:tc>
        <w:tc>
          <w:tcPr>
            <w:tcW w:w="624" w:type="pct"/>
            <w:shd w:val="clear" w:color="auto" w:fill="auto"/>
            <w:vAlign w:val="center"/>
          </w:tcPr>
          <w:p w14:paraId="1205074B">
            <w:pPr>
              <w:pStyle w:val="90"/>
            </w:pPr>
            <w:r>
              <w:rPr>
                <w:rFonts w:hint="eastAsia"/>
              </w:rPr>
              <w:t>2</w:t>
            </w:r>
            <w:r>
              <w:t>0</w:t>
            </w:r>
          </w:p>
        </w:tc>
        <w:tc>
          <w:tcPr>
            <w:tcW w:w="624" w:type="pct"/>
            <w:vMerge w:val="continue"/>
            <w:shd w:val="clear" w:color="auto" w:fill="auto"/>
            <w:vAlign w:val="center"/>
          </w:tcPr>
          <w:p w14:paraId="059A573D">
            <w:pPr>
              <w:pStyle w:val="90"/>
            </w:pPr>
          </w:p>
        </w:tc>
      </w:tr>
      <w:tr w14:paraId="68824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45F5B77F">
            <w:pPr>
              <w:pStyle w:val="90"/>
            </w:pPr>
            <w:r>
              <w:rPr>
                <w:rFonts w:hint="eastAsia"/>
              </w:rPr>
              <w:t>循环冷却水排污</w:t>
            </w:r>
          </w:p>
        </w:tc>
        <w:tc>
          <w:tcPr>
            <w:tcW w:w="730" w:type="pct"/>
            <w:shd w:val="clear" w:color="auto" w:fill="auto"/>
            <w:vAlign w:val="center"/>
          </w:tcPr>
          <w:p w14:paraId="1560FC8C">
            <w:pPr>
              <w:pStyle w:val="90"/>
            </w:pPr>
            <w:r>
              <w:rPr>
                <w:rFonts w:hint="eastAsia"/>
              </w:rPr>
              <w:t>废水量</w:t>
            </w:r>
          </w:p>
        </w:tc>
        <w:tc>
          <w:tcPr>
            <w:tcW w:w="820" w:type="pct"/>
            <w:shd w:val="clear" w:color="auto" w:fill="auto"/>
            <w:vAlign w:val="center"/>
          </w:tcPr>
          <w:p w14:paraId="6A2814F8">
            <w:pPr>
              <w:pStyle w:val="90"/>
            </w:pPr>
            <w:r>
              <w:rPr>
                <w:rFonts w:hint="eastAsia"/>
              </w:rPr>
              <w:t>2</w:t>
            </w:r>
            <w:r>
              <w:t>592</w:t>
            </w:r>
            <w:r>
              <w:rPr>
                <w:rFonts w:hint="eastAsia"/>
              </w:rPr>
              <w:t>m</w:t>
            </w:r>
            <w:r>
              <w:rPr>
                <w:vertAlign w:val="superscript"/>
              </w:rPr>
              <w:t>3</w:t>
            </w:r>
            <w:r>
              <w:t>/a</w:t>
            </w:r>
          </w:p>
        </w:tc>
        <w:tc>
          <w:tcPr>
            <w:tcW w:w="624" w:type="pct"/>
            <w:shd w:val="clear" w:color="auto" w:fill="auto"/>
            <w:vAlign w:val="center"/>
          </w:tcPr>
          <w:p w14:paraId="1ACC4660">
            <w:pPr>
              <w:pStyle w:val="90"/>
            </w:pPr>
            <w:r>
              <w:rPr>
                <w:rFonts w:hint="eastAsia"/>
              </w:rPr>
              <w:t>/</w:t>
            </w:r>
          </w:p>
        </w:tc>
        <w:tc>
          <w:tcPr>
            <w:tcW w:w="624" w:type="pct"/>
            <w:vMerge w:val="continue"/>
            <w:shd w:val="clear" w:color="auto" w:fill="auto"/>
            <w:vAlign w:val="center"/>
          </w:tcPr>
          <w:p w14:paraId="22488481">
            <w:pPr>
              <w:pStyle w:val="90"/>
            </w:pPr>
          </w:p>
        </w:tc>
        <w:tc>
          <w:tcPr>
            <w:tcW w:w="624" w:type="pct"/>
            <w:shd w:val="clear" w:color="auto" w:fill="auto"/>
            <w:vAlign w:val="center"/>
          </w:tcPr>
          <w:p w14:paraId="77DE9E43">
            <w:pPr>
              <w:pStyle w:val="90"/>
            </w:pPr>
            <w:r>
              <w:rPr>
                <w:rFonts w:hint="eastAsia"/>
              </w:rPr>
              <w:t>2</w:t>
            </w:r>
            <w:r>
              <w:t>592</w:t>
            </w:r>
            <w:r>
              <w:rPr>
                <w:rFonts w:hint="eastAsia"/>
              </w:rPr>
              <w:t>m</w:t>
            </w:r>
            <w:r>
              <w:rPr>
                <w:vertAlign w:val="superscript"/>
              </w:rPr>
              <w:t>3</w:t>
            </w:r>
            <w:r>
              <w:t>/a</w:t>
            </w:r>
          </w:p>
        </w:tc>
        <w:tc>
          <w:tcPr>
            <w:tcW w:w="624" w:type="pct"/>
            <w:shd w:val="clear" w:color="auto" w:fill="auto"/>
            <w:vAlign w:val="center"/>
          </w:tcPr>
          <w:p w14:paraId="17A6747B">
            <w:pPr>
              <w:pStyle w:val="90"/>
            </w:pPr>
            <w:r>
              <w:rPr>
                <w:rFonts w:hint="eastAsia"/>
              </w:rPr>
              <w:t>/</w:t>
            </w:r>
          </w:p>
        </w:tc>
        <w:tc>
          <w:tcPr>
            <w:tcW w:w="624" w:type="pct"/>
            <w:vMerge w:val="continue"/>
            <w:shd w:val="clear" w:color="auto" w:fill="auto"/>
            <w:vAlign w:val="center"/>
          </w:tcPr>
          <w:p w14:paraId="6BE81ECC">
            <w:pPr>
              <w:pStyle w:val="90"/>
            </w:pPr>
          </w:p>
        </w:tc>
      </w:tr>
      <w:tr w14:paraId="4FA28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1453860D">
            <w:pPr>
              <w:pStyle w:val="90"/>
            </w:pPr>
          </w:p>
        </w:tc>
        <w:tc>
          <w:tcPr>
            <w:tcW w:w="730" w:type="pct"/>
            <w:shd w:val="clear" w:color="auto" w:fill="auto"/>
            <w:vAlign w:val="center"/>
          </w:tcPr>
          <w:p w14:paraId="05D1C511">
            <w:pPr>
              <w:pStyle w:val="90"/>
            </w:pPr>
            <w:r>
              <w:rPr>
                <w:rFonts w:hint="eastAsia"/>
              </w:rPr>
              <w:t>COD</w:t>
            </w:r>
          </w:p>
        </w:tc>
        <w:tc>
          <w:tcPr>
            <w:tcW w:w="820" w:type="pct"/>
            <w:shd w:val="clear" w:color="auto" w:fill="auto"/>
            <w:vAlign w:val="bottom"/>
          </w:tcPr>
          <w:p w14:paraId="32115A6A">
            <w:pPr>
              <w:pStyle w:val="90"/>
              <w:rPr>
                <w:kern w:val="0"/>
              </w:rPr>
            </w:pPr>
            <w:r>
              <w:rPr>
                <w:rFonts w:hint="eastAsia"/>
              </w:rPr>
              <w:t>0.15</w:t>
            </w:r>
            <w:r>
              <w:t>6</w:t>
            </w:r>
          </w:p>
        </w:tc>
        <w:tc>
          <w:tcPr>
            <w:tcW w:w="624" w:type="pct"/>
            <w:shd w:val="clear" w:color="auto" w:fill="auto"/>
            <w:vAlign w:val="center"/>
          </w:tcPr>
          <w:p w14:paraId="6BD87701">
            <w:pPr>
              <w:pStyle w:val="90"/>
            </w:pPr>
            <w:r>
              <w:rPr>
                <w:rFonts w:hint="eastAsia"/>
              </w:rPr>
              <w:t>6</w:t>
            </w:r>
            <w:r>
              <w:t>0</w:t>
            </w:r>
          </w:p>
        </w:tc>
        <w:tc>
          <w:tcPr>
            <w:tcW w:w="624" w:type="pct"/>
            <w:vMerge w:val="continue"/>
            <w:shd w:val="clear" w:color="auto" w:fill="auto"/>
            <w:vAlign w:val="center"/>
          </w:tcPr>
          <w:p w14:paraId="33253527">
            <w:pPr>
              <w:pStyle w:val="90"/>
            </w:pPr>
          </w:p>
        </w:tc>
        <w:tc>
          <w:tcPr>
            <w:tcW w:w="624" w:type="pct"/>
            <w:shd w:val="clear" w:color="auto" w:fill="auto"/>
            <w:vAlign w:val="bottom"/>
          </w:tcPr>
          <w:p w14:paraId="7647E655">
            <w:pPr>
              <w:pStyle w:val="90"/>
              <w:rPr>
                <w:kern w:val="0"/>
              </w:rPr>
            </w:pPr>
            <w:r>
              <w:rPr>
                <w:rFonts w:hint="eastAsia"/>
              </w:rPr>
              <w:t>0.15</w:t>
            </w:r>
            <w:r>
              <w:t>6</w:t>
            </w:r>
          </w:p>
        </w:tc>
        <w:tc>
          <w:tcPr>
            <w:tcW w:w="624" w:type="pct"/>
            <w:shd w:val="clear" w:color="auto" w:fill="auto"/>
            <w:vAlign w:val="center"/>
          </w:tcPr>
          <w:p w14:paraId="199C827A">
            <w:pPr>
              <w:pStyle w:val="90"/>
            </w:pPr>
            <w:r>
              <w:rPr>
                <w:rFonts w:hint="eastAsia"/>
              </w:rPr>
              <w:t>6</w:t>
            </w:r>
            <w:r>
              <w:t>0</w:t>
            </w:r>
          </w:p>
        </w:tc>
        <w:tc>
          <w:tcPr>
            <w:tcW w:w="624" w:type="pct"/>
            <w:vMerge w:val="continue"/>
            <w:shd w:val="clear" w:color="auto" w:fill="auto"/>
            <w:vAlign w:val="center"/>
          </w:tcPr>
          <w:p w14:paraId="4B2DC377">
            <w:pPr>
              <w:pStyle w:val="90"/>
            </w:pPr>
          </w:p>
        </w:tc>
      </w:tr>
      <w:tr w14:paraId="0B6FE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4AC841AF">
            <w:pPr>
              <w:pStyle w:val="90"/>
            </w:pPr>
          </w:p>
        </w:tc>
        <w:tc>
          <w:tcPr>
            <w:tcW w:w="730" w:type="pct"/>
            <w:shd w:val="clear" w:color="auto" w:fill="auto"/>
            <w:vAlign w:val="center"/>
          </w:tcPr>
          <w:p w14:paraId="147A8198">
            <w:pPr>
              <w:pStyle w:val="90"/>
            </w:pPr>
            <w:r>
              <w:rPr>
                <w:rFonts w:hint="eastAsia"/>
              </w:rPr>
              <w:t>SS</w:t>
            </w:r>
          </w:p>
        </w:tc>
        <w:tc>
          <w:tcPr>
            <w:tcW w:w="820" w:type="pct"/>
            <w:shd w:val="clear" w:color="auto" w:fill="auto"/>
            <w:vAlign w:val="bottom"/>
          </w:tcPr>
          <w:p w14:paraId="3F05AE49">
            <w:pPr>
              <w:pStyle w:val="90"/>
            </w:pPr>
            <w:r>
              <w:rPr>
                <w:rFonts w:hint="eastAsia"/>
              </w:rPr>
              <w:t>0.1</w:t>
            </w:r>
            <w:r>
              <w:t>30</w:t>
            </w:r>
          </w:p>
        </w:tc>
        <w:tc>
          <w:tcPr>
            <w:tcW w:w="624" w:type="pct"/>
            <w:shd w:val="clear" w:color="auto" w:fill="auto"/>
            <w:vAlign w:val="center"/>
          </w:tcPr>
          <w:p w14:paraId="4286A5C0">
            <w:pPr>
              <w:pStyle w:val="90"/>
            </w:pPr>
            <w:r>
              <w:rPr>
                <w:rFonts w:hint="eastAsia"/>
              </w:rPr>
              <w:t>5</w:t>
            </w:r>
            <w:r>
              <w:t>0</w:t>
            </w:r>
          </w:p>
        </w:tc>
        <w:tc>
          <w:tcPr>
            <w:tcW w:w="624" w:type="pct"/>
            <w:vMerge w:val="continue"/>
            <w:shd w:val="clear" w:color="auto" w:fill="auto"/>
            <w:vAlign w:val="center"/>
          </w:tcPr>
          <w:p w14:paraId="4C495A6F">
            <w:pPr>
              <w:pStyle w:val="90"/>
            </w:pPr>
          </w:p>
        </w:tc>
        <w:tc>
          <w:tcPr>
            <w:tcW w:w="624" w:type="pct"/>
            <w:shd w:val="clear" w:color="auto" w:fill="auto"/>
            <w:vAlign w:val="bottom"/>
          </w:tcPr>
          <w:p w14:paraId="337E68FA">
            <w:pPr>
              <w:pStyle w:val="90"/>
            </w:pPr>
            <w:r>
              <w:rPr>
                <w:rFonts w:hint="eastAsia"/>
              </w:rPr>
              <w:t>0.1</w:t>
            </w:r>
            <w:r>
              <w:t>30</w:t>
            </w:r>
          </w:p>
        </w:tc>
        <w:tc>
          <w:tcPr>
            <w:tcW w:w="624" w:type="pct"/>
            <w:shd w:val="clear" w:color="auto" w:fill="auto"/>
            <w:vAlign w:val="center"/>
          </w:tcPr>
          <w:p w14:paraId="406B5A4F">
            <w:pPr>
              <w:pStyle w:val="90"/>
            </w:pPr>
            <w:r>
              <w:rPr>
                <w:rFonts w:hint="eastAsia"/>
              </w:rPr>
              <w:t>5</w:t>
            </w:r>
            <w:r>
              <w:t>0</w:t>
            </w:r>
          </w:p>
        </w:tc>
        <w:tc>
          <w:tcPr>
            <w:tcW w:w="624" w:type="pct"/>
            <w:vMerge w:val="continue"/>
            <w:shd w:val="clear" w:color="auto" w:fill="auto"/>
            <w:vAlign w:val="center"/>
          </w:tcPr>
          <w:p w14:paraId="629F7608">
            <w:pPr>
              <w:pStyle w:val="90"/>
            </w:pPr>
          </w:p>
        </w:tc>
      </w:tr>
      <w:tr w14:paraId="2F50B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D59E8A7">
            <w:pPr>
              <w:pStyle w:val="90"/>
            </w:pPr>
          </w:p>
        </w:tc>
        <w:tc>
          <w:tcPr>
            <w:tcW w:w="730" w:type="pct"/>
            <w:shd w:val="clear" w:color="auto" w:fill="auto"/>
            <w:vAlign w:val="center"/>
          </w:tcPr>
          <w:p w14:paraId="270E9712">
            <w:pPr>
              <w:pStyle w:val="90"/>
            </w:pPr>
            <w:r>
              <w:rPr>
                <w:rFonts w:hint="eastAsia"/>
              </w:rPr>
              <w:t>氨氮</w:t>
            </w:r>
          </w:p>
        </w:tc>
        <w:tc>
          <w:tcPr>
            <w:tcW w:w="820" w:type="pct"/>
            <w:shd w:val="clear" w:color="auto" w:fill="auto"/>
            <w:vAlign w:val="bottom"/>
          </w:tcPr>
          <w:p w14:paraId="31F1E8EF">
            <w:pPr>
              <w:pStyle w:val="90"/>
            </w:pPr>
            <w:r>
              <w:rPr>
                <w:rFonts w:hint="eastAsia"/>
              </w:rPr>
              <w:t>0.01</w:t>
            </w:r>
            <w:r>
              <w:t>3</w:t>
            </w:r>
          </w:p>
        </w:tc>
        <w:tc>
          <w:tcPr>
            <w:tcW w:w="624" w:type="pct"/>
            <w:shd w:val="clear" w:color="auto" w:fill="auto"/>
            <w:vAlign w:val="center"/>
          </w:tcPr>
          <w:p w14:paraId="7259F155">
            <w:pPr>
              <w:pStyle w:val="90"/>
            </w:pPr>
            <w:r>
              <w:rPr>
                <w:rFonts w:hint="eastAsia"/>
              </w:rPr>
              <w:t>5</w:t>
            </w:r>
          </w:p>
        </w:tc>
        <w:tc>
          <w:tcPr>
            <w:tcW w:w="624" w:type="pct"/>
            <w:vMerge w:val="continue"/>
            <w:shd w:val="clear" w:color="auto" w:fill="auto"/>
            <w:vAlign w:val="center"/>
          </w:tcPr>
          <w:p w14:paraId="215D2ABD">
            <w:pPr>
              <w:pStyle w:val="90"/>
            </w:pPr>
          </w:p>
        </w:tc>
        <w:tc>
          <w:tcPr>
            <w:tcW w:w="624" w:type="pct"/>
            <w:shd w:val="clear" w:color="auto" w:fill="auto"/>
            <w:vAlign w:val="bottom"/>
          </w:tcPr>
          <w:p w14:paraId="6B4C820A">
            <w:pPr>
              <w:pStyle w:val="90"/>
            </w:pPr>
            <w:r>
              <w:rPr>
                <w:rFonts w:hint="eastAsia"/>
              </w:rPr>
              <w:t>0.01</w:t>
            </w:r>
            <w:r>
              <w:t>3</w:t>
            </w:r>
          </w:p>
        </w:tc>
        <w:tc>
          <w:tcPr>
            <w:tcW w:w="624" w:type="pct"/>
            <w:shd w:val="clear" w:color="auto" w:fill="auto"/>
            <w:vAlign w:val="center"/>
          </w:tcPr>
          <w:p w14:paraId="627BEF85">
            <w:pPr>
              <w:pStyle w:val="90"/>
            </w:pPr>
            <w:r>
              <w:rPr>
                <w:rFonts w:hint="eastAsia"/>
              </w:rPr>
              <w:t>5</w:t>
            </w:r>
          </w:p>
        </w:tc>
        <w:tc>
          <w:tcPr>
            <w:tcW w:w="624" w:type="pct"/>
            <w:vMerge w:val="continue"/>
            <w:shd w:val="clear" w:color="auto" w:fill="auto"/>
            <w:vAlign w:val="center"/>
          </w:tcPr>
          <w:p w14:paraId="71918CE6">
            <w:pPr>
              <w:pStyle w:val="90"/>
            </w:pPr>
          </w:p>
        </w:tc>
      </w:tr>
      <w:tr w14:paraId="242BA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7BEC594B">
            <w:pPr>
              <w:pStyle w:val="90"/>
            </w:pPr>
          </w:p>
        </w:tc>
        <w:tc>
          <w:tcPr>
            <w:tcW w:w="730" w:type="pct"/>
            <w:shd w:val="clear" w:color="auto" w:fill="auto"/>
            <w:vAlign w:val="center"/>
          </w:tcPr>
          <w:p w14:paraId="7527ED0F">
            <w:pPr>
              <w:pStyle w:val="90"/>
            </w:pPr>
            <w:r>
              <w:rPr>
                <w:rFonts w:hint="eastAsia"/>
              </w:rPr>
              <w:t>TDS</w:t>
            </w:r>
          </w:p>
        </w:tc>
        <w:tc>
          <w:tcPr>
            <w:tcW w:w="820" w:type="pct"/>
            <w:shd w:val="clear" w:color="auto" w:fill="auto"/>
            <w:vAlign w:val="bottom"/>
          </w:tcPr>
          <w:p w14:paraId="333598C9">
            <w:pPr>
              <w:pStyle w:val="90"/>
            </w:pPr>
            <w:r>
              <w:rPr>
                <w:rFonts w:hint="eastAsia"/>
              </w:rPr>
              <w:t>2.592</w:t>
            </w:r>
          </w:p>
        </w:tc>
        <w:tc>
          <w:tcPr>
            <w:tcW w:w="624" w:type="pct"/>
            <w:shd w:val="clear" w:color="auto" w:fill="auto"/>
            <w:vAlign w:val="center"/>
          </w:tcPr>
          <w:p w14:paraId="69F92E20">
            <w:pPr>
              <w:pStyle w:val="90"/>
            </w:pPr>
            <w:r>
              <w:rPr>
                <w:rFonts w:hint="eastAsia"/>
              </w:rPr>
              <w:t>1</w:t>
            </w:r>
            <w:r>
              <w:t>000</w:t>
            </w:r>
          </w:p>
        </w:tc>
        <w:tc>
          <w:tcPr>
            <w:tcW w:w="624" w:type="pct"/>
            <w:vMerge w:val="continue"/>
            <w:shd w:val="clear" w:color="auto" w:fill="auto"/>
            <w:vAlign w:val="center"/>
          </w:tcPr>
          <w:p w14:paraId="32385A2D">
            <w:pPr>
              <w:pStyle w:val="90"/>
            </w:pPr>
          </w:p>
        </w:tc>
        <w:tc>
          <w:tcPr>
            <w:tcW w:w="624" w:type="pct"/>
            <w:shd w:val="clear" w:color="auto" w:fill="auto"/>
            <w:vAlign w:val="bottom"/>
          </w:tcPr>
          <w:p w14:paraId="26077BEE">
            <w:pPr>
              <w:pStyle w:val="90"/>
            </w:pPr>
            <w:r>
              <w:rPr>
                <w:rFonts w:hint="eastAsia"/>
              </w:rPr>
              <w:t>2.592</w:t>
            </w:r>
          </w:p>
        </w:tc>
        <w:tc>
          <w:tcPr>
            <w:tcW w:w="624" w:type="pct"/>
            <w:shd w:val="clear" w:color="auto" w:fill="auto"/>
            <w:vAlign w:val="center"/>
          </w:tcPr>
          <w:p w14:paraId="0DAD1850">
            <w:pPr>
              <w:pStyle w:val="90"/>
            </w:pPr>
            <w:r>
              <w:rPr>
                <w:rFonts w:hint="eastAsia"/>
              </w:rPr>
              <w:t>1</w:t>
            </w:r>
            <w:r>
              <w:t>000</w:t>
            </w:r>
          </w:p>
        </w:tc>
        <w:tc>
          <w:tcPr>
            <w:tcW w:w="624" w:type="pct"/>
            <w:vMerge w:val="continue"/>
            <w:shd w:val="clear" w:color="auto" w:fill="auto"/>
            <w:vAlign w:val="center"/>
          </w:tcPr>
          <w:p w14:paraId="099D99B5">
            <w:pPr>
              <w:pStyle w:val="90"/>
            </w:pPr>
          </w:p>
        </w:tc>
      </w:tr>
      <w:tr w14:paraId="198D3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3AF0E2BF">
            <w:pPr>
              <w:pStyle w:val="90"/>
            </w:pPr>
            <w:r>
              <w:rPr>
                <w:rFonts w:hint="eastAsia"/>
                <w:lang w:val="en-US" w:eastAsia="zh-CN"/>
              </w:rPr>
              <w:t>碱洗喷淋废水</w:t>
            </w:r>
          </w:p>
        </w:tc>
        <w:tc>
          <w:tcPr>
            <w:tcW w:w="730" w:type="pct"/>
            <w:shd w:val="clear" w:color="auto" w:fill="auto"/>
            <w:vAlign w:val="center"/>
          </w:tcPr>
          <w:p w14:paraId="6B56DD4B">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废水量</w:t>
            </w:r>
          </w:p>
        </w:tc>
        <w:tc>
          <w:tcPr>
            <w:tcW w:w="820" w:type="pct"/>
            <w:shd w:val="clear" w:color="auto" w:fill="auto"/>
            <w:vAlign w:val="bottom"/>
          </w:tcPr>
          <w:p w14:paraId="1E4B5901">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288</w:t>
            </w:r>
            <w:r>
              <w:rPr>
                <w:rFonts w:hint="eastAsia"/>
              </w:rPr>
              <w:t>m</w:t>
            </w:r>
            <w:r>
              <w:rPr>
                <w:vertAlign w:val="superscript"/>
              </w:rPr>
              <w:t>3</w:t>
            </w:r>
            <w:r>
              <w:t>/a</w:t>
            </w:r>
          </w:p>
        </w:tc>
        <w:tc>
          <w:tcPr>
            <w:tcW w:w="624" w:type="pct"/>
            <w:shd w:val="clear" w:color="auto" w:fill="auto"/>
            <w:vAlign w:val="center"/>
          </w:tcPr>
          <w:p w14:paraId="33A292DE">
            <w:pPr>
              <w:pStyle w:val="90"/>
              <w:ind w:firstLine="0" w:firstLineChars="0"/>
              <w:rPr>
                <w:rFonts w:hint="eastAsia" w:ascii="Times New Roman" w:hAnsi="Times New Roman" w:eastAsia="宋体" w:cs="Times New Roman"/>
                <w:bCs/>
                <w:kern w:val="2"/>
                <w:sz w:val="21"/>
                <w:szCs w:val="20"/>
                <w:lang w:val="en-US" w:eastAsia="zh-CN" w:bidi="ar-SA"/>
              </w:rPr>
            </w:pPr>
            <w:r>
              <w:rPr>
                <w:rFonts w:hint="eastAsia"/>
                <w:lang w:val="en-US" w:eastAsia="zh-CN"/>
              </w:rPr>
              <w:t>/</w:t>
            </w:r>
          </w:p>
        </w:tc>
        <w:tc>
          <w:tcPr>
            <w:tcW w:w="624" w:type="pct"/>
            <w:vMerge w:val="continue"/>
            <w:shd w:val="clear" w:color="auto" w:fill="auto"/>
            <w:vAlign w:val="center"/>
          </w:tcPr>
          <w:p w14:paraId="5D091ED7">
            <w:pPr>
              <w:pStyle w:val="90"/>
            </w:pPr>
          </w:p>
        </w:tc>
        <w:tc>
          <w:tcPr>
            <w:tcW w:w="624" w:type="pct"/>
            <w:shd w:val="clear" w:color="auto" w:fill="auto"/>
            <w:vAlign w:val="bottom"/>
          </w:tcPr>
          <w:p w14:paraId="770ABA7D">
            <w:pPr>
              <w:pStyle w:val="90"/>
              <w:rPr>
                <w:rFonts w:hint="default" w:eastAsia="宋体"/>
                <w:lang w:val="en-US" w:eastAsia="zh-CN"/>
              </w:rPr>
            </w:pPr>
            <w:r>
              <w:rPr>
                <w:rFonts w:hint="eastAsia"/>
                <w:lang w:val="en-US" w:eastAsia="zh-CN"/>
              </w:rPr>
              <w:t>288</w:t>
            </w:r>
            <w:r>
              <w:rPr>
                <w:rFonts w:hint="eastAsia"/>
              </w:rPr>
              <w:t>m</w:t>
            </w:r>
            <w:r>
              <w:rPr>
                <w:vertAlign w:val="superscript"/>
              </w:rPr>
              <w:t>3</w:t>
            </w:r>
            <w:r>
              <w:t>/a</w:t>
            </w:r>
          </w:p>
        </w:tc>
        <w:tc>
          <w:tcPr>
            <w:tcW w:w="624" w:type="pct"/>
            <w:shd w:val="clear" w:color="auto" w:fill="auto"/>
            <w:vAlign w:val="center"/>
          </w:tcPr>
          <w:p w14:paraId="0E334F83">
            <w:pPr>
              <w:pStyle w:val="90"/>
              <w:rPr>
                <w:rFonts w:hint="eastAsia" w:eastAsia="宋体"/>
                <w:lang w:val="en-US" w:eastAsia="zh-CN"/>
              </w:rPr>
            </w:pPr>
            <w:r>
              <w:rPr>
                <w:rFonts w:hint="eastAsia"/>
                <w:lang w:val="en-US" w:eastAsia="zh-CN"/>
              </w:rPr>
              <w:t>/</w:t>
            </w:r>
          </w:p>
        </w:tc>
        <w:tc>
          <w:tcPr>
            <w:tcW w:w="624" w:type="pct"/>
            <w:vMerge w:val="continue"/>
            <w:shd w:val="clear" w:color="auto" w:fill="auto"/>
            <w:vAlign w:val="center"/>
          </w:tcPr>
          <w:p w14:paraId="4C1F3D28">
            <w:pPr>
              <w:pStyle w:val="90"/>
            </w:pPr>
          </w:p>
        </w:tc>
      </w:tr>
      <w:tr w14:paraId="627B7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631ED1F">
            <w:pPr>
              <w:pStyle w:val="90"/>
            </w:pPr>
          </w:p>
        </w:tc>
        <w:tc>
          <w:tcPr>
            <w:tcW w:w="730" w:type="pct"/>
            <w:shd w:val="clear" w:color="auto" w:fill="auto"/>
            <w:vAlign w:val="center"/>
          </w:tcPr>
          <w:p w14:paraId="349E5849">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COD</w:t>
            </w:r>
          </w:p>
        </w:tc>
        <w:tc>
          <w:tcPr>
            <w:tcW w:w="820" w:type="pct"/>
            <w:shd w:val="clear" w:color="auto" w:fill="auto"/>
            <w:vAlign w:val="center"/>
          </w:tcPr>
          <w:p w14:paraId="71ED8E3D">
            <w:pPr>
              <w:pStyle w:val="90"/>
              <w:bidi w:val="0"/>
              <w:rPr>
                <w:rFonts w:hint="eastAsia"/>
                <w:lang w:val="zh-CN" w:eastAsia="zh-CN"/>
              </w:rPr>
            </w:pPr>
            <w:r>
              <w:rPr>
                <w:rFonts w:hint="eastAsia"/>
                <w:lang w:val="en-US" w:eastAsia="zh-CN"/>
              </w:rPr>
              <w:t>0.0864</w:t>
            </w:r>
          </w:p>
        </w:tc>
        <w:tc>
          <w:tcPr>
            <w:tcW w:w="624" w:type="pct"/>
            <w:shd w:val="clear" w:color="auto" w:fill="auto"/>
            <w:vAlign w:val="center"/>
          </w:tcPr>
          <w:p w14:paraId="09F0C23A">
            <w:pPr>
              <w:pStyle w:val="90"/>
              <w:ind w:firstLine="0" w:firstLineChars="0"/>
              <w:rPr>
                <w:rFonts w:hint="eastAsia" w:ascii="Times New Roman" w:hAnsi="Times New Roman" w:eastAsia="宋体" w:cs="Times New Roman"/>
                <w:bCs/>
                <w:kern w:val="2"/>
                <w:sz w:val="21"/>
                <w:szCs w:val="20"/>
                <w:lang w:val="zh-CN" w:eastAsia="zh-CN" w:bidi="ar-SA"/>
              </w:rPr>
            </w:pPr>
            <w:r>
              <w:t>300</w:t>
            </w:r>
          </w:p>
        </w:tc>
        <w:tc>
          <w:tcPr>
            <w:tcW w:w="624" w:type="pct"/>
            <w:vMerge w:val="continue"/>
            <w:shd w:val="clear" w:color="auto" w:fill="auto"/>
            <w:vAlign w:val="center"/>
          </w:tcPr>
          <w:p w14:paraId="18835B45">
            <w:pPr>
              <w:pStyle w:val="90"/>
            </w:pPr>
          </w:p>
        </w:tc>
        <w:tc>
          <w:tcPr>
            <w:tcW w:w="624" w:type="pct"/>
            <w:shd w:val="clear" w:color="auto" w:fill="auto"/>
            <w:vAlign w:val="center"/>
          </w:tcPr>
          <w:p w14:paraId="2E8DDE66">
            <w:pPr>
              <w:pStyle w:val="90"/>
              <w:bidi w:val="0"/>
              <w:rPr>
                <w:rFonts w:hint="eastAsia"/>
              </w:rPr>
            </w:pPr>
            <w:r>
              <w:rPr>
                <w:rFonts w:hint="eastAsia"/>
                <w:lang w:val="en-US" w:eastAsia="zh-CN"/>
              </w:rPr>
              <w:t>0.0576</w:t>
            </w:r>
          </w:p>
        </w:tc>
        <w:tc>
          <w:tcPr>
            <w:tcW w:w="624" w:type="pct"/>
            <w:shd w:val="clear" w:color="auto" w:fill="auto"/>
            <w:vAlign w:val="center"/>
          </w:tcPr>
          <w:p w14:paraId="40E73F72">
            <w:pPr>
              <w:pStyle w:val="90"/>
              <w:rPr>
                <w:rFonts w:hint="default" w:eastAsia="宋体"/>
                <w:lang w:val="en-US" w:eastAsia="zh-CN"/>
              </w:rPr>
            </w:pPr>
            <w:r>
              <w:rPr>
                <w:rFonts w:hint="eastAsia"/>
                <w:lang w:val="en-US" w:eastAsia="zh-CN"/>
              </w:rPr>
              <w:t>200</w:t>
            </w:r>
          </w:p>
        </w:tc>
        <w:tc>
          <w:tcPr>
            <w:tcW w:w="624" w:type="pct"/>
            <w:vMerge w:val="continue"/>
            <w:shd w:val="clear" w:color="auto" w:fill="auto"/>
            <w:vAlign w:val="center"/>
          </w:tcPr>
          <w:p w14:paraId="57CD6FBC">
            <w:pPr>
              <w:pStyle w:val="90"/>
            </w:pPr>
          </w:p>
        </w:tc>
      </w:tr>
      <w:tr w14:paraId="4EDE5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46B816BE">
            <w:pPr>
              <w:pStyle w:val="90"/>
            </w:pPr>
          </w:p>
        </w:tc>
        <w:tc>
          <w:tcPr>
            <w:tcW w:w="730" w:type="pct"/>
            <w:shd w:val="clear" w:color="auto" w:fill="auto"/>
            <w:vAlign w:val="center"/>
          </w:tcPr>
          <w:p w14:paraId="61165206">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BOD</w:t>
            </w:r>
            <w:r>
              <w:rPr>
                <w:vertAlign w:val="subscript"/>
              </w:rPr>
              <w:t>5</w:t>
            </w:r>
          </w:p>
        </w:tc>
        <w:tc>
          <w:tcPr>
            <w:tcW w:w="820" w:type="pct"/>
            <w:shd w:val="clear" w:color="auto" w:fill="auto"/>
            <w:vAlign w:val="center"/>
          </w:tcPr>
          <w:p w14:paraId="6B8775EE">
            <w:pPr>
              <w:pStyle w:val="90"/>
              <w:bidi w:val="0"/>
              <w:rPr>
                <w:rFonts w:hint="eastAsia"/>
                <w:lang w:val="zh-CN" w:eastAsia="zh-CN"/>
              </w:rPr>
            </w:pPr>
            <w:r>
              <w:rPr>
                <w:rFonts w:hint="eastAsia"/>
                <w:lang w:val="en-US" w:eastAsia="zh-CN"/>
              </w:rPr>
              <w:t>0.0576</w:t>
            </w:r>
          </w:p>
        </w:tc>
        <w:tc>
          <w:tcPr>
            <w:tcW w:w="624" w:type="pct"/>
            <w:shd w:val="clear" w:color="auto" w:fill="auto"/>
            <w:vAlign w:val="center"/>
          </w:tcPr>
          <w:p w14:paraId="33085097">
            <w:pPr>
              <w:pStyle w:val="90"/>
              <w:ind w:firstLine="0" w:firstLineChars="0"/>
              <w:rPr>
                <w:rFonts w:hint="eastAsia" w:ascii="Times New Roman" w:hAnsi="Times New Roman" w:eastAsia="宋体" w:cs="Times New Roman"/>
                <w:bCs/>
                <w:kern w:val="2"/>
                <w:sz w:val="21"/>
                <w:szCs w:val="20"/>
                <w:lang w:val="zh-CN" w:eastAsia="zh-CN" w:bidi="ar-SA"/>
              </w:rPr>
            </w:pPr>
            <w:r>
              <w:t>200</w:t>
            </w:r>
          </w:p>
        </w:tc>
        <w:tc>
          <w:tcPr>
            <w:tcW w:w="624" w:type="pct"/>
            <w:vMerge w:val="continue"/>
            <w:shd w:val="clear" w:color="auto" w:fill="auto"/>
            <w:vAlign w:val="center"/>
          </w:tcPr>
          <w:p w14:paraId="218C50FD">
            <w:pPr>
              <w:pStyle w:val="90"/>
            </w:pPr>
          </w:p>
        </w:tc>
        <w:tc>
          <w:tcPr>
            <w:tcW w:w="624" w:type="pct"/>
            <w:shd w:val="clear" w:color="auto" w:fill="auto"/>
            <w:vAlign w:val="center"/>
          </w:tcPr>
          <w:p w14:paraId="65577248">
            <w:pPr>
              <w:pStyle w:val="90"/>
              <w:bidi w:val="0"/>
              <w:rPr>
                <w:rFonts w:hint="eastAsia"/>
              </w:rPr>
            </w:pPr>
            <w:r>
              <w:rPr>
                <w:rFonts w:hint="eastAsia"/>
                <w:lang w:val="en-US" w:eastAsia="zh-CN"/>
              </w:rPr>
              <w:t>0.0432</w:t>
            </w:r>
          </w:p>
        </w:tc>
        <w:tc>
          <w:tcPr>
            <w:tcW w:w="624" w:type="pct"/>
            <w:shd w:val="clear" w:color="auto" w:fill="auto"/>
            <w:vAlign w:val="center"/>
          </w:tcPr>
          <w:p w14:paraId="6B2EF870">
            <w:pPr>
              <w:pStyle w:val="90"/>
              <w:rPr>
                <w:rFonts w:hint="default" w:eastAsia="宋体"/>
                <w:lang w:val="en-US" w:eastAsia="zh-CN"/>
              </w:rPr>
            </w:pPr>
            <w:r>
              <w:rPr>
                <w:rFonts w:hint="eastAsia"/>
                <w:lang w:val="en-US" w:eastAsia="zh-CN"/>
              </w:rPr>
              <w:t>150</w:t>
            </w:r>
          </w:p>
        </w:tc>
        <w:tc>
          <w:tcPr>
            <w:tcW w:w="624" w:type="pct"/>
            <w:vMerge w:val="continue"/>
            <w:shd w:val="clear" w:color="auto" w:fill="auto"/>
            <w:vAlign w:val="center"/>
          </w:tcPr>
          <w:p w14:paraId="67B1A9F8">
            <w:pPr>
              <w:pStyle w:val="90"/>
            </w:pPr>
          </w:p>
        </w:tc>
      </w:tr>
      <w:tr w14:paraId="27318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0547796B">
            <w:pPr>
              <w:pStyle w:val="90"/>
            </w:pPr>
          </w:p>
        </w:tc>
        <w:tc>
          <w:tcPr>
            <w:tcW w:w="730" w:type="pct"/>
            <w:shd w:val="clear" w:color="auto" w:fill="auto"/>
            <w:vAlign w:val="center"/>
          </w:tcPr>
          <w:p w14:paraId="2A6205AF">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SS</w:t>
            </w:r>
          </w:p>
        </w:tc>
        <w:tc>
          <w:tcPr>
            <w:tcW w:w="820" w:type="pct"/>
            <w:shd w:val="clear" w:color="auto" w:fill="auto"/>
            <w:vAlign w:val="center"/>
          </w:tcPr>
          <w:p w14:paraId="0D32D482">
            <w:pPr>
              <w:pStyle w:val="90"/>
              <w:bidi w:val="0"/>
              <w:rPr>
                <w:rFonts w:hint="eastAsia"/>
                <w:lang w:val="zh-CN" w:eastAsia="zh-CN"/>
              </w:rPr>
            </w:pPr>
            <w:r>
              <w:rPr>
                <w:rFonts w:hint="eastAsia"/>
                <w:lang w:val="en-US" w:eastAsia="zh-CN"/>
              </w:rPr>
              <w:t>0.0576</w:t>
            </w:r>
          </w:p>
        </w:tc>
        <w:tc>
          <w:tcPr>
            <w:tcW w:w="624" w:type="pct"/>
            <w:shd w:val="clear" w:color="auto" w:fill="auto"/>
            <w:vAlign w:val="center"/>
          </w:tcPr>
          <w:p w14:paraId="47137FDB">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2</w:t>
            </w:r>
            <w:r>
              <w:t>00</w:t>
            </w:r>
          </w:p>
        </w:tc>
        <w:tc>
          <w:tcPr>
            <w:tcW w:w="624" w:type="pct"/>
            <w:vMerge w:val="continue"/>
            <w:shd w:val="clear" w:color="auto" w:fill="auto"/>
            <w:vAlign w:val="center"/>
          </w:tcPr>
          <w:p w14:paraId="22F8B8D9">
            <w:pPr>
              <w:pStyle w:val="90"/>
            </w:pPr>
          </w:p>
        </w:tc>
        <w:tc>
          <w:tcPr>
            <w:tcW w:w="624" w:type="pct"/>
            <w:shd w:val="clear" w:color="auto" w:fill="auto"/>
            <w:vAlign w:val="center"/>
          </w:tcPr>
          <w:p w14:paraId="5E2F12E9">
            <w:pPr>
              <w:pStyle w:val="90"/>
              <w:bidi w:val="0"/>
              <w:rPr>
                <w:rFonts w:hint="eastAsia"/>
              </w:rPr>
            </w:pPr>
            <w:r>
              <w:rPr>
                <w:rFonts w:hint="eastAsia"/>
                <w:lang w:val="en-US" w:eastAsia="zh-CN"/>
              </w:rPr>
              <w:t>0.0288</w:t>
            </w:r>
          </w:p>
        </w:tc>
        <w:tc>
          <w:tcPr>
            <w:tcW w:w="624" w:type="pct"/>
            <w:shd w:val="clear" w:color="auto" w:fill="auto"/>
            <w:vAlign w:val="center"/>
          </w:tcPr>
          <w:p w14:paraId="410FD73C">
            <w:pPr>
              <w:pStyle w:val="90"/>
              <w:rPr>
                <w:rFonts w:hint="default" w:eastAsia="宋体"/>
                <w:lang w:val="en-US" w:eastAsia="zh-CN"/>
              </w:rPr>
            </w:pPr>
            <w:r>
              <w:rPr>
                <w:rFonts w:hint="eastAsia"/>
                <w:lang w:val="en-US" w:eastAsia="zh-CN"/>
              </w:rPr>
              <w:t>100</w:t>
            </w:r>
          </w:p>
        </w:tc>
        <w:tc>
          <w:tcPr>
            <w:tcW w:w="624" w:type="pct"/>
            <w:vMerge w:val="continue"/>
            <w:shd w:val="clear" w:color="auto" w:fill="auto"/>
            <w:vAlign w:val="center"/>
          </w:tcPr>
          <w:p w14:paraId="76282323">
            <w:pPr>
              <w:pStyle w:val="90"/>
            </w:pPr>
          </w:p>
        </w:tc>
      </w:tr>
      <w:tr w14:paraId="4D1EF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CE964AF">
            <w:pPr>
              <w:pStyle w:val="90"/>
            </w:pPr>
          </w:p>
        </w:tc>
        <w:tc>
          <w:tcPr>
            <w:tcW w:w="730" w:type="pct"/>
            <w:shd w:val="clear" w:color="auto" w:fill="auto"/>
            <w:vAlign w:val="center"/>
          </w:tcPr>
          <w:p w14:paraId="6FDCF9F2">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氨氮</w:t>
            </w:r>
          </w:p>
        </w:tc>
        <w:tc>
          <w:tcPr>
            <w:tcW w:w="820" w:type="pct"/>
            <w:shd w:val="clear" w:color="auto" w:fill="auto"/>
            <w:vAlign w:val="center"/>
          </w:tcPr>
          <w:p w14:paraId="2F121A7D">
            <w:pPr>
              <w:pStyle w:val="90"/>
              <w:bidi w:val="0"/>
              <w:rPr>
                <w:rFonts w:hint="eastAsia"/>
                <w:lang w:val="zh-CN" w:eastAsia="zh-CN"/>
              </w:rPr>
            </w:pPr>
            <w:r>
              <w:rPr>
                <w:rFonts w:hint="eastAsia"/>
                <w:lang w:val="en-US" w:eastAsia="zh-CN"/>
              </w:rPr>
              <w:t>0.00864</w:t>
            </w:r>
          </w:p>
        </w:tc>
        <w:tc>
          <w:tcPr>
            <w:tcW w:w="624" w:type="pct"/>
            <w:shd w:val="clear" w:color="auto" w:fill="auto"/>
            <w:vAlign w:val="center"/>
          </w:tcPr>
          <w:p w14:paraId="4F977FEE">
            <w:pPr>
              <w:pStyle w:val="90"/>
              <w:ind w:firstLine="0" w:firstLineChars="0"/>
              <w:rPr>
                <w:rFonts w:hint="eastAsia" w:ascii="Times New Roman" w:hAnsi="Times New Roman" w:eastAsia="宋体" w:cs="Times New Roman"/>
                <w:bCs/>
                <w:kern w:val="2"/>
                <w:sz w:val="21"/>
                <w:szCs w:val="20"/>
                <w:lang w:val="zh-CN" w:eastAsia="zh-CN" w:bidi="ar-SA"/>
              </w:rPr>
            </w:pPr>
            <w:r>
              <w:rPr>
                <w:rFonts w:hint="eastAsia"/>
              </w:rPr>
              <w:t>3</w:t>
            </w:r>
            <w:r>
              <w:t>0</w:t>
            </w:r>
          </w:p>
        </w:tc>
        <w:tc>
          <w:tcPr>
            <w:tcW w:w="624" w:type="pct"/>
            <w:vMerge w:val="continue"/>
            <w:shd w:val="clear" w:color="auto" w:fill="auto"/>
            <w:vAlign w:val="center"/>
          </w:tcPr>
          <w:p w14:paraId="31EB4FE4">
            <w:pPr>
              <w:pStyle w:val="90"/>
            </w:pPr>
          </w:p>
        </w:tc>
        <w:tc>
          <w:tcPr>
            <w:tcW w:w="624" w:type="pct"/>
            <w:shd w:val="clear" w:color="auto" w:fill="auto"/>
            <w:vAlign w:val="center"/>
          </w:tcPr>
          <w:p w14:paraId="73D329DC">
            <w:pPr>
              <w:pStyle w:val="90"/>
              <w:bidi w:val="0"/>
              <w:rPr>
                <w:rFonts w:hint="eastAsia"/>
              </w:rPr>
            </w:pPr>
            <w:r>
              <w:rPr>
                <w:rFonts w:hint="eastAsia"/>
                <w:lang w:val="en-US" w:eastAsia="zh-CN"/>
              </w:rPr>
              <w:t>0.00288</w:t>
            </w:r>
          </w:p>
        </w:tc>
        <w:tc>
          <w:tcPr>
            <w:tcW w:w="624" w:type="pct"/>
            <w:shd w:val="clear" w:color="auto" w:fill="auto"/>
            <w:vAlign w:val="center"/>
          </w:tcPr>
          <w:p w14:paraId="324D8EE9">
            <w:pPr>
              <w:pStyle w:val="90"/>
              <w:rPr>
                <w:rFonts w:hint="default" w:eastAsia="宋体"/>
                <w:lang w:val="en-US" w:eastAsia="zh-CN"/>
              </w:rPr>
            </w:pPr>
            <w:r>
              <w:rPr>
                <w:rFonts w:hint="eastAsia"/>
                <w:lang w:val="en-US" w:eastAsia="zh-CN"/>
              </w:rPr>
              <w:t>10</w:t>
            </w:r>
          </w:p>
        </w:tc>
        <w:tc>
          <w:tcPr>
            <w:tcW w:w="624" w:type="pct"/>
            <w:vMerge w:val="continue"/>
            <w:shd w:val="clear" w:color="auto" w:fill="auto"/>
            <w:vAlign w:val="center"/>
          </w:tcPr>
          <w:p w14:paraId="2F2FFF90">
            <w:pPr>
              <w:pStyle w:val="90"/>
            </w:pPr>
          </w:p>
        </w:tc>
      </w:tr>
      <w:tr w14:paraId="338AF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restart"/>
            <w:shd w:val="clear" w:color="auto" w:fill="auto"/>
            <w:vAlign w:val="center"/>
          </w:tcPr>
          <w:p w14:paraId="45B10A9E">
            <w:pPr>
              <w:pStyle w:val="90"/>
            </w:pPr>
            <w:r>
              <w:rPr>
                <w:rFonts w:hint="eastAsia"/>
              </w:rPr>
              <w:t>生活污水</w:t>
            </w:r>
          </w:p>
        </w:tc>
        <w:tc>
          <w:tcPr>
            <w:tcW w:w="730" w:type="pct"/>
            <w:shd w:val="clear" w:color="auto" w:fill="auto"/>
            <w:vAlign w:val="center"/>
          </w:tcPr>
          <w:p w14:paraId="40A14A7E">
            <w:pPr>
              <w:pStyle w:val="90"/>
            </w:pPr>
            <w:r>
              <w:rPr>
                <w:rFonts w:hint="eastAsia"/>
              </w:rPr>
              <w:t>废水量</w:t>
            </w:r>
          </w:p>
        </w:tc>
        <w:tc>
          <w:tcPr>
            <w:tcW w:w="820" w:type="pct"/>
            <w:shd w:val="clear" w:color="auto" w:fill="auto"/>
            <w:vAlign w:val="center"/>
          </w:tcPr>
          <w:p w14:paraId="36BC7327">
            <w:pPr>
              <w:pStyle w:val="90"/>
            </w:pPr>
            <w:r>
              <w:rPr>
                <w:rFonts w:hint="eastAsia"/>
              </w:rPr>
              <w:t>1</w:t>
            </w:r>
            <w:r>
              <w:t>920</w:t>
            </w:r>
            <w:r>
              <w:rPr>
                <w:rFonts w:hint="eastAsia"/>
              </w:rPr>
              <w:t>m</w:t>
            </w:r>
            <w:r>
              <w:rPr>
                <w:vertAlign w:val="superscript"/>
              </w:rPr>
              <w:t>3</w:t>
            </w:r>
            <w:r>
              <w:t>/a</w:t>
            </w:r>
          </w:p>
        </w:tc>
        <w:tc>
          <w:tcPr>
            <w:tcW w:w="624" w:type="pct"/>
            <w:shd w:val="clear" w:color="auto" w:fill="auto"/>
            <w:vAlign w:val="center"/>
          </w:tcPr>
          <w:p w14:paraId="0220D801">
            <w:pPr>
              <w:pStyle w:val="90"/>
            </w:pPr>
            <w:r>
              <w:rPr>
                <w:rFonts w:hint="eastAsia"/>
              </w:rPr>
              <w:t>/</w:t>
            </w:r>
          </w:p>
        </w:tc>
        <w:tc>
          <w:tcPr>
            <w:tcW w:w="624" w:type="pct"/>
            <w:vMerge w:val="restart"/>
            <w:shd w:val="clear" w:color="auto" w:fill="auto"/>
            <w:vAlign w:val="center"/>
          </w:tcPr>
          <w:p w14:paraId="7BA6521F">
            <w:pPr>
              <w:pStyle w:val="90"/>
              <w:rPr>
                <w:rFonts w:hint="default" w:eastAsia="宋体"/>
                <w:lang w:val="en-US" w:eastAsia="zh-CN"/>
              </w:rPr>
            </w:pPr>
            <w:r>
              <w:rPr>
                <w:rFonts w:hint="eastAsia"/>
                <w:lang w:val="en-US" w:eastAsia="zh-CN"/>
              </w:rPr>
              <w:t>排入园区管网</w:t>
            </w:r>
          </w:p>
        </w:tc>
        <w:tc>
          <w:tcPr>
            <w:tcW w:w="624" w:type="pct"/>
            <w:shd w:val="clear" w:color="auto" w:fill="auto"/>
            <w:vAlign w:val="center"/>
          </w:tcPr>
          <w:p w14:paraId="0A5175F1">
            <w:pPr>
              <w:pStyle w:val="90"/>
            </w:pPr>
            <w:r>
              <w:rPr>
                <w:rFonts w:hint="eastAsia"/>
              </w:rPr>
              <w:t>1</w:t>
            </w:r>
            <w:r>
              <w:t>920</w:t>
            </w:r>
            <w:r>
              <w:rPr>
                <w:rFonts w:hint="eastAsia"/>
              </w:rPr>
              <w:t>m</w:t>
            </w:r>
            <w:r>
              <w:rPr>
                <w:vertAlign w:val="superscript"/>
              </w:rPr>
              <w:t>3</w:t>
            </w:r>
            <w:r>
              <w:t>/a</w:t>
            </w:r>
          </w:p>
        </w:tc>
        <w:tc>
          <w:tcPr>
            <w:tcW w:w="624" w:type="pct"/>
            <w:shd w:val="clear" w:color="auto" w:fill="auto"/>
            <w:vAlign w:val="center"/>
          </w:tcPr>
          <w:p w14:paraId="7626FAC4">
            <w:pPr>
              <w:pStyle w:val="90"/>
            </w:pPr>
            <w:r>
              <w:rPr>
                <w:rFonts w:hint="eastAsia"/>
              </w:rPr>
              <w:t>/</w:t>
            </w:r>
          </w:p>
        </w:tc>
        <w:tc>
          <w:tcPr>
            <w:tcW w:w="624" w:type="pct"/>
            <w:vMerge w:val="continue"/>
            <w:shd w:val="clear" w:color="auto" w:fill="auto"/>
            <w:vAlign w:val="center"/>
          </w:tcPr>
          <w:p w14:paraId="00474CF9">
            <w:pPr>
              <w:pStyle w:val="90"/>
            </w:pPr>
          </w:p>
        </w:tc>
      </w:tr>
      <w:tr w14:paraId="72193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1A9C6DC0">
            <w:pPr>
              <w:pStyle w:val="90"/>
            </w:pPr>
          </w:p>
        </w:tc>
        <w:tc>
          <w:tcPr>
            <w:tcW w:w="730" w:type="pct"/>
            <w:shd w:val="clear" w:color="auto" w:fill="auto"/>
            <w:vAlign w:val="center"/>
          </w:tcPr>
          <w:p w14:paraId="223179E2">
            <w:pPr>
              <w:pStyle w:val="90"/>
            </w:pPr>
            <w:r>
              <w:rPr>
                <w:rFonts w:hint="eastAsia"/>
              </w:rPr>
              <w:t>COD</w:t>
            </w:r>
          </w:p>
        </w:tc>
        <w:tc>
          <w:tcPr>
            <w:tcW w:w="820" w:type="pct"/>
            <w:shd w:val="clear" w:color="auto" w:fill="auto"/>
            <w:vAlign w:val="bottom"/>
          </w:tcPr>
          <w:p w14:paraId="55ADFEEA">
            <w:pPr>
              <w:pStyle w:val="90"/>
              <w:rPr>
                <w:kern w:val="0"/>
              </w:rPr>
            </w:pPr>
            <w:r>
              <w:rPr>
                <w:rFonts w:hint="eastAsia"/>
              </w:rPr>
              <w:t>0.576</w:t>
            </w:r>
          </w:p>
        </w:tc>
        <w:tc>
          <w:tcPr>
            <w:tcW w:w="624" w:type="pct"/>
            <w:shd w:val="clear" w:color="auto" w:fill="auto"/>
            <w:vAlign w:val="center"/>
          </w:tcPr>
          <w:p w14:paraId="044AD7C5">
            <w:pPr>
              <w:pStyle w:val="90"/>
            </w:pPr>
            <w:r>
              <w:t>300</w:t>
            </w:r>
          </w:p>
        </w:tc>
        <w:tc>
          <w:tcPr>
            <w:tcW w:w="624" w:type="pct"/>
            <w:vMerge w:val="continue"/>
            <w:shd w:val="clear" w:color="auto" w:fill="auto"/>
            <w:vAlign w:val="center"/>
          </w:tcPr>
          <w:p w14:paraId="2F7E6800">
            <w:pPr>
              <w:pStyle w:val="90"/>
            </w:pPr>
          </w:p>
        </w:tc>
        <w:tc>
          <w:tcPr>
            <w:tcW w:w="624" w:type="pct"/>
            <w:shd w:val="clear" w:color="auto" w:fill="auto"/>
            <w:vAlign w:val="bottom"/>
          </w:tcPr>
          <w:p w14:paraId="22EA1AAB">
            <w:pPr>
              <w:pStyle w:val="90"/>
              <w:rPr>
                <w:kern w:val="0"/>
              </w:rPr>
            </w:pPr>
            <w:r>
              <w:rPr>
                <w:rFonts w:hint="eastAsia"/>
              </w:rPr>
              <w:t>0.576</w:t>
            </w:r>
          </w:p>
        </w:tc>
        <w:tc>
          <w:tcPr>
            <w:tcW w:w="624" w:type="pct"/>
            <w:shd w:val="clear" w:color="auto" w:fill="auto"/>
            <w:vAlign w:val="center"/>
          </w:tcPr>
          <w:p w14:paraId="782907EB">
            <w:pPr>
              <w:pStyle w:val="90"/>
            </w:pPr>
            <w:r>
              <w:t>300</w:t>
            </w:r>
          </w:p>
        </w:tc>
        <w:tc>
          <w:tcPr>
            <w:tcW w:w="624" w:type="pct"/>
            <w:vMerge w:val="continue"/>
            <w:shd w:val="clear" w:color="auto" w:fill="auto"/>
            <w:vAlign w:val="center"/>
          </w:tcPr>
          <w:p w14:paraId="3B534E26">
            <w:pPr>
              <w:pStyle w:val="90"/>
            </w:pPr>
          </w:p>
        </w:tc>
      </w:tr>
      <w:tr w14:paraId="10401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04305D6A">
            <w:pPr>
              <w:pStyle w:val="90"/>
            </w:pPr>
          </w:p>
        </w:tc>
        <w:tc>
          <w:tcPr>
            <w:tcW w:w="730" w:type="pct"/>
            <w:shd w:val="clear" w:color="auto" w:fill="auto"/>
            <w:vAlign w:val="center"/>
          </w:tcPr>
          <w:p w14:paraId="7FE6B8EC">
            <w:pPr>
              <w:pStyle w:val="90"/>
            </w:pPr>
            <w:r>
              <w:rPr>
                <w:rFonts w:hint="eastAsia"/>
              </w:rPr>
              <w:t>BOD</w:t>
            </w:r>
            <w:r>
              <w:rPr>
                <w:vertAlign w:val="subscript"/>
              </w:rPr>
              <w:t>5</w:t>
            </w:r>
          </w:p>
        </w:tc>
        <w:tc>
          <w:tcPr>
            <w:tcW w:w="820" w:type="pct"/>
            <w:shd w:val="clear" w:color="auto" w:fill="auto"/>
            <w:vAlign w:val="bottom"/>
          </w:tcPr>
          <w:p w14:paraId="3C6941FB">
            <w:pPr>
              <w:pStyle w:val="90"/>
            </w:pPr>
            <w:r>
              <w:rPr>
                <w:rFonts w:hint="eastAsia"/>
              </w:rPr>
              <w:t>0.384</w:t>
            </w:r>
          </w:p>
        </w:tc>
        <w:tc>
          <w:tcPr>
            <w:tcW w:w="624" w:type="pct"/>
            <w:shd w:val="clear" w:color="auto" w:fill="auto"/>
            <w:vAlign w:val="center"/>
          </w:tcPr>
          <w:p w14:paraId="4882A21A">
            <w:pPr>
              <w:pStyle w:val="90"/>
            </w:pPr>
            <w:r>
              <w:t>200</w:t>
            </w:r>
          </w:p>
        </w:tc>
        <w:tc>
          <w:tcPr>
            <w:tcW w:w="624" w:type="pct"/>
            <w:vMerge w:val="continue"/>
            <w:shd w:val="clear" w:color="auto" w:fill="auto"/>
            <w:vAlign w:val="center"/>
          </w:tcPr>
          <w:p w14:paraId="35DAE7B9">
            <w:pPr>
              <w:pStyle w:val="90"/>
            </w:pPr>
          </w:p>
        </w:tc>
        <w:tc>
          <w:tcPr>
            <w:tcW w:w="624" w:type="pct"/>
            <w:shd w:val="clear" w:color="auto" w:fill="auto"/>
            <w:vAlign w:val="bottom"/>
          </w:tcPr>
          <w:p w14:paraId="232D7A35">
            <w:pPr>
              <w:pStyle w:val="90"/>
            </w:pPr>
            <w:r>
              <w:rPr>
                <w:rFonts w:hint="eastAsia"/>
              </w:rPr>
              <w:t>0.384</w:t>
            </w:r>
          </w:p>
        </w:tc>
        <w:tc>
          <w:tcPr>
            <w:tcW w:w="624" w:type="pct"/>
            <w:shd w:val="clear" w:color="auto" w:fill="auto"/>
            <w:vAlign w:val="center"/>
          </w:tcPr>
          <w:p w14:paraId="1F01B6D4">
            <w:pPr>
              <w:pStyle w:val="90"/>
            </w:pPr>
            <w:r>
              <w:t>200</w:t>
            </w:r>
          </w:p>
        </w:tc>
        <w:tc>
          <w:tcPr>
            <w:tcW w:w="624" w:type="pct"/>
            <w:vMerge w:val="continue"/>
            <w:shd w:val="clear" w:color="auto" w:fill="auto"/>
            <w:vAlign w:val="center"/>
          </w:tcPr>
          <w:p w14:paraId="5AB46307">
            <w:pPr>
              <w:pStyle w:val="90"/>
            </w:pPr>
          </w:p>
        </w:tc>
      </w:tr>
      <w:tr w14:paraId="58624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39E8B4EC">
            <w:pPr>
              <w:pStyle w:val="90"/>
            </w:pPr>
          </w:p>
        </w:tc>
        <w:tc>
          <w:tcPr>
            <w:tcW w:w="730" w:type="pct"/>
            <w:shd w:val="clear" w:color="auto" w:fill="auto"/>
            <w:vAlign w:val="center"/>
          </w:tcPr>
          <w:p w14:paraId="4DB459F0">
            <w:pPr>
              <w:pStyle w:val="90"/>
            </w:pPr>
            <w:r>
              <w:rPr>
                <w:rFonts w:hint="eastAsia"/>
              </w:rPr>
              <w:t>SS</w:t>
            </w:r>
          </w:p>
        </w:tc>
        <w:tc>
          <w:tcPr>
            <w:tcW w:w="820" w:type="pct"/>
            <w:shd w:val="clear" w:color="auto" w:fill="auto"/>
            <w:vAlign w:val="bottom"/>
          </w:tcPr>
          <w:p w14:paraId="271C5FD1">
            <w:pPr>
              <w:pStyle w:val="90"/>
            </w:pPr>
            <w:r>
              <w:rPr>
                <w:rFonts w:hint="eastAsia"/>
              </w:rPr>
              <w:t>0.384</w:t>
            </w:r>
          </w:p>
        </w:tc>
        <w:tc>
          <w:tcPr>
            <w:tcW w:w="624" w:type="pct"/>
            <w:shd w:val="clear" w:color="auto" w:fill="auto"/>
            <w:vAlign w:val="center"/>
          </w:tcPr>
          <w:p w14:paraId="5511519A">
            <w:pPr>
              <w:pStyle w:val="90"/>
            </w:pPr>
            <w:r>
              <w:rPr>
                <w:rFonts w:hint="eastAsia"/>
              </w:rPr>
              <w:t>2</w:t>
            </w:r>
            <w:r>
              <w:t>00</w:t>
            </w:r>
          </w:p>
        </w:tc>
        <w:tc>
          <w:tcPr>
            <w:tcW w:w="624" w:type="pct"/>
            <w:vMerge w:val="continue"/>
            <w:shd w:val="clear" w:color="auto" w:fill="auto"/>
            <w:vAlign w:val="center"/>
          </w:tcPr>
          <w:p w14:paraId="059850C0">
            <w:pPr>
              <w:pStyle w:val="90"/>
            </w:pPr>
          </w:p>
        </w:tc>
        <w:tc>
          <w:tcPr>
            <w:tcW w:w="624" w:type="pct"/>
            <w:shd w:val="clear" w:color="auto" w:fill="auto"/>
            <w:vAlign w:val="bottom"/>
          </w:tcPr>
          <w:p w14:paraId="6C688101">
            <w:pPr>
              <w:pStyle w:val="90"/>
            </w:pPr>
            <w:r>
              <w:rPr>
                <w:rFonts w:hint="eastAsia"/>
              </w:rPr>
              <w:t>0.384</w:t>
            </w:r>
          </w:p>
        </w:tc>
        <w:tc>
          <w:tcPr>
            <w:tcW w:w="624" w:type="pct"/>
            <w:shd w:val="clear" w:color="auto" w:fill="auto"/>
            <w:vAlign w:val="center"/>
          </w:tcPr>
          <w:p w14:paraId="173B9F3E">
            <w:pPr>
              <w:pStyle w:val="90"/>
            </w:pPr>
            <w:r>
              <w:rPr>
                <w:rFonts w:hint="eastAsia"/>
              </w:rPr>
              <w:t>2</w:t>
            </w:r>
            <w:r>
              <w:t>00</w:t>
            </w:r>
          </w:p>
        </w:tc>
        <w:tc>
          <w:tcPr>
            <w:tcW w:w="624" w:type="pct"/>
            <w:vMerge w:val="continue"/>
            <w:shd w:val="clear" w:color="auto" w:fill="auto"/>
            <w:vAlign w:val="center"/>
          </w:tcPr>
          <w:p w14:paraId="2A0862CF">
            <w:pPr>
              <w:pStyle w:val="90"/>
            </w:pPr>
          </w:p>
        </w:tc>
      </w:tr>
      <w:tr w14:paraId="1B615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4" w:type="pct"/>
            <w:vMerge w:val="continue"/>
            <w:shd w:val="clear" w:color="auto" w:fill="auto"/>
            <w:vAlign w:val="center"/>
          </w:tcPr>
          <w:p w14:paraId="24F64EA6">
            <w:pPr>
              <w:pStyle w:val="90"/>
            </w:pPr>
          </w:p>
        </w:tc>
        <w:tc>
          <w:tcPr>
            <w:tcW w:w="730" w:type="pct"/>
            <w:shd w:val="clear" w:color="auto" w:fill="auto"/>
            <w:vAlign w:val="center"/>
          </w:tcPr>
          <w:p w14:paraId="0DBD0CB4">
            <w:pPr>
              <w:pStyle w:val="90"/>
            </w:pPr>
            <w:r>
              <w:rPr>
                <w:rFonts w:hint="eastAsia"/>
              </w:rPr>
              <w:t>氨氮</w:t>
            </w:r>
          </w:p>
        </w:tc>
        <w:tc>
          <w:tcPr>
            <w:tcW w:w="820" w:type="pct"/>
            <w:shd w:val="clear" w:color="auto" w:fill="auto"/>
            <w:vAlign w:val="bottom"/>
          </w:tcPr>
          <w:p w14:paraId="77ABD572">
            <w:pPr>
              <w:pStyle w:val="90"/>
            </w:pPr>
            <w:r>
              <w:rPr>
                <w:rFonts w:hint="eastAsia"/>
              </w:rPr>
              <w:t>0.05</w:t>
            </w:r>
            <w:r>
              <w:t>8</w:t>
            </w:r>
          </w:p>
        </w:tc>
        <w:tc>
          <w:tcPr>
            <w:tcW w:w="624" w:type="pct"/>
            <w:shd w:val="clear" w:color="auto" w:fill="auto"/>
            <w:vAlign w:val="center"/>
          </w:tcPr>
          <w:p w14:paraId="5F52B6A2">
            <w:pPr>
              <w:pStyle w:val="90"/>
            </w:pPr>
            <w:r>
              <w:rPr>
                <w:rFonts w:hint="eastAsia"/>
              </w:rPr>
              <w:t>3</w:t>
            </w:r>
            <w:r>
              <w:t>0</w:t>
            </w:r>
          </w:p>
        </w:tc>
        <w:tc>
          <w:tcPr>
            <w:tcW w:w="624" w:type="pct"/>
            <w:vMerge w:val="continue"/>
            <w:shd w:val="clear" w:color="auto" w:fill="auto"/>
            <w:vAlign w:val="center"/>
          </w:tcPr>
          <w:p w14:paraId="07252FF4">
            <w:pPr>
              <w:pStyle w:val="90"/>
            </w:pPr>
          </w:p>
        </w:tc>
        <w:tc>
          <w:tcPr>
            <w:tcW w:w="624" w:type="pct"/>
            <w:shd w:val="clear" w:color="auto" w:fill="auto"/>
            <w:vAlign w:val="bottom"/>
          </w:tcPr>
          <w:p w14:paraId="352771EF">
            <w:pPr>
              <w:pStyle w:val="90"/>
            </w:pPr>
            <w:r>
              <w:rPr>
                <w:rFonts w:hint="eastAsia"/>
              </w:rPr>
              <w:t>0.05</w:t>
            </w:r>
            <w:r>
              <w:t>8</w:t>
            </w:r>
          </w:p>
        </w:tc>
        <w:tc>
          <w:tcPr>
            <w:tcW w:w="624" w:type="pct"/>
            <w:shd w:val="clear" w:color="auto" w:fill="auto"/>
            <w:vAlign w:val="center"/>
          </w:tcPr>
          <w:p w14:paraId="272D79A5">
            <w:pPr>
              <w:pStyle w:val="90"/>
            </w:pPr>
            <w:r>
              <w:rPr>
                <w:rFonts w:hint="eastAsia"/>
              </w:rPr>
              <w:t>3</w:t>
            </w:r>
            <w:r>
              <w:t>0</w:t>
            </w:r>
          </w:p>
        </w:tc>
        <w:tc>
          <w:tcPr>
            <w:tcW w:w="624" w:type="pct"/>
            <w:vMerge w:val="continue"/>
            <w:shd w:val="clear" w:color="auto" w:fill="auto"/>
            <w:vAlign w:val="center"/>
          </w:tcPr>
          <w:p w14:paraId="29E81369">
            <w:pPr>
              <w:pStyle w:val="90"/>
            </w:pPr>
          </w:p>
        </w:tc>
      </w:tr>
    </w:tbl>
    <w:p w14:paraId="290F13D7">
      <w:pPr>
        <w:pStyle w:val="43"/>
      </w:pPr>
      <w:r>
        <w:rPr>
          <w:rFonts w:hint="eastAsia"/>
        </w:rPr>
        <w:t>废水污染防治措施</w:t>
      </w:r>
    </w:p>
    <w:p w14:paraId="0058529C">
      <w:pPr>
        <w:ind w:firstLine="480"/>
      </w:pPr>
      <w:r>
        <w:rPr>
          <w:rFonts w:hint="eastAsia"/>
        </w:rPr>
        <w:t>本项目新建污水处理站1座，生产废水、地面冲洗废水、循环冷却水排污及生活污水均进入污水处理站处理后，通过厂区总排口进入园区污水处理厂处理。</w:t>
      </w:r>
    </w:p>
    <w:p w14:paraId="24D23CF5">
      <w:pPr>
        <w:ind w:firstLine="480"/>
        <w:rPr>
          <w:color w:val="FF0000"/>
          <w:kern w:val="0"/>
          <w:szCs w:val="24"/>
        </w:rPr>
      </w:pPr>
      <w:r>
        <w:rPr>
          <w:rFonts w:hint="eastAsia"/>
        </w:rPr>
        <w:t>根据</w:t>
      </w:r>
      <w:r>
        <w:rPr>
          <w:rFonts w:hint="eastAsia"/>
          <w:kern w:val="0"/>
          <w:szCs w:val="24"/>
        </w:rPr>
        <w:t>《石油炼制工业废水治理工程技术规范》（HJ</w:t>
      </w:r>
      <w:r>
        <w:rPr>
          <w:kern w:val="0"/>
          <w:szCs w:val="24"/>
        </w:rPr>
        <w:t>2045-2014</w:t>
      </w:r>
      <w:r>
        <w:rPr>
          <w:rFonts w:hint="eastAsia"/>
          <w:kern w:val="0"/>
          <w:szCs w:val="24"/>
        </w:rPr>
        <w:t>）中的要求，石油炼制工业废水治理包括物化处理、生化处理和深度处理三个阶段。本项目生产废水主要是沉淀罐过程油水分离的含油废水，采用管道收集进入隔油池隔油处理后，再送生化处理阶段，采用A</w:t>
      </w:r>
      <w:r>
        <w:rPr>
          <w:kern w:val="0"/>
          <w:szCs w:val="24"/>
        </w:rPr>
        <w:t>/</w:t>
      </w:r>
      <w:r>
        <w:rPr>
          <w:rFonts w:hint="eastAsia"/>
          <w:kern w:val="0"/>
          <w:szCs w:val="24"/>
        </w:rPr>
        <w:t>O生化池深度处理。</w:t>
      </w:r>
      <w:r>
        <w:rPr>
          <w:rFonts w:hint="eastAsia"/>
          <w:b w:val="0"/>
          <w:bCs w:val="0"/>
          <w:color w:val="auto"/>
          <w:kern w:val="0"/>
          <w:szCs w:val="24"/>
        </w:rPr>
        <w:t>具体工艺流程见图6</w:t>
      </w:r>
      <w:r>
        <w:rPr>
          <w:b w:val="0"/>
          <w:bCs w:val="0"/>
          <w:color w:val="auto"/>
          <w:kern w:val="0"/>
          <w:szCs w:val="24"/>
        </w:rPr>
        <w:t>.2-1</w:t>
      </w:r>
      <w:r>
        <w:rPr>
          <w:rFonts w:hint="eastAsia"/>
          <w:b w:val="0"/>
          <w:bCs w:val="0"/>
          <w:color w:val="auto"/>
          <w:kern w:val="0"/>
          <w:szCs w:val="24"/>
        </w:rPr>
        <w:t>。</w:t>
      </w:r>
    </w:p>
    <w:p w14:paraId="38EEADF3">
      <w:pPr>
        <w:spacing w:line="240" w:lineRule="auto"/>
        <w:ind w:firstLine="0" w:firstLineChars="0"/>
        <w:jc w:val="center"/>
        <w:rPr>
          <w:kern w:val="0"/>
          <w:szCs w:val="24"/>
        </w:rPr>
      </w:pPr>
      <w:r>
        <mc:AlternateContent>
          <mc:Choice Requires="wpg">
            <w:drawing>
              <wp:inline distT="0" distB="0" distL="114300" distR="114300">
                <wp:extent cx="1027430" cy="3863975"/>
                <wp:effectExtent l="9525" t="0" r="10795" b="0"/>
                <wp:docPr id="2" name="组合 1"/>
                <wp:cNvGraphicFramePr/>
                <a:graphic xmlns:a="http://schemas.openxmlformats.org/drawingml/2006/main">
                  <a:graphicData uri="http://schemas.microsoft.com/office/word/2010/wordprocessingGroup">
                    <wpg:wgp>
                      <wpg:cNvGrpSpPr/>
                      <wpg:grpSpPr>
                        <a:xfrm>
                          <a:off x="9311005" y="1568450"/>
                          <a:ext cx="1027430" cy="3863975"/>
                          <a:chOff x="14663" y="2470"/>
                          <a:chExt cx="1618" cy="6085"/>
                        </a:xfrm>
                        <a:effectLst/>
                      </wpg:grpSpPr>
                      <wps:wsp>
                        <wps:cNvPr id="56" name="矩形 55"/>
                        <wps:cNvSpPr/>
                        <wps:spPr>
                          <a:xfrm>
                            <a:off x="14663" y="2470"/>
                            <a:ext cx="1619" cy="753"/>
                          </a:xfrm>
                          <a:prstGeom prst="rect">
                            <a:avLst/>
                          </a:prstGeom>
                          <a:noFill/>
                          <a:ln w="19050" cap="flat" cmpd="sng" algn="ctr">
                            <a:noFill/>
                            <a:prstDash val="solid"/>
                            <a:miter lim="800000"/>
                          </a:ln>
                          <a:effectLst/>
                        </wps:spPr>
                        <wps:txbx>
                          <w:txbxContent>
                            <w:p w14:paraId="2B13F316">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各废水经污水管道收集</w:t>
                              </w:r>
                            </w:p>
                          </w:txbxContent>
                        </wps:txbx>
                        <wps:bodyPr rtlCol="0" anchor="ctr" anchorCtr="0"/>
                      </wps:wsp>
                      <wps:wsp>
                        <wps:cNvPr id="57" name="矩形 56"/>
                        <wps:cNvSpPr/>
                        <wps:spPr>
                          <a:xfrm>
                            <a:off x="14663" y="3802"/>
                            <a:ext cx="1619" cy="465"/>
                          </a:xfrm>
                          <a:prstGeom prst="rect">
                            <a:avLst/>
                          </a:prstGeom>
                          <a:noFill/>
                          <a:ln w="19050" cap="flat" cmpd="sng" algn="ctr">
                            <a:solidFill>
                              <a:srgbClr val="000000"/>
                            </a:solidFill>
                            <a:prstDash val="solid"/>
                            <a:miter lim="800000"/>
                          </a:ln>
                          <a:effectLst/>
                        </wps:spPr>
                        <wps:txbx>
                          <w:txbxContent>
                            <w:p w14:paraId="4EBA2C37">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隔油池</w:t>
                              </w:r>
                            </w:p>
                          </w:txbxContent>
                        </wps:txbx>
                        <wps:bodyPr rtlCol="0" anchor="ctr" anchorCtr="0"/>
                      </wps:wsp>
                      <wps:wsp>
                        <wps:cNvPr id="58" name="矩形 57"/>
                        <wps:cNvSpPr/>
                        <wps:spPr>
                          <a:xfrm>
                            <a:off x="14663" y="4849"/>
                            <a:ext cx="1619" cy="467"/>
                          </a:xfrm>
                          <a:prstGeom prst="rect">
                            <a:avLst/>
                          </a:prstGeom>
                          <a:noFill/>
                          <a:ln w="19050" cap="flat" cmpd="sng" algn="ctr">
                            <a:solidFill>
                              <a:srgbClr val="000000"/>
                            </a:solidFill>
                            <a:prstDash val="solid"/>
                            <a:miter lim="800000"/>
                          </a:ln>
                          <a:effectLst/>
                        </wps:spPr>
                        <wps:txbx>
                          <w:txbxContent>
                            <w:p w14:paraId="4FC2FD28">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A/O生化池</w:t>
                              </w:r>
                            </w:p>
                          </w:txbxContent>
                        </wps:txbx>
                        <wps:bodyPr rtlCol="0" anchor="ctr" anchorCtr="0"/>
                      </wps:wsp>
                      <wps:wsp>
                        <wps:cNvPr id="60" name="矩形 59"/>
                        <wps:cNvSpPr/>
                        <wps:spPr>
                          <a:xfrm>
                            <a:off x="14663" y="7000"/>
                            <a:ext cx="1619" cy="559"/>
                          </a:xfrm>
                          <a:prstGeom prst="rect">
                            <a:avLst/>
                          </a:prstGeom>
                          <a:noFill/>
                          <a:ln w="19050" cap="flat" cmpd="sng" algn="ctr">
                            <a:solidFill>
                              <a:srgbClr val="000000"/>
                            </a:solidFill>
                            <a:prstDash val="solid"/>
                            <a:miter lim="800000"/>
                          </a:ln>
                          <a:effectLst/>
                        </wps:spPr>
                        <wps:txbx>
                          <w:txbxContent>
                            <w:p w14:paraId="18D2CCDB">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总排口监控</w:t>
                              </w:r>
                            </w:p>
                          </w:txbxContent>
                        </wps:txbx>
                        <wps:bodyPr rtlCol="0" anchor="ctr" anchorCtr="0"/>
                      </wps:wsp>
                      <wps:wsp>
                        <wps:cNvPr id="61" name="矩形 60"/>
                        <wps:cNvSpPr/>
                        <wps:spPr>
                          <a:xfrm>
                            <a:off x="14663" y="5913"/>
                            <a:ext cx="1619" cy="480"/>
                          </a:xfrm>
                          <a:prstGeom prst="rect">
                            <a:avLst/>
                          </a:prstGeom>
                          <a:noFill/>
                          <a:ln w="19050" cap="flat" cmpd="sng" algn="ctr">
                            <a:solidFill>
                              <a:srgbClr val="000000"/>
                            </a:solidFill>
                            <a:prstDash val="solid"/>
                            <a:miter lim="800000"/>
                          </a:ln>
                          <a:effectLst/>
                        </wps:spPr>
                        <wps:txbx>
                          <w:txbxContent>
                            <w:p w14:paraId="166DCC99">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缓冲池</w:t>
                              </w:r>
                            </w:p>
                          </w:txbxContent>
                        </wps:txbx>
                        <wps:bodyPr rtlCol="0" anchor="ctr" anchorCtr="0"/>
                      </wps:wsp>
                      <wps:wsp>
                        <wps:cNvPr id="63" name="直接箭头连接符 62"/>
                        <wps:cNvCnPr/>
                        <wps:spPr>
                          <a:xfrm flipV="1">
                            <a:off x="15472" y="3211"/>
                            <a:ext cx="0" cy="591"/>
                          </a:xfrm>
                          <a:prstGeom prst="straightConnector1">
                            <a:avLst/>
                          </a:prstGeom>
                          <a:noFill/>
                          <a:ln w="28575" cap="flat" cmpd="sng" algn="ctr">
                            <a:solidFill>
                              <a:srgbClr val="000000"/>
                            </a:solidFill>
                            <a:prstDash val="solid"/>
                            <a:miter lim="800000"/>
                            <a:headEnd type="triangle" w="med" len="med"/>
                            <a:tailEnd type="none" w="med" len="med"/>
                          </a:ln>
                          <a:effectLst/>
                        </wps:spPr>
                        <wps:bodyPr/>
                      </wps:wsp>
                      <wps:wsp>
                        <wps:cNvPr id="64" name="直接箭头连接符 63"/>
                        <wps:cNvCnPr/>
                        <wps:spPr>
                          <a:xfrm flipV="1">
                            <a:off x="15472" y="4270"/>
                            <a:ext cx="0" cy="591"/>
                          </a:xfrm>
                          <a:prstGeom prst="straightConnector1">
                            <a:avLst/>
                          </a:prstGeom>
                          <a:noFill/>
                          <a:ln w="28575" cap="flat" cmpd="sng" algn="ctr">
                            <a:solidFill>
                              <a:srgbClr val="000000"/>
                            </a:solidFill>
                            <a:prstDash val="solid"/>
                            <a:miter lim="800000"/>
                            <a:headEnd type="triangle" w="med" len="med"/>
                            <a:tailEnd type="none" w="med" len="med"/>
                          </a:ln>
                          <a:effectLst/>
                        </wps:spPr>
                        <wps:bodyPr/>
                      </wps:wsp>
                      <wps:wsp>
                        <wps:cNvPr id="65" name="直接箭头连接符 64"/>
                        <wps:cNvCnPr/>
                        <wps:spPr>
                          <a:xfrm flipV="1">
                            <a:off x="15472" y="5322"/>
                            <a:ext cx="0" cy="591"/>
                          </a:xfrm>
                          <a:prstGeom prst="straightConnector1">
                            <a:avLst/>
                          </a:prstGeom>
                          <a:noFill/>
                          <a:ln w="28575" cap="flat" cmpd="sng" algn="ctr">
                            <a:solidFill>
                              <a:srgbClr val="000000"/>
                            </a:solidFill>
                            <a:prstDash val="solid"/>
                            <a:miter lim="800000"/>
                            <a:headEnd type="triangle" w="med" len="med"/>
                            <a:tailEnd type="none" w="med" len="med"/>
                          </a:ln>
                          <a:effectLst/>
                        </wps:spPr>
                        <wps:bodyPr/>
                      </wps:wsp>
                      <wps:wsp>
                        <wps:cNvPr id="67" name="直接箭头连接符 66"/>
                        <wps:cNvCnPr/>
                        <wps:spPr>
                          <a:xfrm flipV="1">
                            <a:off x="15472" y="6393"/>
                            <a:ext cx="0" cy="591"/>
                          </a:xfrm>
                          <a:prstGeom prst="straightConnector1">
                            <a:avLst/>
                          </a:prstGeom>
                          <a:noFill/>
                          <a:ln w="28575" cap="flat" cmpd="sng" algn="ctr">
                            <a:solidFill>
                              <a:srgbClr val="000000"/>
                            </a:solidFill>
                            <a:prstDash val="solid"/>
                            <a:miter lim="800000"/>
                            <a:headEnd type="triangle" w="med" len="med"/>
                            <a:tailEnd type="none" w="med" len="med"/>
                          </a:ln>
                          <a:effectLst/>
                        </wps:spPr>
                        <wps:bodyPr/>
                      </wps:wsp>
                      <wps:wsp>
                        <wps:cNvPr id="70" name="直接箭头连接符 69"/>
                        <wps:cNvCnPr/>
                        <wps:spPr>
                          <a:xfrm flipV="1">
                            <a:off x="15472" y="3211"/>
                            <a:ext cx="0" cy="591"/>
                          </a:xfrm>
                          <a:prstGeom prst="straightConnector1">
                            <a:avLst/>
                          </a:prstGeom>
                          <a:noFill/>
                          <a:ln w="28575" cap="flat" cmpd="sng" algn="ctr">
                            <a:solidFill>
                              <a:srgbClr val="000000"/>
                            </a:solidFill>
                            <a:prstDash val="solid"/>
                            <a:miter lim="800000"/>
                            <a:headEnd type="triangle" w="med" len="med"/>
                            <a:tailEnd type="none" w="med" len="med"/>
                          </a:ln>
                          <a:effectLst/>
                        </wps:spPr>
                        <wps:bodyPr/>
                      </wps:wsp>
                      <wps:wsp>
                        <wps:cNvPr id="71" name="直接箭头连接符 70"/>
                        <wps:cNvCnPr/>
                        <wps:spPr>
                          <a:xfrm flipV="1">
                            <a:off x="15472" y="7559"/>
                            <a:ext cx="0" cy="591"/>
                          </a:xfrm>
                          <a:prstGeom prst="straightConnector1">
                            <a:avLst/>
                          </a:prstGeom>
                          <a:noFill/>
                          <a:ln w="28575" cap="flat" cmpd="sng" algn="ctr">
                            <a:solidFill>
                              <a:srgbClr val="000000"/>
                            </a:solidFill>
                            <a:prstDash val="solid"/>
                            <a:miter lim="800000"/>
                            <a:headEnd type="triangle" w="med" len="med"/>
                            <a:tailEnd type="none" w="med" len="med"/>
                          </a:ln>
                          <a:effectLst/>
                        </wps:spPr>
                        <wps:bodyPr/>
                      </wps:wsp>
                      <wps:wsp>
                        <wps:cNvPr id="72" name="矩形 71"/>
                        <wps:cNvSpPr/>
                        <wps:spPr>
                          <a:xfrm>
                            <a:off x="14663" y="8185"/>
                            <a:ext cx="1619" cy="371"/>
                          </a:xfrm>
                          <a:prstGeom prst="rect">
                            <a:avLst/>
                          </a:prstGeom>
                          <a:noFill/>
                          <a:ln w="19050" cap="flat" cmpd="sng" algn="ctr">
                            <a:noFill/>
                            <a:prstDash val="solid"/>
                            <a:miter lim="800000"/>
                          </a:ln>
                          <a:effectLst/>
                        </wps:spPr>
                        <wps:txbx>
                          <w:txbxContent>
                            <w:p w14:paraId="01290E7A">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外排</w:t>
                              </w:r>
                            </w:p>
                          </w:txbxContent>
                        </wps:txbx>
                        <wps:bodyPr rtlCol="0" anchor="ctr" anchorCtr="0"/>
                      </wps:wsp>
                    </wpg:wgp>
                  </a:graphicData>
                </a:graphic>
              </wp:inline>
            </w:drawing>
          </mc:Choice>
          <mc:Fallback>
            <w:pict>
              <v:group id="组合 1" o:spid="_x0000_s1026" o:spt="203" style="height:304.25pt;width:80.9pt;" coordorigin="14663,2470" coordsize="1618,6085" o:gfxdata="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&#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CvUz9a1QAAAAUBAAAPAAAAAAAAAAEAIAAAACIAAABk&#10;cnMvZG93bnJldi54bWxQSwECFAAUAAAACACHTuJADCXra0MEAAByHQAADgAAAAAAAAABACAAAAAk&#10;AQAAZHJzL2Uyb0RvYy54bWxQSwUGAAAAAAYABgBZAQAA2QcAAAAA&#10;">
                <o:lock v:ext="edit" aspectratio="f"/>
                <v:rect id="矩形 55" o:spid="_x0000_s1026" o:spt="1" style="position:absolute;left:14663;top:2470;height:753;width:1619;v-text-anchor:middle;" filled="f" stroked="f" coordsize="21600,21600" o:gfxdata="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YzTy/&#10;AAAA2wAAAA8AAAAAAAAAAQAgAAAAIgAAAGRycy9kb3ducmV2LnhtbFBLAQIUABQAAAAIAIdO4kAz&#10;LwWeOwAAADkAAAAQAAAAAAAAAAEAIAAAAA4BAABkcnMvc2hhcGV4bWwueG1sUEsFBgAAAAAGAAYA&#10;WwEAALgDAAAAAA==&#10;">
                  <v:fill on="f" focussize="0,0"/>
                  <v:stroke on="f" weight="1.5pt" miterlimit="8" joinstyle="miter"/>
                  <v:imagedata o:title=""/>
                  <o:lock v:ext="edit" aspectratio="f"/>
                  <v:textbox>
                    <w:txbxContent>
                      <w:p w14:paraId="2B13F316">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各废水经污水管道收集</w:t>
                        </w:r>
                      </w:p>
                    </w:txbxContent>
                  </v:textbox>
                </v:rect>
                <v:rect id="矩形 56" o:spid="_x0000_s1026" o:spt="1" style="position:absolute;left:14663;top:3802;height:465;width:1619;v-text-anchor:middle;" filled="f" stroked="t" coordsize="21600,21600" o:gfxdata="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Kjo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textbox>
                    <w:txbxContent>
                      <w:p w14:paraId="4EBA2C37">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隔油池</w:t>
                        </w:r>
                      </w:p>
                    </w:txbxContent>
                  </v:textbox>
                </v:rect>
                <v:rect id="矩形 57" o:spid="_x0000_s1026" o:spt="1" style="position:absolute;left:14663;top:4849;height:467;width:1619;v-text-anchor:middle;" filled="f" stroked="t" coordsize="21600,21600" o:gfxdata="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030bsAAADb&#10;AAAADwAAAAAAAAABACAAAAAiAAAAZHJzL2Rvd25yZXYueG1sUEsBAhQAFAAAAAgAh07iQDMvBZ47&#10;AAAAOQAAABAAAAAAAAAAAQAgAAAACgEAAGRycy9zaGFwZXhtbC54bWxQSwUGAAAAAAYABgBbAQAA&#10;tAMAAAAA&#10;">
                  <v:fill on="f" focussize="0,0"/>
                  <v:stroke weight="1.5pt" color="#000000" miterlimit="8" joinstyle="miter"/>
                  <v:imagedata o:title=""/>
                  <o:lock v:ext="edit" aspectratio="f"/>
                  <v:textbox>
                    <w:txbxContent>
                      <w:p w14:paraId="4FC2FD28">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A/O生化池</w:t>
                        </w:r>
                      </w:p>
                    </w:txbxContent>
                  </v:textbox>
                </v:rect>
                <v:rect id="矩形 59" o:spid="_x0000_s1026" o:spt="1" style="position:absolute;left:14663;top:7000;height:559;width:1619;v-text-anchor:middle;" filled="f" stroked="t" coordsize="21600,21600" o:gfxdata="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fxargAAADbAAAA&#10;DwAAAAAAAAABACAAAAAiAAAAZHJzL2Rvd25yZXYueG1sUEsBAhQAFAAAAAgAh07iQDMvBZ47AAAA&#10;OQAAABAAAAAAAAAAAQAgAAAABwEAAGRycy9zaGFwZXhtbC54bWxQSwUGAAAAAAYABgBbAQAAsQMA&#10;AAAA&#10;">
                  <v:fill on="f" focussize="0,0"/>
                  <v:stroke weight="1.5pt" color="#000000" miterlimit="8" joinstyle="miter"/>
                  <v:imagedata o:title=""/>
                  <o:lock v:ext="edit" aspectratio="f"/>
                  <v:textbox>
                    <w:txbxContent>
                      <w:p w14:paraId="18D2CCDB">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总排口监控</w:t>
                        </w:r>
                      </w:p>
                    </w:txbxContent>
                  </v:textbox>
                </v:rect>
                <v:rect id="矩形 60" o:spid="_x0000_s1026" o:spt="1" style="position:absolute;left:14663;top:5913;height:480;width:1619;v-text-anchor:middle;" filled="f" stroked="t" coordsize="21600,21600" o:gfxdata="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VPG/&#10;AAAA2w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textbox>
                    <w:txbxContent>
                      <w:p w14:paraId="166DCC99">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缓冲池</w:t>
                        </w:r>
                      </w:p>
                    </w:txbxContent>
                  </v:textbox>
                </v:rect>
                <v:shape id="直接箭头连接符 62" o:spid="_x0000_s1026" o:spt="32" type="#_x0000_t32" style="position:absolute;left:15472;top:3211;flip:y;height:591;width:0;" filled="f" stroked="t" coordsize="21600,21600" o:gfxdata="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vQAA&#10;ANsAAAAPAAAAAAAAAAEAIAAAACIAAABkcnMvZG93bnJldi54bWxQSwECFAAUAAAACACHTuJAMy8F&#10;njsAAAA5AAAAEAAAAAAAAAABACAAAAAMAQAAZHJzL3NoYXBleG1sLnhtbFBLBQYAAAAABgAGAFsB&#10;AAC2AwAAAAA=&#10;">
                  <v:fill on="f" focussize="0,0"/>
                  <v:stroke weight="2.25pt" color="#000000" miterlimit="8" joinstyle="miter" startarrow="block"/>
                  <v:imagedata o:title=""/>
                  <o:lock v:ext="edit" aspectratio="f"/>
                </v:shape>
                <v:shape id="直接箭头连接符 63" o:spid="_x0000_s1026" o:spt="32" type="#_x0000_t32" style="position:absolute;left:15472;top:4270;flip:y;height:591;width:0;" filled="f" stroked="t" coordsize="21600,21600" o:gfxdata="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7J6m8AAAA&#10;2wAAAA8AAAAAAAAAAQAgAAAAIgAAAGRycy9kb3ducmV2LnhtbFBLAQIUABQAAAAIAIdO4kAzLwWe&#10;OwAAADkAAAAQAAAAAAAAAAEAIAAAAAsBAABkcnMvc2hhcGV4bWwueG1sUEsFBgAAAAAGAAYAWwEA&#10;ALUDAAAAAA==&#10;">
                  <v:fill on="f" focussize="0,0"/>
                  <v:stroke weight="2.25pt" color="#000000" miterlimit="8" joinstyle="miter" startarrow="block"/>
                  <v:imagedata o:title=""/>
                  <o:lock v:ext="edit" aspectratio="f"/>
                </v:shape>
                <v:shape id="直接箭头连接符 64" o:spid="_x0000_s1026" o:spt="32" type="#_x0000_t32" style="position:absolute;left:15472;top:5322;flip:y;height:591;width:0;" filled="f" stroked="t" coordsize="21600,21600" o:gfxdata="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t4IyvQAA&#10;ANsAAAAPAAAAAAAAAAEAIAAAACIAAABkcnMvZG93bnJldi54bWxQSwECFAAUAAAACACHTuJAMy8F&#10;njsAAAA5AAAAEAAAAAAAAAABACAAAAAMAQAAZHJzL3NoYXBleG1sLnhtbFBLBQYAAAAABgAGAFsB&#10;AAC2AwAAAAA=&#10;">
                  <v:fill on="f" focussize="0,0"/>
                  <v:stroke weight="2.25pt" color="#000000" miterlimit="8" joinstyle="miter" startarrow="block"/>
                  <v:imagedata o:title=""/>
                  <o:lock v:ext="edit" aspectratio="f"/>
                </v:shape>
                <v:shape id="直接箭头连接符 66" o:spid="_x0000_s1026" o:spt="32" type="#_x0000_t32" style="position:absolute;left:15472;top:6393;flip:y;height:591;width:0;" filled="f" stroked="t" coordsize="21600,21600" o:gfxdata="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bnevQAA&#10;ANsAAAAPAAAAAAAAAAEAIAAAACIAAABkcnMvZG93bnJldi54bWxQSwECFAAUAAAACACHTuJAMy8F&#10;njsAAAA5AAAAEAAAAAAAAAABACAAAAAMAQAAZHJzL3NoYXBleG1sLnhtbFBLBQYAAAAABgAGAFsB&#10;AAC2AwAAAAA=&#10;">
                  <v:fill on="f" focussize="0,0"/>
                  <v:stroke weight="2.25pt" color="#000000" miterlimit="8" joinstyle="miter" startarrow="block"/>
                  <v:imagedata o:title=""/>
                  <o:lock v:ext="edit" aspectratio="f"/>
                </v:shape>
                <v:shape id="直接箭头连接符 69" o:spid="_x0000_s1026" o:spt="32" type="#_x0000_t32" style="position:absolute;left:15472;top:3211;flip:y;height:591;width:0;" filled="f" stroked="t" coordsize="21600,21600" o:gfxdata="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Zt3e5AAAA2wAA&#10;AA8AAAAAAAAAAQAgAAAAIgAAAGRycy9kb3ducmV2LnhtbFBLAQIUABQAAAAIAIdO4kAzLwWeOwAA&#10;ADkAAAAQAAAAAAAAAAEAIAAAAAgBAABkcnMvc2hhcGV4bWwueG1sUEsFBgAAAAAGAAYAWwEAALID&#10;AAAAAA==&#10;">
                  <v:fill on="f" focussize="0,0"/>
                  <v:stroke weight="2.25pt" color="#000000" miterlimit="8" joinstyle="miter" startarrow="block"/>
                  <v:imagedata o:title=""/>
                  <o:lock v:ext="edit" aspectratio="f"/>
                </v:shape>
                <v:shape id="直接箭头连接符 70" o:spid="_x0000_s1026" o:spt="32" type="#_x0000_t32" style="position:absolute;left:15472;top:7559;flip:y;height:591;width:0;" filled="f" stroked="t" coordsize="21600,21600" o:gfxdata="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RLsvQAA&#10;ANsAAAAPAAAAAAAAAAEAIAAAACIAAABkcnMvZG93bnJldi54bWxQSwECFAAUAAAACACHTuJAMy8F&#10;njsAAAA5AAAAEAAAAAAAAAABACAAAAAMAQAAZHJzL3NoYXBleG1sLnhtbFBLBQYAAAAABgAGAFsB&#10;AAC2AwAAAAA=&#10;">
                  <v:fill on="f" focussize="0,0"/>
                  <v:stroke weight="2.25pt" color="#000000" miterlimit="8" joinstyle="miter" startarrow="block"/>
                  <v:imagedata o:title=""/>
                  <o:lock v:ext="edit" aspectratio="f"/>
                </v:shape>
                <v:rect id="矩形 71" o:spid="_x0000_s1026" o:spt="1" style="position:absolute;left:14663;top:8185;height:371;width:1619;v-text-anchor:middle;" filled="f" stroked="f" coordsize="21600,21600" o:gfxdata="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pdf&#10;wAAAANsAAAAPAAAAAAAAAAEAIAAAACIAAABkcnMvZG93bnJldi54bWxQSwECFAAUAAAACACHTuJA&#10;My8FnjsAAAA5AAAAEAAAAAAAAAABACAAAAAPAQAAZHJzL3NoYXBleG1sLnhtbFBLBQYAAAAABgAG&#10;AFsBAAC5AwAAAAA=&#10;">
                  <v:fill on="f" focussize="0,0"/>
                  <v:stroke on="f" weight="1.5pt" miterlimit="8" joinstyle="miter"/>
                  <v:imagedata o:title=""/>
                  <o:lock v:ext="edit" aspectratio="f"/>
                  <v:textbox>
                    <w:txbxContent>
                      <w:p w14:paraId="01290E7A">
                        <w:pPr>
                          <w:pStyle w:val="27"/>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外排</w:t>
                        </w:r>
                      </w:p>
                    </w:txbxContent>
                  </v:textbox>
                </v:rect>
                <w10:wrap type="none"/>
                <w10:anchorlock/>
              </v:group>
            </w:pict>
          </mc:Fallback>
        </mc:AlternateContent>
      </w:r>
    </w:p>
    <w:p w14:paraId="72AFE500">
      <w:pPr>
        <w:pStyle w:val="49"/>
        <w:spacing w:before="163" w:after="163"/>
      </w:pPr>
      <w:r>
        <w:rPr>
          <w:rFonts w:hint="eastAsia"/>
        </w:rPr>
        <w:t>图6</w:t>
      </w:r>
      <w:r>
        <w:t xml:space="preserve">.2-1   </w:t>
      </w:r>
      <w:r>
        <w:rPr>
          <w:rFonts w:hint="eastAsia"/>
        </w:rPr>
        <w:t>本项目污水处理站工艺流程图</w:t>
      </w:r>
    </w:p>
    <w:p w14:paraId="40390050">
      <w:pPr>
        <w:ind w:firstLine="480"/>
      </w:pPr>
      <w:r>
        <w:rPr>
          <w:rFonts w:hint="eastAsia"/>
        </w:rPr>
        <w:t>根据</w:t>
      </w:r>
      <w:r>
        <w:rPr>
          <w:rFonts w:hint="eastAsia"/>
          <w:kern w:val="0"/>
          <w:szCs w:val="24"/>
        </w:rPr>
        <w:t>《石油炼制工业废水治理工程技术规范》（HJ</w:t>
      </w:r>
      <w:r>
        <w:rPr>
          <w:kern w:val="0"/>
          <w:szCs w:val="24"/>
        </w:rPr>
        <w:t>2045-2014</w:t>
      </w:r>
      <w:r>
        <w:rPr>
          <w:rFonts w:hint="eastAsia"/>
          <w:kern w:val="0"/>
          <w:szCs w:val="24"/>
        </w:rPr>
        <w:t>）和</w:t>
      </w:r>
      <w:r>
        <w:rPr>
          <w:rFonts w:hint="eastAsia"/>
        </w:rPr>
        <w:t>《排污许可证申请与核发技术规范 石化工业》（HJ853-2017）表6中的可行技术等要求，本项目污水处理站采用的处理工艺均属于列明的可行性处理技术。</w:t>
      </w:r>
    </w:p>
    <w:p w14:paraId="35FBD096">
      <w:pPr>
        <w:pStyle w:val="43"/>
      </w:pPr>
      <w:bookmarkStart w:id="617" w:name="_Toc80193162"/>
      <w:bookmarkStart w:id="618" w:name="_Toc81214155"/>
      <w:bookmarkStart w:id="619" w:name="_Toc77007855"/>
      <w:bookmarkStart w:id="620" w:name="_Toc152864258"/>
      <w:bookmarkStart w:id="621" w:name="_Toc80973587"/>
      <w:bookmarkStart w:id="622" w:name="_Toc82518847"/>
      <w:bookmarkStart w:id="623" w:name="_Toc79515533"/>
      <w:r>
        <w:rPr>
          <w:rFonts w:hint="eastAsia"/>
        </w:rPr>
        <w:t>园区污水处理厂依托可行性分析</w:t>
      </w:r>
      <w:bookmarkEnd w:id="617"/>
      <w:bookmarkEnd w:id="618"/>
      <w:bookmarkEnd w:id="619"/>
      <w:bookmarkEnd w:id="620"/>
      <w:bookmarkEnd w:id="621"/>
      <w:bookmarkEnd w:id="622"/>
      <w:bookmarkEnd w:id="623"/>
    </w:p>
    <w:p w14:paraId="64A9AC36">
      <w:pPr>
        <w:ind w:firstLine="480"/>
      </w:pPr>
      <w:r>
        <w:rPr>
          <w:rFonts w:hint="eastAsia"/>
        </w:rPr>
        <w:t>根据《胡杨河经济技术开发区总体规划（2021-2035年）环境影响报告书》可知，胡杨河经济技术开发区南园区污水处理厂统一规划、分期建设，远期（2025年）设计规模60000m</w:t>
      </w:r>
      <w:r>
        <w:rPr>
          <w:rFonts w:hint="eastAsia"/>
          <w:vertAlign w:val="superscript"/>
        </w:rPr>
        <w:t>3</w:t>
      </w:r>
      <w:r>
        <w:rPr>
          <w:rFonts w:hint="eastAsia"/>
        </w:rPr>
        <w:t>/d，其中一期工程设计规模30000m</w:t>
      </w:r>
      <w:r>
        <w:rPr>
          <w:rFonts w:hint="eastAsia"/>
          <w:vertAlign w:val="superscript"/>
        </w:rPr>
        <w:t>3</w:t>
      </w:r>
      <w:r>
        <w:rPr>
          <w:rFonts w:hint="eastAsia"/>
        </w:rPr>
        <w:t>/d（2015年）。目前，园区建设一座处理能力为30000m</w:t>
      </w:r>
      <w:r>
        <w:rPr>
          <w:rFonts w:hint="eastAsia"/>
          <w:vertAlign w:val="superscript"/>
        </w:rPr>
        <w:t>3</w:t>
      </w:r>
      <w:r>
        <w:rPr>
          <w:rFonts w:hint="eastAsia"/>
        </w:rPr>
        <w:t>/d北部污水处理厂及配套设施，于2016年11月投入运行。</w:t>
      </w:r>
    </w:p>
    <w:p w14:paraId="6FADDDF9">
      <w:pPr>
        <w:ind w:firstLine="480"/>
      </w:pPr>
      <w:r>
        <w:rPr>
          <w:rFonts w:hint="eastAsia"/>
        </w:rPr>
        <w:t>园区污水处理厂采用“预处理—生化处理—深度处理”工艺，其中预处理单元采用“混凝沉淀+气浮”工艺，生化单元采用“水解酸化+A</w:t>
      </w:r>
      <w:r>
        <w:rPr>
          <w:rFonts w:hint="eastAsia"/>
          <w:vertAlign w:val="subscript"/>
        </w:rPr>
        <w:t>2</w:t>
      </w:r>
      <w:r>
        <w:rPr>
          <w:rFonts w:hint="eastAsia"/>
        </w:rPr>
        <w:t>/O”工艺，深度处理单元采用“臭氧+曝气生物滤池”工艺。主要工艺流程见下图。</w:t>
      </w:r>
    </w:p>
    <w:p w14:paraId="4CFCB4D0">
      <w:pPr>
        <w:pStyle w:val="47"/>
        <w:spacing w:before="65"/>
      </w:pPr>
      <w:r>
        <w:rPr>
          <w:rFonts w:hint="eastAsia"/>
        </w:rPr>
        <w:t>图</w:t>
      </w:r>
      <w:r>
        <w:drawing>
          <wp:anchor distT="0" distB="0" distL="114300" distR="114300" simplePos="0" relativeHeight="251661312" behindDoc="0" locked="0" layoutInCell="1" allowOverlap="1">
            <wp:simplePos x="0" y="0"/>
            <wp:positionH relativeFrom="margin">
              <wp:align>center</wp:align>
            </wp:positionH>
            <wp:positionV relativeFrom="paragraph">
              <wp:posOffset>6985</wp:posOffset>
            </wp:positionV>
            <wp:extent cx="5734050" cy="2371725"/>
            <wp:effectExtent l="0" t="0" r="0" b="9525"/>
            <wp:wrapTopAndBottom/>
            <wp:docPr id="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pic:cNvPicPr>
                      <a:picLocks noChangeAspect="1"/>
                    </pic:cNvPicPr>
                  </pic:nvPicPr>
                  <pic:blipFill>
                    <a:blip r:embed="rId103"/>
                    <a:stretch>
                      <a:fillRect/>
                    </a:stretch>
                  </pic:blipFill>
                  <pic:spPr>
                    <a:xfrm>
                      <a:off x="0" y="0"/>
                      <a:ext cx="5734050" cy="2371725"/>
                    </a:xfrm>
                    <a:prstGeom prst="rect">
                      <a:avLst/>
                    </a:prstGeom>
                    <a:noFill/>
                    <a:ln>
                      <a:noFill/>
                    </a:ln>
                  </pic:spPr>
                </pic:pic>
              </a:graphicData>
            </a:graphic>
          </wp:anchor>
        </w:drawing>
      </w:r>
      <w:r>
        <w:rPr>
          <w:rFonts w:hint="eastAsia"/>
        </w:rPr>
        <w:t>6</w:t>
      </w:r>
      <w:r>
        <w:t xml:space="preserve">.2-1   </w:t>
      </w:r>
      <w:r>
        <w:rPr>
          <w:rFonts w:hint="eastAsia"/>
        </w:rPr>
        <w:t>污水处理工艺流程图</w:t>
      </w:r>
    </w:p>
    <w:p w14:paraId="11F900C4">
      <w:pPr>
        <w:ind w:firstLine="480"/>
      </w:pPr>
      <w:r>
        <w:rPr>
          <w:rFonts w:hint="eastAsia"/>
        </w:rPr>
        <w:t>目前，胡杨河经济技术开发区南园区的排水管网已基本建成。</w:t>
      </w:r>
    </w:p>
    <w:p w14:paraId="5AC10DC7">
      <w:pPr>
        <w:ind w:firstLine="480"/>
      </w:pPr>
      <w:r>
        <w:rPr>
          <w:rFonts w:hint="eastAsia"/>
        </w:rPr>
        <w:t>本项目生产及生活污水排入园区管网，总排放量为</w:t>
      </w:r>
      <w:r>
        <w:t>5534.74</w:t>
      </w:r>
      <w:r>
        <w:rPr>
          <w:rFonts w:hint="eastAsia"/>
        </w:rPr>
        <w:t>m</w:t>
      </w:r>
      <w:r>
        <w:rPr>
          <w:vertAlign w:val="superscript"/>
        </w:rPr>
        <w:t>3</w:t>
      </w:r>
      <w:r>
        <w:t>/a</w:t>
      </w:r>
      <w:r>
        <w:rPr>
          <w:rFonts w:hint="eastAsia"/>
        </w:rPr>
        <w:t>，即</w:t>
      </w:r>
      <w:r>
        <w:t>18.45</w:t>
      </w:r>
      <w:r>
        <w:rPr>
          <w:rFonts w:hint="eastAsia"/>
        </w:rPr>
        <w:t>m</w:t>
      </w:r>
      <w:r>
        <w:rPr>
          <w:vertAlign w:val="superscript"/>
        </w:rPr>
        <w:t>3</w:t>
      </w:r>
      <w:r>
        <w:t>/d</w:t>
      </w:r>
      <w:r>
        <w:rPr>
          <w:rFonts w:hint="eastAsia"/>
        </w:rPr>
        <w:t>，依托园区污水处理厂处理，园区目前的排水量约5000m</w:t>
      </w:r>
      <w:r>
        <w:rPr>
          <w:rFonts w:hint="eastAsia"/>
          <w:vertAlign w:val="superscript"/>
        </w:rPr>
        <w:t>3</w:t>
      </w:r>
      <w:r>
        <w:rPr>
          <w:rFonts w:hint="eastAsia"/>
        </w:rPr>
        <w:t>/d。余量为25000m</w:t>
      </w:r>
      <w:r>
        <w:rPr>
          <w:rFonts w:hint="eastAsia"/>
          <w:vertAlign w:val="superscript"/>
        </w:rPr>
        <w:t>3</w:t>
      </w:r>
      <w:r>
        <w:rPr>
          <w:rFonts w:hint="eastAsia"/>
        </w:rPr>
        <w:t>/d，余量充足。主要污染因子及浓度为COD</w:t>
      </w:r>
      <w:r>
        <w:rPr>
          <w:rFonts w:hint="eastAsia"/>
          <w:vertAlign w:val="subscript"/>
        </w:rPr>
        <w:t>Cr</w:t>
      </w:r>
      <w:r>
        <w:rPr>
          <w:rFonts w:hint="eastAsia"/>
        </w:rPr>
        <w:t>：</w:t>
      </w:r>
      <w:r>
        <w:t>222.99</w:t>
      </w:r>
      <w:r>
        <w:rPr>
          <w:rFonts w:hint="eastAsia"/>
        </w:rPr>
        <w:t>mg/L、氨氮：</w:t>
      </w:r>
      <w:r>
        <w:t>2.34</w:t>
      </w:r>
      <w:r>
        <w:rPr>
          <w:rFonts w:hint="eastAsia"/>
        </w:rPr>
        <w:t>mg/L、石油类：</w:t>
      </w:r>
      <w:r>
        <w:t>1.37</w:t>
      </w:r>
      <w:r>
        <w:rPr>
          <w:rFonts w:hint="eastAsia"/>
        </w:rPr>
        <w:t>mg/L、挥发酚：0</w:t>
      </w:r>
      <w:r>
        <w:t>.02</w:t>
      </w:r>
      <w:r>
        <w:rPr>
          <w:rFonts w:hint="eastAsia"/>
        </w:rPr>
        <w:t>mg</w:t>
      </w:r>
      <w:r>
        <w:t>/</w:t>
      </w:r>
      <w:r>
        <w:rPr>
          <w:rFonts w:hint="eastAsia"/>
        </w:rPr>
        <w:t>L和氰化物：0</w:t>
      </w:r>
      <w:r>
        <w:t>.16</w:t>
      </w:r>
      <w:r>
        <w:rPr>
          <w:rFonts w:hint="eastAsia"/>
        </w:rPr>
        <w:t>mg</w:t>
      </w:r>
      <w:r>
        <w:t>/</w:t>
      </w:r>
      <w:r>
        <w:rPr>
          <w:rFonts w:hint="eastAsia"/>
        </w:rPr>
        <w:t>L，根据《关于师市开发区企业执行相关标准的通知》（师市环发〔2</w:t>
      </w:r>
      <w:r>
        <w:t>021</w:t>
      </w:r>
      <w:r>
        <w:rPr>
          <w:rFonts w:hint="eastAsia"/>
        </w:rPr>
        <w:t>〕7号）文件要求“师市开发区内所有企业废水污染物排放限值均应满足行业标准中‘间接排放’标准限值要求”。因此，本项目排入园区污水处理厂的废水应满足《石油炼制工业污染物排放标准》（GB31570-2015）中表1间接排放限值；生活污水应满足《污水综合排放标准》（GB</w:t>
      </w:r>
      <w:r>
        <w:t>8978-1996</w:t>
      </w:r>
      <w:r>
        <w:rPr>
          <w:rFonts w:hint="eastAsia"/>
        </w:rPr>
        <w:t>）中三级标准排入园区污水处理厂。园区污水处理厂出水执行《城镇污水处理厂污染物排放标准》（GB18918-2002）一级A标准，部分出水回用于园区及企业绿化，未使用完的出水排入园区东侧的荒漠，作为沙漠荒地生态灌溉用水。</w:t>
      </w:r>
    </w:p>
    <w:p w14:paraId="5AC45A1B">
      <w:pPr>
        <w:pStyle w:val="41"/>
      </w:pPr>
      <w:bookmarkStart w:id="624" w:name="_Toc152864259"/>
      <w:r>
        <w:rPr>
          <w:rFonts w:hint="eastAsia"/>
        </w:rPr>
        <w:t>地下水污染防治措施</w:t>
      </w:r>
      <w:bookmarkEnd w:id="624"/>
    </w:p>
    <w:p w14:paraId="3B577EE3">
      <w:pPr>
        <w:ind w:firstLine="480"/>
      </w:pPr>
      <w:r>
        <w:rPr>
          <w:rFonts w:hint="eastAsia"/>
        </w:rPr>
        <w:t>根据《中华人民共和国水污染防治法》的规定，地下水环境保护应遵循“源头控制、分区防控、污染监控、应急响应”的原则。</w:t>
      </w:r>
    </w:p>
    <w:p w14:paraId="09B144A7">
      <w:pPr>
        <w:ind w:firstLine="480"/>
      </w:pPr>
      <w:r>
        <w:rPr>
          <w:rFonts w:hint="eastAsia"/>
        </w:rPr>
        <w:t>源头控制措施：对主体装置区、罐区、残液收集池、管道进行防渗处理，以防止和降低各类污染物的跑、冒、滴、漏，防止废水下渗污染地下水。</w:t>
      </w:r>
    </w:p>
    <w:p w14:paraId="53DE3486">
      <w:pPr>
        <w:ind w:firstLine="480"/>
      </w:pPr>
      <w:r>
        <w:rPr>
          <w:rFonts w:hint="eastAsia"/>
        </w:rPr>
        <w:t>分区防控措施：根据厂区各生产、生活功能单元可能产生污染的地区，将厂区划分为重点防渗区、一般防渗区、简单防渗区，分别采取有区别的防渗措施。</w:t>
      </w:r>
    </w:p>
    <w:p w14:paraId="7A51BB26">
      <w:pPr>
        <w:ind w:firstLine="480"/>
      </w:pPr>
      <w:r>
        <w:rPr>
          <w:rFonts w:hint="eastAsia"/>
        </w:rPr>
        <w:t>污染监控措施：实施覆盖生产区的土壤和地下水污染监控系统，建立完善的监测制度，配备先进的检测仪器和设备，科学合理设置地下水监控井，及时发现污染、控制污染。</w:t>
      </w:r>
    </w:p>
    <w:p w14:paraId="17D9D8B5">
      <w:pPr>
        <w:ind w:firstLine="480"/>
      </w:pPr>
      <w:r>
        <w:rPr>
          <w:rFonts w:hint="eastAsia"/>
        </w:rPr>
        <w:t>应急响应措施：一旦发现地下水出现污染，立即启动应急预案，采取应急措施控制地下水污染。</w:t>
      </w:r>
    </w:p>
    <w:p w14:paraId="62B75A6A">
      <w:pPr>
        <w:pStyle w:val="43"/>
      </w:pPr>
      <w:bookmarkStart w:id="625" w:name="_Toc80193164"/>
      <w:bookmarkStart w:id="626" w:name="_Toc77007857"/>
      <w:bookmarkStart w:id="627" w:name="_Toc80973589"/>
      <w:bookmarkStart w:id="628" w:name="_Toc82518849"/>
      <w:bookmarkStart w:id="629" w:name="_Toc79515535"/>
      <w:bookmarkStart w:id="630" w:name="_Toc81214157"/>
      <w:bookmarkStart w:id="631" w:name="_Toc152864260"/>
      <w:r>
        <w:rPr>
          <w:rFonts w:hint="eastAsia"/>
        </w:rPr>
        <w:t>源头控制</w:t>
      </w:r>
      <w:bookmarkEnd w:id="625"/>
      <w:bookmarkEnd w:id="626"/>
      <w:bookmarkEnd w:id="627"/>
      <w:bookmarkEnd w:id="628"/>
      <w:bookmarkEnd w:id="629"/>
      <w:bookmarkEnd w:id="630"/>
      <w:bookmarkEnd w:id="631"/>
    </w:p>
    <w:p w14:paraId="632B1C3B">
      <w:pPr>
        <w:ind w:firstLine="480"/>
      </w:pPr>
      <w:r>
        <w:t>从生产过程入手，在工艺、管道、设备、给排水等方面尽可能地采取泄漏控制措施，从源头最大限度降低污染物质泄漏的可能性，将对地下水的不利影响降至最低，一旦出现泄漏</w:t>
      </w:r>
      <w:r>
        <w:rPr>
          <w:rFonts w:hint="eastAsia"/>
        </w:rPr>
        <w:t>，立即</w:t>
      </w:r>
      <w:r>
        <w:t>由区域内的各种配套措施进行收集、处置，同时</w:t>
      </w:r>
      <w:r>
        <w:rPr>
          <w:rFonts w:hint="eastAsia"/>
        </w:rPr>
        <w:t>经过</w:t>
      </w:r>
      <w:r>
        <w:t>硬化处理的地面能有效阻止污染物的下渗。针对</w:t>
      </w:r>
      <w:r>
        <w:rPr>
          <w:rFonts w:hint="eastAsia"/>
        </w:rPr>
        <w:t>本</w:t>
      </w:r>
      <w:r>
        <w:t>项目地下水污染防治的重点是对污染物存贮建筑物采取相应的防渗措施，并建立完善风险应急预案、设置合理有效的监测井，加强地下水环境监测，把地下水污染控制在源头或起始阶段，防止有害物质渗入地下水中</w:t>
      </w:r>
      <w:r>
        <w:rPr>
          <w:rFonts w:hint="eastAsia"/>
        </w:rPr>
        <w:t>。</w:t>
      </w:r>
    </w:p>
    <w:p w14:paraId="0C4674B1">
      <w:pPr>
        <w:pStyle w:val="43"/>
      </w:pPr>
      <w:bookmarkStart w:id="632" w:name="_Toc152864261"/>
      <w:bookmarkStart w:id="633" w:name="_Toc80193165"/>
      <w:bookmarkStart w:id="634" w:name="_Toc81214158"/>
      <w:bookmarkStart w:id="635" w:name="_Toc79515536"/>
      <w:bookmarkStart w:id="636" w:name="_Toc80973590"/>
      <w:bookmarkStart w:id="637" w:name="_Toc77007858"/>
      <w:bookmarkStart w:id="638" w:name="_Toc82518850"/>
      <w:r>
        <w:rPr>
          <w:rFonts w:hint="eastAsia"/>
        </w:rPr>
        <w:t>分区防渗</w:t>
      </w:r>
      <w:bookmarkEnd w:id="632"/>
      <w:bookmarkEnd w:id="633"/>
      <w:bookmarkEnd w:id="634"/>
      <w:bookmarkEnd w:id="635"/>
      <w:bookmarkEnd w:id="636"/>
      <w:bookmarkEnd w:id="637"/>
      <w:bookmarkEnd w:id="638"/>
    </w:p>
    <w:p w14:paraId="2ABEBB8C">
      <w:pPr>
        <w:ind w:firstLine="480"/>
      </w:pPr>
      <w:r>
        <w:rPr>
          <w:rFonts w:hint="eastAsia"/>
        </w:rPr>
        <w:t>本项目主要是以石化企业生产的减线油（减二线、减三线油）为原料，生产规模为润滑油80000吨/年和润滑脂20000吨/年，主要生产废水为减线油罐区的定期排污，一旦泄漏入渗到地下水，将对地下水环境造成较大影响，因此，本项目厂房区域应全部作为重点防渗区对待，进行重点防渗。</w:t>
      </w:r>
    </w:p>
    <w:p w14:paraId="78F44A71">
      <w:pPr>
        <w:ind w:firstLine="480"/>
      </w:pPr>
      <w:r>
        <w:rPr>
          <w:rFonts w:hint="eastAsia"/>
        </w:rPr>
        <w:t>根据《环境影响评价技术导则 地下水环境》（HJ610-2016）中关于地下水污染分区防渗的要求，对项目占地区域的地面采用相应的措施进行防渗处理，以达到各防渗区的防渗技术要求，防止污染物下渗造成地下水污染。具体的防渗措施按照《石油化工工程防渗技术规范》（GB/T50934-2013）。不同区域具体防渗要求见下表。</w:t>
      </w:r>
    </w:p>
    <w:p w14:paraId="492372E4">
      <w:pPr>
        <w:pStyle w:val="47"/>
        <w:spacing w:before="65"/>
      </w:pPr>
      <w:r>
        <w:rPr>
          <w:rFonts w:hint="eastAsia"/>
        </w:rPr>
        <w:t>表6.2-</w:t>
      </w:r>
      <w:r>
        <w:t>2</w:t>
      </w:r>
      <w:r>
        <w:rPr>
          <w:rFonts w:hint="eastAsia"/>
        </w:rPr>
        <w:t xml:space="preserve">   本项目</w:t>
      </w:r>
      <w:r>
        <w:t>不同区域防渗要求一览表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45"/>
        <w:gridCol w:w="6687"/>
      </w:tblGrid>
      <w:tr w14:paraId="730F4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tcMar>
              <w:left w:w="0" w:type="dxa"/>
              <w:right w:w="0" w:type="dxa"/>
            </w:tcMar>
            <w:vAlign w:val="center"/>
          </w:tcPr>
          <w:p w14:paraId="1FDA7A19">
            <w:pPr>
              <w:pStyle w:val="90"/>
            </w:pPr>
            <w:r>
              <w:rPr>
                <w:rFonts w:hint="eastAsia"/>
              </w:rPr>
              <w:t>序号</w:t>
            </w:r>
          </w:p>
        </w:tc>
        <w:tc>
          <w:tcPr>
            <w:tcW w:w="713" w:type="pct"/>
            <w:shd w:val="clear" w:color="auto" w:fill="auto"/>
            <w:tcMar>
              <w:left w:w="0" w:type="dxa"/>
              <w:right w:w="0" w:type="dxa"/>
            </w:tcMar>
            <w:vAlign w:val="center"/>
          </w:tcPr>
          <w:p w14:paraId="7DB5D55C">
            <w:pPr>
              <w:pStyle w:val="90"/>
            </w:pPr>
            <w:r>
              <w:rPr>
                <w:rFonts w:hint="eastAsia"/>
              </w:rPr>
              <w:t>区域</w:t>
            </w:r>
          </w:p>
        </w:tc>
        <w:tc>
          <w:tcPr>
            <w:tcW w:w="3830" w:type="pct"/>
            <w:shd w:val="clear" w:color="auto" w:fill="auto"/>
            <w:tcMar>
              <w:left w:w="0" w:type="dxa"/>
              <w:right w:w="0" w:type="dxa"/>
            </w:tcMar>
            <w:vAlign w:val="center"/>
          </w:tcPr>
          <w:p w14:paraId="12B07F33">
            <w:pPr>
              <w:pStyle w:val="90"/>
            </w:pPr>
            <w:r>
              <w:rPr>
                <w:rFonts w:hint="eastAsia"/>
              </w:rPr>
              <w:t>具体要求</w:t>
            </w:r>
          </w:p>
        </w:tc>
      </w:tr>
      <w:tr w14:paraId="1676C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tcMar>
              <w:left w:w="0" w:type="dxa"/>
              <w:right w:w="0" w:type="dxa"/>
            </w:tcMar>
            <w:vAlign w:val="center"/>
          </w:tcPr>
          <w:p w14:paraId="20666AFE">
            <w:pPr>
              <w:pStyle w:val="90"/>
              <w:numPr>
                <w:ilvl w:val="0"/>
                <w:numId w:val="29"/>
              </w:numPr>
            </w:pPr>
          </w:p>
        </w:tc>
        <w:tc>
          <w:tcPr>
            <w:tcW w:w="713" w:type="pct"/>
            <w:shd w:val="clear" w:color="auto" w:fill="auto"/>
            <w:tcMar>
              <w:left w:w="0" w:type="dxa"/>
              <w:right w:w="0" w:type="dxa"/>
            </w:tcMar>
            <w:vAlign w:val="center"/>
          </w:tcPr>
          <w:p w14:paraId="69EC91C6">
            <w:pPr>
              <w:pStyle w:val="90"/>
            </w:pPr>
            <w:r>
              <w:rPr>
                <w:rFonts w:hint="eastAsia"/>
              </w:rPr>
              <w:t>地面</w:t>
            </w:r>
          </w:p>
        </w:tc>
        <w:tc>
          <w:tcPr>
            <w:tcW w:w="3830" w:type="pct"/>
            <w:shd w:val="clear" w:color="auto" w:fill="auto"/>
            <w:tcMar>
              <w:left w:w="0" w:type="dxa"/>
              <w:right w:w="0" w:type="dxa"/>
            </w:tcMar>
            <w:vAlign w:val="center"/>
          </w:tcPr>
          <w:p w14:paraId="0EBF42D0">
            <w:pPr>
              <w:pStyle w:val="90"/>
            </w:pPr>
            <w:r>
              <w:rPr>
                <w:rFonts w:hint="eastAsia" w:ascii="宋体" w:hAnsi="宋体" w:cs="宋体"/>
              </w:rPr>
              <w:t>①</w:t>
            </w:r>
            <w:r>
              <w:rPr>
                <w:rFonts w:hint="eastAsia"/>
              </w:rPr>
              <w:t>混凝土防渗层的耐久性应符合现行国家标准《混凝土结构设计规范（2</w:t>
            </w:r>
            <w:r>
              <w:t>015</w:t>
            </w:r>
            <w:r>
              <w:rPr>
                <w:rFonts w:hint="eastAsia"/>
              </w:rPr>
              <w:t>年版）》（GB</w:t>
            </w:r>
            <w:r>
              <w:t>50010-2010</w:t>
            </w:r>
            <w:r>
              <w:rPr>
                <w:rFonts w:hint="eastAsia"/>
              </w:rPr>
              <w:t>）；</w:t>
            </w:r>
          </w:p>
          <w:p w14:paraId="0AC76EDB">
            <w:pPr>
              <w:pStyle w:val="90"/>
            </w:pPr>
            <w:r>
              <w:rPr>
                <w:rFonts w:hint="eastAsia" w:ascii="宋体" w:hAnsi="宋体" w:cs="宋体"/>
              </w:rPr>
              <w:t>②</w:t>
            </w:r>
            <w:r>
              <w:rPr>
                <w:rFonts w:hint="eastAsia"/>
              </w:rPr>
              <w:t>强度等级≥C</w:t>
            </w:r>
            <w:r>
              <w:t>25</w:t>
            </w:r>
            <w:r>
              <w:rPr>
                <w:rFonts w:hint="eastAsia"/>
              </w:rPr>
              <w:t>，抗渗等级≥P</w:t>
            </w:r>
            <w:r>
              <w:t>6</w:t>
            </w:r>
            <w:r>
              <w:rPr>
                <w:rFonts w:hint="eastAsia"/>
              </w:rPr>
              <w:t>，厚度≥</w:t>
            </w:r>
            <w:r>
              <w:t>100</w:t>
            </w:r>
            <w:r>
              <w:rPr>
                <w:rFonts w:hint="eastAsia"/>
              </w:rPr>
              <w:t>mm。</w:t>
            </w:r>
          </w:p>
        </w:tc>
      </w:tr>
      <w:tr w14:paraId="038F5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tcMar>
              <w:left w:w="0" w:type="dxa"/>
              <w:right w:w="0" w:type="dxa"/>
            </w:tcMar>
            <w:vAlign w:val="center"/>
          </w:tcPr>
          <w:p w14:paraId="487CD249">
            <w:pPr>
              <w:pStyle w:val="90"/>
              <w:numPr>
                <w:ilvl w:val="0"/>
                <w:numId w:val="29"/>
              </w:numPr>
            </w:pPr>
          </w:p>
        </w:tc>
        <w:tc>
          <w:tcPr>
            <w:tcW w:w="713" w:type="pct"/>
            <w:shd w:val="clear" w:color="auto" w:fill="auto"/>
            <w:tcMar>
              <w:left w:w="0" w:type="dxa"/>
              <w:right w:w="0" w:type="dxa"/>
            </w:tcMar>
            <w:vAlign w:val="center"/>
          </w:tcPr>
          <w:p w14:paraId="34A35879">
            <w:pPr>
              <w:pStyle w:val="90"/>
            </w:pPr>
            <w:r>
              <w:rPr>
                <w:rFonts w:hint="eastAsia"/>
              </w:rPr>
              <w:t>罐区</w:t>
            </w:r>
          </w:p>
        </w:tc>
        <w:tc>
          <w:tcPr>
            <w:tcW w:w="3830" w:type="pct"/>
            <w:shd w:val="clear" w:color="auto" w:fill="auto"/>
            <w:tcMar>
              <w:left w:w="0" w:type="dxa"/>
              <w:right w:w="0" w:type="dxa"/>
            </w:tcMar>
            <w:vAlign w:val="center"/>
          </w:tcPr>
          <w:p w14:paraId="2A21145C">
            <w:pPr>
              <w:pStyle w:val="90"/>
            </w:pPr>
            <w:r>
              <w:rPr>
                <w:rFonts w:hint="eastAsia" w:ascii="宋体" w:hAnsi="宋体" w:cs="宋体"/>
              </w:rPr>
              <w:t>①</w:t>
            </w:r>
            <w:r>
              <w:rPr>
                <w:rFonts w:hint="eastAsia"/>
              </w:rPr>
              <w:t>高密度聚乙烯（HDPE）膜的厚度不宜小于1</w:t>
            </w:r>
            <w:r>
              <w:t>.50</w:t>
            </w:r>
            <w:r>
              <w:rPr>
                <w:rFonts w:hint="eastAsia"/>
              </w:rPr>
              <w:t>mm；</w:t>
            </w:r>
          </w:p>
          <w:p w14:paraId="0060F650">
            <w:pPr>
              <w:pStyle w:val="90"/>
            </w:pPr>
            <w:r>
              <w:rPr>
                <w:rFonts w:hint="eastAsia" w:ascii="宋体" w:hAnsi="宋体" w:cs="宋体"/>
              </w:rPr>
              <w:t>②</w:t>
            </w:r>
            <w:r>
              <w:rPr>
                <w:rFonts w:hint="eastAsia"/>
              </w:rPr>
              <w:t>膜上、膜下应设置保护层，保护层可采用长丝无纺土工布，膜下保护层也可采用不含尖锐颗粒的砂层，砂层厚度不应小于1</w:t>
            </w:r>
            <w:r>
              <w:t>00</w:t>
            </w:r>
            <w:r>
              <w:rPr>
                <w:rFonts w:hint="eastAsia"/>
              </w:rPr>
              <w:t>mm；</w:t>
            </w:r>
          </w:p>
          <w:p w14:paraId="4A17394E">
            <w:pPr>
              <w:pStyle w:val="90"/>
            </w:pPr>
            <w:r>
              <w:rPr>
                <w:rFonts w:hint="eastAsia" w:ascii="宋体" w:hAnsi="宋体" w:cs="宋体"/>
              </w:rPr>
              <w:t>③</w:t>
            </w:r>
            <w:r>
              <w:rPr>
                <w:rFonts w:hint="eastAsia"/>
              </w:rPr>
              <w:t>高密度聚乙烯（HDPE）膜铺设应由中心坡向四周，坡度不宜小于1</w:t>
            </w:r>
            <w:r>
              <w:t>.5</w:t>
            </w:r>
            <w:r>
              <w:rPr>
                <w:rFonts w:hint="eastAsia"/>
              </w:rPr>
              <w:t>%。</w:t>
            </w:r>
          </w:p>
        </w:tc>
      </w:tr>
      <w:tr w14:paraId="4262E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tcMar>
              <w:left w:w="0" w:type="dxa"/>
              <w:right w:w="0" w:type="dxa"/>
            </w:tcMar>
            <w:vAlign w:val="center"/>
          </w:tcPr>
          <w:p w14:paraId="1F4BE620">
            <w:pPr>
              <w:pStyle w:val="90"/>
              <w:numPr>
                <w:ilvl w:val="0"/>
                <w:numId w:val="29"/>
              </w:numPr>
            </w:pPr>
          </w:p>
        </w:tc>
        <w:tc>
          <w:tcPr>
            <w:tcW w:w="713" w:type="pct"/>
            <w:shd w:val="clear" w:color="auto" w:fill="auto"/>
            <w:tcMar>
              <w:left w:w="0" w:type="dxa"/>
              <w:right w:w="0" w:type="dxa"/>
            </w:tcMar>
            <w:vAlign w:val="center"/>
          </w:tcPr>
          <w:p w14:paraId="0057AB0D">
            <w:pPr>
              <w:pStyle w:val="90"/>
            </w:pPr>
            <w:r>
              <w:rPr>
                <w:rFonts w:hint="eastAsia"/>
              </w:rPr>
              <w:t>水池和水沟</w:t>
            </w:r>
          </w:p>
        </w:tc>
        <w:tc>
          <w:tcPr>
            <w:tcW w:w="3830" w:type="pct"/>
            <w:shd w:val="clear" w:color="auto" w:fill="auto"/>
            <w:tcMar>
              <w:left w:w="0" w:type="dxa"/>
              <w:right w:w="0" w:type="dxa"/>
            </w:tcMar>
            <w:vAlign w:val="center"/>
          </w:tcPr>
          <w:p w14:paraId="21BB7B56">
            <w:pPr>
              <w:pStyle w:val="90"/>
            </w:pPr>
            <w:r>
              <w:rPr>
                <w:rFonts w:hint="eastAsia" w:ascii="宋体" w:hAnsi="宋体" w:cs="宋体"/>
              </w:rPr>
              <w:t>①</w:t>
            </w:r>
            <w:r>
              <w:rPr>
                <w:rFonts w:hint="eastAsia"/>
              </w:rPr>
              <w:t>混凝土水池、水沟的耐久性应符合现行国家标准《混凝土结构设计规范（2</w:t>
            </w:r>
            <w:r>
              <w:t>015</w:t>
            </w:r>
            <w:r>
              <w:rPr>
                <w:rFonts w:hint="eastAsia"/>
              </w:rPr>
              <w:t>年版）》（GB</w:t>
            </w:r>
            <w:r>
              <w:t>50010-2010</w:t>
            </w:r>
            <w:r>
              <w:rPr>
                <w:rFonts w:hint="eastAsia"/>
              </w:rPr>
              <w:t>）的有关规定，混凝土强度等级≥C</w:t>
            </w:r>
            <w:r>
              <w:t>30</w:t>
            </w:r>
            <w:r>
              <w:rPr>
                <w:rFonts w:hint="eastAsia"/>
              </w:rPr>
              <w:t>；</w:t>
            </w:r>
          </w:p>
          <w:p w14:paraId="6D449BB2">
            <w:pPr>
              <w:pStyle w:val="90"/>
            </w:pPr>
            <w:r>
              <w:rPr>
                <w:rFonts w:hint="eastAsia" w:ascii="宋体" w:hAnsi="宋体" w:cs="宋体"/>
              </w:rPr>
              <w:t>②</w:t>
            </w:r>
            <w:r>
              <w:rPr>
                <w:rFonts w:hint="eastAsia"/>
              </w:rPr>
              <w:t>结构厚度≥2</w:t>
            </w:r>
            <w:r>
              <w:t>50</w:t>
            </w:r>
            <w:r>
              <w:rPr>
                <w:rFonts w:hint="eastAsia"/>
              </w:rPr>
              <w:t>mm，混凝土抗渗等级≥P</w:t>
            </w:r>
            <w:r>
              <w:t>8</w:t>
            </w:r>
            <w:r>
              <w:rPr>
                <w:rFonts w:hint="eastAsia"/>
              </w:rPr>
              <w:t>，且水池的内表面应涂刷水泥基渗透结晶型或喷涂聚脲等防水涂料，厚度≥1</w:t>
            </w:r>
            <w:r>
              <w:t>.5</w:t>
            </w:r>
            <w:r>
              <w:rPr>
                <w:rFonts w:hint="eastAsia"/>
              </w:rPr>
              <w:t>mm，或在混凝土内掺和水泥基渗透结晶型防水剂厚度≥1</w:t>
            </w:r>
            <w:r>
              <w:t>.0</w:t>
            </w:r>
            <w:r>
              <w:rPr>
                <w:rFonts w:hint="eastAsia"/>
              </w:rPr>
              <w:t>mm，且掺量宜为胶凝材料总量的1%～2%；</w:t>
            </w:r>
          </w:p>
          <w:p w14:paraId="786EF7C0">
            <w:pPr>
              <w:pStyle w:val="90"/>
            </w:pPr>
            <w:r>
              <w:rPr>
                <w:rFonts w:hint="eastAsia" w:ascii="宋体" w:hAnsi="宋体" w:cs="宋体"/>
              </w:rPr>
              <w:t>③</w:t>
            </w:r>
            <w:r>
              <w:rPr>
                <w:rFonts w:hint="eastAsia"/>
              </w:rPr>
              <w:t>水沟结构厚度≥1</w:t>
            </w:r>
            <w:r>
              <w:t>50</w:t>
            </w:r>
            <w:r>
              <w:rPr>
                <w:rFonts w:hint="eastAsia"/>
              </w:rPr>
              <w:t>mm，混凝土抗渗等级≥P</w:t>
            </w:r>
            <w:r>
              <w:t>8</w:t>
            </w:r>
            <w:r>
              <w:rPr>
                <w:rFonts w:hint="eastAsia"/>
              </w:rPr>
              <w:t>。</w:t>
            </w:r>
          </w:p>
        </w:tc>
      </w:tr>
    </w:tbl>
    <w:p w14:paraId="042C6146">
      <w:pPr>
        <w:ind w:firstLine="480"/>
      </w:pPr>
      <w:r>
        <w:rPr>
          <w:rFonts w:hint="eastAsia"/>
        </w:rPr>
        <w:t>本次评价要求拟建项目重点防渗</w:t>
      </w:r>
      <w:r>
        <w:t>采用</w:t>
      </w:r>
      <w:r>
        <w:rPr>
          <w:rFonts w:ascii="宋体" w:hAnsi="宋体"/>
        </w:rPr>
        <w:t>“</w:t>
      </w:r>
      <w:r>
        <w:t>长丝无纺土工布+2mm厚HDPE土工膜+长丝无纺土工布+1.0m厚度粘土或原土夯实</w:t>
      </w:r>
      <w:r>
        <w:rPr>
          <w:rFonts w:ascii="宋体" w:hAnsi="宋体"/>
        </w:rPr>
        <w:t>”</w:t>
      </w:r>
      <w:r>
        <w:t>的防渗方式</w:t>
      </w:r>
      <w:r>
        <w:rPr>
          <w:rFonts w:hint="eastAsia"/>
        </w:rPr>
        <w:t>，防渗技术要求为：</w:t>
      </w:r>
      <w:r>
        <w:t>复合防渗措施，防渗层渗透系数≤10</w:t>
      </w:r>
      <w:r>
        <w:rPr>
          <w:vertAlign w:val="superscript"/>
        </w:rPr>
        <w:t>-10</w:t>
      </w:r>
      <w:r>
        <w:t>cm/s</w:t>
      </w:r>
      <w:r>
        <w:rPr>
          <w:rFonts w:hint="eastAsia"/>
        </w:rPr>
        <w:t>，满足《石油化工工程防渗技术规范》（GB/T50934-2013）等相关要求。</w:t>
      </w:r>
    </w:p>
    <w:p w14:paraId="235A04A7">
      <w:pPr>
        <w:ind w:firstLine="480"/>
      </w:pPr>
      <w:r>
        <w:rPr>
          <w:rFonts w:hint="eastAsia"/>
        </w:rPr>
        <w:t>重点防渗区包括油气回收装置、1</w:t>
      </w:r>
      <w:r>
        <w:t>#</w:t>
      </w:r>
      <w:r>
        <w:rPr>
          <w:rFonts w:hint="eastAsia"/>
        </w:rPr>
        <w:t>和2</w:t>
      </w:r>
      <w:r>
        <w:t>#</w:t>
      </w:r>
      <w:r>
        <w:rPr>
          <w:rFonts w:hint="eastAsia"/>
        </w:rPr>
        <w:t>储罐区、生产车间、隔油池及污水池、危废暂存库等区域，一般防渗区包括生活区、仓库等，防渗层的防渗性能不应低于1.5米厚渗透系数为1.0×10</w:t>
      </w:r>
      <w:r>
        <w:rPr>
          <w:rFonts w:hint="eastAsia"/>
          <w:vertAlign w:val="superscript"/>
        </w:rPr>
        <w:t>-7</w:t>
      </w:r>
      <w:r>
        <w:rPr>
          <w:rFonts w:hint="eastAsia"/>
        </w:rPr>
        <w:t>厘米/秒的黏土层的防渗性能。</w:t>
      </w:r>
    </w:p>
    <w:p w14:paraId="48FF3966">
      <w:pPr>
        <w:ind w:firstLine="480"/>
      </w:pPr>
      <w:r>
        <w:rPr>
          <w:rFonts w:hint="eastAsia"/>
        </w:rPr>
        <w:t>本项目分区防渗图见图6</w:t>
      </w:r>
      <w:r>
        <w:t>.3-1</w:t>
      </w:r>
      <w:r>
        <w:rPr>
          <w:rFonts w:hint="eastAsia"/>
        </w:rPr>
        <w:t>。</w:t>
      </w:r>
    </w:p>
    <w:p w14:paraId="2C3357F8">
      <w:pPr>
        <w:ind w:firstLine="480"/>
      </w:pPr>
      <w:r>
        <w:rPr>
          <w:rFonts w:hint="eastAsia"/>
        </w:rPr>
        <w:t>根据《</w:t>
      </w:r>
      <w:r>
        <w:rPr>
          <w:rFonts w:hint="eastAsia"/>
          <w:kern w:val="0"/>
          <w:szCs w:val="24"/>
        </w:rPr>
        <w:t>石油化工企业场地地下水污染防治技术指南</w:t>
      </w:r>
      <w:r>
        <w:rPr>
          <w:rFonts w:hint="eastAsia"/>
        </w:rPr>
        <w:t>》（</w:t>
      </w:r>
      <w:r>
        <w:t>T/CAEPI 39-2021</w:t>
      </w:r>
      <w:r>
        <w:rPr>
          <w:rFonts w:hint="eastAsia"/>
        </w:rPr>
        <w:t>）中的要求：</w:t>
      </w:r>
    </w:p>
    <w:p w14:paraId="59BE7247">
      <w:pPr>
        <w:pStyle w:val="47"/>
        <w:spacing w:before="65"/>
      </w:pPr>
      <w:r>
        <w:rPr>
          <w:rFonts w:hint="eastAsia"/>
        </w:rPr>
        <w:t>表2</w:t>
      </w:r>
      <w:r>
        <w:t xml:space="preserve">   </w:t>
      </w:r>
      <w:r>
        <w:rPr>
          <w:rFonts w:hint="eastAsia"/>
        </w:rPr>
        <w:t>地下水污染防渗分区参照表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44"/>
        <w:gridCol w:w="1746"/>
        <w:gridCol w:w="1746"/>
        <w:gridCol w:w="1746"/>
        <w:gridCol w:w="1748"/>
      </w:tblGrid>
      <w:tr w14:paraId="4B75D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shd w:val="clear" w:color="auto" w:fill="auto"/>
            <w:vAlign w:val="center"/>
          </w:tcPr>
          <w:p w14:paraId="6E86A67F">
            <w:pPr>
              <w:pStyle w:val="90"/>
            </w:pPr>
            <w:r>
              <w:rPr>
                <w:rFonts w:hint="eastAsia"/>
              </w:rPr>
              <w:t>防渗分区</w:t>
            </w:r>
          </w:p>
        </w:tc>
        <w:tc>
          <w:tcPr>
            <w:tcW w:w="1000" w:type="pct"/>
            <w:shd w:val="clear" w:color="auto" w:fill="auto"/>
            <w:vAlign w:val="center"/>
          </w:tcPr>
          <w:p w14:paraId="143188D7">
            <w:pPr>
              <w:pStyle w:val="90"/>
            </w:pPr>
            <w:r>
              <w:rPr>
                <w:rFonts w:hint="eastAsia"/>
              </w:rPr>
              <w:t>天然包气带防污性能</w:t>
            </w:r>
          </w:p>
        </w:tc>
        <w:tc>
          <w:tcPr>
            <w:tcW w:w="1000" w:type="pct"/>
            <w:shd w:val="clear" w:color="auto" w:fill="auto"/>
            <w:vAlign w:val="center"/>
          </w:tcPr>
          <w:p w14:paraId="3D772E03">
            <w:pPr>
              <w:pStyle w:val="90"/>
            </w:pPr>
            <w:r>
              <w:rPr>
                <w:rFonts w:hint="eastAsia"/>
              </w:rPr>
              <w:t>污染控制难易程度</w:t>
            </w:r>
          </w:p>
        </w:tc>
        <w:tc>
          <w:tcPr>
            <w:tcW w:w="1000" w:type="pct"/>
            <w:shd w:val="clear" w:color="auto" w:fill="auto"/>
            <w:vAlign w:val="center"/>
          </w:tcPr>
          <w:p w14:paraId="3F3199C1">
            <w:pPr>
              <w:pStyle w:val="90"/>
            </w:pPr>
            <w:r>
              <w:rPr>
                <w:rFonts w:hint="eastAsia"/>
              </w:rPr>
              <w:t>污染物类型</w:t>
            </w:r>
          </w:p>
        </w:tc>
        <w:tc>
          <w:tcPr>
            <w:tcW w:w="1001" w:type="pct"/>
            <w:shd w:val="clear" w:color="auto" w:fill="auto"/>
            <w:vAlign w:val="center"/>
          </w:tcPr>
          <w:p w14:paraId="193B4E21">
            <w:pPr>
              <w:pStyle w:val="90"/>
            </w:pPr>
            <w:r>
              <w:rPr>
                <w:rFonts w:hint="eastAsia"/>
              </w:rPr>
              <w:t>防渗技术要求</w:t>
            </w:r>
          </w:p>
        </w:tc>
      </w:tr>
      <w:tr w14:paraId="13CFF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vMerge w:val="restart"/>
            <w:shd w:val="clear" w:color="auto" w:fill="auto"/>
            <w:vAlign w:val="center"/>
          </w:tcPr>
          <w:p w14:paraId="586DBDE1">
            <w:pPr>
              <w:pStyle w:val="90"/>
            </w:pPr>
            <w:r>
              <w:rPr>
                <w:rFonts w:hint="eastAsia"/>
              </w:rPr>
              <w:t>重点防渗区</w:t>
            </w:r>
          </w:p>
        </w:tc>
        <w:tc>
          <w:tcPr>
            <w:tcW w:w="1000" w:type="pct"/>
            <w:shd w:val="clear" w:color="auto" w:fill="auto"/>
            <w:vAlign w:val="center"/>
          </w:tcPr>
          <w:p w14:paraId="78717E79">
            <w:pPr>
              <w:pStyle w:val="90"/>
            </w:pPr>
            <w:r>
              <w:rPr>
                <w:rFonts w:hint="eastAsia"/>
              </w:rPr>
              <w:t>弱</w:t>
            </w:r>
          </w:p>
        </w:tc>
        <w:tc>
          <w:tcPr>
            <w:tcW w:w="1000" w:type="pct"/>
            <w:shd w:val="clear" w:color="auto" w:fill="auto"/>
            <w:vAlign w:val="center"/>
          </w:tcPr>
          <w:p w14:paraId="1B747CCB">
            <w:pPr>
              <w:pStyle w:val="90"/>
            </w:pPr>
            <w:r>
              <w:rPr>
                <w:rFonts w:hint="eastAsia"/>
              </w:rPr>
              <w:t>难</w:t>
            </w:r>
          </w:p>
        </w:tc>
        <w:tc>
          <w:tcPr>
            <w:tcW w:w="1000" w:type="pct"/>
            <w:vMerge w:val="restart"/>
            <w:shd w:val="clear" w:color="auto" w:fill="auto"/>
            <w:vAlign w:val="center"/>
          </w:tcPr>
          <w:p w14:paraId="0B7D8169">
            <w:pPr>
              <w:pStyle w:val="90"/>
            </w:pPr>
            <w:r>
              <w:rPr>
                <w:rFonts w:hint="eastAsia"/>
              </w:rPr>
              <w:t>重金属、持久性有机污染物</w:t>
            </w:r>
          </w:p>
        </w:tc>
        <w:tc>
          <w:tcPr>
            <w:tcW w:w="1001" w:type="pct"/>
            <w:vMerge w:val="restart"/>
            <w:shd w:val="clear" w:color="auto" w:fill="auto"/>
            <w:vAlign w:val="center"/>
          </w:tcPr>
          <w:p w14:paraId="42602BEF">
            <w:pPr>
              <w:pStyle w:val="90"/>
            </w:pPr>
            <w:r>
              <w:rPr>
                <w:rFonts w:hint="eastAsia"/>
              </w:rPr>
              <w:t>等效黏土防渗层M≥6.0m，K≤1x10</w:t>
            </w:r>
            <w:r>
              <w:rPr>
                <w:vertAlign w:val="superscript"/>
              </w:rPr>
              <w:t>-</w:t>
            </w:r>
            <w:r>
              <w:rPr>
                <w:rFonts w:hint="eastAsia"/>
                <w:vertAlign w:val="superscript"/>
              </w:rPr>
              <w:t>7</w:t>
            </w:r>
            <w:r>
              <w:rPr>
                <w:rFonts w:hint="eastAsia"/>
              </w:rPr>
              <w:t>cm/s；或参照 GB18598执行</w:t>
            </w:r>
          </w:p>
        </w:tc>
      </w:tr>
      <w:tr w14:paraId="7C96B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vMerge w:val="continue"/>
            <w:shd w:val="clear" w:color="auto" w:fill="auto"/>
            <w:vAlign w:val="center"/>
          </w:tcPr>
          <w:p w14:paraId="14BFF551">
            <w:pPr>
              <w:pStyle w:val="90"/>
            </w:pPr>
          </w:p>
        </w:tc>
        <w:tc>
          <w:tcPr>
            <w:tcW w:w="1000" w:type="pct"/>
            <w:shd w:val="clear" w:color="auto" w:fill="auto"/>
            <w:vAlign w:val="center"/>
          </w:tcPr>
          <w:p w14:paraId="73973ADC">
            <w:pPr>
              <w:pStyle w:val="90"/>
            </w:pPr>
            <w:r>
              <w:rPr>
                <w:rFonts w:hint="eastAsia"/>
              </w:rPr>
              <w:t>中——强</w:t>
            </w:r>
          </w:p>
        </w:tc>
        <w:tc>
          <w:tcPr>
            <w:tcW w:w="1000" w:type="pct"/>
            <w:shd w:val="clear" w:color="auto" w:fill="auto"/>
            <w:vAlign w:val="center"/>
          </w:tcPr>
          <w:p w14:paraId="44899E0E">
            <w:pPr>
              <w:pStyle w:val="90"/>
            </w:pPr>
            <w:r>
              <w:rPr>
                <w:rFonts w:hint="eastAsia"/>
              </w:rPr>
              <w:t>难</w:t>
            </w:r>
          </w:p>
        </w:tc>
        <w:tc>
          <w:tcPr>
            <w:tcW w:w="1000" w:type="pct"/>
            <w:vMerge w:val="continue"/>
            <w:shd w:val="clear" w:color="auto" w:fill="auto"/>
            <w:vAlign w:val="center"/>
          </w:tcPr>
          <w:p w14:paraId="2101683D">
            <w:pPr>
              <w:pStyle w:val="90"/>
            </w:pPr>
          </w:p>
        </w:tc>
        <w:tc>
          <w:tcPr>
            <w:tcW w:w="1001" w:type="pct"/>
            <w:vMerge w:val="continue"/>
            <w:shd w:val="clear" w:color="auto" w:fill="auto"/>
            <w:vAlign w:val="center"/>
          </w:tcPr>
          <w:p w14:paraId="70D46C34">
            <w:pPr>
              <w:pStyle w:val="90"/>
            </w:pPr>
          </w:p>
        </w:tc>
      </w:tr>
      <w:tr w14:paraId="4874D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vMerge w:val="continue"/>
            <w:shd w:val="clear" w:color="auto" w:fill="auto"/>
            <w:vAlign w:val="center"/>
          </w:tcPr>
          <w:p w14:paraId="75B61D81">
            <w:pPr>
              <w:pStyle w:val="90"/>
            </w:pPr>
          </w:p>
        </w:tc>
        <w:tc>
          <w:tcPr>
            <w:tcW w:w="1000" w:type="pct"/>
            <w:shd w:val="clear" w:color="auto" w:fill="auto"/>
            <w:vAlign w:val="center"/>
          </w:tcPr>
          <w:p w14:paraId="64A209E9">
            <w:pPr>
              <w:pStyle w:val="90"/>
            </w:pPr>
            <w:r>
              <w:rPr>
                <w:rFonts w:hint="eastAsia"/>
              </w:rPr>
              <w:t>弱</w:t>
            </w:r>
          </w:p>
        </w:tc>
        <w:tc>
          <w:tcPr>
            <w:tcW w:w="1000" w:type="pct"/>
            <w:shd w:val="clear" w:color="auto" w:fill="auto"/>
            <w:vAlign w:val="center"/>
          </w:tcPr>
          <w:p w14:paraId="40DD14DD">
            <w:pPr>
              <w:pStyle w:val="90"/>
            </w:pPr>
            <w:r>
              <w:rPr>
                <w:rFonts w:hint="eastAsia"/>
              </w:rPr>
              <w:t>易</w:t>
            </w:r>
          </w:p>
        </w:tc>
        <w:tc>
          <w:tcPr>
            <w:tcW w:w="1000" w:type="pct"/>
            <w:vMerge w:val="continue"/>
            <w:shd w:val="clear" w:color="auto" w:fill="auto"/>
            <w:vAlign w:val="center"/>
          </w:tcPr>
          <w:p w14:paraId="5DE8D19C">
            <w:pPr>
              <w:pStyle w:val="90"/>
            </w:pPr>
          </w:p>
        </w:tc>
        <w:tc>
          <w:tcPr>
            <w:tcW w:w="1001" w:type="pct"/>
            <w:vMerge w:val="continue"/>
            <w:shd w:val="clear" w:color="auto" w:fill="auto"/>
            <w:vAlign w:val="center"/>
          </w:tcPr>
          <w:p w14:paraId="0B2B9D1B">
            <w:pPr>
              <w:pStyle w:val="90"/>
            </w:pPr>
          </w:p>
        </w:tc>
      </w:tr>
      <w:tr w14:paraId="2A6A3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99" w:type="pct"/>
            <w:vMerge w:val="restart"/>
            <w:shd w:val="clear" w:color="auto" w:fill="auto"/>
            <w:vAlign w:val="center"/>
          </w:tcPr>
          <w:p w14:paraId="49D51835">
            <w:pPr>
              <w:pStyle w:val="90"/>
            </w:pPr>
            <w:r>
              <w:rPr>
                <w:rFonts w:hint="eastAsia"/>
              </w:rPr>
              <w:t>一般防渗区</w:t>
            </w:r>
          </w:p>
        </w:tc>
        <w:tc>
          <w:tcPr>
            <w:tcW w:w="1000" w:type="pct"/>
            <w:shd w:val="clear" w:color="auto" w:fill="auto"/>
            <w:vAlign w:val="center"/>
          </w:tcPr>
          <w:p w14:paraId="65353ADA">
            <w:pPr>
              <w:pStyle w:val="90"/>
            </w:pPr>
            <w:r>
              <w:rPr>
                <w:rFonts w:hint="eastAsia"/>
              </w:rPr>
              <w:t>弱</w:t>
            </w:r>
          </w:p>
        </w:tc>
        <w:tc>
          <w:tcPr>
            <w:tcW w:w="1000" w:type="pct"/>
            <w:shd w:val="clear" w:color="auto" w:fill="auto"/>
            <w:vAlign w:val="center"/>
          </w:tcPr>
          <w:p w14:paraId="44E32C2C">
            <w:pPr>
              <w:pStyle w:val="90"/>
            </w:pPr>
            <w:r>
              <w:rPr>
                <w:rFonts w:hint="eastAsia"/>
              </w:rPr>
              <w:t>易——难</w:t>
            </w:r>
          </w:p>
        </w:tc>
        <w:tc>
          <w:tcPr>
            <w:tcW w:w="1000" w:type="pct"/>
            <w:vMerge w:val="restart"/>
            <w:shd w:val="clear" w:color="auto" w:fill="auto"/>
            <w:vAlign w:val="center"/>
          </w:tcPr>
          <w:p w14:paraId="3835CA8B">
            <w:pPr>
              <w:pStyle w:val="90"/>
            </w:pPr>
            <w:r>
              <w:rPr>
                <w:rFonts w:hint="eastAsia"/>
              </w:rPr>
              <w:t>其他类型</w:t>
            </w:r>
          </w:p>
        </w:tc>
        <w:tc>
          <w:tcPr>
            <w:tcW w:w="1001" w:type="pct"/>
            <w:vMerge w:val="restart"/>
            <w:shd w:val="clear" w:color="auto" w:fill="auto"/>
            <w:vAlign w:val="center"/>
          </w:tcPr>
          <w:p w14:paraId="3915A026">
            <w:pPr>
              <w:pStyle w:val="90"/>
            </w:pPr>
            <w:r>
              <w:rPr>
                <w:rFonts w:hint="eastAsia"/>
              </w:rPr>
              <w:t>等效黏土防渗层M≥</w:t>
            </w:r>
            <w:r>
              <w:t>1.5</w:t>
            </w:r>
            <w:r>
              <w:rPr>
                <w:rFonts w:hint="eastAsia"/>
              </w:rPr>
              <w:t>m，K≤1x10</w:t>
            </w:r>
            <w:r>
              <w:rPr>
                <w:vertAlign w:val="superscript"/>
              </w:rPr>
              <w:t>-</w:t>
            </w:r>
            <w:r>
              <w:rPr>
                <w:rFonts w:hint="eastAsia"/>
                <w:vertAlign w:val="superscript"/>
              </w:rPr>
              <w:t>7</w:t>
            </w:r>
            <w:r>
              <w:rPr>
                <w:rFonts w:hint="eastAsia"/>
              </w:rPr>
              <w:t>cm/s；或参照 GB1</w:t>
            </w:r>
            <w:r>
              <w:t>6889</w:t>
            </w:r>
            <w:r>
              <w:rPr>
                <w:rFonts w:hint="eastAsia"/>
              </w:rPr>
              <w:t>执行</w:t>
            </w:r>
          </w:p>
        </w:tc>
      </w:tr>
      <w:tr w14:paraId="1FC79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vMerge w:val="continue"/>
            <w:shd w:val="clear" w:color="auto" w:fill="auto"/>
            <w:vAlign w:val="center"/>
          </w:tcPr>
          <w:p w14:paraId="581EF553">
            <w:pPr>
              <w:pStyle w:val="90"/>
            </w:pPr>
          </w:p>
        </w:tc>
        <w:tc>
          <w:tcPr>
            <w:tcW w:w="1000" w:type="pct"/>
            <w:shd w:val="clear" w:color="auto" w:fill="auto"/>
            <w:vAlign w:val="center"/>
          </w:tcPr>
          <w:p w14:paraId="3B69273B">
            <w:pPr>
              <w:pStyle w:val="90"/>
            </w:pPr>
            <w:r>
              <w:rPr>
                <w:rFonts w:hint="eastAsia"/>
              </w:rPr>
              <w:t>中——强</w:t>
            </w:r>
          </w:p>
        </w:tc>
        <w:tc>
          <w:tcPr>
            <w:tcW w:w="1000" w:type="pct"/>
            <w:shd w:val="clear" w:color="auto" w:fill="auto"/>
            <w:vAlign w:val="center"/>
          </w:tcPr>
          <w:p w14:paraId="05E005B4">
            <w:pPr>
              <w:pStyle w:val="90"/>
            </w:pPr>
            <w:r>
              <w:rPr>
                <w:rFonts w:hint="eastAsia"/>
              </w:rPr>
              <w:t>难</w:t>
            </w:r>
          </w:p>
        </w:tc>
        <w:tc>
          <w:tcPr>
            <w:tcW w:w="1000" w:type="pct"/>
            <w:vMerge w:val="continue"/>
            <w:shd w:val="clear" w:color="auto" w:fill="auto"/>
            <w:vAlign w:val="center"/>
          </w:tcPr>
          <w:p w14:paraId="12EE342E">
            <w:pPr>
              <w:pStyle w:val="90"/>
            </w:pPr>
          </w:p>
        </w:tc>
        <w:tc>
          <w:tcPr>
            <w:tcW w:w="1001" w:type="pct"/>
            <w:vMerge w:val="continue"/>
            <w:shd w:val="clear" w:color="auto" w:fill="auto"/>
            <w:vAlign w:val="center"/>
          </w:tcPr>
          <w:p w14:paraId="3728E1C2">
            <w:pPr>
              <w:pStyle w:val="90"/>
            </w:pPr>
          </w:p>
        </w:tc>
      </w:tr>
      <w:tr w14:paraId="453C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vMerge w:val="continue"/>
            <w:shd w:val="clear" w:color="auto" w:fill="auto"/>
            <w:vAlign w:val="center"/>
          </w:tcPr>
          <w:p w14:paraId="5BA3F0B6">
            <w:pPr>
              <w:pStyle w:val="90"/>
            </w:pPr>
          </w:p>
        </w:tc>
        <w:tc>
          <w:tcPr>
            <w:tcW w:w="1000" w:type="pct"/>
            <w:shd w:val="clear" w:color="auto" w:fill="auto"/>
            <w:vAlign w:val="center"/>
          </w:tcPr>
          <w:p w14:paraId="36151DB3">
            <w:pPr>
              <w:pStyle w:val="90"/>
            </w:pPr>
            <w:r>
              <w:rPr>
                <w:rFonts w:hint="eastAsia"/>
              </w:rPr>
              <w:t>中</w:t>
            </w:r>
          </w:p>
        </w:tc>
        <w:tc>
          <w:tcPr>
            <w:tcW w:w="1000" w:type="pct"/>
            <w:shd w:val="clear" w:color="auto" w:fill="auto"/>
            <w:vAlign w:val="center"/>
          </w:tcPr>
          <w:p w14:paraId="651ED304">
            <w:pPr>
              <w:pStyle w:val="90"/>
            </w:pPr>
            <w:r>
              <w:rPr>
                <w:rFonts w:hint="eastAsia"/>
              </w:rPr>
              <w:t>易</w:t>
            </w:r>
          </w:p>
        </w:tc>
        <w:tc>
          <w:tcPr>
            <w:tcW w:w="1000" w:type="pct"/>
            <w:vMerge w:val="restart"/>
            <w:shd w:val="clear" w:color="auto" w:fill="auto"/>
            <w:vAlign w:val="center"/>
          </w:tcPr>
          <w:p w14:paraId="650CDDF0">
            <w:pPr>
              <w:pStyle w:val="90"/>
            </w:pPr>
            <w:r>
              <w:rPr>
                <w:rFonts w:hint="eastAsia"/>
              </w:rPr>
              <w:t>重金属、持久性有机污染物</w:t>
            </w:r>
          </w:p>
        </w:tc>
        <w:tc>
          <w:tcPr>
            <w:tcW w:w="1001" w:type="pct"/>
            <w:vMerge w:val="continue"/>
            <w:shd w:val="clear" w:color="auto" w:fill="auto"/>
            <w:vAlign w:val="center"/>
          </w:tcPr>
          <w:p w14:paraId="5C474694">
            <w:pPr>
              <w:pStyle w:val="90"/>
            </w:pPr>
          </w:p>
        </w:tc>
      </w:tr>
      <w:tr w14:paraId="0FE30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vMerge w:val="continue"/>
            <w:shd w:val="clear" w:color="auto" w:fill="auto"/>
            <w:vAlign w:val="center"/>
          </w:tcPr>
          <w:p w14:paraId="74B96D0C">
            <w:pPr>
              <w:pStyle w:val="90"/>
            </w:pPr>
          </w:p>
        </w:tc>
        <w:tc>
          <w:tcPr>
            <w:tcW w:w="1000" w:type="pct"/>
            <w:shd w:val="clear" w:color="auto" w:fill="auto"/>
            <w:vAlign w:val="center"/>
          </w:tcPr>
          <w:p w14:paraId="3C0511E7">
            <w:pPr>
              <w:pStyle w:val="90"/>
            </w:pPr>
            <w:r>
              <w:rPr>
                <w:rFonts w:hint="eastAsia"/>
              </w:rPr>
              <w:t>强</w:t>
            </w:r>
          </w:p>
        </w:tc>
        <w:tc>
          <w:tcPr>
            <w:tcW w:w="1000" w:type="pct"/>
            <w:shd w:val="clear" w:color="auto" w:fill="auto"/>
            <w:vAlign w:val="center"/>
          </w:tcPr>
          <w:p w14:paraId="595C712D">
            <w:pPr>
              <w:pStyle w:val="90"/>
            </w:pPr>
            <w:r>
              <w:rPr>
                <w:rFonts w:hint="eastAsia"/>
              </w:rPr>
              <w:t>易</w:t>
            </w:r>
          </w:p>
        </w:tc>
        <w:tc>
          <w:tcPr>
            <w:tcW w:w="1000" w:type="pct"/>
            <w:vMerge w:val="continue"/>
            <w:shd w:val="clear" w:color="auto" w:fill="auto"/>
            <w:vAlign w:val="center"/>
          </w:tcPr>
          <w:p w14:paraId="2422FD7B">
            <w:pPr>
              <w:pStyle w:val="90"/>
            </w:pPr>
          </w:p>
        </w:tc>
        <w:tc>
          <w:tcPr>
            <w:tcW w:w="1001" w:type="pct"/>
            <w:vMerge w:val="continue"/>
            <w:shd w:val="clear" w:color="auto" w:fill="auto"/>
            <w:vAlign w:val="center"/>
          </w:tcPr>
          <w:p w14:paraId="2EE76F4C">
            <w:pPr>
              <w:pStyle w:val="90"/>
            </w:pPr>
          </w:p>
        </w:tc>
      </w:tr>
      <w:tr w14:paraId="7CBA6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99" w:type="pct"/>
            <w:shd w:val="clear" w:color="auto" w:fill="auto"/>
            <w:vAlign w:val="center"/>
          </w:tcPr>
          <w:p w14:paraId="03D65C7F">
            <w:pPr>
              <w:pStyle w:val="90"/>
            </w:pPr>
            <w:r>
              <w:rPr>
                <w:rFonts w:hint="eastAsia"/>
              </w:rPr>
              <w:t>简单防渗区</w:t>
            </w:r>
          </w:p>
        </w:tc>
        <w:tc>
          <w:tcPr>
            <w:tcW w:w="1000" w:type="pct"/>
            <w:shd w:val="clear" w:color="auto" w:fill="auto"/>
            <w:vAlign w:val="center"/>
          </w:tcPr>
          <w:p w14:paraId="31FDBC66">
            <w:pPr>
              <w:pStyle w:val="90"/>
            </w:pPr>
            <w:r>
              <w:rPr>
                <w:rFonts w:hint="eastAsia"/>
              </w:rPr>
              <w:t>中——强</w:t>
            </w:r>
          </w:p>
        </w:tc>
        <w:tc>
          <w:tcPr>
            <w:tcW w:w="1000" w:type="pct"/>
            <w:shd w:val="clear" w:color="auto" w:fill="auto"/>
            <w:vAlign w:val="center"/>
          </w:tcPr>
          <w:p w14:paraId="1DC1BAA9">
            <w:pPr>
              <w:pStyle w:val="90"/>
            </w:pPr>
            <w:r>
              <w:rPr>
                <w:rFonts w:hint="eastAsia"/>
              </w:rPr>
              <w:t>易</w:t>
            </w:r>
          </w:p>
        </w:tc>
        <w:tc>
          <w:tcPr>
            <w:tcW w:w="1000" w:type="pct"/>
            <w:shd w:val="clear" w:color="auto" w:fill="auto"/>
            <w:vAlign w:val="center"/>
          </w:tcPr>
          <w:p w14:paraId="56231636">
            <w:pPr>
              <w:pStyle w:val="90"/>
            </w:pPr>
            <w:r>
              <w:rPr>
                <w:rFonts w:hint="eastAsia"/>
              </w:rPr>
              <w:t>其他类型</w:t>
            </w:r>
          </w:p>
        </w:tc>
        <w:tc>
          <w:tcPr>
            <w:tcW w:w="1001" w:type="pct"/>
            <w:shd w:val="clear" w:color="auto" w:fill="auto"/>
            <w:vAlign w:val="center"/>
          </w:tcPr>
          <w:p w14:paraId="3E61BD10">
            <w:pPr>
              <w:pStyle w:val="90"/>
            </w:pPr>
            <w:r>
              <w:rPr>
                <w:rFonts w:hint="eastAsia"/>
              </w:rPr>
              <w:t>一般地面硬化</w:t>
            </w:r>
          </w:p>
        </w:tc>
      </w:tr>
    </w:tbl>
    <w:p w14:paraId="7AB82BFE">
      <w:pPr>
        <w:ind w:firstLine="480"/>
      </w:pPr>
      <w:r>
        <w:rPr>
          <w:rFonts w:hint="eastAsia"/>
        </w:rPr>
        <w:t>本项目重点防渗区防渗层渗透系数≤10</w:t>
      </w:r>
      <w:r>
        <w:rPr>
          <w:rFonts w:hint="eastAsia"/>
          <w:vertAlign w:val="superscript"/>
        </w:rPr>
        <w:t>-10</w:t>
      </w:r>
      <w:r>
        <w:rPr>
          <w:rFonts w:hint="eastAsia"/>
        </w:rPr>
        <w:t>cm/s，一般防渗区防渗层的防渗性能不应低于1.5米厚渗透系数为1.0×10</w:t>
      </w:r>
      <w:r>
        <w:rPr>
          <w:rFonts w:hint="eastAsia"/>
          <w:vertAlign w:val="superscript"/>
        </w:rPr>
        <w:t>-7</w:t>
      </w:r>
      <w:r>
        <w:rPr>
          <w:rFonts w:hint="eastAsia"/>
        </w:rPr>
        <w:t>cm/s的黏土层的防渗性能。综上所述，本项目地下水分区防渗措施满足《</w:t>
      </w:r>
      <w:r>
        <w:rPr>
          <w:rFonts w:hint="eastAsia"/>
          <w:kern w:val="0"/>
          <w:szCs w:val="24"/>
        </w:rPr>
        <w:t>石油化工企业场地地下水污染防治技术指南</w:t>
      </w:r>
      <w:r>
        <w:rPr>
          <w:rFonts w:hint="eastAsia"/>
        </w:rPr>
        <w:t>》（</w:t>
      </w:r>
      <w:r>
        <w:t>T/CAEPI 39-2021</w:t>
      </w:r>
      <w:r>
        <w:rPr>
          <w:rFonts w:hint="eastAsia"/>
        </w:rPr>
        <w:t>）中的要求。</w:t>
      </w:r>
    </w:p>
    <w:p w14:paraId="59A20F42">
      <w:pPr>
        <w:pStyle w:val="43"/>
      </w:pPr>
      <w:r>
        <w:rPr>
          <w:rFonts w:hint="eastAsia"/>
        </w:rPr>
        <w:t>其他监控措施</w:t>
      </w:r>
    </w:p>
    <w:p w14:paraId="1ED39974">
      <w:pPr>
        <w:ind w:firstLine="480"/>
      </w:pPr>
      <w:r>
        <w:rPr>
          <w:rFonts w:hint="eastAsia"/>
        </w:rPr>
        <w:t>本项目厂区共有2处主要出入口，由于本项目原料、产品均具有易燃的危险特性，同时涉及危险废物的产生和转运，因此，厂区监管需采取如下措施：</w:t>
      </w:r>
    </w:p>
    <w:p w14:paraId="72A36384">
      <w:pPr>
        <w:ind w:firstLine="480"/>
      </w:pPr>
      <w:r>
        <w:rPr>
          <w:rFonts w:hint="eastAsia"/>
        </w:rPr>
        <w:t>1、厂区出入口、各要道及危废库房出入口、生产车间出入口、储罐区等重要区域，必须设置2</w:t>
      </w:r>
      <w:r>
        <w:t>4</w:t>
      </w:r>
      <w:r>
        <w:rPr>
          <w:rFonts w:hint="eastAsia"/>
        </w:rPr>
        <w:t>h监控系统，并设置专人负责维护和定期巡视；</w:t>
      </w:r>
    </w:p>
    <w:p w14:paraId="7D8C952E">
      <w:pPr>
        <w:ind w:firstLine="480"/>
      </w:pPr>
      <w:r>
        <w:rPr>
          <w:rFonts w:hint="eastAsia"/>
        </w:rPr>
        <w:t>2、危废库房、罐区、生产车间均设置有毒有害物质报警系统，保障工作人员的安全；</w:t>
      </w:r>
    </w:p>
    <w:p w14:paraId="76883D88">
      <w:pPr>
        <w:ind w:firstLine="480"/>
      </w:pPr>
      <w:r>
        <w:rPr>
          <w:rFonts w:hint="eastAsia"/>
        </w:rPr>
        <w:t>3、全厂采用DCS控制系统，设置中控室，实行生产过程全程控制；</w:t>
      </w:r>
    </w:p>
    <w:p w14:paraId="4ED73EE1">
      <w:pPr>
        <w:ind w:firstLine="480"/>
      </w:pPr>
      <w:r>
        <w:rPr>
          <w:rFonts w:hint="eastAsia"/>
        </w:rPr>
        <w:t>4、本项目设置试验检验室，主要监测内容是润滑油的闪点、密度、倾点、抗乳化性和粘度性能，初步确定生产的产品润滑油是否符合外售产品标准。</w:t>
      </w:r>
    </w:p>
    <w:p w14:paraId="5D80EDEC">
      <w:pPr>
        <w:ind w:firstLine="480"/>
      </w:pPr>
      <w:r>
        <w:rPr>
          <w:rFonts w:hint="eastAsia"/>
        </w:rPr>
        <w:t>5、为防止本项目地基塌陷、下沉，在施工及后续运行阶段采取以下措施：</w:t>
      </w:r>
    </w:p>
    <w:p w14:paraId="45A188E7">
      <w:pPr>
        <w:ind w:firstLine="480"/>
      </w:pPr>
      <w:r>
        <w:rPr>
          <w:rFonts w:hint="eastAsia" w:ascii="宋体" w:hAnsi="宋体" w:cs="宋体"/>
        </w:rPr>
        <w:t>①</w:t>
      </w:r>
      <w:r>
        <w:rPr>
          <w:rFonts w:hint="eastAsia"/>
        </w:rPr>
        <w:t>做好地面塌陷灾害的监测工作。监测的目的是在塌陷发生前提出警报，以便及时采取措施。监测主要包括：长期观测（包括地面建筑物、各种水点的动态观测）、地面水准和地震仪监测、钻孔可伸缩性分层桩监测。</w:t>
      </w:r>
    </w:p>
    <w:p w14:paraId="70B5C7CB">
      <w:pPr>
        <w:ind w:firstLine="480"/>
      </w:pPr>
      <w:r>
        <w:rPr>
          <w:rFonts w:hint="eastAsia" w:ascii="宋体" w:hAnsi="宋体" w:cs="宋体"/>
        </w:rPr>
        <w:t>②</w:t>
      </w:r>
      <w:r>
        <w:rPr>
          <w:rFonts w:hint="eastAsia"/>
        </w:rPr>
        <w:t>修建完善的排水系统，避免地表水大量入渗；对已有塌陷坑及裂缝进行填堵，防止地表水向其汇聚注入而加剧塌陷的措施；</w:t>
      </w:r>
    </w:p>
    <w:p w14:paraId="6F04BF8C">
      <w:pPr>
        <w:ind w:firstLine="480"/>
      </w:pPr>
      <w:r>
        <w:rPr>
          <w:rFonts w:hint="eastAsia" w:ascii="宋体" w:hAnsi="宋体" w:cs="宋体"/>
        </w:rPr>
        <w:t>③</w:t>
      </w:r>
      <w:r>
        <w:rPr>
          <w:rFonts w:hint="eastAsia"/>
        </w:rPr>
        <w:t>施工过程中采取强夯法、</w:t>
      </w:r>
      <w:r>
        <w:t>桩基础法</w:t>
      </w:r>
      <w:r>
        <w:rPr>
          <w:rFonts w:hint="eastAsia"/>
        </w:rPr>
        <w:t>、</w:t>
      </w:r>
      <w:r>
        <w:t>高压旋喷法</w:t>
      </w:r>
      <w:r>
        <w:rPr>
          <w:rFonts w:hint="eastAsia"/>
        </w:rPr>
        <w:t>及采用横向交叉布设锚杆治塌技术，增强填方路基的抗塌力，不致因下部岩溶受到影响。</w:t>
      </w:r>
    </w:p>
    <w:p w14:paraId="496EB995">
      <w:pPr>
        <w:ind w:firstLine="480"/>
      </w:pPr>
    </w:p>
    <w:p w14:paraId="041AAD36">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5F4EAB8E">
      <w:pPr>
        <w:adjustRightInd w:val="0"/>
        <w:snapToGrid w:val="0"/>
        <w:spacing w:line="240" w:lineRule="auto"/>
        <w:ind w:firstLine="0" w:firstLineChars="0"/>
        <w:jc w:val="center"/>
      </w:pPr>
    </w:p>
    <w:p w14:paraId="7F010256">
      <w:pPr>
        <w:ind w:left="0" w:leftChars="0" w:firstLine="0" w:firstLineChars="0"/>
        <w:sectPr>
          <w:footerReference r:id="rId32" w:type="default"/>
          <w:pgSz w:w="16838" w:h="11906" w:orient="landscape"/>
          <w:pgMar w:top="1588" w:right="1440" w:bottom="1588" w:left="1440" w:header="907" w:footer="775" w:gutter="0"/>
          <w:pgBorders>
            <w:top w:val="none" w:sz="0" w:space="0"/>
            <w:left w:val="none" w:sz="0" w:space="0"/>
            <w:bottom w:val="none" w:sz="0" w:space="0"/>
            <w:right w:val="none" w:sz="0" w:space="0"/>
          </w:pgBorders>
          <w:pgNumType w:fmt="numberInDash"/>
          <w:cols w:space="425" w:num="1"/>
          <w:docGrid w:type="linesAndChars" w:linePitch="326" w:charSpace="0"/>
        </w:sectPr>
      </w:pPr>
    </w:p>
    <w:p w14:paraId="4F0B7837">
      <w:pPr>
        <w:pStyle w:val="43"/>
      </w:pPr>
      <w:bookmarkStart w:id="639" w:name="_Toc82518851"/>
      <w:bookmarkStart w:id="640" w:name="_Toc152864262"/>
      <w:bookmarkStart w:id="641" w:name="_Toc79515537"/>
      <w:bookmarkStart w:id="642" w:name="_Toc81214159"/>
      <w:bookmarkStart w:id="643" w:name="_Toc80973591"/>
      <w:bookmarkStart w:id="644" w:name="_Toc80193166"/>
      <w:bookmarkStart w:id="645" w:name="_Toc77007859"/>
      <w:r>
        <w:rPr>
          <w:rFonts w:hint="eastAsia"/>
        </w:rPr>
        <w:t>地下水污染监控</w:t>
      </w:r>
      <w:bookmarkEnd w:id="639"/>
      <w:bookmarkEnd w:id="640"/>
      <w:bookmarkEnd w:id="641"/>
      <w:bookmarkEnd w:id="642"/>
      <w:bookmarkEnd w:id="643"/>
      <w:bookmarkEnd w:id="644"/>
      <w:bookmarkEnd w:id="645"/>
    </w:p>
    <w:p w14:paraId="47A5B027">
      <w:pPr>
        <w:ind w:firstLine="480"/>
      </w:pPr>
      <w:r>
        <w:rPr>
          <w:rFonts w:hint="eastAsia"/>
        </w:rPr>
        <w:t>地下水日常监测目的是为了及时准确的掌握项目所在地周围地下水环境质量状况和地下水体中污染物的动态变化，以防止或最大限度的减轻对地下水的污染，地下水日常监测方案应能满足该要求。</w:t>
      </w:r>
    </w:p>
    <w:p w14:paraId="4CEA914A">
      <w:pPr>
        <w:ind w:firstLine="480"/>
      </w:pPr>
      <w:r>
        <w:rPr>
          <w:rFonts w:hint="eastAsia"/>
        </w:rPr>
        <w:t>（1）监测布点</w:t>
      </w:r>
    </w:p>
    <w:p w14:paraId="1063C697">
      <w:pPr>
        <w:ind w:firstLine="480"/>
      </w:pPr>
      <w:r>
        <w:rPr>
          <w:rFonts w:hint="eastAsia"/>
        </w:rPr>
        <w:t>根据《地下水环境监测技术规范》（HJ164-20</w:t>
      </w:r>
      <w:r>
        <w:t>20</w:t>
      </w:r>
      <w:r>
        <w:rPr>
          <w:rFonts w:hint="eastAsia"/>
        </w:rPr>
        <w:t>）的要求，结合本项目所在区域的水文地质条件、厂区及周边的现有情况，要求企业在项目所在区域布设不少于3口的地下水监控井。设置</w:t>
      </w:r>
      <w:r>
        <w:t>3</w:t>
      </w:r>
      <w:r>
        <w:rPr>
          <w:rFonts w:hint="eastAsia"/>
        </w:rPr>
        <w:t>口地下水井，分别对应为本项目地下水现状监测布点中的南9点、南6点和邦德生物监测点，其中南9点属于本项目的上游，南6点在项目的侧游，邦德生物监测点在项目的下游，本次设置的地下水监测井可满足要求。</w:t>
      </w:r>
    </w:p>
    <w:p w14:paraId="7558E2F4">
      <w:pPr>
        <w:ind w:firstLine="480"/>
      </w:pPr>
      <w:r>
        <w:rPr>
          <w:rFonts w:hint="eastAsia"/>
        </w:rPr>
        <w:t>（2）</w:t>
      </w:r>
      <w:r>
        <w:t>监测频率</w:t>
      </w:r>
    </w:p>
    <w:p w14:paraId="2A0B8DB7">
      <w:pPr>
        <w:ind w:firstLine="480"/>
      </w:pPr>
      <w:r>
        <w:t>监测频率不少于每</w:t>
      </w:r>
      <w:r>
        <w:rPr>
          <w:rFonts w:hint="eastAsia"/>
        </w:rPr>
        <w:t>年</w:t>
      </w:r>
      <w:r>
        <w:t>一次。当发生泄漏事故时，应加密监测。</w:t>
      </w:r>
    </w:p>
    <w:p w14:paraId="1B3D7F55">
      <w:pPr>
        <w:ind w:firstLine="480"/>
      </w:pPr>
      <w:r>
        <w:t>（3）监测项目</w:t>
      </w:r>
    </w:p>
    <w:p w14:paraId="54C0476F">
      <w:pPr>
        <w:ind w:firstLine="480"/>
      </w:pPr>
      <w:r>
        <w:t>pH值、高锰酸盐指数、氨氮、挥发酚、硝酸盐、亚硝酸盐、硫酸盐、氯化物、氟化物、氰化物、硫化物、石油类</w:t>
      </w:r>
      <w:r>
        <w:rPr>
          <w:rFonts w:hint="eastAsia"/>
        </w:rPr>
        <w:t>、砷</w:t>
      </w:r>
      <w:r>
        <w:t>。同时记录水位埋深。</w:t>
      </w:r>
    </w:p>
    <w:p w14:paraId="35A1A310">
      <w:pPr>
        <w:ind w:firstLine="480"/>
      </w:pPr>
      <w:r>
        <w:t>（4）环境管理</w:t>
      </w:r>
    </w:p>
    <w:p w14:paraId="60DCA66E">
      <w:pPr>
        <w:ind w:firstLine="480"/>
      </w:pPr>
      <w:r>
        <w:t>建设单位应建立地下水污染监控制度和环境管理体系、制订监测计划，同时配备先进的检测仪器和设备，以便及时采取相应的措施。监测结果应按有关规定及时建立档案，并对项目所在区域的居民公开。</w:t>
      </w:r>
    </w:p>
    <w:p w14:paraId="3E19B915">
      <w:pPr>
        <w:pStyle w:val="41"/>
      </w:pPr>
      <w:bookmarkStart w:id="646" w:name="_Toc152864263"/>
      <w:r>
        <w:rPr>
          <w:rFonts w:hint="eastAsia"/>
        </w:rPr>
        <w:t>噪声污染控制措施及可行性分析</w:t>
      </w:r>
      <w:bookmarkEnd w:id="646"/>
    </w:p>
    <w:p w14:paraId="23F175A4">
      <w:pPr>
        <w:ind w:firstLine="480"/>
      </w:pPr>
      <w:r>
        <w:rPr>
          <w:rFonts w:hint="eastAsia"/>
        </w:rPr>
        <w:t>本项目实施后主要噪声源为各类泵、风机、加温白土锅、压滤机、皂化釜、调和罐、循环泵等产生的设备噪声，其噪声源强为8</w:t>
      </w:r>
      <w:r>
        <w:t>0</w:t>
      </w:r>
      <w:r>
        <w:rPr>
          <w:rFonts w:hint="eastAsia"/>
        </w:rPr>
        <w:t>～9</w:t>
      </w:r>
      <w:r>
        <w:t>0</w:t>
      </w:r>
      <w:r>
        <w:rPr>
          <w:rFonts w:hint="eastAsia"/>
        </w:rPr>
        <w:t>dB（A）。主要采用隔音、消音、基础减振等措施，声环境保护具体对策措施如下：</w:t>
      </w:r>
    </w:p>
    <w:p w14:paraId="035A70CC">
      <w:pPr>
        <w:ind w:firstLine="480"/>
      </w:pPr>
      <w:r>
        <w:rPr>
          <w:rFonts w:hint="eastAsia"/>
        </w:rPr>
        <w:t>（1）采购压滤机、风机、物料泵等设备时，对供应商提出噪声控制要求，尽可能选用低噪声的设备。</w:t>
      </w:r>
    </w:p>
    <w:p w14:paraId="7324BEC4">
      <w:pPr>
        <w:ind w:firstLine="480"/>
      </w:pPr>
      <w:r>
        <w:rPr>
          <w:rFonts w:hint="eastAsia"/>
        </w:rPr>
        <w:t>（2）提高设备机械装配精度，减少机械振动和摩擦噪声，防止共振。</w:t>
      </w:r>
    </w:p>
    <w:p w14:paraId="23FEFF38">
      <w:pPr>
        <w:ind w:firstLine="480"/>
      </w:pPr>
      <w:r>
        <w:rPr>
          <w:rFonts w:hint="eastAsia"/>
        </w:rPr>
        <w:t>（3）根据生产工艺和操作等特点，将主要动力设备如风机设隔音设施，利用建筑物隔声屏蔽，或配备基础减振设施；在总图设计上科学规划，合理布局，将噪声设备集中布置、集中管理、远离办公生活区，并加强厂区绿化，厂界周边以绿化带防护，充分利用距离衰减和草丛、树木的吸声作用降噪，减小对环境的影响。</w:t>
      </w:r>
    </w:p>
    <w:p w14:paraId="22339E38">
      <w:pPr>
        <w:ind w:firstLine="480"/>
      </w:pPr>
      <w:r>
        <w:rPr>
          <w:rFonts w:hint="eastAsia"/>
        </w:rPr>
        <w:t>除采取上述措施外，本项目噪声通过地形屏障、距离衰减等过程也可得到一定程度的降低。环境影响预测表明，采取上述措施后，本项目厂界噪声能够满足《工业企业厂界环境噪声排放标准》（GB</w:t>
      </w:r>
      <w:r>
        <w:t>12348-2008</w:t>
      </w:r>
      <w:r>
        <w:rPr>
          <w:rFonts w:hint="eastAsia"/>
        </w:rPr>
        <w:t>）3类标准要求。因此，本项目采取的噪声防治措施是有效和可行的。</w:t>
      </w:r>
    </w:p>
    <w:p w14:paraId="7F5BB38F">
      <w:pPr>
        <w:pStyle w:val="41"/>
      </w:pPr>
      <w:bookmarkStart w:id="647" w:name="_Toc152864264"/>
      <w:r>
        <w:rPr>
          <w:rFonts w:hint="eastAsia"/>
        </w:rPr>
        <w:t>固体废物处理措施及可行性分析</w:t>
      </w:r>
      <w:bookmarkEnd w:id="647"/>
    </w:p>
    <w:p w14:paraId="0C858573">
      <w:pPr>
        <w:ind w:firstLine="480"/>
      </w:pPr>
      <w:r>
        <w:rPr>
          <w:rFonts w:hint="eastAsia"/>
        </w:rPr>
        <w:t>本项目运营期产生</w:t>
      </w:r>
      <w:r>
        <w:t>的固体废物主要为</w:t>
      </w:r>
      <w:r>
        <w:rPr>
          <w:rFonts w:hint="eastAsia"/>
        </w:rPr>
        <w:t>白土废渣</w:t>
      </w:r>
      <w:r>
        <w:t>、</w:t>
      </w:r>
      <w:r>
        <w:rPr>
          <w:rFonts w:hint="eastAsia"/>
        </w:rPr>
        <w:t>包装废料、废活性炭、废导热油、污泥及生活垃圾。其中，白土废渣（9</w:t>
      </w:r>
      <w:r>
        <w:t>00-249-08</w:t>
      </w:r>
      <w:r>
        <w:rPr>
          <w:rFonts w:hint="eastAsia"/>
        </w:rPr>
        <w:t>）</w:t>
      </w:r>
      <w:r>
        <w:t>、</w:t>
      </w:r>
      <w:r>
        <w:rPr>
          <w:rFonts w:hint="eastAsia"/>
        </w:rPr>
        <w:t>废活性炭（9</w:t>
      </w:r>
      <w:r>
        <w:t>00-039-49</w:t>
      </w:r>
      <w:r>
        <w:rPr>
          <w:rFonts w:hint="eastAsia"/>
        </w:rPr>
        <w:t>）、废导热油（9</w:t>
      </w:r>
      <w:r>
        <w:t>00-249-08</w:t>
      </w:r>
      <w:r>
        <w:rPr>
          <w:rFonts w:hint="eastAsia"/>
        </w:rPr>
        <w:t>）、污泥（9</w:t>
      </w:r>
      <w:r>
        <w:t>00-210-08</w:t>
      </w:r>
      <w:r>
        <w:rPr>
          <w:rFonts w:hint="eastAsia"/>
        </w:rPr>
        <w:t>）属于</w:t>
      </w:r>
      <w:r>
        <w:t>危险废物，采用各自的专用收集容器在产生点收集后</w:t>
      </w:r>
      <w:r>
        <w:rPr>
          <w:rFonts w:hint="eastAsia"/>
        </w:rPr>
        <w:t>密封</w:t>
      </w:r>
      <w:r>
        <w:t>，通过厂区转运车运至</w:t>
      </w:r>
      <w:r>
        <w:rPr>
          <w:rFonts w:hint="eastAsia"/>
        </w:rPr>
        <w:t>厂区</w:t>
      </w:r>
      <w:r>
        <w:t>危险废物暂存间暂存，</w:t>
      </w:r>
      <w:r>
        <w:rPr>
          <w:rFonts w:hint="eastAsia"/>
        </w:rPr>
        <w:t>委托</w:t>
      </w:r>
      <w:r>
        <w:t>新疆金派</w:t>
      </w:r>
      <w:r>
        <w:rPr>
          <w:rFonts w:hint="eastAsia"/>
        </w:rPr>
        <w:t>固废</w:t>
      </w:r>
      <w:r>
        <w:t>综合处置中心</w:t>
      </w:r>
      <w:r>
        <w:rPr>
          <w:rFonts w:hint="eastAsia"/>
        </w:rPr>
        <w:t>清运处置，定期运往金派公司危险废物处理区，目前处理区已建成，年处理能力为6</w:t>
      </w:r>
      <w:r>
        <w:t>1.62</w:t>
      </w:r>
      <w:r>
        <w:rPr>
          <w:rFonts w:hint="eastAsia"/>
        </w:rPr>
        <w:t>万吨，位于高新一路东延3600米处路北，占地面积约24公顷，距离本项目6</w:t>
      </w:r>
      <w:r>
        <w:t>.7</w:t>
      </w:r>
      <w:r>
        <w:rPr>
          <w:rFonts w:hint="eastAsia"/>
        </w:rPr>
        <w:t>km，可以依托；</w:t>
      </w:r>
      <w:r>
        <w:t>包装废料</w:t>
      </w:r>
      <w:r>
        <w:rPr>
          <w:rFonts w:hint="eastAsia"/>
        </w:rPr>
        <w:t>属于一般工业固体废物，在产生处用打包收集暂存，每周定期外售给回收企业；生活垃圾在厂区垃圾桶收集，劳动定员1</w:t>
      </w:r>
      <w:r>
        <w:t>00</w:t>
      </w:r>
      <w:r>
        <w:rPr>
          <w:rFonts w:hint="eastAsia"/>
        </w:rPr>
        <w:t>人，生活垃圾产生量为1</w:t>
      </w:r>
      <w:r>
        <w:t>5</w:t>
      </w:r>
      <w:r>
        <w:rPr>
          <w:rFonts w:hint="eastAsia"/>
        </w:rPr>
        <w:t>t</w:t>
      </w:r>
      <w:r>
        <w:t>/a</w:t>
      </w:r>
      <w:r>
        <w:rPr>
          <w:rFonts w:hint="eastAsia"/>
        </w:rPr>
        <w:t>，厂区设置垃圾桶收集，委托园区环卫部门定期清运，至129团生活垃圾场填埋处理。</w:t>
      </w:r>
    </w:p>
    <w:p w14:paraId="2D21FFB4">
      <w:pPr>
        <w:pStyle w:val="43"/>
      </w:pPr>
      <w:bookmarkStart w:id="648" w:name="_Toc80973594"/>
      <w:bookmarkStart w:id="649" w:name="_Toc152864265"/>
      <w:bookmarkStart w:id="650" w:name="_Toc79515540"/>
      <w:bookmarkStart w:id="651" w:name="_Toc80193169"/>
      <w:bookmarkStart w:id="652" w:name="_Toc77007862"/>
      <w:bookmarkStart w:id="653" w:name="_Toc82518854"/>
      <w:bookmarkStart w:id="654" w:name="_Toc81214162"/>
      <w:r>
        <w:rPr>
          <w:rFonts w:hint="eastAsia"/>
        </w:rPr>
        <w:t>固体废物厂内收集、内部转运的污染防治措施</w:t>
      </w:r>
      <w:bookmarkEnd w:id="648"/>
      <w:bookmarkEnd w:id="649"/>
      <w:bookmarkEnd w:id="650"/>
      <w:bookmarkEnd w:id="651"/>
      <w:bookmarkEnd w:id="652"/>
      <w:bookmarkEnd w:id="653"/>
      <w:bookmarkEnd w:id="654"/>
    </w:p>
    <w:p w14:paraId="48A09560">
      <w:pPr>
        <w:ind w:firstLine="480"/>
      </w:pPr>
      <w:r>
        <w:rPr>
          <w:rFonts w:hint="eastAsia"/>
        </w:rPr>
        <w:t>本项目危险废物应严格按照《危险废物贮存污染控制标准》（GB18597-2023）中的规范要求，按照固体废物的性质进行分类收集和暂存；做好危险废物分类收集、贮存、运输和处置等工作。危险废物的环境管理要求如下：</w:t>
      </w:r>
    </w:p>
    <w:p w14:paraId="030DF69D">
      <w:pPr>
        <w:ind w:firstLine="480"/>
      </w:pPr>
      <w:r>
        <w:rPr>
          <w:rFonts w:hint="eastAsia"/>
        </w:rPr>
        <w:t>（1）建设项目危险废物产生后必须用容器密封储存，并在容器显著位置张贴危险废物的标识。建立档案制度，记录上注明危险废物的名称、来源、数量、特性和包装容器的类别、入库日期、存放库位、废物出库日期及接收单位名称。</w:t>
      </w:r>
    </w:p>
    <w:p w14:paraId="22BCB6D6">
      <w:pPr>
        <w:ind w:firstLine="480"/>
      </w:pPr>
      <w:r>
        <w:rPr>
          <w:rFonts w:hint="eastAsia"/>
        </w:rPr>
        <w:t>（2）建设项目危险废物必须及时运送至有资质单位处理处置，运输过程必须符合国家对危险废物的运输要求。</w:t>
      </w:r>
    </w:p>
    <w:p w14:paraId="47B03F4A">
      <w:pPr>
        <w:ind w:firstLine="480"/>
      </w:pPr>
      <w:r>
        <w:rPr>
          <w:rFonts w:hint="eastAsia"/>
        </w:rPr>
        <w:t>（3）危险废物的转运必须填写“五联单”，且必须符合国家对危险废物转运的相关规定。</w:t>
      </w:r>
    </w:p>
    <w:p w14:paraId="6A9CBC3C">
      <w:pPr>
        <w:ind w:firstLine="480"/>
      </w:pPr>
      <w:r>
        <w:rPr>
          <w:rFonts w:hint="eastAsia"/>
        </w:rPr>
        <w:t>（4）加强固废管理，危险固废、一般工业固废均及时入库存放，并及时通知协议处理单位进行回收处理；</w:t>
      </w:r>
    </w:p>
    <w:p w14:paraId="0B750194">
      <w:pPr>
        <w:ind w:firstLine="480"/>
      </w:pPr>
      <w:r>
        <w:rPr>
          <w:rFonts w:hint="eastAsia"/>
        </w:rPr>
        <w:t>（5）严格落实危险固废转移台账管理，做到每一笔危险固废的去向都有台账记录。</w:t>
      </w:r>
    </w:p>
    <w:p w14:paraId="6E597536">
      <w:pPr>
        <w:pStyle w:val="43"/>
      </w:pPr>
      <w:bookmarkStart w:id="655" w:name="_Toc77007863"/>
      <w:bookmarkStart w:id="656" w:name="_Toc81214163"/>
      <w:bookmarkStart w:id="657" w:name="_Toc79515541"/>
      <w:bookmarkStart w:id="658" w:name="_Toc80193170"/>
      <w:bookmarkStart w:id="659" w:name="_Toc82518855"/>
      <w:bookmarkStart w:id="660" w:name="_Toc152864266"/>
      <w:bookmarkStart w:id="661" w:name="_Toc80973595"/>
      <w:r>
        <w:rPr>
          <w:rFonts w:hint="eastAsia"/>
        </w:rPr>
        <w:t>固体废物临时贮存场所的污染防治措施</w:t>
      </w:r>
      <w:bookmarkEnd w:id="655"/>
      <w:bookmarkEnd w:id="656"/>
      <w:bookmarkEnd w:id="657"/>
      <w:bookmarkEnd w:id="658"/>
      <w:bookmarkEnd w:id="659"/>
      <w:bookmarkEnd w:id="660"/>
      <w:bookmarkEnd w:id="661"/>
    </w:p>
    <w:p w14:paraId="50107DB8">
      <w:pPr>
        <w:ind w:firstLine="480"/>
      </w:pPr>
      <w:r>
        <w:rPr>
          <w:rFonts w:hint="eastAsia"/>
        </w:rPr>
        <w:t>本项目危险废物的暂存库需要按照《危险废物贮存污染控制标准》（GB18597-2023）进行，具体要求如下：</w:t>
      </w:r>
    </w:p>
    <w:p w14:paraId="3E163E7F">
      <w:pPr>
        <w:ind w:firstLine="480"/>
      </w:pPr>
      <w:r>
        <w:rPr>
          <w:rFonts w:hint="eastAsia"/>
        </w:rPr>
        <w:t>（1）贮存设施或贮存分区内地面、墙面裙脚、堵截泄漏的围堰、接触危险废物的隔板和墙体等应采用坚固的材料建造，表面无裂缝；</w:t>
      </w:r>
    </w:p>
    <w:p w14:paraId="0B9678A5">
      <w:pPr>
        <w:ind w:firstLine="480"/>
      </w:pPr>
      <w:r>
        <w:rPr>
          <w:rFonts w:hint="eastAsia"/>
        </w:rPr>
        <w:t>（2）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w:t>
      </w:r>
      <w:r>
        <w:t>0</w:t>
      </w:r>
      <w:r>
        <w:rPr>
          <w:vertAlign w:val="superscript"/>
        </w:rPr>
        <w:t>-7</w:t>
      </w:r>
      <w:r>
        <w:rPr>
          <w:rFonts w:hint="eastAsia"/>
        </w:rPr>
        <w:t>cm/s），或至少2mm厚高密度聚乙烯膜等人工防渗材料（渗透系数不大于10</w:t>
      </w:r>
      <w:r>
        <w:rPr>
          <w:vertAlign w:val="superscript"/>
        </w:rPr>
        <w:t>-10</w:t>
      </w:r>
      <w:r>
        <w:rPr>
          <w:rFonts w:hint="eastAsia"/>
        </w:rPr>
        <w:t>cm/s），或其他防渗性能等效的材料。</w:t>
      </w:r>
    </w:p>
    <w:p w14:paraId="407D767D">
      <w:pPr>
        <w:ind w:firstLine="480"/>
      </w:pPr>
      <w:r>
        <w:rPr>
          <w:rFonts w:hint="eastAsia"/>
        </w:rPr>
        <w:t>（3）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3C3E3CA4">
      <w:pPr>
        <w:ind w:firstLine="480"/>
      </w:pPr>
      <w:r>
        <w:rPr>
          <w:rFonts w:hint="eastAsia"/>
        </w:rPr>
        <w:t>（4）贮存设施运行期间，应按国家有关标准和规定建立危险废物管理台账并保存；</w:t>
      </w:r>
    </w:p>
    <w:p w14:paraId="412732E6">
      <w:pPr>
        <w:ind w:firstLine="480"/>
      </w:pPr>
      <w:r>
        <w:rPr>
          <w:rFonts w:hint="eastAsia"/>
        </w:rPr>
        <w:t>（5）贮存设施所有者或运营者应建立贮存设施环境管理制度、管理人员岗位职责制度、设施运行操作制度、人员岗位培训制度等；</w:t>
      </w:r>
    </w:p>
    <w:p w14:paraId="1199B4F3">
      <w:pPr>
        <w:ind w:firstLine="480"/>
      </w:pPr>
      <w:r>
        <w:rPr>
          <w:rFonts w:hint="eastAsia"/>
        </w:rPr>
        <w:t>（</w:t>
      </w:r>
      <w:r>
        <w:t>6</w:t>
      </w:r>
      <w:r>
        <w:rPr>
          <w:rFonts w:hint="eastAsia"/>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1E5F9471">
      <w:pPr>
        <w:ind w:firstLine="480"/>
      </w:pPr>
      <w:r>
        <w:rPr>
          <w:rFonts w:hint="eastAsia"/>
        </w:rPr>
        <w:t>（7）企业应按照有关法律和《环境监测管理办法》、《企业事业单位环境信息公开办法》等规定，建立企业监测制度，制定监测方案，对污染物排放状况及对周边环境质量的影响开展自行监测，并公开监测结果。</w:t>
      </w:r>
    </w:p>
    <w:p w14:paraId="1B96B989">
      <w:pPr>
        <w:pStyle w:val="41"/>
      </w:pPr>
      <w:bookmarkStart w:id="662" w:name="_Toc152864267"/>
      <w:r>
        <w:rPr>
          <w:rFonts w:hint="eastAsia"/>
        </w:rPr>
        <w:t>土壤环境保护措施</w:t>
      </w:r>
      <w:bookmarkEnd w:id="662"/>
    </w:p>
    <w:p w14:paraId="02E5D3E5">
      <w:pPr>
        <w:ind w:firstLine="480"/>
      </w:pPr>
      <w:r>
        <w:rPr>
          <w:rFonts w:hint="eastAsia"/>
        </w:rPr>
        <w:t>根据现状调查，本项目占地范围内的土壤环境质量不存在超标点位，因此不需采取土壤修复措施。对于本项目后续建设、运行，需从以下方面采取污染防治措施。</w:t>
      </w:r>
    </w:p>
    <w:p w14:paraId="6C7E7350">
      <w:pPr>
        <w:ind w:firstLine="480"/>
      </w:pPr>
      <w:r>
        <w:rPr>
          <w:rFonts w:hint="eastAsia"/>
        </w:rPr>
        <w:t>（1）源头控制措施</w:t>
      </w:r>
    </w:p>
    <w:p w14:paraId="687B88F1">
      <w:pPr>
        <w:ind w:firstLine="480"/>
      </w:pPr>
      <w:r>
        <w:rPr>
          <w:rFonts w:hint="eastAsia"/>
        </w:rPr>
        <w:t>有组织废气污染物，应确保环保措施稳定有效，实现达标排放；应通过对生产中“跑、冒、滴、漏”定期的检查检测，控制无组织废气产生量。针对废水污染物，应尽可能采用地上铺设输水管线和地上装置；事故应急池等应按照相应的设计规范要求进行防渗处理，并在下游设置监测井监控。本项目产生的固体废物应分区堆放于相应的暂存间，定期进行处理处置。</w:t>
      </w:r>
    </w:p>
    <w:p w14:paraId="7D60618A">
      <w:pPr>
        <w:ind w:firstLine="480"/>
      </w:pPr>
      <w:r>
        <w:rPr>
          <w:rFonts w:hint="eastAsia"/>
        </w:rPr>
        <w:t>（2）过程防控措施</w:t>
      </w:r>
    </w:p>
    <w:p w14:paraId="50C7551B">
      <w:pPr>
        <w:ind w:firstLine="480"/>
      </w:pPr>
      <w:r>
        <w:rPr>
          <w:rFonts w:hint="eastAsia"/>
        </w:rPr>
        <w:t>本项目根据《环境影响评价技术导则 地下水环境》（HJ</w:t>
      </w:r>
      <w:r>
        <w:t>610-2016</w:t>
      </w:r>
      <w:r>
        <w:rPr>
          <w:rFonts w:hint="eastAsia"/>
        </w:rPr>
        <w:t>）要求，将本项目厂房全部区域及应急中转池作为重点防渗区，进行重点防渗处理，切断污染物的入渗途径；依托项目绿化设施，进一步增加绿化面积，种植植物减轻废气污染物的大气沉降影响；同时通过地面硬化、围堰、围墙等地面设施，阻断地面漫流影响。</w:t>
      </w:r>
    </w:p>
    <w:p w14:paraId="3815C589">
      <w:pPr>
        <w:ind w:firstLine="480"/>
      </w:pPr>
      <w:r>
        <w:rPr>
          <w:rFonts w:hint="eastAsia"/>
        </w:rPr>
        <w:t>通过上述措施，本项目土壤环境保护措施可行。</w:t>
      </w:r>
    </w:p>
    <w:p w14:paraId="24CC64E1">
      <w:pPr>
        <w:pStyle w:val="41"/>
      </w:pPr>
      <w:bookmarkStart w:id="663" w:name="_Toc152864268"/>
      <w:r>
        <w:rPr>
          <w:rFonts w:hint="eastAsia"/>
        </w:rPr>
        <w:t>防沙治沙措施</w:t>
      </w:r>
      <w:bookmarkEnd w:id="663"/>
    </w:p>
    <w:p w14:paraId="66227D0D">
      <w:pPr>
        <w:ind w:firstLine="480"/>
      </w:pPr>
      <w:r>
        <w:rPr>
          <w:rFonts w:hint="eastAsia"/>
        </w:rPr>
        <w:t>基于项目所在区域的主要生态问题，提出以下措施：</w:t>
      </w:r>
    </w:p>
    <w:p w14:paraId="1026F947">
      <w:pPr>
        <w:ind w:firstLine="480"/>
      </w:pPr>
      <w:r>
        <w:rPr>
          <w:rFonts w:hint="eastAsia"/>
        </w:rPr>
        <w:t>（1）项目选址于园区，项目建设严格控制在占地范围内，严禁占用和破坏项目西侧500m的农用地及周边的植被，切实保护用地和植被；</w:t>
      </w:r>
    </w:p>
    <w:p w14:paraId="15BF247F">
      <w:pPr>
        <w:ind w:firstLine="480"/>
      </w:pPr>
      <w:r>
        <w:rPr>
          <w:rFonts w:hint="eastAsia"/>
        </w:rPr>
        <w:t>（2）项目厂区除厂房、建构物、绿化等用地外，厂区进行水泥硬化，减少扬尘。厂区内适宜绿化的地块进行生态绿化，厂区绿化采用集中和分散相结合的方式进行，道路两旁及围墙周边分散进行绿化；厂外主干道种植乔木，车间人行道两侧采用灌木绿篱进行绿化；</w:t>
      </w:r>
    </w:p>
    <w:p w14:paraId="665D097D">
      <w:pPr>
        <w:ind w:firstLine="480"/>
      </w:pPr>
      <w:r>
        <w:rPr>
          <w:rFonts w:hint="eastAsia"/>
        </w:rPr>
        <w:t>（3）项目所产废水、固废严禁随意排放或倾倒进入周边土壤或农田，避免对土壤、植被和农田的破坏及污染；</w:t>
      </w:r>
    </w:p>
    <w:p w14:paraId="35F49C51">
      <w:pPr>
        <w:ind w:firstLine="480"/>
      </w:pPr>
      <w:r>
        <w:rPr>
          <w:rFonts w:hint="eastAsia"/>
        </w:rPr>
        <w:t>（4）进出项目厂区的运输车辆按指定线路行驶，禁止随意改变行驶路线进入周边绿化带、农田，避免对周边植被或农田的破坏；</w:t>
      </w:r>
    </w:p>
    <w:p w14:paraId="6450D117">
      <w:pPr>
        <w:ind w:firstLine="480"/>
      </w:pPr>
      <w:r>
        <w:rPr>
          <w:rFonts w:hint="eastAsia"/>
        </w:rPr>
        <w:t>（5）加强法制宣传和防沙治沙管理，对施工人员进行培训和教育，保护项目周边的水利设施和水土保持措施，自觉保持水土，保护植被，严禁乱采挖和滥用水资源。</w:t>
      </w:r>
    </w:p>
    <w:p w14:paraId="745D06CA">
      <w:pPr>
        <w:ind w:firstLine="480"/>
      </w:pPr>
      <w:r>
        <w:rPr>
          <w:rFonts w:hint="eastAsia"/>
        </w:rPr>
        <w:t>（6）严格落实本环评提出的环保措施，确保污染物达标排放，减少污染物对周边植被、土壤的影响。</w:t>
      </w:r>
    </w:p>
    <w:p w14:paraId="26CB0380">
      <w:pPr>
        <w:pStyle w:val="41"/>
      </w:pPr>
      <w:bookmarkStart w:id="664" w:name="_Toc152864269"/>
      <w:r>
        <w:rPr>
          <w:rFonts w:hint="eastAsia"/>
        </w:rPr>
        <w:t>施工期污染防治措施</w:t>
      </w:r>
      <w:bookmarkEnd w:id="664"/>
    </w:p>
    <w:p w14:paraId="2ACCD7F2">
      <w:pPr>
        <w:pStyle w:val="43"/>
      </w:pPr>
      <w:bookmarkStart w:id="665" w:name="_Toc77007867"/>
      <w:bookmarkStart w:id="666" w:name="_Toc152864270"/>
      <w:bookmarkStart w:id="667" w:name="_Toc80973598"/>
      <w:bookmarkStart w:id="668" w:name="_Toc79515545"/>
      <w:bookmarkStart w:id="669" w:name="_Toc82518859"/>
      <w:bookmarkStart w:id="670" w:name="_Toc80193174"/>
      <w:bookmarkStart w:id="671" w:name="_Toc81214166"/>
      <w:r>
        <w:rPr>
          <w:rFonts w:hint="eastAsia"/>
        </w:rPr>
        <w:t>废气污染防治措施</w:t>
      </w:r>
      <w:bookmarkEnd w:id="665"/>
      <w:bookmarkEnd w:id="666"/>
      <w:bookmarkEnd w:id="667"/>
      <w:bookmarkEnd w:id="668"/>
      <w:bookmarkEnd w:id="669"/>
      <w:bookmarkEnd w:id="670"/>
      <w:bookmarkEnd w:id="671"/>
    </w:p>
    <w:p w14:paraId="01E86C7F">
      <w:pPr>
        <w:ind w:firstLine="480"/>
      </w:pPr>
      <w:r>
        <w:rPr>
          <w:rFonts w:hint="eastAsia"/>
        </w:rPr>
        <w:t>为了保护空气质量，施工期间施工单位应采取如下保护措施：</w:t>
      </w:r>
    </w:p>
    <w:p w14:paraId="4AFA8F32">
      <w:pPr>
        <w:ind w:firstLine="480"/>
      </w:pPr>
      <w:r>
        <w:rPr>
          <w:rFonts w:hint="eastAsia"/>
        </w:rPr>
        <w:t>（1）在施工现场周边设立2m高围挡，对施工区域实行封闭或隔离。</w:t>
      </w:r>
    </w:p>
    <w:p w14:paraId="60AD0192">
      <w:pPr>
        <w:ind w:firstLine="480"/>
      </w:pPr>
      <w:r>
        <w:rPr>
          <w:rFonts w:hint="eastAsia"/>
        </w:rPr>
        <w:t>（2）水泥和其他易飞扬的细颗粒散体材料，安排在库内存放或严密遮盖，运输时应采取良好的密封状态运输，装载土料等多尘物料时，盖上篷布，装载不宜过满，以降低运输过程中起尘量。</w:t>
      </w:r>
    </w:p>
    <w:p w14:paraId="4B870A86">
      <w:pPr>
        <w:ind w:firstLine="480"/>
      </w:pPr>
      <w:r>
        <w:rPr>
          <w:rFonts w:hint="eastAsia"/>
        </w:rPr>
        <w:t>（3）尽量选用低能耗、低污染排放的施工机械、车辆。要加强机械、车辆的管理和维修，尽量减少因机械、车辆状况不佳造成的空气污染。对进出车辆限速。</w:t>
      </w:r>
    </w:p>
    <w:p w14:paraId="03593248">
      <w:pPr>
        <w:ind w:firstLine="480"/>
      </w:pPr>
      <w:r>
        <w:rPr>
          <w:rFonts w:hint="eastAsia"/>
        </w:rPr>
        <w:t>（4）合理安排施工计划，施工场地、施工道路扬尘及时洒水、及时清扫。</w:t>
      </w:r>
    </w:p>
    <w:p w14:paraId="0357FD47">
      <w:pPr>
        <w:ind w:firstLine="480"/>
      </w:pPr>
      <w:r>
        <w:rPr>
          <w:rFonts w:hint="eastAsia"/>
        </w:rPr>
        <w:t>（5）大风天气严禁施工，施工车辆实行限速行驶。</w:t>
      </w:r>
    </w:p>
    <w:p w14:paraId="1A05C5EA">
      <w:pPr>
        <w:ind w:firstLine="480"/>
      </w:pPr>
      <w:r>
        <w:rPr>
          <w:rFonts w:hint="eastAsia"/>
        </w:rPr>
        <w:t>（6）采用商品混凝土，不在施工现场设置混凝土搅拌站，对砼、砂浆现场搅拌、堆土等易产生扬尘污染的建筑材料采取覆盖、隔离、喷淋等防尘措施。</w:t>
      </w:r>
    </w:p>
    <w:p w14:paraId="298D636F">
      <w:pPr>
        <w:ind w:firstLine="480"/>
      </w:pPr>
      <w:r>
        <w:rPr>
          <w:rFonts w:hint="eastAsia"/>
        </w:rPr>
        <w:t>（7）建设施工均有建设单位指定专人负责施工现场扬尘污染措施的实施和监督。所有建设施工工地出入口必须设立环境保护监督牌。必须注明项目名称、建设单位、施工单位、防治扬尘污染现场监督员姓名和联系电话、项目工期、环保措施、举报电话等内容。建设单位与施工单位签订环保协议，制订相关保护条例，并严格执行。</w:t>
      </w:r>
    </w:p>
    <w:p w14:paraId="71AE53CE">
      <w:pPr>
        <w:ind w:firstLine="480"/>
      </w:pPr>
      <w:r>
        <w:rPr>
          <w:rFonts w:hint="eastAsia"/>
        </w:rPr>
        <w:t>采取以上措施后，施工期扬尘影响将降至最低，对周围环境影响较小，本项目施工期大气治理措施可行。</w:t>
      </w:r>
    </w:p>
    <w:p w14:paraId="534BC922">
      <w:pPr>
        <w:pStyle w:val="43"/>
      </w:pPr>
      <w:bookmarkStart w:id="672" w:name="_Toc80193175"/>
      <w:bookmarkStart w:id="673" w:name="_Toc77007868"/>
      <w:bookmarkStart w:id="674" w:name="_Toc80973599"/>
      <w:bookmarkStart w:id="675" w:name="_Toc81214167"/>
      <w:bookmarkStart w:id="676" w:name="_Toc82518860"/>
      <w:bookmarkStart w:id="677" w:name="_Toc152864271"/>
      <w:bookmarkStart w:id="678" w:name="_Toc79515546"/>
      <w:r>
        <w:rPr>
          <w:rFonts w:hint="eastAsia"/>
        </w:rPr>
        <w:t>废水污染防治措施</w:t>
      </w:r>
      <w:bookmarkEnd w:id="672"/>
      <w:bookmarkEnd w:id="673"/>
      <w:bookmarkEnd w:id="674"/>
      <w:bookmarkEnd w:id="675"/>
      <w:bookmarkEnd w:id="676"/>
      <w:bookmarkEnd w:id="677"/>
      <w:bookmarkEnd w:id="678"/>
    </w:p>
    <w:p w14:paraId="5278CF5D">
      <w:pPr>
        <w:ind w:firstLine="480"/>
      </w:pPr>
      <w:r>
        <w:rPr>
          <w:rFonts w:hint="eastAsia"/>
        </w:rPr>
        <w:t>对于施工期的生产废水，要加强管理，严禁废水任意排放，施工废水经隔油沉淀池处理后回收利用；施工期机械设备、车辆清洗废水经隔油沉淀池处理后回用于场地洒水降尘，废油全部回收，交有资质单位处置。施工人员生活污水集中排入园区污水处理厂，施工结束后及时平整各类施工占地。</w:t>
      </w:r>
    </w:p>
    <w:p w14:paraId="64B1F00F">
      <w:pPr>
        <w:pStyle w:val="43"/>
      </w:pPr>
      <w:bookmarkStart w:id="679" w:name="_Toc80193176"/>
      <w:bookmarkStart w:id="680" w:name="_Toc80973600"/>
      <w:bookmarkStart w:id="681" w:name="_Toc77007869"/>
      <w:bookmarkStart w:id="682" w:name="_Toc152864272"/>
      <w:bookmarkStart w:id="683" w:name="_Toc79515547"/>
      <w:bookmarkStart w:id="684" w:name="_Toc82518861"/>
      <w:bookmarkStart w:id="685" w:name="_Toc81214168"/>
      <w:r>
        <w:rPr>
          <w:rFonts w:hint="eastAsia"/>
        </w:rPr>
        <w:t>噪声污染防治与控制措施</w:t>
      </w:r>
      <w:bookmarkEnd w:id="679"/>
      <w:bookmarkEnd w:id="680"/>
      <w:bookmarkEnd w:id="681"/>
      <w:bookmarkEnd w:id="682"/>
      <w:bookmarkEnd w:id="683"/>
      <w:bookmarkEnd w:id="684"/>
      <w:bookmarkEnd w:id="685"/>
    </w:p>
    <w:p w14:paraId="15264EFE">
      <w:pPr>
        <w:ind w:firstLine="480"/>
      </w:pPr>
      <w:r>
        <w:rPr>
          <w:rFonts w:hint="eastAsia"/>
        </w:rPr>
        <w:t>建筑施工由于各阶段使用的机械设备组合情况不同，所以噪声辐射影响的程度也不尽相同。结合施工特点，对一些重点噪声设备和声源，提出一些治理措施和建议：</w:t>
      </w:r>
    </w:p>
    <w:p w14:paraId="3EF80994">
      <w:pPr>
        <w:ind w:firstLine="480"/>
      </w:pPr>
      <w:r>
        <w:rPr>
          <w:rFonts w:hint="eastAsia"/>
        </w:rPr>
        <w:t>（1）施工单位应合理布设总体施工场区，要求将产生噪声较大的施工机械作业区设置在项目区的中心等有利于噪声衰减的位置。</w:t>
      </w:r>
    </w:p>
    <w:p w14:paraId="3FA80D17">
      <w:pPr>
        <w:ind w:firstLine="480"/>
      </w:pPr>
      <w:r>
        <w:rPr>
          <w:rFonts w:hint="eastAsia"/>
        </w:rPr>
        <w:t>（2）适当调整项目建设规划和施工顺序，要求项目在开发时先行建设沿场界的建筑，可起到声屏障的作用，降低项目后续施工噪声对外界环境的影响。</w:t>
      </w:r>
    </w:p>
    <w:p w14:paraId="17AF140C">
      <w:pPr>
        <w:ind w:firstLine="480"/>
      </w:pPr>
      <w:r>
        <w:rPr>
          <w:rFonts w:hint="eastAsia"/>
        </w:rPr>
        <w:t>（3）在区域边界设施工围挡等设施。</w:t>
      </w:r>
    </w:p>
    <w:p w14:paraId="5F62601E">
      <w:pPr>
        <w:ind w:firstLine="480"/>
      </w:pPr>
      <w:r>
        <w:rPr>
          <w:rFonts w:hint="eastAsia"/>
        </w:rPr>
        <w:t>（4）施工单位可合理安排施工时间，避免长时间使用高噪声设备，使本项目在施工期造成的噪声污染降到最低。</w:t>
      </w:r>
    </w:p>
    <w:p w14:paraId="6717C785">
      <w:pPr>
        <w:ind w:firstLine="480"/>
      </w:pPr>
      <w:r>
        <w:rPr>
          <w:rFonts w:hint="eastAsia"/>
        </w:rPr>
        <w:t>（5）施工设备选型时，在满足施工需要的前提下，尽可能选取噪声低、振动小、能耗小的先进设备。加强施工机械的维护保养，避免由于设备性能差而使机械噪声增大的现象发生。</w:t>
      </w:r>
    </w:p>
    <w:p w14:paraId="311174D0">
      <w:pPr>
        <w:ind w:firstLine="480"/>
      </w:pPr>
      <w:r>
        <w:rPr>
          <w:rFonts w:hint="eastAsia"/>
        </w:rPr>
        <w:t>（6）该项目施工作业阶段噪声影响最严重的时期是结构浇筑阶段，建设方应抓住主要问题，对结构浇筑阶段的噪声问题进行重点防治，通过合理安排浇筑阶段工期和施工部位的安排，尽量减少该阶段对噪声敏感目标的影响。</w:t>
      </w:r>
    </w:p>
    <w:p w14:paraId="352ACEED">
      <w:pPr>
        <w:pStyle w:val="43"/>
      </w:pPr>
      <w:bookmarkStart w:id="686" w:name="_Toc80973601"/>
      <w:bookmarkStart w:id="687" w:name="_Toc82518862"/>
      <w:bookmarkStart w:id="688" w:name="_Toc152864273"/>
      <w:bookmarkStart w:id="689" w:name="_Toc77007870"/>
      <w:bookmarkStart w:id="690" w:name="_Toc81214169"/>
      <w:bookmarkStart w:id="691" w:name="_Toc80193177"/>
      <w:bookmarkStart w:id="692" w:name="_Toc79515548"/>
      <w:r>
        <w:rPr>
          <w:rFonts w:hint="eastAsia"/>
        </w:rPr>
        <w:t>固体废物污染防治措施</w:t>
      </w:r>
      <w:bookmarkEnd w:id="686"/>
      <w:bookmarkEnd w:id="687"/>
      <w:bookmarkEnd w:id="688"/>
      <w:bookmarkEnd w:id="689"/>
      <w:bookmarkEnd w:id="690"/>
      <w:bookmarkEnd w:id="691"/>
      <w:bookmarkEnd w:id="692"/>
    </w:p>
    <w:p w14:paraId="36541501">
      <w:pPr>
        <w:ind w:firstLine="480"/>
      </w:pPr>
      <w:r>
        <w:rPr>
          <w:rFonts w:hint="eastAsia"/>
        </w:rPr>
        <w:t>（1）施工单位应按照国家和当地有关建筑垃圾和工程渣土处置管理的规定，认真执行《中华人民共和国固体废物污染环境防治法》。</w:t>
      </w:r>
    </w:p>
    <w:p w14:paraId="17162D46">
      <w:pPr>
        <w:ind w:firstLine="480"/>
      </w:pPr>
      <w:r>
        <w:rPr>
          <w:rFonts w:hint="eastAsia"/>
        </w:rPr>
        <w:t>（2）渣土尽量在场内周转，就地用于绿化、道路等生态景观建设；生活垃圾应及时收集到垃圾桶内，由施工单位及时处理。在施工中要特别注意尽量避开雨天和大风天气施工，所产生的固体废弃物要妥善存放，避免对周边环境造成影响。</w:t>
      </w:r>
    </w:p>
    <w:p w14:paraId="2A852FAF">
      <w:pPr>
        <w:ind w:firstLine="480"/>
      </w:pPr>
      <w:r>
        <w:rPr>
          <w:rFonts w:hint="eastAsia"/>
        </w:rPr>
        <w:t>（3）在工程竣工以后，施工单位应拆除各种临时施工设施，并负责将工地的剩余建筑垃圾、工程渣土处理干净，做到“工完、料尽、场地清”，建设单位应负责督促施工单位的固体废物处置清理工作。施工建筑垃圾、装修垃圾及时送往指定建筑垃圾填埋场处理，施工人员产生的生活垃圾每日收集，定期清运。</w:t>
      </w:r>
    </w:p>
    <w:p w14:paraId="54BB18BA">
      <w:pPr>
        <w:ind w:firstLine="480"/>
      </w:pPr>
      <w:r>
        <w:t>（4）施工单位在工程开工前应当与所在地市政市容行政主管部门签订施工现场环境卫生责任书，并遵守下列规定：</w:t>
      </w:r>
    </w:p>
    <w:p w14:paraId="3F54C1A2">
      <w:pPr>
        <w:ind w:firstLine="480"/>
      </w:pPr>
      <w:r>
        <w:rPr>
          <w:rFonts w:hint="eastAsia" w:ascii="宋体" w:hAnsi="宋体" w:cs="宋体"/>
        </w:rPr>
        <w:t>①</w:t>
      </w:r>
      <w:r>
        <w:t>对产生的建筑垃圾采取防尘措施并及时清运，保持工地和周边环境整洁；</w:t>
      </w:r>
    </w:p>
    <w:p w14:paraId="779362E0">
      <w:pPr>
        <w:ind w:firstLine="480"/>
      </w:pPr>
      <w:r>
        <w:rPr>
          <w:rFonts w:hint="eastAsia" w:ascii="宋体" w:hAnsi="宋体" w:cs="宋体"/>
        </w:rPr>
        <w:t>②</w:t>
      </w:r>
      <w:r>
        <w:t>按照有关规定设置2m高围挡，做到施工出入口硬化铺装；</w:t>
      </w:r>
    </w:p>
    <w:p w14:paraId="48D7CB6C">
      <w:pPr>
        <w:ind w:firstLine="480"/>
      </w:pPr>
      <w:r>
        <w:rPr>
          <w:rFonts w:hint="eastAsia" w:ascii="宋体" w:hAnsi="宋体" w:cs="宋体"/>
        </w:rPr>
        <w:t>③</w:t>
      </w:r>
      <w:r>
        <w:t>将车厢外侧的残留垃圾打扫干净，避免沿途洒落；</w:t>
      </w:r>
    </w:p>
    <w:p w14:paraId="46430384">
      <w:pPr>
        <w:ind w:firstLine="480"/>
      </w:pPr>
      <w:r>
        <w:rPr>
          <w:rFonts w:hint="eastAsia" w:ascii="宋体" w:hAnsi="宋体" w:cs="宋体"/>
        </w:rPr>
        <w:t>④</w:t>
      </w:r>
      <w:r>
        <w:t>配备相应的冲洗设施，将运输车辆轮胎冲洗干净后，方可驶离工地。</w:t>
      </w:r>
    </w:p>
    <w:p w14:paraId="4ECA6DD6">
      <w:pPr>
        <w:pStyle w:val="43"/>
      </w:pPr>
      <w:bookmarkStart w:id="693" w:name="_Toc152864274"/>
      <w:bookmarkStart w:id="694" w:name="_Toc77007871"/>
      <w:bookmarkStart w:id="695" w:name="_Toc81214170"/>
      <w:bookmarkStart w:id="696" w:name="_Toc82518863"/>
      <w:bookmarkStart w:id="697" w:name="_Toc80193178"/>
      <w:bookmarkStart w:id="698" w:name="_Toc79515549"/>
      <w:bookmarkStart w:id="699" w:name="_Toc80973602"/>
      <w:r>
        <w:rPr>
          <w:rFonts w:hint="eastAsia"/>
        </w:rPr>
        <w:t>防沙治沙措施及建议</w:t>
      </w:r>
      <w:bookmarkEnd w:id="693"/>
      <w:bookmarkEnd w:id="694"/>
      <w:bookmarkEnd w:id="695"/>
      <w:bookmarkEnd w:id="696"/>
      <w:bookmarkEnd w:id="697"/>
      <w:bookmarkEnd w:id="698"/>
      <w:bookmarkEnd w:id="699"/>
    </w:p>
    <w:p w14:paraId="535BD852">
      <w:pPr>
        <w:ind w:firstLine="480"/>
      </w:pPr>
      <w:r>
        <w:rPr>
          <w:rFonts w:hint="eastAsia"/>
        </w:rPr>
        <w:t>（1）施工结束后，及时采取绿化等措施，恢复厂区原有植被覆盖；</w:t>
      </w:r>
    </w:p>
    <w:p w14:paraId="359C19C9">
      <w:pPr>
        <w:ind w:firstLine="480"/>
      </w:pPr>
      <w:r>
        <w:rPr>
          <w:rFonts w:hint="eastAsia"/>
        </w:rPr>
        <w:t>（</w:t>
      </w:r>
      <w:r>
        <w:t>2</w:t>
      </w:r>
      <w:r>
        <w:rPr>
          <w:rFonts w:hint="eastAsia"/>
        </w:rPr>
        <w:t>）植被覆盖度高的区域，采取分层开挖、分层回填措施，避免破坏区域土壤肥力；</w:t>
      </w:r>
    </w:p>
    <w:p w14:paraId="4CBA5798">
      <w:pPr>
        <w:ind w:firstLine="480"/>
      </w:pPr>
      <w:r>
        <w:rPr>
          <w:rFonts w:hint="eastAsia"/>
        </w:rPr>
        <w:t>（</w:t>
      </w:r>
      <w:r>
        <w:t>3</w:t>
      </w:r>
      <w:r>
        <w:rPr>
          <w:rFonts w:hint="eastAsia"/>
        </w:rPr>
        <w:t>）针对周边已有植被覆盖区域，尽量减少施工过程对植被的破坏和挖掘，采取防沙治沙措施，防止土地沙漠化。</w:t>
      </w:r>
    </w:p>
    <w:p w14:paraId="34BEC915">
      <w:pPr>
        <w:ind w:firstLine="480"/>
      </w:pPr>
      <w:r>
        <w:rPr>
          <w:rFonts w:hint="eastAsia"/>
        </w:rPr>
        <w:t>（</w:t>
      </w:r>
      <w:r>
        <w:t>4</w:t>
      </w:r>
      <w:r>
        <w:rPr>
          <w:rFonts w:hint="eastAsia"/>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14:paraId="6858C4F6">
      <w:pPr>
        <w:ind w:firstLine="480"/>
      </w:pPr>
      <w:r>
        <w:rPr>
          <w:rFonts w:hint="eastAsia"/>
        </w:rPr>
        <w:t>（</w:t>
      </w:r>
      <w:r>
        <w:t>5</w:t>
      </w:r>
      <w:r>
        <w:rPr>
          <w:rFonts w:hint="eastAsia"/>
        </w:rPr>
        <w:t>）工程措施、植被措施及其他措施，要求在项目建设完成投入运行之前完成，严禁防沙治沙措施未完成即投入运行。</w:t>
      </w:r>
    </w:p>
    <w:p w14:paraId="3877CCA4">
      <w:pPr>
        <w:ind w:firstLine="480"/>
        <w:sectPr>
          <w:footerReference r:id="rId33"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607AFFF4">
      <w:pPr>
        <w:pStyle w:val="40"/>
      </w:pPr>
      <w:bookmarkStart w:id="700" w:name="_Toc152864275"/>
      <w:r>
        <w:rPr>
          <w:rFonts w:hint="eastAsia"/>
        </w:rPr>
        <w:t>环境影响经济损益分析</w:t>
      </w:r>
      <w:bookmarkEnd w:id="700"/>
    </w:p>
    <w:p w14:paraId="4E9D3796">
      <w:pPr>
        <w:pStyle w:val="41"/>
      </w:pPr>
      <w:bookmarkStart w:id="701" w:name="_Toc152864276"/>
      <w:r>
        <w:rPr>
          <w:rFonts w:hint="eastAsia"/>
        </w:rPr>
        <w:t>社会和经济效益分析</w:t>
      </w:r>
      <w:bookmarkEnd w:id="701"/>
    </w:p>
    <w:p w14:paraId="03C65B31">
      <w:pPr>
        <w:pStyle w:val="43"/>
      </w:pPr>
      <w:bookmarkStart w:id="702" w:name="_Toc79515552"/>
      <w:bookmarkStart w:id="703" w:name="_Toc81214173"/>
      <w:bookmarkStart w:id="704" w:name="_Toc152864277"/>
      <w:bookmarkStart w:id="705" w:name="_Toc80973605"/>
      <w:bookmarkStart w:id="706" w:name="_Toc80193181"/>
      <w:bookmarkStart w:id="707" w:name="_Toc77007874"/>
      <w:bookmarkStart w:id="708" w:name="_Toc82518866"/>
      <w:r>
        <w:rPr>
          <w:rFonts w:hint="eastAsia"/>
        </w:rPr>
        <w:t>社会效益分析</w:t>
      </w:r>
      <w:bookmarkEnd w:id="702"/>
      <w:bookmarkEnd w:id="703"/>
      <w:bookmarkEnd w:id="704"/>
      <w:bookmarkEnd w:id="705"/>
      <w:bookmarkEnd w:id="706"/>
      <w:bookmarkEnd w:id="707"/>
      <w:bookmarkEnd w:id="708"/>
    </w:p>
    <w:p w14:paraId="4ABBD0B2">
      <w:pPr>
        <w:ind w:firstLine="480"/>
      </w:pPr>
      <w:r>
        <w:rPr>
          <w:rFonts w:hint="eastAsia"/>
        </w:rPr>
        <w:t>本项目的建成，</w:t>
      </w:r>
      <w:r>
        <w:t>具有良好的社会效益。</w:t>
      </w:r>
    </w:p>
    <w:p w14:paraId="535EB0F5">
      <w:pPr>
        <w:ind w:firstLine="480"/>
      </w:pPr>
      <w:r>
        <w:t>（1）本项目建成投产后，具有较高工艺技术水平，节能水平，以满足</w:t>
      </w:r>
      <w:r>
        <w:rPr>
          <w:rFonts w:hint="eastAsia"/>
        </w:rPr>
        <w:t>生产润滑油、润滑脂等产品的需要，不仅节约企业资金，</w:t>
      </w:r>
      <w:r>
        <w:t>同时项目建成投产后具有较好的发展潜力，可向国家缴纳可观的利税。因而</w:t>
      </w:r>
      <w:r>
        <w:rPr>
          <w:rFonts w:hint="eastAsia"/>
        </w:rPr>
        <w:t>本</w:t>
      </w:r>
      <w:r>
        <w:t>项目的建设具有较好的社会效益。</w:t>
      </w:r>
    </w:p>
    <w:p w14:paraId="6A88E05D">
      <w:pPr>
        <w:ind w:firstLine="480"/>
      </w:pPr>
      <w:r>
        <w:t>（2）项目的建设将带动周边相关产业的发展，使当地的经济步入快速和良性发展的轨道。</w:t>
      </w:r>
    </w:p>
    <w:p w14:paraId="303C1180">
      <w:pPr>
        <w:ind w:firstLine="480"/>
      </w:pPr>
      <w:r>
        <w:t>（3）随着近几年的就业环境压力，寻找方案解决就业问题成为政府的一大难题，新疆又是一个多民族聚居的地区，维护社会的安定以及提高人民的生活水平需要更多的就业岗位为前提。</w:t>
      </w:r>
      <w:r>
        <w:rPr>
          <w:rFonts w:hint="eastAsia"/>
        </w:rPr>
        <w:t>本</w:t>
      </w:r>
      <w:r>
        <w:t>项目的建成将提供100</w:t>
      </w:r>
      <w:r>
        <w:rPr>
          <w:rFonts w:hint="eastAsia"/>
        </w:rPr>
        <w:t>人的</w:t>
      </w:r>
      <w:r>
        <w:t>就业岗位，为失业、下岗人员提供了新的就业途径。</w:t>
      </w:r>
    </w:p>
    <w:p w14:paraId="134BB6A0">
      <w:pPr>
        <w:pStyle w:val="43"/>
      </w:pPr>
      <w:bookmarkStart w:id="709" w:name="_Toc77007875"/>
      <w:bookmarkStart w:id="710" w:name="_Toc80193182"/>
      <w:bookmarkStart w:id="711" w:name="_Toc152864278"/>
      <w:bookmarkStart w:id="712" w:name="_Toc79515553"/>
      <w:bookmarkStart w:id="713" w:name="_Toc80973606"/>
      <w:bookmarkStart w:id="714" w:name="_Toc82518867"/>
      <w:bookmarkStart w:id="715" w:name="_Toc81214174"/>
      <w:r>
        <w:rPr>
          <w:rFonts w:hint="eastAsia"/>
        </w:rPr>
        <w:t>经济效益分析</w:t>
      </w:r>
      <w:bookmarkEnd w:id="709"/>
      <w:bookmarkEnd w:id="710"/>
      <w:bookmarkEnd w:id="711"/>
      <w:bookmarkEnd w:id="712"/>
      <w:bookmarkEnd w:id="713"/>
      <w:bookmarkEnd w:id="714"/>
      <w:bookmarkEnd w:id="715"/>
    </w:p>
    <w:p w14:paraId="35D4DDDD">
      <w:pPr>
        <w:ind w:firstLine="480"/>
      </w:pPr>
      <w:r>
        <w:t>根据项目可研报告，项目主要经济技术指标见</w:t>
      </w:r>
      <w:r>
        <w:rPr>
          <w:rFonts w:hint="eastAsia"/>
        </w:rPr>
        <w:t>下</w:t>
      </w:r>
      <w:r>
        <w:t>表。</w:t>
      </w:r>
    </w:p>
    <w:p w14:paraId="36479518">
      <w:pPr>
        <w:pStyle w:val="47"/>
        <w:spacing w:before="65"/>
      </w:pPr>
      <w:r>
        <w:rPr>
          <w:rFonts w:hint="eastAsia"/>
        </w:rPr>
        <w:t>表7</w:t>
      </w:r>
      <w:r>
        <w:t xml:space="preserve">.1-1   </w:t>
      </w:r>
      <w:r>
        <w:rPr>
          <w:rFonts w:hint="eastAsia"/>
        </w:rPr>
        <w:t>本项目主要经济指标一览表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34"/>
        <w:gridCol w:w="3153"/>
        <w:gridCol w:w="1252"/>
        <w:gridCol w:w="1655"/>
        <w:gridCol w:w="1436"/>
      </w:tblGrid>
      <w:tr w14:paraId="17FC7B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07" w:type="pct"/>
            <w:shd w:val="clear" w:color="auto" w:fill="auto"/>
            <w:vAlign w:val="center"/>
          </w:tcPr>
          <w:p w14:paraId="6ADD802E">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1806" w:type="pct"/>
            <w:shd w:val="clear" w:color="auto" w:fill="auto"/>
            <w:vAlign w:val="center"/>
          </w:tcPr>
          <w:p w14:paraId="398DEBCB">
            <w:pPr>
              <w:adjustRightInd w:val="0"/>
              <w:snapToGrid w:val="0"/>
              <w:spacing w:line="240" w:lineRule="auto"/>
              <w:ind w:firstLine="0" w:firstLineChars="0"/>
              <w:jc w:val="center"/>
              <w:rPr>
                <w:sz w:val="21"/>
                <w:szCs w:val="21"/>
                <w:lang w:eastAsia="en-US"/>
              </w:rPr>
            </w:pPr>
            <w:r>
              <w:rPr>
                <w:sz w:val="21"/>
                <w:szCs w:val="21"/>
                <w:lang w:eastAsia="en-US"/>
              </w:rPr>
              <w:t>项目名称</w:t>
            </w:r>
          </w:p>
        </w:tc>
        <w:tc>
          <w:tcPr>
            <w:tcW w:w="717" w:type="pct"/>
            <w:shd w:val="clear" w:color="auto" w:fill="auto"/>
            <w:vAlign w:val="center"/>
          </w:tcPr>
          <w:p w14:paraId="036AB633">
            <w:pPr>
              <w:adjustRightInd w:val="0"/>
              <w:snapToGrid w:val="0"/>
              <w:spacing w:line="240" w:lineRule="auto"/>
              <w:ind w:firstLine="0" w:firstLineChars="0"/>
              <w:jc w:val="center"/>
              <w:rPr>
                <w:sz w:val="21"/>
                <w:szCs w:val="21"/>
                <w:lang w:eastAsia="en-US"/>
              </w:rPr>
            </w:pPr>
            <w:r>
              <w:rPr>
                <w:sz w:val="21"/>
                <w:szCs w:val="21"/>
                <w:lang w:eastAsia="en-US"/>
              </w:rPr>
              <w:t>单位</w:t>
            </w:r>
          </w:p>
        </w:tc>
        <w:tc>
          <w:tcPr>
            <w:tcW w:w="948" w:type="pct"/>
            <w:shd w:val="clear" w:color="auto" w:fill="auto"/>
            <w:vAlign w:val="center"/>
          </w:tcPr>
          <w:p w14:paraId="45565BE4">
            <w:pPr>
              <w:adjustRightInd w:val="0"/>
              <w:snapToGrid w:val="0"/>
              <w:spacing w:line="240" w:lineRule="auto"/>
              <w:ind w:firstLine="0" w:firstLineChars="0"/>
              <w:jc w:val="center"/>
              <w:rPr>
                <w:sz w:val="21"/>
                <w:szCs w:val="21"/>
                <w:lang w:eastAsia="en-US"/>
              </w:rPr>
            </w:pPr>
            <w:r>
              <w:rPr>
                <w:sz w:val="21"/>
                <w:szCs w:val="21"/>
                <w:lang w:eastAsia="en-US"/>
              </w:rPr>
              <w:t>指标</w:t>
            </w:r>
          </w:p>
        </w:tc>
        <w:tc>
          <w:tcPr>
            <w:tcW w:w="822" w:type="pct"/>
            <w:shd w:val="clear" w:color="auto" w:fill="auto"/>
            <w:vAlign w:val="center"/>
          </w:tcPr>
          <w:p w14:paraId="5B0CE238">
            <w:pPr>
              <w:adjustRightInd w:val="0"/>
              <w:snapToGrid w:val="0"/>
              <w:spacing w:line="240" w:lineRule="auto"/>
              <w:ind w:firstLine="0" w:firstLineChars="0"/>
              <w:jc w:val="center"/>
              <w:rPr>
                <w:sz w:val="21"/>
                <w:szCs w:val="21"/>
                <w:lang w:eastAsia="en-US"/>
              </w:rPr>
            </w:pPr>
            <w:r>
              <w:rPr>
                <w:sz w:val="21"/>
                <w:szCs w:val="21"/>
                <w:lang w:eastAsia="en-US"/>
              </w:rPr>
              <w:t>备注</w:t>
            </w:r>
          </w:p>
        </w:tc>
      </w:tr>
      <w:tr w14:paraId="1B4379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07" w:type="pct"/>
            <w:shd w:val="clear" w:color="auto" w:fill="auto"/>
            <w:vAlign w:val="center"/>
          </w:tcPr>
          <w:p w14:paraId="2BC6FAD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w:t>
            </w:r>
          </w:p>
        </w:tc>
        <w:tc>
          <w:tcPr>
            <w:tcW w:w="1806" w:type="pct"/>
            <w:shd w:val="clear" w:color="auto" w:fill="auto"/>
            <w:vAlign w:val="center"/>
          </w:tcPr>
          <w:p w14:paraId="364F1730">
            <w:pPr>
              <w:adjustRightInd w:val="0"/>
              <w:snapToGrid w:val="0"/>
              <w:spacing w:line="240" w:lineRule="auto"/>
              <w:ind w:firstLine="0" w:firstLineChars="0"/>
              <w:jc w:val="center"/>
              <w:rPr>
                <w:sz w:val="21"/>
                <w:szCs w:val="21"/>
                <w:lang w:eastAsia="en-US"/>
              </w:rPr>
            </w:pPr>
            <w:r>
              <w:rPr>
                <w:sz w:val="21"/>
                <w:szCs w:val="21"/>
                <w:lang w:eastAsia="en-US"/>
              </w:rPr>
              <w:t>总投资</w:t>
            </w:r>
          </w:p>
        </w:tc>
        <w:tc>
          <w:tcPr>
            <w:tcW w:w="717" w:type="pct"/>
            <w:shd w:val="clear" w:color="auto" w:fill="auto"/>
            <w:vAlign w:val="center"/>
          </w:tcPr>
          <w:p w14:paraId="63B6F79A">
            <w:pPr>
              <w:adjustRightInd w:val="0"/>
              <w:snapToGrid w:val="0"/>
              <w:spacing w:line="240" w:lineRule="auto"/>
              <w:ind w:firstLine="0" w:firstLineChars="0"/>
              <w:jc w:val="center"/>
              <w:rPr>
                <w:sz w:val="21"/>
                <w:szCs w:val="21"/>
                <w:lang w:eastAsia="en-US"/>
              </w:rPr>
            </w:pPr>
            <w:r>
              <w:rPr>
                <w:sz w:val="21"/>
                <w:szCs w:val="21"/>
                <w:lang w:eastAsia="en-US"/>
              </w:rPr>
              <w:t>万元</w:t>
            </w:r>
          </w:p>
        </w:tc>
        <w:tc>
          <w:tcPr>
            <w:tcW w:w="948" w:type="pct"/>
            <w:shd w:val="clear" w:color="auto" w:fill="auto"/>
            <w:vAlign w:val="center"/>
          </w:tcPr>
          <w:p w14:paraId="6CABE78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15000</w:t>
            </w:r>
          </w:p>
        </w:tc>
        <w:tc>
          <w:tcPr>
            <w:tcW w:w="822" w:type="pct"/>
            <w:shd w:val="clear" w:color="auto" w:fill="auto"/>
            <w:vAlign w:val="center"/>
          </w:tcPr>
          <w:p w14:paraId="5BF7B4A1">
            <w:pPr>
              <w:adjustRightInd w:val="0"/>
              <w:snapToGrid w:val="0"/>
              <w:spacing w:line="240" w:lineRule="auto"/>
              <w:ind w:firstLine="0" w:firstLineChars="0"/>
              <w:jc w:val="center"/>
              <w:rPr>
                <w:rFonts w:ascii="Calibri" w:hAnsi="Calibri"/>
                <w:sz w:val="21"/>
                <w:szCs w:val="21"/>
                <w:lang w:eastAsia="en-US"/>
              </w:rPr>
            </w:pPr>
          </w:p>
        </w:tc>
      </w:tr>
      <w:tr w14:paraId="1CB733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07" w:type="pct"/>
            <w:shd w:val="clear" w:color="auto" w:fill="auto"/>
            <w:vAlign w:val="center"/>
          </w:tcPr>
          <w:p w14:paraId="018653F2">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2</w:t>
            </w:r>
          </w:p>
        </w:tc>
        <w:tc>
          <w:tcPr>
            <w:tcW w:w="1806" w:type="pct"/>
            <w:shd w:val="clear" w:color="auto" w:fill="auto"/>
            <w:vAlign w:val="center"/>
          </w:tcPr>
          <w:p w14:paraId="06B7DFF6">
            <w:pPr>
              <w:adjustRightInd w:val="0"/>
              <w:snapToGrid w:val="0"/>
              <w:spacing w:line="240" w:lineRule="auto"/>
              <w:ind w:firstLine="0" w:firstLineChars="0"/>
              <w:jc w:val="center"/>
              <w:rPr>
                <w:sz w:val="21"/>
                <w:szCs w:val="21"/>
                <w:lang w:eastAsia="en-US"/>
              </w:rPr>
            </w:pPr>
            <w:r>
              <w:rPr>
                <w:sz w:val="21"/>
                <w:szCs w:val="21"/>
                <w:lang w:eastAsia="en-US"/>
              </w:rPr>
              <w:t>建设投资</w:t>
            </w:r>
          </w:p>
        </w:tc>
        <w:tc>
          <w:tcPr>
            <w:tcW w:w="717" w:type="pct"/>
            <w:shd w:val="clear" w:color="auto" w:fill="auto"/>
            <w:vAlign w:val="center"/>
          </w:tcPr>
          <w:p w14:paraId="47B8F0E2">
            <w:pPr>
              <w:adjustRightInd w:val="0"/>
              <w:snapToGrid w:val="0"/>
              <w:spacing w:line="240" w:lineRule="auto"/>
              <w:ind w:firstLine="0" w:firstLineChars="0"/>
              <w:jc w:val="center"/>
              <w:rPr>
                <w:sz w:val="21"/>
                <w:szCs w:val="21"/>
                <w:lang w:eastAsia="en-US"/>
              </w:rPr>
            </w:pPr>
            <w:r>
              <w:rPr>
                <w:sz w:val="21"/>
                <w:szCs w:val="21"/>
                <w:lang w:eastAsia="en-US"/>
              </w:rPr>
              <w:t>万元</w:t>
            </w:r>
          </w:p>
        </w:tc>
        <w:tc>
          <w:tcPr>
            <w:tcW w:w="948" w:type="pct"/>
            <w:shd w:val="clear" w:color="auto" w:fill="auto"/>
            <w:vAlign w:val="center"/>
          </w:tcPr>
          <w:p w14:paraId="46194C1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3478.26</w:t>
            </w:r>
          </w:p>
        </w:tc>
        <w:tc>
          <w:tcPr>
            <w:tcW w:w="822" w:type="pct"/>
            <w:shd w:val="clear" w:color="auto" w:fill="auto"/>
            <w:vAlign w:val="center"/>
          </w:tcPr>
          <w:p w14:paraId="74732BBE">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6FABAB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07" w:type="pct"/>
            <w:shd w:val="clear" w:color="auto" w:fill="auto"/>
            <w:vAlign w:val="center"/>
          </w:tcPr>
          <w:p w14:paraId="179AA3A6">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w:t>
            </w:r>
          </w:p>
        </w:tc>
        <w:tc>
          <w:tcPr>
            <w:tcW w:w="1806" w:type="pct"/>
            <w:shd w:val="clear" w:color="auto" w:fill="auto"/>
            <w:vAlign w:val="center"/>
          </w:tcPr>
          <w:p w14:paraId="46BD47E7">
            <w:pPr>
              <w:adjustRightInd w:val="0"/>
              <w:snapToGrid w:val="0"/>
              <w:spacing w:line="240" w:lineRule="auto"/>
              <w:ind w:firstLine="0" w:firstLineChars="0"/>
              <w:jc w:val="center"/>
              <w:rPr>
                <w:sz w:val="21"/>
                <w:szCs w:val="21"/>
                <w:lang w:eastAsia="en-US"/>
              </w:rPr>
            </w:pPr>
            <w:r>
              <w:rPr>
                <w:sz w:val="21"/>
                <w:szCs w:val="21"/>
                <w:lang w:eastAsia="en-US"/>
              </w:rPr>
              <w:t>流动资金</w:t>
            </w:r>
          </w:p>
        </w:tc>
        <w:tc>
          <w:tcPr>
            <w:tcW w:w="717" w:type="pct"/>
            <w:shd w:val="clear" w:color="auto" w:fill="auto"/>
            <w:vAlign w:val="center"/>
          </w:tcPr>
          <w:p w14:paraId="21267F17">
            <w:pPr>
              <w:adjustRightInd w:val="0"/>
              <w:snapToGrid w:val="0"/>
              <w:spacing w:line="240" w:lineRule="auto"/>
              <w:ind w:firstLine="0" w:firstLineChars="0"/>
              <w:jc w:val="center"/>
              <w:rPr>
                <w:sz w:val="21"/>
                <w:szCs w:val="21"/>
                <w:lang w:eastAsia="en-US"/>
              </w:rPr>
            </w:pPr>
            <w:r>
              <w:rPr>
                <w:sz w:val="21"/>
                <w:szCs w:val="21"/>
                <w:lang w:eastAsia="en-US"/>
              </w:rPr>
              <w:t>万元</w:t>
            </w:r>
          </w:p>
        </w:tc>
        <w:tc>
          <w:tcPr>
            <w:tcW w:w="948" w:type="pct"/>
            <w:shd w:val="clear" w:color="auto" w:fill="auto"/>
            <w:vAlign w:val="center"/>
          </w:tcPr>
          <w:p w14:paraId="31C6F20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3000</w:t>
            </w:r>
          </w:p>
        </w:tc>
        <w:tc>
          <w:tcPr>
            <w:tcW w:w="822" w:type="pct"/>
            <w:shd w:val="clear" w:color="auto" w:fill="auto"/>
            <w:vAlign w:val="center"/>
          </w:tcPr>
          <w:p w14:paraId="321D0059">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61CFF7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07" w:type="pct"/>
            <w:shd w:val="clear" w:color="auto" w:fill="auto"/>
            <w:vAlign w:val="center"/>
          </w:tcPr>
          <w:p w14:paraId="081E52F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w:t>
            </w:r>
          </w:p>
        </w:tc>
        <w:tc>
          <w:tcPr>
            <w:tcW w:w="1806" w:type="pct"/>
            <w:shd w:val="clear" w:color="auto" w:fill="auto"/>
            <w:vAlign w:val="center"/>
          </w:tcPr>
          <w:p w14:paraId="33A41B69">
            <w:pPr>
              <w:adjustRightInd w:val="0"/>
              <w:snapToGrid w:val="0"/>
              <w:spacing w:line="240" w:lineRule="auto"/>
              <w:ind w:firstLine="0" w:firstLineChars="0"/>
              <w:jc w:val="center"/>
              <w:rPr>
                <w:sz w:val="21"/>
                <w:szCs w:val="21"/>
                <w:lang w:eastAsia="en-US"/>
              </w:rPr>
            </w:pPr>
            <w:r>
              <w:rPr>
                <w:sz w:val="21"/>
                <w:szCs w:val="21"/>
                <w:lang w:eastAsia="en-US"/>
              </w:rPr>
              <w:t>年均销售收入</w:t>
            </w:r>
          </w:p>
        </w:tc>
        <w:tc>
          <w:tcPr>
            <w:tcW w:w="717" w:type="pct"/>
            <w:shd w:val="clear" w:color="auto" w:fill="auto"/>
            <w:vAlign w:val="center"/>
          </w:tcPr>
          <w:p w14:paraId="15B4291E">
            <w:pPr>
              <w:adjustRightInd w:val="0"/>
              <w:snapToGrid w:val="0"/>
              <w:spacing w:line="240" w:lineRule="auto"/>
              <w:ind w:firstLine="0" w:firstLineChars="0"/>
              <w:jc w:val="center"/>
              <w:rPr>
                <w:sz w:val="21"/>
                <w:szCs w:val="21"/>
                <w:lang w:eastAsia="en-US"/>
              </w:rPr>
            </w:pPr>
            <w:r>
              <w:rPr>
                <w:sz w:val="21"/>
                <w:szCs w:val="21"/>
                <w:lang w:eastAsia="en-US"/>
              </w:rPr>
              <w:t>万元</w:t>
            </w:r>
          </w:p>
        </w:tc>
        <w:tc>
          <w:tcPr>
            <w:tcW w:w="948" w:type="pct"/>
            <w:shd w:val="clear" w:color="auto" w:fill="auto"/>
            <w:vAlign w:val="center"/>
          </w:tcPr>
          <w:p w14:paraId="46112F7F">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71600</w:t>
            </w:r>
          </w:p>
        </w:tc>
        <w:tc>
          <w:tcPr>
            <w:tcW w:w="822" w:type="pct"/>
            <w:shd w:val="clear" w:color="auto" w:fill="auto"/>
            <w:vAlign w:val="center"/>
          </w:tcPr>
          <w:p w14:paraId="3D6DB48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r w14:paraId="17DF73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07" w:type="pct"/>
            <w:shd w:val="clear" w:color="auto" w:fill="auto"/>
            <w:vAlign w:val="center"/>
          </w:tcPr>
          <w:p w14:paraId="7F1D9930">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5</w:t>
            </w:r>
          </w:p>
        </w:tc>
        <w:tc>
          <w:tcPr>
            <w:tcW w:w="1806" w:type="pct"/>
            <w:shd w:val="clear" w:color="auto" w:fill="auto"/>
            <w:vAlign w:val="center"/>
          </w:tcPr>
          <w:p w14:paraId="28652E8F">
            <w:pPr>
              <w:adjustRightInd w:val="0"/>
              <w:snapToGrid w:val="0"/>
              <w:spacing w:line="240" w:lineRule="auto"/>
              <w:ind w:firstLine="0" w:firstLineChars="0"/>
              <w:jc w:val="center"/>
              <w:rPr>
                <w:sz w:val="21"/>
                <w:szCs w:val="21"/>
                <w:lang w:eastAsia="en-US"/>
              </w:rPr>
            </w:pPr>
            <w:r>
              <w:rPr>
                <w:sz w:val="21"/>
                <w:szCs w:val="21"/>
                <w:lang w:eastAsia="en-US"/>
              </w:rPr>
              <w:t>年利润总额</w:t>
            </w:r>
          </w:p>
        </w:tc>
        <w:tc>
          <w:tcPr>
            <w:tcW w:w="717" w:type="pct"/>
            <w:shd w:val="clear" w:color="auto" w:fill="auto"/>
            <w:vAlign w:val="center"/>
          </w:tcPr>
          <w:p w14:paraId="6741CA5B">
            <w:pPr>
              <w:adjustRightInd w:val="0"/>
              <w:snapToGrid w:val="0"/>
              <w:spacing w:line="240" w:lineRule="auto"/>
              <w:ind w:firstLine="0" w:firstLineChars="0"/>
              <w:jc w:val="center"/>
              <w:rPr>
                <w:sz w:val="21"/>
                <w:szCs w:val="21"/>
                <w:lang w:eastAsia="en-US"/>
              </w:rPr>
            </w:pPr>
            <w:r>
              <w:rPr>
                <w:sz w:val="21"/>
                <w:szCs w:val="21"/>
                <w:lang w:eastAsia="en-US"/>
              </w:rPr>
              <w:t>万元</w:t>
            </w:r>
          </w:p>
        </w:tc>
        <w:tc>
          <w:tcPr>
            <w:tcW w:w="948" w:type="pct"/>
            <w:shd w:val="clear" w:color="auto" w:fill="auto"/>
            <w:vAlign w:val="center"/>
          </w:tcPr>
          <w:p w14:paraId="135E682D">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4442.57</w:t>
            </w:r>
          </w:p>
        </w:tc>
        <w:tc>
          <w:tcPr>
            <w:tcW w:w="822" w:type="pct"/>
            <w:shd w:val="clear" w:color="auto" w:fill="auto"/>
            <w:vAlign w:val="center"/>
          </w:tcPr>
          <w:p w14:paraId="56E63618">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r>
    </w:tbl>
    <w:p w14:paraId="316D86A9">
      <w:pPr>
        <w:ind w:firstLine="480"/>
      </w:pPr>
      <w:r>
        <w:t>本项目为</w:t>
      </w:r>
      <w:r>
        <w:rPr>
          <w:rFonts w:hint="eastAsia"/>
        </w:rPr>
        <w:t>石油化工项目</w:t>
      </w:r>
      <w:r>
        <w:t>，总投资收益率39%；</w:t>
      </w:r>
      <w:r>
        <w:rPr>
          <w:rFonts w:hint="eastAsia"/>
        </w:rPr>
        <w:t>本</w:t>
      </w:r>
      <w:r>
        <w:t>项目投资所得税前财务内部收益率51%，</w:t>
      </w:r>
      <w:r>
        <w:rPr>
          <w:rFonts w:hint="eastAsia"/>
        </w:rPr>
        <w:t>总</w:t>
      </w:r>
      <w:r>
        <w:t>投资回收期为3年（含</w:t>
      </w:r>
      <w:r>
        <w:rPr>
          <w:rFonts w:hint="eastAsia"/>
        </w:rPr>
        <w:t>1年</w:t>
      </w:r>
      <w:r>
        <w:t>建设期），均优于同行业基准值</w:t>
      </w:r>
      <w:r>
        <w:rPr>
          <w:rFonts w:hint="eastAsia"/>
        </w:rPr>
        <w:t>，因此，本</w:t>
      </w:r>
      <w:r>
        <w:t>项目具有较好的经济效益</w:t>
      </w:r>
      <w:r>
        <w:rPr>
          <w:rFonts w:hint="eastAsia"/>
        </w:rPr>
        <w:t>。</w:t>
      </w:r>
    </w:p>
    <w:p w14:paraId="0EBE10B0">
      <w:pPr>
        <w:pStyle w:val="41"/>
      </w:pPr>
      <w:bookmarkStart w:id="716" w:name="_Toc152864279"/>
      <w:r>
        <w:rPr>
          <w:rFonts w:hint="eastAsia"/>
        </w:rPr>
        <w:t>环境经济损益分析</w:t>
      </w:r>
      <w:bookmarkEnd w:id="716"/>
    </w:p>
    <w:p w14:paraId="3ABAB516">
      <w:pPr>
        <w:pStyle w:val="43"/>
      </w:pPr>
      <w:bookmarkStart w:id="717" w:name="_Toc80193184"/>
      <w:bookmarkStart w:id="718" w:name="_Toc152864280"/>
      <w:bookmarkStart w:id="719" w:name="_Toc81214176"/>
      <w:bookmarkStart w:id="720" w:name="_Toc80973608"/>
      <w:bookmarkStart w:id="721" w:name="_Toc82518869"/>
      <w:bookmarkStart w:id="722" w:name="_Toc79515555"/>
      <w:bookmarkStart w:id="723" w:name="_Toc77007877"/>
      <w:r>
        <w:rPr>
          <w:rFonts w:hint="eastAsia"/>
        </w:rPr>
        <w:t>环境代价</w:t>
      </w:r>
      <w:bookmarkEnd w:id="717"/>
      <w:bookmarkEnd w:id="718"/>
      <w:bookmarkEnd w:id="719"/>
      <w:bookmarkEnd w:id="720"/>
      <w:bookmarkEnd w:id="721"/>
      <w:bookmarkEnd w:id="722"/>
      <w:bookmarkEnd w:id="723"/>
    </w:p>
    <w:p w14:paraId="1ED194D9">
      <w:pPr>
        <w:ind w:firstLine="480"/>
      </w:pPr>
      <w:r>
        <w:rPr>
          <w:rFonts w:hint="eastAsia"/>
        </w:rPr>
        <w:t>由于本项目的建设，不可避免地会对周围环境造成一定的影响。就本项目而言，主要的环境损失体现在以下几个方面：</w:t>
      </w:r>
    </w:p>
    <w:p w14:paraId="52711C36">
      <w:pPr>
        <w:ind w:firstLine="480"/>
      </w:pPr>
      <w:r>
        <w:rPr>
          <w:rFonts w:hint="eastAsia"/>
        </w:rPr>
        <w:t>（1）由于本项目的建设，需要消耗少量新鲜水。根据本项目的规划，新鲜水主要由园区给水管网提供，而当地生产用水水源主要为泉沟水库供水，用水量的增加，势必会造成区域地表水资源的再分配，并进一步可能影响到其他各业用水。所以需要对本项目取水量进行合理的调配，并尽可能减少水资源用量。</w:t>
      </w:r>
    </w:p>
    <w:p w14:paraId="0D246B09">
      <w:pPr>
        <w:ind w:firstLine="480"/>
      </w:pPr>
      <w:r>
        <w:rPr>
          <w:rFonts w:hint="eastAsia"/>
        </w:rPr>
        <w:t>（2）本项目施工过程中，建筑材料，以及地表土壤的扰动，都会造成区域环境空气中颗粒物的增加，对于区域大气环境会造成相应的影响，需要在施工过程中加强管理，合理规划动土区域，保护地表植被，以控制影响程度。</w:t>
      </w:r>
    </w:p>
    <w:p w14:paraId="2534DC3A">
      <w:pPr>
        <w:ind w:firstLine="480"/>
      </w:pPr>
      <w:r>
        <w:rPr>
          <w:rFonts w:hint="eastAsia"/>
        </w:rPr>
        <w:t>（3）本项目建成后，污染物的排放对周围环境的影响是不可避免的，会造成区域环境质量的变化。所以，需要在设计阶段就充分考虑对污染物产生量的控制，并加强各种环境保护措施的设置，使项目污染物的排放控制在较低水平，保护环境。</w:t>
      </w:r>
    </w:p>
    <w:p w14:paraId="7E012728">
      <w:pPr>
        <w:pStyle w:val="43"/>
      </w:pPr>
      <w:bookmarkStart w:id="724" w:name="_Toc77007878"/>
      <w:bookmarkStart w:id="725" w:name="_Toc81214177"/>
      <w:bookmarkStart w:id="726" w:name="_Toc152864281"/>
      <w:bookmarkStart w:id="727" w:name="_Toc82518870"/>
      <w:bookmarkStart w:id="728" w:name="_Toc80973609"/>
      <w:bookmarkStart w:id="729" w:name="_Toc80193185"/>
      <w:bookmarkStart w:id="730" w:name="_Toc79515556"/>
      <w:r>
        <w:rPr>
          <w:rFonts w:hint="eastAsia"/>
        </w:rPr>
        <w:t>环境成本分析</w:t>
      </w:r>
      <w:bookmarkEnd w:id="724"/>
      <w:bookmarkEnd w:id="725"/>
      <w:bookmarkEnd w:id="726"/>
      <w:bookmarkEnd w:id="727"/>
      <w:bookmarkEnd w:id="728"/>
      <w:bookmarkEnd w:id="729"/>
      <w:bookmarkEnd w:id="730"/>
    </w:p>
    <w:p w14:paraId="474EBDE7">
      <w:pPr>
        <w:ind w:firstLine="480"/>
      </w:pPr>
      <w:r>
        <w:rPr>
          <w:rFonts w:hint="eastAsia"/>
        </w:rPr>
        <w:t>环境成本是指本项目为防治生态破坏和环境污染，建设必要的生态保护工程和采取环境污染防治措施所折算的经济价值，初步估算本项目的环境代价如下：</w:t>
      </w:r>
    </w:p>
    <w:p w14:paraId="6503F6E6">
      <w:pPr>
        <w:ind w:firstLine="480"/>
      </w:pPr>
      <w:r>
        <w:rPr>
          <w:rFonts w:hint="eastAsia"/>
        </w:rPr>
        <w:t>（1）环保工程投资</w:t>
      </w:r>
    </w:p>
    <w:p w14:paraId="102ECCFB">
      <w:pPr>
        <w:ind w:firstLine="480"/>
      </w:pPr>
      <w:r>
        <w:rPr>
          <w:rFonts w:hint="eastAsia"/>
        </w:rPr>
        <w:t>本项目总投资</w:t>
      </w:r>
      <w:r>
        <w:t>15000</w:t>
      </w:r>
      <w:r>
        <w:rPr>
          <w:rFonts w:hint="eastAsia"/>
        </w:rPr>
        <w:t>万元，其中环保投资为</w:t>
      </w:r>
      <w:r>
        <w:t>1365.5</w:t>
      </w:r>
      <w:r>
        <w:rPr>
          <w:rFonts w:hint="eastAsia"/>
        </w:rPr>
        <w:t>万元，占工程总投资的</w:t>
      </w:r>
      <w:r>
        <w:t>9.1</w:t>
      </w:r>
      <w:r>
        <w:rPr>
          <w:rFonts w:hint="eastAsia"/>
        </w:rPr>
        <w:t>%，本项目各项环保投资估算见下表。</w:t>
      </w:r>
    </w:p>
    <w:p w14:paraId="681D6D57">
      <w:pPr>
        <w:pStyle w:val="47"/>
        <w:spacing w:before="65"/>
        <w:ind w:firstLine="480"/>
      </w:pPr>
      <w:r>
        <w:rPr>
          <w:rFonts w:hint="eastAsia"/>
        </w:rPr>
        <w:t>表7</w:t>
      </w:r>
      <w:r>
        <w:t xml:space="preserve">.2-1   </w:t>
      </w:r>
      <w:r>
        <w:rPr>
          <w:rFonts w:hint="eastAsia"/>
        </w:rPr>
        <w:t>本项目环保投资一览表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97"/>
        <w:gridCol w:w="440"/>
        <w:gridCol w:w="3792"/>
        <w:gridCol w:w="1701"/>
        <w:gridCol w:w="1500"/>
      </w:tblGrid>
      <w:tr w14:paraId="3799A3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shd w:val="clear" w:color="auto" w:fill="auto"/>
            <w:vAlign w:val="center"/>
          </w:tcPr>
          <w:p w14:paraId="2FEF503E">
            <w:pPr>
              <w:adjustRightInd w:val="0"/>
              <w:snapToGrid w:val="0"/>
              <w:spacing w:line="240" w:lineRule="auto"/>
              <w:ind w:firstLine="0" w:firstLineChars="0"/>
              <w:jc w:val="center"/>
              <w:rPr>
                <w:sz w:val="21"/>
                <w:szCs w:val="21"/>
                <w:lang w:eastAsia="en-US"/>
              </w:rPr>
            </w:pPr>
            <w:r>
              <w:rPr>
                <w:sz w:val="21"/>
                <w:szCs w:val="21"/>
                <w:lang w:eastAsia="en-US"/>
              </w:rPr>
              <w:t>分类</w:t>
            </w:r>
          </w:p>
        </w:tc>
        <w:tc>
          <w:tcPr>
            <w:tcW w:w="252" w:type="pct"/>
            <w:shd w:val="clear" w:color="auto" w:fill="auto"/>
            <w:vAlign w:val="center"/>
          </w:tcPr>
          <w:p w14:paraId="5FD4F018">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2172" w:type="pct"/>
            <w:shd w:val="clear" w:color="auto" w:fill="auto"/>
            <w:vAlign w:val="center"/>
          </w:tcPr>
          <w:p w14:paraId="653B2ECF">
            <w:pPr>
              <w:adjustRightInd w:val="0"/>
              <w:snapToGrid w:val="0"/>
              <w:spacing w:line="240" w:lineRule="auto"/>
              <w:ind w:firstLine="0" w:firstLineChars="0"/>
              <w:jc w:val="center"/>
              <w:rPr>
                <w:sz w:val="21"/>
                <w:szCs w:val="21"/>
                <w:lang w:eastAsia="en-US"/>
              </w:rPr>
            </w:pPr>
            <w:r>
              <w:rPr>
                <w:sz w:val="21"/>
                <w:szCs w:val="21"/>
                <w:lang w:eastAsia="en-US"/>
              </w:rPr>
              <w:t>工程名称</w:t>
            </w:r>
          </w:p>
        </w:tc>
        <w:tc>
          <w:tcPr>
            <w:tcW w:w="974" w:type="pct"/>
            <w:shd w:val="clear" w:color="auto" w:fill="auto"/>
            <w:vAlign w:val="center"/>
          </w:tcPr>
          <w:p w14:paraId="11840E34">
            <w:pPr>
              <w:adjustRightInd w:val="0"/>
              <w:snapToGrid w:val="0"/>
              <w:spacing w:line="240" w:lineRule="auto"/>
              <w:ind w:firstLine="0" w:firstLineChars="0"/>
              <w:jc w:val="center"/>
              <w:rPr>
                <w:sz w:val="21"/>
                <w:szCs w:val="21"/>
                <w:lang w:eastAsia="en-US"/>
              </w:rPr>
            </w:pPr>
            <w:r>
              <w:rPr>
                <w:sz w:val="21"/>
                <w:szCs w:val="21"/>
                <w:lang w:eastAsia="en-US"/>
              </w:rPr>
              <w:t>投资（万元）</w:t>
            </w:r>
          </w:p>
        </w:tc>
        <w:tc>
          <w:tcPr>
            <w:tcW w:w="859" w:type="pct"/>
            <w:shd w:val="clear" w:color="auto" w:fill="auto"/>
            <w:vAlign w:val="center"/>
          </w:tcPr>
          <w:p w14:paraId="3AFB1CC6">
            <w:pPr>
              <w:adjustRightInd w:val="0"/>
              <w:snapToGrid w:val="0"/>
              <w:spacing w:line="240" w:lineRule="auto"/>
              <w:ind w:firstLine="0" w:firstLineChars="0"/>
              <w:jc w:val="center"/>
              <w:rPr>
                <w:sz w:val="21"/>
                <w:szCs w:val="21"/>
                <w:lang w:eastAsia="en-US"/>
              </w:rPr>
            </w:pPr>
            <w:r>
              <w:rPr>
                <w:sz w:val="21"/>
                <w:szCs w:val="21"/>
                <w:lang w:eastAsia="en-US"/>
              </w:rPr>
              <w:t>实施时间</w:t>
            </w:r>
          </w:p>
        </w:tc>
      </w:tr>
      <w:tr w14:paraId="11B120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restart"/>
            <w:shd w:val="clear" w:color="auto" w:fill="auto"/>
            <w:vAlign w:val="center"/>
          </w:tcPr>
          <w:p w14:paraId="3B51FFAB">
            <w:pPr>
              <w:adjustRightInd w:val="0"/>
              <w:snapToGrid w:val="0"/>
              <w:spacing w:line="240" w:lineRule="auto"/>
              <w:ind w:firstLine="0" w:firstLineChars="0"/>
              <w:jc w:val="center"/>
              <w:rPr>
                <w:sz w:val="21"/>
                <w:szCs w:val="21"/>
                <w:lang w:eastAsia="en-US"/>
              </w:rPr>
            </w:pPr>
            <w:r>
              <w:rPr>
                <w:sz w:val="21"/>
                <w:szCs w:val="21"/>
                <w:lang w:eastAsia="en-US"/>
              </w:rPr>
              <w:t>废气治理</w:t>
            </w:r>
          </w:p>
        </w:tc>
        <w:tc>
          <w:tcPr>
            <w:tcW w:w="252" w:type="pct"/>
            <w:shd w:val="clear" w:color="auto" w:fill="auto"/>
            <w:vAlign w:val="center"/>
          </w:tcPr>
          <w:p w14:paraId="346753F8">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27F81AF7">
            <w:pPr>
              <w:adjustRightInd w:val="0"/>
              <w:snapToGrid w:val="0"/>
              <w:spacing w:line="240" w:lineRule="auto"/>
              <w:ind w:firstLine="0" w:firstLineChars="0"/>
              <w:jc w:val="center"/>
              <w:rPr>
                <w:sz w:val="21"/>
                <w:szCs w:val="21"/>
              </w:rPr>
            </w:pPr>
            <w:r>
              <w:rPr>
                <w:rFonts w:hint="eastAsia"/>
                <w:sz w:val="21"/>
                <w:szCs w:val="21"/>
              </w:rPr>
              <w:t>泄漏检测与修复（LDAR）</w:t>
            </w:r>
          </w:p>
        </w:tc>
        <w:tc>
          <w:tcPr>
            <w:tcW w:w="974" w:type="pct"/>
            <w:shd w:val="clear" w:color="auto" w:fill="auto"/>
            <w:vAlign w:val="center"/>
          </w:tcPr>
          <w:p w14:paraId="05306118">
            <w:pPr>
              <w:adjustRightInd w:val="0"/>
              <w:snapToGrid w:val="0"/>
              <w:spacing w:line="240" w:lineRule="auto"/>
              <w:ind w:firstLine="0" w:firstLineChars="0"/>
              <w:jc w:val="center"/>
              <w:rPr>
                <w:sz w:val="21"/>
                <w:szCs w:val="21"/>
              </w:rPr>
            </w:pPr>
            <w:r>
              <w:rPr>
                <w:sz w:val="21"/>
                <w:szCs w:val="21"/>
              </w:rPr>
              <w:t>246</w:t>
            </w:r>
          </w:p>
        </w:tc>
        <w:tc>
          <w:tcPr>
            <w:tcW w:w="859" w:type="pct"/>
            <w:vMerge w:val="restart"/>
            <w:shd w:val="clear" w:color="auto" w:fill="auto"/>
            <w:vAlign w:val="center"/>
          </w:tcPr>
          <w:p w14:paraId="65763DE5">
            <w:pPr>
              <w:adjustRightInd w:val="0"/>
              <w:snapToGrid w:val="0"/>
              <w:spacing w:line="240" w:lineRule="auto"/>
              <w:ind w:firstLine="0" w:firstLineChars="0"/>
              <w:jc w:val="center"/>
              <w:rPr>
                <w:sz w:val="21"/>
                <w:szCs w:val="21"/>
              </w:rPr>
            </w:pPr>
            <w:r>
              <w:rPr>
                <w:sz w:val="21"/>
                <w:szCs w:val="21"/>
              </w:rPr>
              <w:t>与本项目同时设计、同时施工、同时投入运行</w:t>
            </w:r>
          </w:p>
        </w:tc>
      </w:tr>
      <w:tr w14:paraId="6C392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7F43626B">
            <w:pPr>
              <w:adjustRightInd w:val="0"/>
              <w:snapToGrid w:val="0"/>
              <w:spacing w:line="240" w:lineRule="auto"/>
              <w:ind w:firstLine="0" w:firstLineChars="0"/>
              <w:jc w:val="center"/>
              <w:rPr>
                <w:sz w:val="21"/>
                <w:szCs w:val="21"/>
              </w:rPr>
            </w:pPr>
          </w:p>
        </w:tc>
        <w:tc>
          <w:tcPr>
            <w:tcW w:w="252" w:type="pct"/>
            <w:shd w:val="clear" w:color="auto" w:fill="auto"/>
            <w:vAlign w:val="center"/>
          </w:tcPr>
          <w:p w14:paraId="35309967">
            <w:pPr>
              <w:numPr>
                <w:ilvl w:val="0"/>
                <w:numId w:val="30"/>
              </w:numPr>
              <w:adjustRightInd w:val="0"/>
              <w:snapToGrid w:val="0"/>
              <w:spacing w:line="240" w:lineRule="auto"/>
              <w:ind w:firstLineChars="0"/>
              <w:jc w:val="center"/>
              <w:rPr>
                <w:rFonts w:hAnsi="Calibri"/>
                <w:sz w:val="21"/>
                <w:szCs w:val="21"/>
              </w:rPr>
            </w:pPr>
          </w:p>
        </w:tc>
        <w:tc>
          <w:tcPr>
            <w:tcW w:w="2172" w:type="pct"/>
            <w:shd w:val="clear" w:color="auto" w:fill="auto"/>
            <w:vAlign w:val="center"/>
          </w:tcPr>
          <w:p w14:paraId="0EABCCED">
            <w:pPr>
              <w:adjustRightInd w:val="0"/>
              <w:snapToGrid w:val="0"/>
              <w:spacing w:line="240" w:lineRule="auto"/>
              <w:ind w:firstLine="0" w:firstLineChars="0"/>
              <w:jc w:val="center"/>
              <w:rPr>
                <w:sz w:val="21"/>
                <w:szCs w:val="21"/>
              </w:rPr>
            </w:pPr>
            <w:r>
              <w:rPr>
                <w:rFonts w:hint="eastAsia"/>
                <w:sz w:val="21"/>
                <w:szCs w:val="21"/>
              </w:rPr>
              <w:t>油气平衡+油气回收+</w:t>
            </w:r>
            <w:r>
              <w:rPr>
                <w:sz w:val="21"/>
                <w:szCs w:val="21"/>
              </w:rPr>
              <w:t>15</w:t>
            </w:r>
            <w:r>
              <w:rPr>
                <w:rFonts w:hint="eastAsia"/>
                <w:sz w:val="21"/>
                <w:szCs w:val="21"/>
              </w:rPr>
              <w:t>m排气筒（DA</w:t>
            </w:r>
            <w:r>
              <w:rPr>
                <w:sz w:val="21"/>
                <w:szCs w:val="21"/>
              </w:rPr>
              <w:t>001</w:t>
            </w:r>
            <w:r>
              <w:rPr>
                <w:rFonts w:hint="eastAsia"/>
                <w:sz w:val="21"/>
                <w:szCs w:val="21"/>
              </w:rPr>
              <w:t>）</w:t>
            </w:r>
          </w:p>
        </w:tc>
        <w:tc>
          <w:tcPr>
            <w:tcW w:w="974" w:type="pct"/>
            <w:shd w:val="clear" w:color="auto" w:fill="auto"/>
            <w:vAlign w:val="center"/>
          </w:tcPr>
          <w:p w14:paraId="6F766415">
            <w:pPr>
              <w:adjustRightInd w:val="0"/>
              <w:snapToGrid w:val="0"/>
              <w:spacing w:line="240" w:lineRule="auto"/>
              <w:ind w:firstLine="0" w:firstLineChars="0"/>
              <w:jc w:val="center"/>
              <w:rPr>
                <w:sz w:val="21"/>
                <w:szCs w:val="21"/>
              </w:rPr>
            </w:pPr>
            <w:r>
              <w:rPr>
                <w:sz w:val="21"/>
                <w:szCs w:val="21"/>
              </w:rPr>
              <w:t>1</w:t>
            </w:r>
            <w:r>
              <w:rPr>
                <w:rFonts w:hint="eastAsia"/>
                <w:sz w:val="21"/>
                <w:szCs w:val="21"/>
              </w:rPr>
              <w:t>78</w:t>
            </w:r>
          </w:p>
        </w:tc>
        <w:tc>
          <w:tcPr>
            <w:tcW w:w="859" w:type="pct"/>
            <w:vMerge w:val="continue"/>
            <w:shd w:val="clear" w:color="auto" w:fill="auto"/>
            <w:vAlign w:val="center"/>
          </w:tcPr>
          <w:p w14:paraId="2FE55AAB">
            <w:pPr>
              <w:adjustRightInd w:val="0"/>
              <w:snapToGrid w:val="0"/>
              <w:spacing w:line="240" w:lineRule="auto"/>
              <w:ind w:firstLine="0" w:firstLineChars="0"/>
              <w:jc w:val="center"/>
              <w:rPr>
                <w:sz w:val="21"/>
                <w:szCs w:val="21"/>
              </w:rPr>
            </w:pPr>
          </w:p>
        </w:tc>
      </w:tr>
      <w:tr w14:paraId="1072E4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70BCCE78">
            <w:pPr>
              <w:adjustRightInd w:val="0"/>
              <w:snapToGrid w:val="0"/>
              <w:spacing w:line="240" w:lineRule="auto"/>
              <w:ind w:firstLine="0" w:firstLineChars="0"/>
              <w:jc w:val="center"/>
              <w:rPr>
                <w:sz w:val="21"/>
                <w:szCs w:val="21"/>
                <w:lang w:eastAsia="en-US"/>
              </w:rPr>
            </w:pPr>
          </w:p>
        </w:tc>
        <w:tc>
          <w:tcPr>
            <w:tcW w:w="252" w:type="pct"/>
            <w:shd w:val="clear" w:color="auto" w:fill="auto"/>
            <w:vAlign w:val="center"/>
          </w:tcPr>
          <w:p w14:paraId="358CC6C0">
            <w:pPr>
              <w:numPr>
                <w:ilvl w:val="0"/>
                <w:numId w:val="30"/>
              </w:numPr>
              <w:adjustRightInd w:val="0"/>
              <w:snapToGrid w:val="0"/>
              <w:spacing w:line="240" w:lineRule="auto"/>
              <w:ind w:firstLineChars="0"/>
              <w:jc w:val="center"/>
              <w:rPr>
                <w:rFonts w:hAnsi="Calibri"/>
                <w:sz w:val="21"/>
                <w:szCs w:val="21"/>
              </w:rPr>
            </w:pPr>
          </w:p>
        </w:tc>
        <w:tc>
          <w:tcPr>
            <w:tcW w:w="2172" w:type="pct"/>
            <w:shd w:val="clear" w:color="auto" w:fill="auto"/>
            <w:vAlign w:val="center"/>
          </w:tcPr>
          <w:p w14:paraId="55635DA6">
            <w:pPr>
              <w:adjustRightInd w:val="0"/>
              <w:snapToGrid w:val="0"/>
              <w:spacing w:line="240" w:lineRule="auto"/>
              <w:ind w:firstLine="0" w:firstLineChars="0"/>
              <w:jc w:val="center"/>
              <w:rPr>
                <w:sz w:val="21"/>
                <w:szCs w:val="21"/>
              </w:rPr>
            </w:pPr>
            <w:r>
              <w:rPr>
                <w:rFonts w:hint="eastAsia"/>
                <w:sz w:val="21"/>
                <w:szCs w:val="21"/>
              </w:rPr>
              <w:t>浸没式装卸+油气回收</w:t>
            </w:r>
          </w:p>
        </w:tc>
        <w:tc>
          <w:tcPr>
            <w:tcW w:w="974" w:type="pct"/>
            <w:shd w:val="clear" w:color="auto" w:fill="auto"/>
            <w:vAlign w:val="center"/>
          </w:tcPr>
          <w:p w14:paraId="12B8BD19">
            <w:pPr>
              <w:adjustRightInd w:val="0"/>
              <w:snapToGrid w:val="0"/>
              <w:spacing w:line="240" w:lineRule="auto"/>
              <w:ind w:firstLine="0" w:firstLineChars="0"/>
              <w:jc w:val="center"/>
              <w:rPr>
                <w:sz w:val="21"/>
                <w:szCs w:val="21"/>
              </w:rPr>
            </w:pPr>
            <w:r>
              <w:rPr>
                <w:rFonts w:hint="eastAsia"/>
                <w:sz w:val="21"/>
                <w:szCs w:val="21"/>
              </w:rPr>
              <w:t>3</w:t>
            </w:r>
            <w:r>
              <w:rPr>
                <w:sz w:val="21"/>
                <w:szCs w:val="21"/>
              </w:rPr>
              <w:t>0</w:t>
            </w:r>
          </w:p>
        </w:tc>
        <w:tc>
          <w:tcPr>
            <w:tcW w:w="859" w:type="pct"/>
            <w:vMerge w:val="continue"/>
            <w:shd w:val="clear" w:color="auto" w:fill="auto"/>
            <w:vAlign w:val="center"/>
          </w:tcPr>
          <w:p w14:paraId="617DBA8B">
            <w:pPr>
              <w:adjustRightInd w:val="0"/>
              <w:snapToGrid w:val="0"/>
              <w:spacing w:line="240" w:lineRule="auto"/>
              <w:ind w:firstLine="0" w:firstLineChars="0"/>
              <w:jc w:val="center"/>
              <w:rPr>
                <w:sz w:val="21"/>
                <w:szCs w:val="21"/>
              </w:rPr>
            </w:pPr>
          </w:p>
        </w:tc>
      </w:tr>
      <w:tr w14:paraId="34392C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shd w:val="clear" w:color="auto" w:fill="auto"/>
            <w:vAlign w:val="center"/>
          </w:tcPr>
          <w:p w14:paraId="509766BE">
            <w:pPr>
              <w:adjustRightInd w:val="0"/>
              <w:snapToGrid w:val="0"/>
              <w:spacing w:line="240" w:lineRule="auto"/>
              <w:ind w:firstLine="0" w:firstLineChars="0"/>
              <w:jc w:val="center"/>
              <w:rPr>
                <w:sz w:val="21"/>
                <w:szCs w:val="21"/>
                <w:lang w:eastAsia="en-US"/>
              </w:rPr>
            </w:pPr>
            <w:r>
              <w:rPr>
                <w:sz w:val="21"/>
                <w:szCs w:val="21"/>
                <w:lang w:eastAsia="en-US"/>
              </w:rPr>
              <w:t>废水治理</w:t>
            </w:r>
          </w:p>
        </w:tc>
        <w:tc>
          <w:tcPr>
            <w:tcW w:w="252" w:type="pct"/>
            <w:shd w:val="clear" w:color="auto" w:fill="auto"/>
            <w:vAlign w:val="center"/>
          </w:tcPr>
          <w:p w14:paraId="0C1514BB">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17E249D2">
            <w:pPr>
              <w:adjustRightInd w:val="0"/>
              <w:snapToGrid w:val="0"/>
              <w:spacing w:line="240" w:lineRule="auto"/>
              <w:ind w:firstLine="0" w:firstLineChars="0"/>
              <w:jc w:val="center"/>
              <w:rPr>
                <w:sz w:val="21"/>
                <w:szCs w:val="21"/>
              </w:rPr>
            </w:pPr>
            <w:r>
              <w:rPr>
                <w:rFonts w:hint="eastAsia"/>
                <w:sz w:val="21"/>
                <w:szCs w:val="21"/>
              </w:rPr>
              <w:t>管道收集+污水处理站+依托园区污水厂处理</w:t>
            </w:r>
          </w:p>
        </w:tc>
        <w:tc>
          <w:tcPr>
            <w:tcW w:w="974" w:type="pct"/>
            <w:shd w:val="clear" w:color="auto" w:fill="auto"/>
            <w:vAlign w:val="center"/>
          </w:tcPr>
          <w:p w14:paraId="79834AEE">
            <w:pPr>
              <w:adjustRightInd w:val="0"/>
              <w:snapToGrid w:val="0"/>
              <w:spacing w:line="240" w:lineRule="auto"/>
              <w:ind w:firstLine="0" w:firstLineChars="0"/>
              <w:jc w:val="center"/>
              <w:rPr>
                <w:sz w:val="21"/>
                <w:szCs w:val="21"/>
              </w:rPr>
            </w:pPr>
            <w:r>
              <w:rPr>
                <w:sz w:val="21"/>
                <w:szCs w:val="21"/>
              </w:rPr>
              <w:t>31</w:t>
            </w:r>
            <w:r>
              <w:rPr>
                <w:rFonts w:hint="eastAsia"/>
                <w:sz w:val="21"/>
                <w:szCs w:val="21"/>
              </w:rPr>
              <w:t>0</w:t>
            </w:r>
          </w:p>
        </w:tc>
        <w:tc>
          <w:tcPr>
            <w:tcW w:w="859" w:type="pct"/>
            <w:vMerge w:val="continue"/>
            <w:shd w:val="clear" w:color="auto" w:fill="auto"/>
            <w:vAlign w:val="center"/>
          </w:tcPr>
          <w:p w14:paraId="57E0F78A">
            <w:pPr>
              <w:adjustRightInd w:val="0"/>
              <w:snapToGrid w:val="0"/>
              <w:spacing w:line="240" w:lineRule="auto"/>
              <w:ind w:firstLine="0" w:firstLineChars="0"/>
              <w:jc w:val="center"/>
              <w:rPr>
                <w:rFonts w:ascii="Calibri" w:hAnsi="Calibri"/>
                <w:sz w:val="21"/>
                <w:szCs w:val="21"/>
              </w:rPr>
            </w:pPr>
          </w:p>
        </w:tc>
      </w:tr>
      <w:tr w14:paraId="55D6F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shd w:val="clear" w:color="auto" w:fill="auto"/>
            <w:vAlign w:val="center"/>
          </w:tcPr>
          <w:p w14:paraId="1E38C7C9">
            <w:pPr>
              <w:adjustRightInd w:val="0"/>
              <w:snapToGrid w:val="0"/>
              <w:spacing w:line="240" w:lineRule="auto"/>
              <w:ind w:firstLine="0" w:firstLineChars="0"/>
              <w:jc w:val="center"/>
              <w:rPr>
                <w:sz w:val="21"/>
                <w:szCs w:val="21"/>
                <w:lang w:eastAsia="en-US"/>
              </w:rPr>
            </w:pPr>
            <w:r>
              <w:rPr>
                <w:sz w:val="21"/>
                <w:szCs w:val="21"/>
                <w:lang w:eastAsia="en-US"/>
              </w:rPr>
              <w:t>固体废物治理</w:t>
            </w:r>
          </w:p>
        </w:tc>
        <w:tc>
          <w:tcPr>
            <w:tcW w:w="252" w:type="pct"/>
            <w:shd w:val="clear" w:color="auto" w:fill="auto"/>
            <w:vAlign w:val="center"/>
          </w:tcPr>
          <w:p w14:paraId="481A07EA">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240C9870">
            <w:pPr>
              <w:adjustRightInd w:val="0"/>
              <w:snapToGrid w:val="0"/>
              <w:spacing w:line="240" w:lineRule="auto"/>
              <w:ind w:firstLine="0" w:firstLineChars="0"/>
              <w:jc w:val="center"/>
              <w:rPr>
                <w:sz w:val="21"/>
                <w:szCs w:val="21"/>
              </w:rPr>
            </w:pPr>
            <w:r>
              <w:rPr>
                <w:rFonts w:hint="eastAsia"/>
                <w:sz w:val="21"/>
                <w:szCs w:val="21"/>
              </w:rPr>
              <w:t>危险废物库房+委托处置</w:t>
            </w:r>
          </w:p>
        </w:tc>
        <w:tc>
          <w:tcPr>
            <w:tcW w:w="974" w:type="pct"/>
            <w:shd w:val="clear" w:color="auto" w:fill="auto"/>
            <w:vAlign w:val="center"/>
          </w:tcPr>
          <w:p w14:paraId="71D7DE80">
            <w:pPr>
              <w:adjustRightInd w:val="0"/>
              <w:snapToGrid w:val="0"/>
              <w:spacing w:line="240" w:lineRule="auto"/>
              <w:ind w:firstLine="0" w:firstLineChars="0"/>
              <w:jc w:val="center"/>
              <w:rPr>
                <w:sz w:val="21"/>
                <w:szCs w:val="21"/>
              </w:rPr>
            </w:pPr>
            <w:r>
              <w:rPr>
                <w:sz w:val="21"/>
                <w:szCs w:val="21"/>
              </w:rPr>
              <w:t>170</w:t>
            </w:r>
          </w:p>
        </w:tc>
        <w:tc>
          <w:tcPr>
            <w:tcW w:w="859" w:type="pct"/>
            <w:vMerge w:val="continue"/>
            <w:shd w:val="clear" w:color="auto" w:fill="auto"/>
            <w:vAlign w:val="center"/>
          </w:tcPr>
          <w:p w14:paraId="60C780A0">
            <w:pPr>
              <w:adjustRightInd w:val="0"/>
              <w:snapToGrid w:val="0"/>
              <w:spacing w:line="240" w:lineRule="auto"/>
              <w:ind w:firstLine="0" w:firstLineChars="0"/>
              <w:jc w:val="center"/>
              <w:rPr>
                <w:rFonts w:ascii="Calibri" w:hAnsi="Calibri"/>
                <w:sz w:val="21"/>
                <w:szCs w:val="21"/>
              </w:rPr>
            </w:pPr>
          </w:p>
        </w:tc>
      </w:tr>
      <w:tr w14:paraId="4F3414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restart"/>
            <w:shd w:val="clear" w:color="auto" w:fill="auto"/>
            <w:vAlign w:val="center"/>
          </w:tcPr>
          <w:p w14:paraId="0299C023">
            <w:pPr>
              <w:adjustRightInd w:val="0"/>
              <w:snapToGrid w:val="0"/>
              <w:spacing w:line="240" w:lineRule="auto"/>
              <w:ind w:firstLine="0" w:firstLineChars="0"/>
              <w:jc w:val="center"/>
              <w:rPr>
                <w:sz w:val="21"/>
                <w:szCs w:val="21"/>
                <w:lang w:eastAsia="en-US"/>
              </w:rPr>
            </w:pPr>
            <w:r>
              <w:rPr>
                <w:sz w:val="21"/>
                <w:szCs w:val="21"/>
                <w:lang w:eastAsia="en-US"/>
              </w:rPr>
              <w:t>环境风险防范</w:t>
            </w:r>
          </w:p>
        </w:tc>
        <w:tc>
          <w:tcPr>
            <w:tcW w:w="252" w:type="pct"/>
            <w:shd w:val="clear" w:color="auto" w:fill="auto"/>
            <w:vAlign w:val="center"/>
          </w:tcPr>
          <w:p w14:paraId="57B333B5">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64F3705E">
            <w:pPr>
              <w:adjustRightInd w:val="0"/>
              <w:snapToGrid w:val="0"/>
              <w:spacing w:line="240" w:lineRule="auto"/>
              <w:ind w:firstLine="0" w:firstLineChars="0"/>
              <w:jc w:val="center"/>
              <w:rPr>
                <w:sz w:val="21"/>
                <w:szCs w:val="21"/>
                <w:lang w:eastAsia="en-US"/>
              </w:rPr>
            </w:pPr>
            <w:r>
              <w:rPr>
                <w:sz w:val="21"/>
                <w:szCs w:val="21"/>
                <w:lang w:eastAsia="en-US"/>
              </w:rPr>
              <w:t>装置围堰和切换系统</w:t>
            </w:r>
          </w:p>
        </w:tc>
        <w:tc>
          <w:tcPr>
            <w:tcW w:w="974" w:type="pct"/>
            <w:shd w:val="clear" w:color="auto" w:fill="auto"/>
            <w:vAlign w:val="center"/>
          </w:tcPr>
          <w:p w14:paraId="379E3BA0">
            <w:pPr>
              <w:adjustRightInd w:val="0"/>
              <w:snapToGrid w:val="0"/>
              <w:spacing w:line="240" w:lineRule="auto"/>
              <w:ind w:firstLine="0" w:firstLineChars="0"/>
              <w:jc w:val="center"/>
              <w:rPr>
                <w:sz w:val="21"/>
                <w:szCs w:val="21"/>
              </w:rPr>
            </w:pPr>
            <w:r>
              <w:rPr>
                <w:sz w:val="21"/>
                <w:szCs w:val="21"/>
              </w:rPr>
              <w:t>2</w:t>
            </w:r>
            <w:r>
              <w:rPr>
                <w:rFonts w:hint="eastAsia"/>
                <w:sz w:val="21"/>
                <w:szCs w:val="21"/>
              </w:rPr>
              <w:t>4</w:t>
            </w:r>
          </w:p>
        </w:tc>
        <w:tc>
          <w:tcPr>
            <w:tcW w:w="859" w:type="pct"/>
            <w:vMerge w:val="continue"/>
            <w:shd w:val="clear" w:color="auto" w:fill="auto"/>
            <w:vAlign w:val="center"/>
          </w:tcPr>
          <w:p w14:paraId="5BEFBC98">
            <w:pPr>
              <w:adjustRightInd w:val="0"/>
              <w:snapToGrid w:val="0"/>
              <w:spacing w:line="240" w:lineRule="auto"/>
              <w:ind w:firstLine="0" w:firstLineChars="0"/>
              <w:jc w:val="center"/>
              <w:rPr>
                <w:rFonts w:ascii="Calibri" w:hAnsi="Calibri"/>
                <w:sz w:val="21"/>
                <w:szCs w:val="21"/>
                <w:lang w:eastAsia="en-US"/>
              </w:rPr>
            </w:pPr>
          </w:p>
        </w:tc>
      </w:tr>
      <w:tr w14:paraId="2F65A4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13CBF7F2">
            <w:pPr>
              <w:adjustRightInd w:val="0"/>
              <w:snapToGrid w:val="0"/>
              <w:spacing w:line="240" w:lineRule="auto"/>
              <w:ind w:firstLine="0" w:firstLineChars="0"/>
              <w:jc w:val="center"/>
              <w:rPr>
                <w:rFonts w:ascii="Calibri" w:hAnsi="Calibri"/>
                <w:sz w:val="21"/>
                <w:szCs w:val="21"/>
                <w:lang w:eastAsia="en-US"/>
              </w:rPr>
            </w:pPr>
          </w:p>
        </w:tc>
        <w:tc>
          <w:tcPr>
            <w:tcW w:w="252" w:type="pct"/>
            <w:shd w:val="clear" w:color="auto" w:fill="auto"/>
            <w:vAlign w:val="center"/>
          </w:tcPr>
          <w:p w14:paraId="74523639">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00A84BAA">
            <w:pPr>
              <w:adjustRightInd w:val="0"/>
              <w:snapToGrid w:val="0"/>
              <w:spacing w:line="240" w:lineRule="auto"/>
              <w:ind w:firstLine="0" w:firstLineChars="0"/>
              <w:jc w:val="center"/>
              <w:rPr>
                <w:sz w:val="21"/>
                <w:szCs w:val="21"/>
              </w:rPr>
            </w:pPr>
            <w:r>
              <w:rPr>
                <w:rFonts w:hint="eastAsia"/>
                <w:sz w:val="21"/>
                <w:szCs w:val="21"/>
              </w:rPr>
              <w:t>事故应急水池建设1座</w:t>
            </w:r>
          </w:p>
        </w:tc>
        <w:tc>
          <w:tcPr>
            <w:tcW w:w="974" w:type="pct"/>
            <w:shd w:val="clear" w:color="auto" w:fill="auto"/>
            <w:vAlign w:val="center"/>
          </w:tcPr>
          <w:p w14:paraId="7DCCB96A">
            <w:pPr>
              <w:adjustRightInd w:val="0"/>
              <w:snapToGrid w:val="0"/>
              <w:spacing w:line="240" w:lineRule="auto"/>
              <w:ind w:firstLine="0" w:firstLineChars="0"/>
              <w:jc w:val="center"/>
              <w:rPr>
                <w:sz w:val="21"/>
                <w:szCs w:val="21"/>
              </w:rPr>
            </w:pPr>
            <w:r>
              <w:rPr>
                <w:rFonts w:hint="eastAsia"/>
                <w:sz w:val="21"/>
                <w:szCs w:val="21"/>
              </w:rPr>
              <w:t>15</w:t>
            </w:r>
            <w:r>
              <w:rPr>
                <w:sz w:val="21"/>
                <w:szCs w:val="21"/>
              </w:rPr>
              <w:t>0</w:t>
            </w:r>
          </w:p>
        </w:tc>
        <w:tc>
          <w:tcPr>
            <w:tcW w:w="859" w:type="pct"/>
            <w:vMerge w:val="continue"/>
            <w:shd w:val="clear" w:color="auto" w:fill="auto"/>
            <w:vAlign w:val="center"/>
          </w:tcPr>
          <w:p w14:paraId="0F4A3E98">
            <w:pPr>
              <w:adjustRightInd w:val="0"/>
              <w:snapToGrid w:val="0"/>
              <w:spacing w:line="240" w:lineRule="auto"/>
              <w:ind w:firstLine="0" w:firstLineChars="0"/>
              <w:jc w:val="center"/>
              <w:rPr>
                <w:rFonts w:ascii="Calibri" w:hAnsi="Calibri"/>
                <w:sz w:val="21"/>
                <w:szCs w:val="21"/>
                <w:lang w:eastAsia="en-US"/>
              </w:rPr>
            </w:pPr>
          </w:p>
        </w:tc>
      </w:tr>
      <w:tr w14:paraId="21A28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525ACCD0">
            <w:pPr>
              <w:adjustRightInd w:val="0"/>
              <w:snapToGrid w:val="0"/>
              <w:spacing w:line="240" w:lineRule="auto"/>
              <w:ind w:firstLine="0" w:firstLineChars="0"/>
              <w:jc w:val="center"/>
              <w:rPr>
                <w:rFonts w:ascii="Calibri" w:hAnsi="Calibri"/>
                <w:sz w:val="21"/>
                <w:szCs w:val="21"/>
                <w:lang w:eastAsia="en-US"/>
              </w:rPr>
            </w:pPr>
          </w:p>
        </w:tc>
        <w:tc>
          <w:tcPr>
            <w:tcW w:w="252" w:type="pct"/>
            <w:shd w:val="clear" w:color="auto" w:fill="auto"/>
            <w:vAlign w:val="center"/>
          </w:tcPr>
          <w:p w14:paraId="6BFDE734">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45818B10">
            <w:pPr>
              <w:adjustRightInd w:val="0"/>
              <w:snapToGrid w:val="0"/>
              <w:spacing w:line="240" w:lineRule="auto"/>
              <w:ind w:firstLine="0" w:firstLineChars="0"/>
              <w:jc w:val="center"/>
              <w:rPr>
                <w:sz w:val="21"/>
                <w:szCs w:val="21"/>
              </w:rPr>
            </w:pPr>
            <w:r>
              <w:rPr>
                <w:sz w:val="21"/>
                <w:szCs w:val="21"/>
              </w:rPr>
              <w:t>本项目地下水污染预防措施（防渗）</w:t>
            </w:r>
          </w:p>
        </w:tc>
        <w:tc>
          <w:tcPr>
            <w:tcW w:w="974" w:type="pct"/>
            <w:shd w:val="clear" w:color="auto" w:fill="auto"/>
            <w:vAlign w:val="center"/>
          </w:tcPr>
          <w:p w14:paraId="4C7C8184">
            <w:pPr>
              <w:adjustRightInd w:val="0"/>
              <w:snapToGrid w:val="0"/>
              <w:spacing w:line="240" w:lineRule="auto"/>
              <w:ind w:firstLine="0" w:firstLineChars="0"/>
              <w:jc w:val="center"/>
              <w:rPr>
                <w:sz w:val="21"/>
                <w:szCs w:val="21"/>
              </w:rPr>
            </w:pPr>
            <w:r>
              <w:rPr>
                <w:sz w:val="21"/>
                <w:szCs w:val="21"/>
              </w:rPr>
              <w:t>2</w:t>
            </w:r>
            <w:r>
              <w:rPr>
                <w:rFonts w:hint="eastAsia"/>
                <w:sz w:val="21"/>
                <w:szCs w:val="21"/>
              </w:rPr>
              <w:t>0</w:t>
            </w:r>
            <w:r>
              <w:rPr>
                <w:sz w:val="21"/>
                <w:szCs w:val="21"/>
              </w:rPr>
              <w:t>0</w:t>
            </w:r>
          </w:p>
        </w:tc>
        <w:tc>
          <w:tcPr>
            <w:tcW w:w="859" w:type="pct"/>
            <w:vMerge w:val="continue"/>
            <w:shd w:val="clear" w:color="auto" w:fill="auto"/>
            <w:vAlign w:val="center"/>
          </w:tcPr>
          <w:p w14:paraId="05D98CD3">
            <w:pPr>
              <w:adjustRightInd w:val="0"/>
              <w:snapToGrid w:val="0"/>
              <w:spacing w:line="240" w:lineRule="auto"/>
              <w:ind w:firstLine="0" w:firstLineChars="0"/>
              <w:jc w:val="center"/>
              <w:rPr>
                <w:rFonts w:ascii="Calibri" w:hAnsi="Calibri"/>
                <w:sz w:val="21"/>
                <w:szCs w:val="21"/>
              </w:rPr>
            </w:pPr>
          </w:p>
        </w:tc>
      </w:tr>
      <w:tr w14:paraId="649B1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36E1D207">
            <w:pPr>
              <w:adjustRightInd w:val="0"/>
              <w:snapToGrid w:val="0"/>
              <w:spacing w:line="240" w:lineRule="auto"/>
              <w:ind w:firstLine="0" w:firstLineChars="0"/>
              <w:jc w:val="center"/>
              <w:rPr>
                <w:rFonts w:ascii="Calibri" w:hAnsi="Calibri"/>
                <w:sz w:val="21"/>
                <w:szCs w:val="21"/>
              </w:rPr>
            </w:pPr>
          </w:p>
        </w:tc>
        <w:tc>
          <w:tcPr>
            <w:tcW w:w="252" w:type="pct"/>
            <w:shd w:val="clear" w:color="auto" w:fill="auto"/>
            <w:vAlign w:val="center"/>
          </w:tcPr>
          <w:p w14:paraId="636D6EC4">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3FCB3E8C">
            <w:pPr>
              <w:adjustRightInd w:val="0"/>
              <w:snapToGrid w:val="0"/>
              <w:spacing w:line="240" w:lineRule="auto"/>
              <w:ind w:firstLine="0" w:firstLineChars="0"/>
              <w:jc w:val="center"/>
              <w:rPr>
                <w:sz w:val="21"/>
                <w:szCs w:val="21"/>
                <w:lang w:eastAsia="en-US"/>
              </w:rPr>
            </w:pPr>
            <w:r>
              <w:rPr>
                <w:sz w:val="21"/>
                <w:szCs w:val="21"/>
                <w:lang w:eastAsia="en-US"/>
              </w:rPr>
              <w:t>装置监测、报警系统</w:t>
            </w:r>
          </w:p>
        </w:tc>
        <w:tc>
          <w:tcPr>
            <w:tcW w:w="974" w:type="pct"/>
            <w:shd w:val="clear" w:color="auto" w:fill="auto"/>
            <w:vAlign w:val="center"/>
          </w:tcPr>
          <w:p w14:paraId="0B7BF790">
            <w:pPr>
              <w:adjustRightInd w:val="0"/>
              <w:snapToGrid w:val="0"/>
              <w:spacing w:line="240" w:lineRule="auto"/>
              <w:ind w:firstLine="0" w:firstLineChars="0"/>
              <w:jc w:val="center"/>
              <w:rPr>
                <w:sz w:val="21"/>
                <w:szCs w:val="21"/>
              </w:rPr>
            </w:pPr>
            <w:r>
              <w:rPr>
                <w:sz w:val="21"/>
                <w:szCs w:val="21"/>
              </w:rPr>
              <w:t>1</w:t>
            </w:r>
            <w:r>
              <w:rPr>
                <w:rFonts w:hint="eastAsia"/>
                <w:sz w:val="21"/>
                <w:szCs w:val="21"/>
              </w:rPr>
              <w:t>5</w:t>
            </w:r>
          </w:p>
        </w:tc>
        <w:tc>
          <w:tcPr>
            <w:tcW w:w="859" w:type="pct"/>
            <w:vMerge w:val="continue"/>
            <w:shd w:val="clear" w:color="auto" w:fill="auto"/>
            <w:vAlign w:val="center"/>
          </w:tcPr>
          <w:p w14:paraId="53A1F79F">
            <w:pPr>
              <w:adjustRightInd w:val="0"/>
              <w:snapToGrid w:val="0"/>
              <w:spacing w:line="240" w:lineRule="auto"/>
              <w:ind w:firstLine="0" w:firstLineChars="0"/>
              <w:jc w:val="center"/>
              <w:rPr>
                <w:rFonts w:ascii="Calibri" w:hAnsi="Calibri"/>
                <w:sz w:val="21"/>
                <w:szCs w:val="21"/>
                <w:lang w:eastAsia="en-US"/>
              </w:rPr>
            </w:pPr>
          </w:p>
        </w:tc>
      </w:tr>
      <w:tr w14:paraId="5A2E5B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0D25749A">
            <w:pPr>
              <w:adjustRightInd w:val="0"/>
              <w:snapToGrid w:val="0"/>
              <w:spacing w:line="240" w:lineRule="auto"/>
              <w:ind w:firstLine="0" w:firstLineChars="0"/>
              <w:jc w:val="center"/>
              <w:rPr>
                <w:rFonts w:ascii="Calibri" w:hAnsi="Calibri"/>
                <w:sz w:val="21"/>
                <w:szCs w:val="21"/>
                <w:lang w:eastAsia="en-US"/>
              </w:rPr>
            </w:pPr>
          </w:p>
        </w:tc>
        <w:tc>
          <w:tcPr>
            <w:tcW w:w="252" w:type="pct"/>
            <w:shd w:val="clear" w:color="auto" w:fill="auto"/>
            <w:vAlign w:val="center"/>
          </w:tcPr>
          <w:p w14:paraId="333F446B">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189F2B41">
            <w:pPr>
              <w:adjustRightInd w:val="0"/>
              <w:snapToGrid w:val="0"/>
              <w:spacing w:line="240" w:lineRule="auto"/>
              <w:ind w:firstLine="0" w:firstLineChars="0"/>
              <w:jc w:val="center"/>
              <w:rPr>
                <w:sz w:val="21"/>
                <w:szCs w:val="21"/>
              </w:rPr>
            </w:pPr>
            <w:r>
              <w:rPr>
                <w:rFonts w:hint="eastAsia"/>
                <w:sz w:val="21"/>
                <w:szCs w:val="21"/>
              </w:rPr>
              <w:t>防风、防晒、防雨和</w:t>
            </w:r>
            <w:r>
              <w:rPr>
                <w:sz w:val="21"/>
                <w:szCs w:val="21"/>
              </w:rPr>
              <w:t>防腐</w:t>
            </w:r>
          </w:p>
        </w:tc>
        <w:tc>
          <w:tcPr>
            <w:tcW w:w="974" w:type="pct"/>
            <w:shd w:val="clear" w:color="auto" w:fill="auto"/>
            <w:vAlign w:val="center"/>
          </w:tcPr>
          <w:p w14:paraId="7BE0B069">
            <w:pPr>
              <w:adjustRightInd w:val="0"/>
              <w:snapToGrid w:val="0"/>
              <w:spacing w:line="240" w:lineRule="auto"/>
              <w:ind w:firstLine="0" w:firstLineChars="0"/>
              <w:jc w:val="center"/>
              <w:rPr>
                <w:sz w:val="21"/>
                <w:szCs w:val="21"/>
              </w:rPr>
            </w:pPr>
            <w:r>
              <w:rPr>
                <w:rFonts w:hint="eastAsia"/>
                <w:sz w:val="21"/>
                <w:szCs w:val="21"/>
              </w:rPr>
              <w:t>3</w:t>
            </w:r>
            <w:r>
              <w:rPr>
                <w:sz w:val="21"/>
                <w:szCs w:val="21"/>
              </w:rPr>
              <w:t>0</w:t>
            </w:r>
          </w:p>
        </w:tc>
        <w:tc>
          <w:tcPr>
            <w:tcW w:w="859" w:type="pct"/>
            <w:vMerge w:val="continue"/>
            <w:shd w:val="clear" w:color="auto" w:fill="auto"/>
            <w:vAlign w:val="center"/>
          </w:tcPr>
          <w:p w14:paraId="232DB6E5">
            <w:pPr>
              <w:adjustRightInd w:val="0"/>
              <w:snapToGrid w:val="0"/>
              <w:spacing w:line="240" w:lineRule="auto"/>
              <w:ind w:firstLine="0" w:firstLineChars="0"/>
              <w:jc w:val="center"/>
              <w:rPr>
                <w:rFonts w:ascii="Calibri" w:hAnsi="Calibri"/>
                <w:sz w:val="21"/>
                <w:szCs w:val="21"/>
              </w:rPr>
            </w:pPr>
          </w:p>
        </w:tc>
      </w:tr>
      <w:tr w14:paraId="622816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vMerge w:val="continue"/>
            <w:shd w:val="clear" w:color="auto" w:fill="auto"/>
            <w:vAlign w:val="center"/>
          </w:tcPr>
          <w:p w14:paraId="2F0769FA">
            <w:pPr>
              <w:adjustRightInd w:val="0"/>
              <w:snapToGrid w:val="0"/>
              <w:spacing w:line="240" w:lineRule="auto"/>
              <w:ind w:firstLine="0" w:firstLineChars="0"/>
              <w:jc w:val="center"/>
              <w:rPr>
                <w:rFonts w:ascii="Calibri" w:hAnsi="Calibri"/>
                <w:sz w:val="21"/>
                <w:szCs w:val="21"/>
              </w:rPr>
            </w:pPr>
          </w:p>
        </w:tc>
        <w:tc>
          <w:tcPr>
            <w:tcW w:w="252" w:type="pct"/>
            <w:shd w:val="clear" w:color="auto" w:fill="auto"/>
            <w:vAlign w:val="center"/>
          </w:tcPr>
          <w:p w14:paraId="3D5920CC">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11175B70">
            <w:pPr>
              <w:adjustRightInd w:val="0"/>
              <w:snapToGrid w:val="0"/>
              <w:spacing w:line="240" w:lineRule="auto"/>
              <w:ind w:firstLine="0" w:firstLineChars="0"/>
              <w:jc w:val="center"/>
              <w:rPr>
                <w:sz w:val="21"/>
                <w:szCs w:val="21"/>
                <w:lang w:eastAsia="en-US"/>
              </w:rPr>
            </w:pPr>
            <w:r>
              <w:rPr>
                <w:rFonts w:eastAsia="Times New Roman"/>
                <w:sz w:val="21"/>
                <w:szCs w:val="21"/>
                <w:lang w:eastAsia="en-US"/>
              </w:rPr>
              <w:t>DCS</w:t>
            </w:r>
            <w:r>
              <w:rPr>
                <w:sz w:val="21"/>
                <w:szCs w:val="21"/>
                <w:lang w:eastAsia="en-US"/>
              </w:rPr>
              <w:t>、</w:t>
            </w:r>
            <w:r>
              <w:rPr>
                <w:rFonts w:eastAsia="Times New Roman"/>
                <w:sz w:val="21"/>
                <w:szCs w:val="21"/>
                <w:lang w:eastAsia="en-US"/>
              </w:rPr>
              <w:t>SIS</w:t>
            </w:r>
            <w:r>
              <w:rPr>
                <w:sz w:val="21"/>
                <w:szCs w:val="21"/>
                <w:lang w:eastAsia="en-US"/>
              </w:rPr>
              <w:t>系统等</w:t>
            </w:r>
          </w:p>
        </w:tc>
        <w:tc>
          <w:tcPr>
            <w:tcW w:w="974" w:type="pct"/>
            <w:shd w:val="clear" w:color="auto" w:fill="auto"/>
            <w:vAlign w:val="center"/>
          </w:tcPr>
          <w:p w14:paraId="199333D9">
            <w:pPr>
              <w:adjustRightInd w:val="0"/>
              <w:snapToGrid w:val="0"/>
              <w:spacing w:line="240" w:lineRule="auto"/>
              <w:ind w:firstLine="0" w:firstLineChars="0"/>
              <w:jc w:val="center"/>
              <w:rPr>
                <w:sz w:val="21"/>
                <w:szCs w:val="21"/>
              </w:rPr>
            </w:pPr>
            <w:r>
              <w:rPr>
                <w:rFonts w:hint="eastAsia"/>
                <w:sz w:val="21"/>
                <w:szCs w:val="21"/>
              </w:rPr>
              <w:t>7.5</w:t>
            </w:r>
          </w:p>
        </w:tc>
        <w:tc>
          <w:tcPr>
            <w:tcW w:w="859" w:type="pct"/>
            <w:vMerge w:val="continue"/>
            <w:shd w:val="clear" w:color="auto" w:fill="auto"/>
            <w:vAlign w:val="center"/>
          </w:tcPr>
          <w:p w14:paraId="374804AC">
            <w:pPr>
              <w:adjustRightInd w:val="0"/>
              <w:snapToGrid w:val="0"/>
              <w:spacing w:line="240" w:lineRule="auto"/>
              <w:ind w:firstLine="0" w:firstLineChars="0"/>
              <w:jc w:val="center"/>
              <w:rPr>
                <w:rFonts w:ascii="Calibri" w:hAnsi="Calibri"/>
                <w:sz w:val="21"/>
                <w:szCs w:val="21"/>
                <w:lang w:eastAsia="en-US"/>
              </w:rPr>
            </w:pPr>
          </w:p>
        </w:tc>
      </w:tr>
      <w:tr w14:paraId="63449F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3" w:type="pct"/>
            <w:shd w:val="clear" w:color="auto" w:fill="auto"/>
            <w:vAlign w:val="center"/>
          </w:tcPr>
          <w:p w14:paraId="46EA95FC">
            <w:pPr>
              <w:adjustRightInd w:val="0"/>
              <w:snapToGrid w:val="0"/>
              <w:spacing w:line="240" w:lineRule="auto"/>
              <w:ind w:firstLine="0" w:firstLineChars="0"/>
              <w:jc w:val="center"/>
              <w:rPr>
                <w:sz w:val="21"/>
                <w:szCs w:val="21"/>
                <w:lang w:eastAsia="en-US"/>
              </w:rPr>
            </w:pPr>
            <w:r>
              <w:rPr>
                <w:rFonts w:hint="eastAsia"/>
                <w:sz w:val="21"/>
                <w:szCs w:val="21"/>
              </w:rPr>
              <w:t>噪声</w:t>
            </w:r>
          </w:p>
        </w:tc>
        <w:tc>
          <w:tcPr>
            <w:tcW w:w="252" w:type="pct"/>
            <w:shd w:val="clear" w:color="auto" w:fill="auto"/>
            <w:vAlign w:val="center"/>
          </w:tcPr>
          <w:p w14:paraId="57AAA4AD">
            <w:pPr>
              <w:numPr>
                <w:ilvl w:val="0"/>
                <w:numId w:val="30"/>
              </w:numPr>
              <w:adjustRightInd w:val="0"/>
              <w:snapToGrid w:val="0"/>
              <w:spacing w:line="240" w:lineRule="auto"/>
              <w:ind w:firstLineChars="0"/>
              <w:jc w:val="center"/>
              <w:rPr>
                <w:rFonts w:eastAsia="Times New Roman"/>
                <w:sz w:val="21"/>
                <w:szCs w:val="21"/>
                <w:lang w:eastAsia="en-US"/>
              </w:rPr>
            </w:pPr>
          </w:p>
        </w:tc>
        <w:tc>
          <w:tcPr>
            <w:tcW w:w="2172" w:type="pct"/>
            <w:shd w:val="clear" w:color="auto" w:fill="auto"/>
            <w:vAlign w:val="center"/>
          </w:tcPr>
          <w:p w14:paraId="1BD61E6D">
            <w:pPr>
              <w:adjustRightInd w:val="0"/>
              <w:snapToGrid w:val="0"/>
              <w:spacing w:line="240" w:lineRule="auto"/>
              <w:ind w:firstLine="0" w:firstLineChars="0"/>
              <w:jc w:val="center"/>
              <w:rPr>
                <w:sz w:val="21"/>
                <w:szCs w:val="21"/>
                <w:lang w:eastAsia="en-US"/>
              </w:rPr>
            </w:pPr>
            <w:r>
              <w:rPr>
                <w:sz w:val="21"/>
                <w:szCs w:val="21"/>
                <w:lang w:eastAsia="en-US"/>
              </w:rPr>
              <w:t>噪声治理</w:t>
            </w:r>
          </w:p>
        </w:tc>
        <w:tc>
          <w:tcPr>
            <w:tcW w:w="974" w:type="pct"/>
            <w:shd w:val="clear" w:color="auto" w:fill="auto"/>
            <w:vAlign w:val="center"/>
          </w:tcPr>
          <w:p w14:paraId="23A9D801">
            <w:pPr>
              <w:adjustRightInd w:val="0"/>
              <w:snapToGrid w:val="0"/>
              <w:spacing w:line="240" w:lineRule="auto"/>
              <w:ind w:firstLine="0" w:firstLineChars="0"/>
              <w:jc w:val="center"/>
              <w:rPr>
                <w:sz w:val="21"/>
                <w:szCs w:val="21"/>
              </w:rPr>
            </w:pPr>
            <w:r>
              <w:rPr>
                <w:sz w:val="21"/>
                <w:szCs w:val="21"/>
              </w:rPr>
              <w:t>5</w:t>
            </w:r>
          </w:p>
        </w:tc>
        <w:tc>
          <w:tcPr>
            <w:tcW w:w="859" w:type="pct"/>
            <w:vMerge w:val="continue"/>
            <w:shd w:val="clear" w:color="auto" w:fill="auto"/>
            <w:vAlign w:val="center"/>
          </w:tcPr>
          <w:p w14:paraId="6F7FD2CF">
            <w:pPr>
              <w:adjustRightInd w:val="0"/>
              <w:snapToGrid w:val="0"/>
              <w:spacing w:line="240" w:lineRule="auto"/>
              <w:ind w:firstLine="0" w:firstLineChars="0"/>
              <w:jc w:val="center"/>
              <w:rPr>
                <w:rFonts w:ascii="Calibri" w:hAnsi="Calibri"/>
                <w:sz w:val="21"/>
                <w:szCs w:val="21"/>
                <w:lang w:eastAsia="en-US"/>
              </w:rPr>
            </w:pPr>
          </w:p>
        </w:tc>
      </w:tr>
      <w:tr w14:paraId="371924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167" w:type="pct"/>
            <w:gridSpan w:val="3"/>
            <w:shd w:val="clear" w:color="auto" w:fill="auto"/>
            <w:vAlign w:val="center"/>
          </w:tcPr>
          <w:p w14:paraId="7DA66165">
            <w:pPr>
              <w:adjustRightInd w:val="0"/>
              <w:snapToGrid w:val="0"/>
              <w:spacing w:line="240" w:lineRule="auto"/>
              <w:ind w:firstLine="0" w:firstLineChars="0"/>
              <w:jc w:val="center"/>
              <w:rPr>
                <w:sz w:val="21"/>
                <w:szCs w:val="21"/>
                <w:lang w:eastAsia="en-US"/>
              </w:rPr>
            </w:pPr>
            <w:r>
              <w:rPr>
                <w:sz w:val="21"/>
                <w:szCs w:val="21"/>
                <w:lang w:eastAsia="en-US"/>
              </w:rPr>
              <w:t>合计</w:t>
            </w:r>
          </w:p>
        </w:tc>
        <w:tc>
          <w:tcPr>
            <w:tcW w:w="974" w:type="pct"/>
            <w:shd w:val="clear" w:color="auto" w:fill="auto"/>
            <w:vAlign w:val="center"/>
          </w:tcPr>
          <w:p w14:paraId="1E1B344B">
            <w:pPr>
              <w:adjustRightInd w:val="0"/>
              <w:snapToGrid w:val="0"/>
              <w:spacing w:line="240" w:lineRule="auto"/>
              <w:ind w:firstLine="0" w:firstLineChars="0"/>
              <w:jc w:val="center"/>
              <w:rPr>
                <w:rFonts w:eastAsia="Times New Roman"/>
                <w:sz w:val="21"/>
                <w:szCs w:val="21"/>
                <w:lang w:eastAsia="en-US"/>
              </w:rPr>
            </w:pPr>
            <w:r>
              <w:rPr>
                <w:rFonts w:eastAsia="Times New Roman"/>
                <w:sz w:val="21"/>
                <w:szCs w:val="21"/>
                <w:lang w:eastAsia="en-US"/>
              </w:rPr>
              <w:fldChar w:fldCharType="begin"/>
            </w:r>
            <w:r>
              <w:rPr>
                <w:rFonts w:eastAsia="Times New Roman"/>
                <w:sz w:val="21"/>
                <w:szCs w:val="21"/>
                <w:lang w:eastAsia="en-US"/>
              </w:rPr>
              <w:instrText xml:space="preserve"> =SUM(ABOVE) </w:instrText>
            </w:r>
            <w:r>
              <w:rPr>
                <w:rFonts w:eastAsia="Times New Roman"/>
                <w:sz w:val="21"/>
                <w:szCs w:val="21"/>
                <w:lang w:eastAsia="en-US"/>
              </w:rPr>
              <w:fldChar w:fldCharType="separate"/>
            </w:r>
            <w:r>
              <w:rPr>
                <w:rFonts w:eastAsia="Times New Roman"/>
                <w:sz w:val="21"/>
                <w:szCs w:val="21"/>
                <w:lang w:eastAsia="en-US"/>
              </w:rPr>
              <w:t>1365.5</w:t>
            </w:r>
            <w:r>
              <w:rPr>
                <w:rFonts w:eastAsia="Times New Roman"/>
                <w:sz w:val="21"/>
                <w:szCs w:val="21"/>
                <w:lang w:eastAsia="en-US"/>
              </w:rPr>
              <w:fldChar w:fldCharType="end"/>
            </w:r>
          </w:p>
        </w:tc>
        <w:tc>
          <w:tcPr>
            <w:tcW w:w="859" w:type="pct"/>
            <w:vMerge w:val="continue"/>
            <w:shd w:val="clear" w:color="auto" w:fill="auto"/>
            <w:vAlign w:val="center"/>
          </w:tcPr>
          <w:p w14:paraId="31A90FD8">
            <w:pPr>
              <w:adjustRightInd w:val="0"/>
              <w:snapToGrid w:val="0"/>
              <w:spacing w:line="240" w:lineRule="auto"/>
              <w:ind w:firstLine="0" w:firstLineChars="0"/>
              <w:jc w:val="center"/>
              <w:rPr>
                <w:rFonts w:eastAsia="Times New Roman"/>
                <w:sz w:val="21"/>
                <w:szCs w:val="21"/>
                <w:lang w:eastAsia="en-US"/>
              </w:rPr>
            </w:pPr>
          </w:p>
        </w:tc>
      </w:tr>
    </w:tbl>
    <w:p w14:paraId="326D428A">
      <w:pPr>
        <w:ind w:firstLine="480"/>
      </w:pPr>
      <w:r>
        <w:t>（2）环保工程运行管理费用</w:t>
      </w:r>
    </w:p>
    <w:p w14:paraId="4B1B8C47">
      <w:pPr>
        <w:ind w:firstLine="480"/>
      </w:pPr>
      <w:r>
        <w:t>生产运营期间管理费用包括设备检修、能源、材料、环保设施运行费、环保工作人员工资、环境监测费、环境绿化管理费等，工程运行管理费为15万元/</w:t>
      </w:r>
      <w:r>
        <w:rPr>
          <w:rFonts w:hint="eastAsia"/>
        </w:rPr>
        <w:t>年</w:t>
      </w:r>
      <w:r>
        <w:t>。</w:t>
      </w:r>
    </w:p>
    <w:p w14:paraId="44C20EAB">
      <w:pPr>
        <w:pStyle w:val="40"/>
      </w:pPr>
      <w:bookmarkStart w:id="731" w:name="_Toc152864282"/>
      <w:r>
        <w:rPr>
          <w:rFonts w:hint="eastAsia"/>
        </w:rPr>
        <w:t>环境管理及环境监测计划</w:t>
      </w:r>
      <w:bookmarkEnd w:id="731"/>
    </w:p>
    <w:p w14:paraId="0C3E605C">
      <w:pPr>
        <w:pStyle w:val="41"/>
      </w:pPr>
      <w:bookmarkStart w:id="732" w:name="_Toc152864283"/>
      <w:r>
        <w:rPr>
          <w:rFonts w:hint="eastAsia"/>
        </w:rPr>
        <w:t>环境管理</w:t>
      </w:r>
      <w:bookmarkEnd w:id="732"/>
    </w:p>
    <w:p w14:paraId="3C8F51B5">
      <w:pPr>
        <w:pStyle w:val="43"/>
      </w:pPr>
      <w:bookmarkStart w:id="733" w:name="_Toc77007882"/>
      <w:bookmarkStart w:id="734" w:name="_Toc80973613"/>
      <w:bookmarkStart w:id="735" w:name="_Toc82518874"/>
      <w:bookmarkStart w:id="736" w:name="_Toc80193189"/>
      <w:bookmarkStart w:id="737" w:name="_Toc152864284"/>
      <w:bookmarkStart w:id="738" w:name="_Toc79515560"/>
      <w:bookmarkStart w:id="739" w:name="_Toc81214181"/>
      <w:r>
        <w:rPr>
          <w:rFonts w:hint="eastAsia"/>
        </w:rPr>
        <w:t>环境管理目标</w:t>
      </w:r>
      <w:bookmarkEnd w:id="733"/>
      <w:bookmarkEnd w:id="734"/>
      <w:bookmarkEnd w:id="735"/>
      <w:bookmarkEnd w:id="736"/>
      <w:bookmarkEnd w:id="737"/>
      <w:bookmarkEnd w:id="738"/>
      <w:bookmarkEnd w:id="739"/>
    </w:p>
    <w:p w14:paraId="0E5831EB">
      <w:pPr>
        <w:ind w:firstLine="480"/>
      </w:pPr>
      <w:r>
        <w:rPr>
          <w:rFonts w:hint="eastAsia"/>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绿色”产品，努力通过环境认证，积极参与社会环境整治，推动员工和公众的环保宣传和引导，树立“绿色企业”的良好形象。</w:t>
      </w:r>
    </w:p>
    <w:p w14:paraId="59AD585E">
      <w:pPr>
        <w:ind w:firstLine="480"/>
      </w:pPr>
      <w:r>
        <w:rPr>
          <w:rFonts w:hint="eastAsia"/>
        </w:rPr>
        <w:t>为了贯彻和执行国家和地方环境保护法律、法规、政策与标准，及时掌握和了解污染控制措施的效果以及项目所在区域环境质量的变化情况，更好地监控环保设施的运行情况，协调与地方环保职能部门和其他有关部门的工作，同时保证企业生产管理和环境管理的正常运作，建立环境管理体系与监测制度是非常必要和重要的。</w:t>
      </w:r>
    </w:p>
    <w:p w14:paraId="58D3ABE2">
      <w:pPr>
        <w:ind w:firstLine="480"/>
      </w:pPr>
      <w:r>
        <w:rPr>
          <w:rFonts w:hint="eastAsia"/>
        </w:rPr>
        <w:t>环境管理是以清洁生产为基础，通过无废工艺、废物减量化、污染预防等科学技术手段的管理，使项目可能对环境造成的影响减少至最低程度，来实现生产与环境相协调、经济效益与环境效益相统一，从而达到环境保护的目的。</w:t>
      </w:r>
    </w:p>
    <w:p w14:paraId="5A1EBEC6">
      <w:pPr>
        <w:pStyle w:val="43"/>
      </w:pPr>
      <w:bookmarkStart w:id="740" w:name="_Toc80973614"/>
      <w:bookmarkStart w:id="741" w:name="_Toc80193190"/>
      <w:bookmarkStart w:id="742" w:name="_Toc82518875"/>
      <w:bookmarkStart w:id="743" w:name="_Toc77007883"/>
      <w:bookmarkStart w:id="744" w:name="_Toc81214182"/>
      <w:bookmarkStart w:id="745" w:name="_Toc152864285"/>
      <w:bookmarkStart w:id="746" w:name="_Toc79515561"/>
      <w:r>
        <w:rPr>
          <w:rFonts w:hint="eastAsia"/>
        </w:rPr>
        <w:t>环境管理机构</w:t>
      </w:r>
      <w:bookmarkEnd w:id="740"/>
      <w:bookmarkEnd w:id="741"/>
      <w:bookmarkEnd w:id="742"/>
      <w:bookmarkEnd w:id="743"/>
      <w:bookmarkEnd w:id="744"/>
      <w:bookmarkEnd w:id="745"/>
      <w:bookmarkEnd w:id="746"/>
    </w:p>
    <w:p w14:paraId="259E022B">
      <w:pPr>
        <w:ind w:firstLine="480"/>
      </w:pPr>
      <w:r>
        <w:rPr>
          <w:rFonts w:hint="eastAsia"/>
        </w:rPr>
        <w:t>本项目为新建项目，企业应建立相对应的环境管理机构，由法定代表人总负责，生产负责人具体负责，其下属安全质量环保处为环境管理机构。</w:t>
      </w:r>
    </w:p>
    <w:p w14:paraId="2E3F2652">
      <w:pPr>
        <w:ind w:firstLine="480"/>
      </w:pPr>
      <w:r>
        <w:rPr>
          <w:rFonts w:hint="eastAsia"/>
        </w:rPr>
        <w:t>环境管理机构的职责：</w:t>
      </w:r>
    </w:p>
    <w:p w14:paraId="50B048F1">
      <w:pPr>
        <w:ind w:firstLine="480"/>
      </w:pPr>
      <w:r>
        <w:rPr>
          <w:rFonts w:hint="eastAsia"/>
        </w:rPr>
        <w:t>（1）宣传和贯彻执行国家和地方的有关法律、法规、政策和要求。</w:t>
      </w:r>
    </w:p>
    <w:p w14:paraId="2C16AC79">
      <w:pPr>
        <w:ind w:firstLine="480"/>
      </w:pPr>
      <w:r>
        <w:rPr>
          <w:rFonts w:hint="eastAsia"/>
        </w:rPr>
        <w:t>（2）结合本项目和周边地区实际情况，组织制定本企业的环境目标、指标及环境保护计划。</w:t>
      </w:r>
    </w:p>
    <w:p w14:paraId="270896EA">
      <w:pPr>
        <w:ind w:firstLine="480"/>
      </w:pPr>
      <w:r>
        <w:rPr>
          <w:rFonts w:hint="eastAsia"/>
        </w:rPr>
        <w:t>（3）制定本企业的环境管理制度，并对实施情况进行监督、检查。负责向</w:t>
      </w:r>
      <w:r>
        <w:t>上级生态环境主管部门核算排污费及缴纳工作。</w:t>
      </w:r>
    </w:p>
    <w:p w14:paraId="224089F4">
      <w:pPr>
        <w:ind w:firstLine="480"/>
      </w:pPr>
      <w:r>
        <w:t>（4）按本项目</w:t>
      </w:r>
      <w:r>
        <w:rPr>
          <w:rFonts w:hint="eastAsia"/>
        </w:rPr>
        <w:t>环境影响</w:t>
      </w:r>
      <w:r>
        <w:t>报告书中所提出的环保措施和对策、建议，负责监督执行报告书提出的各项环保措施的落实情况，监督执行环保</w:t>
      </w:r>
      <w:r>
        <w:rPr>
          <w:rFonts w:ascii="宋体" w:hAnsi="宋体"/>
        </w:rPr>
        <w:t>“三同时”</w:t>
      </w:r>
      <w:r>
        <w:t>制度。保证</w:t>
      </w:r>
      <w:r>
        <w:rPr>
          <w:rFonts w:hint="eastAsia"/>
        </w:rPr>
        <w:t>本</w:t>
      </w:r>
      <w:r>
        <w:t>项目污染防治设施与主体工程同时设计、同时施工、同时投产使用。</w:t>
      </w:r>
    </w:p>
    <w:p w14:paraId="4CEBD468">
      <w:pPr>
        <w:ind w:firstLine="480"/>
      </w:pPr>
      <w:r>
        <w:t>（5）制定企业环保设施运行指标，</w:t>
      </w:r>
      <w:r>
        <w:rPr>
          <w:rFonts w:ascii="宋体" w:hAnsi="宋体"/>
        </w:rPr>
        <w:t>“三废”</w:t>
      </w:r>
      <w:r>
        <w:t>综合利用指标，污染事故率指标等各项考核指标，进行定量考评。</w:t>
      </w:r>
    </w:p>
    <w:p w14:paraId="2D38F311">
      <w:pPr>
        <w:ind w:firstLine="480"/>
      </w:pPr>
      <w:r>
        <w:t>（6）负责组织制定和实施本企业日常的环境监测计划；监督检查污染物总量控制与达标情况。</w:t>
      </w:r>
    </w:p>
    <w:p w14:paraId="500C5297">
      <w:pPr>
        <w:ind w:firstLine="480"/>
      </w:pPr>
      <w:r>
        <w:t>（7）负责提出、审查和组织实施有关环境保护的技术和治理方案及各项清洁生产方案。负责组织调查污染事故及污染纠纷案件，并提出具体处理意见。</w:t>
      </w:r>
    </w:p>
    <w:p w14:paraId="6346CD4A">
      <w:pPr>
        <w:ind w:firstLine="480"/>
      </w:pPr>
      <w:r>
        <w:t>（8）组织开展对本企业职工的环境教育与培训工作，提高全员环境保护意识。</w:t>
      </w:r>
    </w:p>
    <w:p w14:paraId="416226FA">
      <w:pPr>
        <w:ind w:firstLine="480"/>
      </w:pPr>
      <w:r>
        <w:t>（9）负责污染事故的应急处理，协调有关涉及环境公众利益的事件及采取相应措施，及时上报生态环境主管部门。</w:t>
      </w:r>
    </w:p>
    <w:p w14:paraId="538C479D">
      <w:pPr>
        <w:ind w:firstLine="480"/>
      </w:pPr>
      <w:r>
        <w:t>（10）对本公司的绿化工作进行监督管理，提出建议。</w:t>
      </w:r>
    </w:p>
    <w:p w14:paraId="6126476D">
      <w:pPr>
        <w:ind w:firstLine="480"/>
      </w:pPr>
      <w:r>
        <w:t>（11）负责企业各种环保报表的编制、统计上报及污染源档案、监测资料的档案管理工作。</w:t>
      </w:r>
    </w:p>
    <w:p w14:paraId="2DD22D35">
      <w:pPr>
        <w:pStyle w:val="43"/>
      </w:pPr>
      <w:bookmarkStart w:id="747" w:name="_Toc82518876"/>
      <w:bookmarkStart w:id="748" w:name="_Toc152864286"/>
      <w:bookmarkStart w:id="749" w:name="_Toc80193191"/>
      <w:bookmarkStart w:id="750" w:name="_Toc77007884"/>
      <w:bookmarkStart w:id="751" w:name="_Toc80973615"/>
      <w:bookmarkStart w:id="752" w:name="_Toc79515562"/>
      <w:bookmarkStart w:id="753" w:name="_Toc81214183"/>
      <w:r>
        <w:rPr>
          <w:rFonts w:hint="eastAsia"/>
        </w:rPr>
        <w:t>各阶段的环境管理要求</w:t>
      </w:r>
      <w:bookmarkEnd w:id="747"/>
      <w:bookmarkEnd w:id="748"/>
    </w:p>
    <w:p w14:paraId="6656A8BF">
      <w:pPr>
        <w:pStyle w:val="45"/>
        <w:spacing w:before="65" w:after="65"/>
      </w:pPr>
      <w:r>
        <w:rPr>
          <w:rFonts w:hint="eastAsia"/>
        </w:rPr>
        <w:t>项目审批阶段</w:t>
      </w:r>
    </w:p>
    <w:p w14:paraId="108E9A66">
      <w:pPr>
        <w:ind w:firstLine="480"/>
      </w:pPr>
      <w:r>
        <w:rPr>
          <w:rFonts w:hint="eastAsia"/>
        </w:rPr>
        <w:t>项目环境影响评价文件要按照环境保护部公布《建设项目环境影响评价分类管理目录》的规定，确定环境影响评价文件的类别，委托相应机构编制环境影响评价文件。</w:t>
      </w:r>
    </w:p>
    <w:p w14:paraId="581E48E1">
      <w:pPr>
        <w:ind w:firstLine="480"/>
      </w:pPr>
      <w:r>
        <w:rPr>
          <w:rFonts w:hint="eastAsia"/>
        </w:rPr>
        <w:t>企业在委托环评文件编制后应积极配合环评编制单位查勘现场，及时提供环评文件编写所需的各类资料。</w:t>
      </w:r>
    </w:p>
    <w:p w14:paraId="2BB36A5B">
      <w:pPr>
        <w:ind w:firstLine="480"/>
      </w:pPr>
      <w:r>
        <w:rPr>
          <w:rFonts w:hint="eastAsia"/>
        </w:rPr>
        <w:t>在环境影响报告书的编制和环境保护主管部门审批或者重新审核环境影响报告书的过程中，应该按规定公开有关环境影响评价的信息，征求公众意见。</w:t>
      </w:r>
    </w:p>
    <w:p w14:paraId="693308B3">
      <w:pPr>
        <w:ind w:firstLine="480"/>
      </w:pPr>
      <w:r>
        <w:rPr>
          <w:rFonts w:hint="eastAsia"/>
        </w:rPr>
        <w:t>企业有权要求环评文件编制及审批等单位和个人为其保守商业、技术等秘密。</w:t>
      </w:r>
    </w:p>
    <w:p w14:paraId="7472DE2E">
      <w:pPr>
        <w:ind w:firstLine="480"/>
      </w:pPr>
      <w:r>
        <w:rPr>
          <w:rFonts w:hint="eastAsia"/>
        </w:rPr>
        <w:t>环境影响评价文件，由建设单位报有审批权的环境保护行政主管部门审批，环境影响评价文件未经批准，不得开工建设，自批准之日起超过5年方决定该项目开工建设的，其环境影响评价文件应当报原审批部门重新审核。</w:t>
      </w:r>
    </w:p>
    <w:p w14:paraId="3DE9FECD">
      <w:pPr>
        <w:pStyle w:val="45"/>
        <w:spacing w:before="65" w:after="65"/>
      </w:pPr>
      <w:r>
        <w:rPr>
          <w:rFonts w:hint="eastAsia"/>
        </w:rPr>
        <w:t>建设施工阶段</w:t>
      </w:r>
    </w:p>
    <w:p w14:paraId="606E8EE2">
      <w:pPr>
        <w:ind w:firstLine="480"/>
      </w:pPr>
      <w:r>
        <w:rPr>
          <w:rFonts w:hint="eastAsia"/>
        </w:rPr>
        <w:t>项目建设中应根据环境影响评价报告中有关施工期污染防治措施及生态环境保护措施的具体要求，进行规范管理，保证守法的规范性。建设单位应会同施工单位做好环保工程设施的施工建设、资金使用情况等资料、文件的整理，建档备查，以季报的形式将环保工程进度情况上报当地环境保护主管部门。</w:t>
      </w:r>
    </w:p>
    <w:p w14:paraId="24130764">
      <w:pPr>
        <w:ind w:firstLine="480"/>
      </w:pPr>
      <w:r>
        <w:rPr>
          <w:rFonts w:hint="eastAsia"/>
        </w:rPr>
        <w:t>建设单位与施工单位负责落实环境保护主管部门对施工阶段的环保要求以及施工过程中的环保措施；主要是保护施工现场周围的环境，防止对自然环境造成不应有的破坏；防止和减轻废气、污水、粉尘、噪声、震动等对周围环境的污染和危害。</w:t>
      </w:r>
    </w:p>
    <w:p w14:paraId="62786FE9">
      <w:pPr>
        <w:pStyle w:val="45"/>
        <w:spacing w:before="65" w:after="65"/>
      </w:pPr>
      <w:r>
        <w:rPr>
          <w:rFonts w:hint="eastAsia"/>
        </w:rPr>
        <w:t>竣工环境保护验收阶段</w:t>
      </w:r>
    </w:p>
    <w:p w14:paraId="1BE89ADB">
      <w:pPr>
        <w:ind w:firstLine="480"/>
      </w:pPr>
      <w:r>
        <w:rPr>
          <w:rFonts w:hint="eastAsia"/>
        </w:rPr>
        <w:t>根据《建设项目竣工环境保护验收暂行办法》，建设项目竣工后建设单位自主开展环境保护验收及相关监督管理。</w:t>
      </w:r>
    </w:p>
    <w:p w14:paraId="4AA969CA">
      <w:pPr>
        <w:ind w:firstLine="480"/>
      </w:pPr>
      <w:r>
        <w:rPr>
          <w:rFonts w:hint="eastAsia"/>
        </w:rPr>
        <w:t>项目建设中应配套建设气、水、噪声或者固体废物污染防治设施，正式投入生产或使用之前自主开展废水、废气和噪声的环境保护验收，固体废物验收由环境保护主管部门进行验收。</w:t>
      </w:r>
    </w:p>
    <w:p w14:paraId="76AE178C">
      <w:pPr>
        <w:ind w:firstLine="480"/>
      </w:pPr>
      <w:r>
        <w:rPr>
          <w:rFonts w:hint="eastAsia"/>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w:t>
      </w:r>
    </w:p>
    <w:p w14:paraId="5E36DAFA">
      <w:pPr>
        <w:ind w:firstLine="480"/>
      </w:pPr>
      <w:r>
        <w:rPr>
          <w:rFonts w:hint="eastAsia"/>
        </w:rPr>
        <w:t>验收报告分为验收监测（调查）报告、验收意见和其他需要说明的事项等三项内容。</w:t>
      </w:r>
    </w:p>
    <w:p w14:paraId="2DA7A341">
      <w:pPr>
        <w:ind w:firstLine="480"/>
      </w:pPr>
      <w:r>
        <w:rPr>
          <w:rFonts w:hint="eastAsia"/>
        </w:rPr>
        <w:t>建设项目竣工环境保护验收的主要依据、验收的程序和内容具体详见《建设项目竣工环境保护验收暂行办法》中的相关要求。</w:t>
      </w:r>
    </w:p>
    <w:p w14:paraId="3C9FCEB7">
      <w:pPr>
        <w:ind w:firstLine="480"/>
      </w:pPr>
      <w:r>
        <w:rPr>
          <w:rFonts w:hint="eastAsia"/>
        </w:rPr>
        <w:t>建设单位需注意，如本项目被纳入排污许可管理的建设项目中，建设单位应当在项目产生实际污染物排放之前，按照国家排污许可有关管理规定要求，申请排污许可证，不得无证排污或不按证排污。建设项目验收报告中与污染物排放相关的主要内容应当纳入该项目验收完成当年排污许可证执行年报。</w:t>
      </w:r>
    </w:p>
    <w:p w14:paraId="5254F6F3">
      <w:pPr>
        <w:pStyle w:val="45"/>
        <w:spacing w:before="65" w:after="65"/>
      </w:pPr>
      <w:r>
        <w:rPr>
          <w:rFonts w:hint="eastAsia"/>
        </w:rPr>
        <w:t>运营期环境管理</w:t>
      </w:r>
      <w:bookmarkEnd w:id="749"/>
      <w:bookmarkEnd w:id="750"/>
      <w:bookmarkEnd w:id="751"/>
      <w:bookmarkEnd w:id="752"/>
      <w:bookmarkEnd w:id="753"/>
    </w:p>
    <w:p w14:paraId="3E0EFB06">
      <w:pPr>
        <w:ind w:firstLine="480"/>
      </w:pPr>
      <w:r>
        <w:rPr>
          <w:rFonts w:hint="eastAsia"/>
        </w:rPr>
        <w:t>运营期的环境管理的重点是各项环境保护措施的落实，环保设施运行的管理和维护，日常的监测及污染事故的防范和应急处理。</w:t>
      </w:r>
    </w:p>
    <w:p w14:paraId="01BB70D6">
      <w:pPr>
        <w:ind w:firstLine="480"/>
      </w:pPr>
      <w:r>
        <w:rPr>
          <w:rFonts w:hint="eastAsia"/>
        </w:rPr>
        <w:t>（1）建立健全企业环境管理制度、环保设施岗位操作制度等。</w:t>
      </w:r>
    </w:p>
    <w:p w14:paraId="36CA8C33">
      <w:pPr>
        <w:ind w:firstLine="480"/>
      </w:pPr>
      <w:r>
        <w:rPr>
          <w:rFonts w:hint="eastAsia"/>
        </w:rPr>
        <w:t>（2）根据企业的环境保护目标考核计划，结合生产过程各环节的环境要求，把资源和能源消耗、资源回收利用、污染物排放量等反映环保工作水平的环保指标纳入各级生产作业计划，同其他生产指标一同组织实施和考核。</w:t>
      </w:r>
    </w:p>
    <w:p w14:paraId="0C658DB1">
      <w:pPr>
        <w:ind w:firstLine="480"/>
      </w:pPr>
      <w:r>
        <w:rPr>
          <w:rFonts w:hint="eastAsia"/>
        </w:rPr>
        <w:t>（3）按环保设施的操作规程，定期对环保设施进行保养和检修，保证环保设施的正常运行和污染物的达标排放，做好运行记录。</w:t>
      </w:r>
    </w:p>
    <w:p w14:paraId="5DBC7E54">
      <w:pPr>
        <w:ind w:firstLine="480"/>
      </w:pPr>
      <w:r>
        <w:rPr>
          <w:rFonts w:hint="eastAsia"/>
        </w:rPr>
        <w:t>（4）做好绿化的建设和维护工作。绿色植物不仅能涵养水分，保持水土，而且能挡尘降噪，调节小气候，有利于改善生态环境。</w:t>
      </w:r>
    </w:p>
    <w:p w14:paraId="5AF29C99">
      <w:pPr>
        <w:ind w:firstLine="480"/>
      </w:pPr>
      <w:r>
        <w:rPr>
          <w:rFonts w:hint="eastAsia"/>
        </w:rPr>
        <w:t>（5）加强设备、管道、阀门、仪器、仪表的检查、维护、检修，保证设备完好运行，防止跑、冒、滴、漏对环境的污染。</w:t>
      </w:r>
    </w:p>
    <w:p w14:paraId="155A9A5E">
      <w:pPr>
        <w:ind w:firstLine="480"/>
      </w:pPr>
      <w:r>
        <w:rPr>
          <w:rFonts w:hint="eastAsia"/>
        </w:rPr>
        <w:t>（6）接受生态环境主管部门的监督检查，包括污染物排放情况、环保设施运行管理情况、环境监测及污染物监测情况、环境事故的调查和有关记录等。污染治理设施的运行情况等进行建档管理，并报送生态环境主管部门备案。</w:t>
      </w:r>
    </w:p>
    <w:p w14:paraId="5C5C92E8">
      <w:pPr>
        <w:ind w:firstLine="480"/>
      </w:pPr>
      <w:r>
        <w:rPr>
          <w:rFonts w:hint="eastAsia"/>
        </w:rPr>
        <w:t>（7）厂区物料出入口、主体设备、储罐区等关键环节须安装视频监控系统，连续24小时不间断录像，保存时间至少1年。</w:t>
      </w:r>
    </w:p>
    <w:p w14:paraId="120402E9">
      <w:pPr>
        <w:pStyle w:val="43"/>
      </w:pPr>
      <w:bookmarkStart w:id="754" w:name="_Toc82518877"/>
      <w:bookmarkStart w:id="755" w:name="_Toc80193192"/>
      <w:bookmarkStart w:id="756" w:name="_Toc80973616"/>
      <w:bookmarkStart w:id="757" w:name="_Toc77007885"/>
      <w:bookmarkStart w:id="758" w:name="_Toc152864287"/>
      <w:bookmarkStart w:id="759" w:name="_Toc81214184"/>
      <w:bookmarkStart w:id="760" w:name="_Toc79515563"/>
      <w:r>
        <w:rPr>
          <w:rFonts w:hint="eastAsia"/>
        </w:rPr>
        <w:t>排污口规范化管理</w:t>
      </w:r>
      <w:bookmarkEnd w:id="754"/>
      <w:bookmarkEnd w:id="755"/>
      <w:bookmarkEnd w:id="756"/>
      <w:bookmarkEnd w:id="757"/>
      <w:bookmarkEnd w:id="758"/>
      <w:bookmarkEnd w:id="759"/>
      <w:bookmarkEnd w:id="760"/>
    </w:p>
    <w:p w14:paraId="476F79A9">
      <w:pPr>
        <w:ind w:firstLine="480"/>
      </w:pPr>
      <w:r>
        <w:rPr>
          <w:rFonts w:hint="eastAsia"/>
        </w:rPr>
        <w:t>按照国家环保总局《排污口规范化整治技术要求（试行）》〔环监（1996）470号〕，本项目排污口规范化管理要求见下表。</w:t>
      </w:r>
    </w:p>
    <w:p w14:paraId="263E1CF9">
      <w:pPr>
        <w:pStyle w:val="47"/>
        <w:spacing w:before="65"/>
      </w:pPr>
      <w:r>
        <w:rPr>
          <w:rFonts w:hint="eastAsia"/>
        </w:rPr>
        <w:t>表8</w:t>
      </w:r>
      <w:r>
        <w:t xml:space="preserve">.1-1   </w:t>
      </w:r>
      <w:r>
        <w:rPr>
          <w:rFonts w:hint="eastAsia"/>
        </w:rPr>
        <w:t>本项目排污口规范化管理要求表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7"/>
        <w:gridCol w:w="8053"/>
      </w:tblGrid>
      <w:tr w14:paraId="467EE5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tcMar>
              <w:left w:w="0" w:type="dxa"/>
              <w:right w:w="0" w:type="dxa"/>
            </w:tcMar>
            <w:vAlign w:val="center"/>
          </w:tcPr>
          <w:p w14:paraId="72E62138">
            <w:pPr>
              <w:adjustRightInd w:val="0"/>
              <w:snapToGrid w:val="0"/>
              <w:spacing w:line="240" w:lineRule="auto"/>
              <w:ind w:firstLine="0" w:firstLineChars="0"/>
              <w:jc w:val="center"/>
              <w:rPr>
                <w:sz w:val="21"/>
                <w:szCs w:val="21"/>
              </w:rPr>
            </w:pPr>
            <w:r>
              <w:rPr>
                <w:sz w:val="21"/>
                <w:szCs w:val="21"/>
              </w:rPr>
              <w:t>项目</w:t>
            </w:r>
          </w:p>
        </w:tc>
        <w:tc>
          <w:tcPr>
            <w:tcW w:w="4612" w:type="pct"/>
            <w:tcMar>
              <w:left w:w="0" w:type="dxa"/>
              <w:right w:w="0" w:type="dxa"/>
            </w:tcMar>
            <w:vAlign w:val="center"/>
          </w:tcPr>
          <w:p w14:paraId="3C6EAC11">
            <w:pPr>
              <w:adjustRightInd w:val="0"/>
              <w:snapToGrid w:val="0"/>
              <w:spacing w:line="240" w:lineRule="auto"/>
              <w:ind w:firstLine="0" w:firstLineChars="0"/>
              <w:jc w:val="center"/>
              <w:rPr>
                <w:sz w:val="21"/>
                <w:szCs w:val="21"/>
              </w:rPr>
            </w:pPr>
            <w:r>
              <w:rPr>
                <w:sz w:val="21"/>
                <w:szCs w:val="21"/>
              </w:rPr>
              <w:t>主要内容</w:t>
            </w:r>
          </w:p>
        </w:tc>
      </w:tr>
      <w:tr w14:paraId="1293A4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tcMar>
              <w:left w:w="0" w:type="dxa"/>
              <w:right w:w="0" w:type="dxa"/>
            </w:tcMar>
            <w:vAlign w:val="center"/>
          </w:tcPr>
          <w:p w14:paraId="2AC44C2D">
            <w:pPr>
              <w:adjustRightInd w:val="0"/>
              <w:snapToGrid w:val="0"/>
              <w:spacing w:line="240" w:lineRule="auto"/>
              <w:ind w:firstLine="0" w:firstLineChars="0"/>
              <w:jc w:val="center"/>
              <w:rPr>
                <w:sz w:val="21"/>
                <w:szCs w:val="21"/>
              </w:rPr>
            </w:pPr>
            <w:r>
              <w:rPr>
                <w:sz w:val="21"/>
                <w:szCs w:val="21"/>
              </w:rPr>
              <w:t>基本原则</w:t>
            </w:r>
          </w:p>
        </w:tc>
        <w:tc>
          <w:tcPr>
            <w:tcW w:w="4612" w:type="pct"/>
            <w:tcMar>
              <w:left w:w="0" w:type="dxa"/>
              <w:right w:w="0" w:type="dxa"/>
            </w:tcMar>
            <w:vAlign w:val="center"/>
          </w:tcPr>
          <w:p w14:paraId="49B22DB6">
            <w:pPr>
              <w:adjustRightInd w:val="0"/>
              <w:snapToGrid w:val="0"/>
              <w:spacing w:line="240" w:lineRule="auto"/>
              <w:ind w:firstLine="0" w:firstLineChars="0"/>
              <w:rPr>
                <w:sz w:val="21"/>
                <w:szCs w:val="21"/>
              </w:rPr>
            </w:pPr>
            <w:r>
              <w:rPr>
                <w:sz w:val="21"/>
                <w:szCs w:val="21"/>
              </w:rPr>
              <w:t>1、凡向环境排放污染物的一切排污口必须进行规范化管理；</w:t>
            </w:r>
          </w:p>
          <w:p w14:paraId="49F0F5A6">
            <w:pPr>
              <w:adjustRightInd w:val="0"/>
              <w:snapToGrid w:val="0"/>
              <w:spacing w:line="240" w:lineRule="auto"/>
              <w:ind w:firstLine="0" w:firstLineChars="0"/>
              <w:rPr>
                <w:sz w:val="21"/>
                <w:szCs w:val="21"/>
              </w:rPr>
            </w:pPr>
            <w:r>
              <w:rPr>
                <w:sz w:val="21"/>
                <w:szCs w:val="21"/>
              </w:rPr>
              <w:t>2、将总量控制的污染物排污口及行业特征污染物排放口列为管理的重点；</w:t>
            </w:r>
          </w:p>
          <w:p w14:paraId="41C3BA97">
            <w:pPr>
              <w:adjustRightInd w:val="0"/>
              <w:snapToGrid w:val="0"/>
              <w:spacing w:line="240" w:lineRule="auto"/>
              <w:ind w:firstLine="0" w:firstLineChars="0"/>
              <w:rPr>
                <w:sz w:val="21"/>
                <w:szCs w:val="21"/>
              </w:rPr>
            </w:pPr>
            <w:r>
              <w:rPr>
                <w:sz w:val="21"/>
                <w:szCs w:val="21"/>
              </w:rPr>
              <w:t>3、排污口设置应便于采样和计量监测，便于日常现场监督和检查；</w:t>
            </w:r>
          </w:p>
          <w:p w14:paraId="5D5D48BA">
            <w:pPr>
              <w:adjustRightInd w:val="0"/>
              <w:snapToGrid w:val="0"/>
              <w:spacing w:line="240" w:lineRule="auto"/>
              <w:ind w:firstLine="0" w:firstLineChars="0"/>
              <w:rPr>
                <w:sz w:val="21"/>
                <w:szCs w:val="21"/>
              </w:rPr>
            </w:pPr>
            <w:r>
              <w:rPr>
                <w:sz w:val="21"/>
                <w:szCs w:val="21"/>
              </w:rPr>
              <w:t>4、如实向环保行政主管部门申报排污口位置，排污种类、数量、浓度与排放去向等。</w:t>
            </w:r>
          </w:p>
        </w:tc>
      </w:tr>
      <w:tr w14:paraId="2ECB10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tcMar>
              <w:left w:w="0" w:type="dxa"/>
              <w:right w:w="0" w:type="dxa"/>
            </w:tcMar>
            <w:vAlign w:val="center"/>
          </w:tcPr>
          <w:p w14:paraId="43A636BA">
            <w:pPr>
              <w:adjustRightInd w:val="0"/>
              <w:snapToGrid w:val="0"/>
              <w:spacing w:line="240" w:lineRule="auto"/>
              <w:ind w:firstLine="0" w:firstLineChars="0"/>
              <w:jc w:val="center"/>
              <w:rPr>
                <w:sz w:val="21"/>
                <w:szCs w:val="21"/>
              </w:rPr>
            </w:pPr>
            <w:r>
              <w:rPr>
                <w:sz w:val="21"/>
                <w:szCs w:val="21"/>
              </w:rPr>
              <w:t>技术要求</w:t>
            </w:r>
          </w:p>
        </w:tc>
        <w:tc>
          <w:tcPr>
            <w:tcW w:w="4612" w:type="pct"/>
            <w:tcMar>
              <w:left w:w="0" w:type="dxa"/>
              <w:right w:w="0" w:type="dxa"/>
            </w:tcMar>
            <w:vAlign w:val="center"/>
          </w:tcPr>
          <w:p w14:paraId="6D3F8DD1">
            <w:pPr>
              <w:adjustRightInd w:val="0"/>
              <w:snapToGrid w:val="0"/>
              <w:spacing w:line="240" w:lineRule="auto"/>
              <w:ind w:firstLine="0" w:firstLineChars="0"/>
              <w:rPr>
                <w:sz w:val="21"/>
                <w:szCs w:val="21"/>
              </w:rPr>
            </w:pPr>
            <w:r>
              <w:rPr>
                <w:sz w:val="21"/>
                <w:szCs w:val="21"/>
              </w:rPr>
              <w:t>1、按照《排污口规范化整治技术要求》</w:t>
            </w:r>
            <w:r>
              <w:rPr>
                <w:rFonts w:hint="eastAsia"/>
                <w:sz w:val="21"/>
                <w:szCs w:val="21"/>
              </w:rPr>
              <w:t>〔环监（1996）470号〕</w:t>
            </w:r>
            <w:r>
              <w:rPr>
                <w:sz w:val="21"/>
                <w:szCs w:val="21"/>
              </w:rPr>
              <w:t>要求，排污口位置必须合理确定，实行规范化管理；</w:t>
            </w:r>
          </w:p>
          <w:p w14:paraId="42DDA756">
            <w:pPr>
              <w:adjustRightInd w:val="0"/>
              <w:snapToGrid w:val="0"/>
              <w:spacing w:line="240" w:lineRule="auto"/>
              <w:ind w:firstLine="0" w:firstLineChars="0"/>
              <w:rPr>
                <w:sz w:val="21"/>
                <w:szCs w:val="21"/>
              </w:rPr>
            </w:pPr>
            <w:r>
              <w:rPr>
                <w:sz w:val="21"/>
                <w:szCs w:val="21"/>
              </w:rPr>
              <w:t>2、所有排污口应设置便于采样、监测的采样口，采样口的设置应符合《污染源监测技术规范》要求。</w:t>
            </w:r>
          </w:p>
        </w:tc>
      </w:tr>
      <w:tr w14:paraId="4621D0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tcMar>
              <w:left w:w="0" w:type="dxa"/>
              <w:right w:w="0" w:type="dxa"/>
            </w:tcMar>
            <w:vAlign w:val="center"/>
          </w:tcPr>
          <w:p w14:paraId="19CD1F0F">
            <w:pPr>
              <w:adjustRightInd w:val="0"/>
              <w:snapToGrid w:val="0"/>
              <w:spacing w:line="240" w:lineRule="auto"/>
              <w:ind w:firstLine="0" w:firstLineChars="0"/>
              <w:jc w:val="center"/>
              <w:rPr>
                <w:sz w:val="21"/>
                <w:szCs w:val="21"/>
              </w:rPr>
            </w:pPr>
            <w:r>
              <w:rPr>
                <w:sz w:val="21"/>
                <w:szCs w:val="21"/>
              </w:rPr>
              <w:t>立标管理</w:t>
            </w:r>
          </w:p>
        </w:tc>
        <w:tc>
          <w:tcPr>
            <w:tcW w:w="4612" w:type="pct"/>
            <w:tcMar>
              <w:left w:w="0" w:type="dxa"/>
              <w:right w:w="0" w:type="dxa"/>
            </w:tcMar>
            <w:vAlign w:val="center"/>
          </w:tcPr>
          <w:p w14:paraId="26DD1CB2">
            <w:pPr>
              <w:adjustRightInd w:val="0"/>
              <w:snapToGrid w:val="0"/>
              <w:spacing w:line="240" w:lineRule="auto"/>
              <w:ind w:firstLine="0" w:firstLineChars="0"/>
              <w:rPr>
                <w:sz w:val="21"/>
                <w:szCs w:val="21"/>
              </w:rPr>
            </w:pPr>
            <w:r>
              <w:rPr>
                <w:sz w:val="21"/>
                <w:szCs w:val="21"/>
              </w:rPr>
              <w:t>1、污染物排放口必须实行规范化整治，应按照国家《环境保护图形标志》（GB15562.1-1995）与（GB15562.2-1995）的相关规定，设置由国家环保部统一定点制作和监制的环保图形标志牌；</w:t>
            </w:r>
          </w:p>
          <w:p w14:paraId="57529BDE">
            <w:pPr>
              <w:adjustRightInd w:val="0"/>
              <w:snapToGrid w:val="0"/>
              <w:spacing w:line="240" w:lineRule="auto"/>
              <w:ind w:firstLine="0" w:firstLineChars="0"/>
              <w:rPr>
                <w:sz w:val="21"/>
                <w:szCs w:val="21"/>
              </w:rPr>
            </w:pPr>
            <w:r>
              <w:rPr>
                <w:sz w:val="21"/>
                <w:szCs w:val="21"/>
              </w:rPr>
              <w:t>2、环保图形标志牌设置位置应距污染物排放口及固体废物贮存</w:t>
            </w:r>
            <w:r>
              <w:rPr>
                <w:rFonts w:hint="eastAsia"/>
                <w:sz w:val="21"/>
                <w:szCs w:val="21"/>
              </w:rPr>
              <w:t>（</w:t>
            </w:r>
            <w:r>
              <w:rPr>
                <w:sz w:val="21"/>
                <w:szCs w:val="21"/>
              </w:rPr>
              <w:t>处置</w:t>
            </w:r>
            <w:r>
              <w:rPr>
                <w:rFonts w:hint="eastAsia"/>
                <w:sz w:val="21"/>
                <w:szCs w:val="21"/>
              </w:rPr>
              <w:t>）</w:t>
            </w:r>
            <w:r>
              <w:rPr>
                <w:sz w:val="21"/>
                <w:szCs w:val="21"/>
              </w:rPr>
              <w:t>场或采样点较近且醒目处，设置高度一般为标志牌上缘距离地面约2m；</w:t>
            </w:r>
          </w:p>
          <w:p w14:paraId="2F1EAA66">
            <w:pPr>
              <w:adjustRightInd w:val="0"/>
              <w:snapToGrid w:val="0"/>
              <w:spacing w:line="240" w:lineRule="auto"/>
              <w:ind w:firstLine="0" w:firstLineChars="0"/>
              <w:rPr>
                <w:sz w:val="21"/>
                <w:szCs w:val="21"/>
              </w:rPr>
            </w:pPr>
            <w:r>
              <w:rPr>
                <w:sz w:val="21"/>
                <w:szCs w:val="21"/>
              </w:rPr>
              <w:t>3、重点排污单位的污染物排放口以设置立式标志牌为主，一般排污单位的污染物排放口可根</w:t>
            </w:r>
            <w:r>
              <w:rPr>
                <w:rFonts w:hint="eastAsia"/>
                <w:sz w:val="21"/>
                <w:szCs w:val="21"/>
              </w:rPr>
              <w:t>据情况设置立式或平面固定式标志牌；</w:t>
            </w:r>
          </w:p>
          <w:p w14:paraId="7DA8AC51">
            <w:pPr>
              <w:adjustRightInd w:val="0"/>
              <w:snapToGrid w:val="0"/>
              <w:spacing w:line="240" w:lineRule="auto"/>
              <w:ind w:firstLine="0" w:firstLineChars="0"/>
              <w:rPr>
                <w:sz w:val="21"/>
                <w:szCs w:val="21"/>
              </w:rPr>
            </w:pPr>
            <w:r>
              <w:rPr>
                <w:rFonts w:hint="eastAsia"/>
                <w:sz w:val="21"/>
                <w:szCs w:val="21"/>
              </w:rPr>
              <w:t>4、对一般性污染物排放口应设置提示性环保图形标志牌。</w:t>
            </w:r>
          </w:p>
        </w:tc>
      </w:tr>
      <w:tr w14:paraId="35CD2A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tcMar>
              <w:left w:w="0" w:type="dxa"/>
              <w:right w:w="0" w:type="dxa"/>
            </w:tcMar>
            <w:vAlign w:val="center"/>
          </w:tcPr>
          <w:p w14:paraId="57BF6789">
            <w:pPr>
              <w:adjustRightInd w:val="0"/>
              <w:snapToGrid w:val="0"/>
              <w:spacing w:line="240" w:lineRule="auto"/>
              <w:ind w:firstLine="0" w:firstLineChars="0"/>
              <w:jc w:val="center"/>
              <w:rPr>
                <w:sz w:val="21"/>
                <w:szCs w:val="21"/>
              </w:rPr>
            </w:pPr>
            <w:r>
              <w:rPr>
                <w:rFonts w:hint="eastAsia"/>
                <w:sz w:val="21"/>
                <w:szCs w:val="21"/>
              </w:rPr>
              <w:t>建档管理</w:t>
            </w:r>
          </w:p>
        </w:tc>
        <w:tc>
          <w:tcPr>
            <w:tcW w:w="4612" w:type="pct"/>
            <w:tcMar>
              <w:left w:w="0" w:type="dxa"/>
              <w:right w:w="0" w:type="dxa"/>
            </w:tcMar>
            <w:vAlign w:val="center"/>
          </w:tcPr>
          <w:p w14:paraId="0D3E0B67">
            <w:pPr>
              <w:adjustRightInd w:val="0"/>
              <w:snapToGrid w:val="0"/>
              <w:spacing w:line="240" w:lineRule="auto"/>
              <w:ind w:firstLine="0" w:firstLineChars="0"/>
              <w:rPr>
                <w:sz w:val="21"/>
                <w:szCs w:val="21"/>
              </w:rPr>
            </w:pPr>
            <w:r>
              <w:rPr>
                <w:rFonts w:hint="eastAsia"/>
                <w:sz w:val="21"/>
                <w:szCs w:val="21"/>
              </w:rPr>
              <w:t>1、使用《中华人民共和国规范化排污口标志登记证》，并按要求填写有关内容；</w:t>
            </w:r>
          </w:p>
          <w:p w14:paraId="63C4E6A9">
            <w:pPr>
              <w:adjustRightInd w:val="0"/>
              <w:snapToGrid w:val="0"/>
              <w:spacing w:line="240" w:lineRule="auto"/>
              <w:ind w:firstLine="0" w:firstLineChars="0"/>
              <w:rPr>
                <w:sz w:val="21"/>
                <w:szCs w:val="21"/>
              </w:rPr>
            </w:pPr>
            <w:r>
              <w:rPr>
                <w:rFonts w:hint="eastAsia"/>
                <w:sz w:val="21"/>
                <w:szCs w:val="21"/>
              </w:rPr>
              <w:t>2、严格按照环境管理监控计划及排污口管理内容要求，在工程建成后将主要污染物种类、数量、排放浓度与去向，立标及环保设施运行情况记录在案，并及时上报；</w:t>
            </w:r>
          </w:p>
          <w:p w14:paraId="1AB75DA3">
            <w:pPr>
              <w:adjustRightInd w:val="0"/>
              <w:snapToGrid w:val="0"/>
              <w:spacing w:line="240" w:lineRule="auto"/>
              <w:ind w:firstLine="0" w:firstLineChars="0"/>
              <w:rPr>
                <w:sz w:val="21"/>
                <w:szCs w:val="21"/>
              </w:rPr>
            </w:pPr>
            <w:r>
              <w:rPr>
                <w:rFonts w:hint="eastAsia"/>
                <w:sz w:val="21"/>
                <w:szCs w:val="21"/>
              </w:rPr>
              <w:t>3、选派有专业技能环保人员对排污口进行管理，做到责任明确、奖罚分明。</w:t>
            </w:r>
          </w:p>
        </w:tc>
      </w:tr>
    </w:tbl>
    <w:p w14:paraId="4551592E">
      <w:pPr>
        <w:ind w:firstLine="480"/>
      </w:pPr>
      <w:r>
        <w:rPr>
          <w:rFonts w:hint="eastAsia"/>
        </w:rPr>
        <w:t>排污口图形标志见下表。</w:t>
      </w:r>
    </w:p>
    <w:p w14:paraId="38A092BD">
      <w:pPr>
        <w:pStyle w:val="41"/>
      </w:pPr>
      <w:bookmarkStart w:id="761" w:name="_Toc131679958"/>
      <w:bookmarkStart w:id="762" w:name="_Toc152864288"/>
      <w:r>
        <w:rPr>
          <w:rFonts w:hint="eastAsia"/>
        </w:rPr>
        <w:t>环境监理</w:t>
      </w:r>
      <w:bookmarkEnd w:id="761"/>
    </w:p>
    <w:p w14:paraId="26324658">
      <w:pPr>
        <w:ind w:firstLine="480"/>
      </w:pPr>
      <w:r>
        <w:rPr>
          <w:rFonts w:hint="eastAsia"/>
        </w:rPr>
        <w:t>根据《关于印发&lt;兵团建设项目环境监理暂行规定&gt;的通知》（兵环发〔2013〕214号）和《关于印发&lt;兵团建设项目环境监理实施方案技术要求和兵团建设项目环境监理报告技术要求&gt;的通知》（兵环发〔2013〕319号）的要求。建设单位应当委托具有环境监理资质的机构，依据环境影响评价及其批复或审查意见文件，对项目建设过程进行现场环境监理和咨询服务。建设项目竣工环境保护验收时，建设单位应当向环境保护行政主管部门提交建设项目环境监理报告和相关资料，内容包括土建工程主梁、防渗工程阶段性质量验收报告以及相关影像资料等。应当开展环境监理而未进行环境监理、不能提供建设项目环境监理报告和相关资料的建设项目，环境保护行政主管部门不予办理试生产核准和竣工环境保护验收手续。</w:t>
      </w:r>
    </w:p>
    <w:p w14:paraId="2E86DA1A">
      <w:pPr>
        <w:pStyle w:val="43"/>
      </w:pPr>
      <w:bookmarkStart w:id="763" w:name="_Toc82518885"/>
      <w:bookmarkStart w:id="764" w:name="_Toc108710737"/>
      <w:bookmarkStart w:id="765" w:name="_Toc127441101"/>
      <w:bookmarkStart w:id="766" w:name="_Toc131679959"/>
      <w:r>
        <w:rPr>
          <w:rFonts w:hint="eastAsia"/>
        </w:rPr>
        <w:t>监理目的</w:t>
      </w:r>
      <w:bookmarkEnd w:id="763"/>
      <w:bookmarkEnd w:id="764"/>
      <w:bookmarkEnd w:id="765"/>
      <w:bookmarkEnd w:id="766"/>
    </w:p>
    <w:p w14:paraId="5258D180">
      <w:pPr>
        <w:ind w:firstLine="480"/>
      </w:pPr>
      <w:r>
        <w:rPr>
          <w:rFonts w:hint="eastAsia"/>
        </w:rPr>
        <w:t>在本项目施工期间，应根据环境保护设计要求，开展施工期环境监理工作，确保环境保护设施高质量的施工，并及时处理和解决临时出现的环境污染事件。</w:t>
      </w:r>
    </w:p>
    <w:p w14:paraId="3103633A">
      <w:pPr>
        <w:pStyle w:val="43"/>
      </w:pPr>
      <w:bookmarkStart w:id="767" w:name="_Toc82518886"/>
      <w:bookmarkStart w:id="768" w:name="_Toc131679960"/>
      <w:bookmarkStart w:id="769" w:name="_Toc108710738"/>
      <w:bookmarkStart w:id="770" w:name="_Toc127441102"/>
      <w:r>
        <w:rPr>
          <w:rFonts w:hint="eastAsia"/>
        </w:rPr>
        <w:t>监理内容</w:t>
      </w:r>
      <w:bookmarkEnd w:id="767"/>
      <w:bookmarkEnd w:id="768"/>
      <w:bookmarkEnd w:id="769"/>
      <w:bookmarkEnd w:id="770"/>
    </w:p>
    <w:p w14:paraId="2DC7F6D6">
      <w:pPr>
        <w:pStyle w:val="45"/>
        <w:spacing w:before="65" w:after="65"/>
      </w:pPr>
      <w:r>
        <w:rPr>
          <w:rFonts w:hint="eastAsia"/>
        </w:rPr>
        <w:t>环境监理重点关注内容</w:t>
      </w:r>
    </w:p>
    <w:p w14:paraId="1F9C1547">
      <w:pPr>
        <w:ind w:firstLine="480"/>
      </w:pPr>
      <w:r>
        <w:rPr>
          <w:rFonts w:hint="eastAsia"/>
        </w:rPr>
        <w:t>建设项目环境监理除按相关技术规范和规定要求开展外，还应对如下内容予以高度关注：</w:t>
      </w:r>
    </w:p>
    <w:p w14:paraId="13116BF8">
      <w:pPr>
        <w:ind w:firstLine="480"/>
      </w:pPr>
      <w:r>
        <w:rPr>
          <w:rFonts w:hint="eastAsia"/>
        </w:rPr>
        <w:t>（1）项目建设与环评文件及批复或审查意见的符合性。项目性质、规模、选址、平面布置、工艺、环保措施等实际建设内容与环评文件及批复或审查意见的要求是否相符。</w:t>
      </w:r>
    </w:p>
    <w:p w14:paraId="71893A7C">
      <w:pPr>
        <w:ind w:firstLine="480"/>
      </w:pPr>
      <w:r>
        <w:rPr>
          <w:rFonts w:hint="eastAsia"/>
        </w:rPr>
        <w:t>（2）建设项目施工建设过程中环境污染治理设施、环境风险防范与事故应急设施与措施、与环保相关的隐蔽工程（如：防渗工程）等是否按照环评文件及批复或审查意见要与主体工程同步建设，相应的环保措施是否同步落实。</w:t>
      </w:r>
    </w:p>
    <w:p w14:paraId="29D96597">
      <w:pPr>
        <w:ind w:firstLine="480"/>
      </w:pPr>
      <w:r>
        <w:rPr>
          <w:rFonts w:hint="eastAsia"/>
        </w:rPr>
        <w:t>（3）主体工程配套的“以新带老”、落后产能淘汰、生态环境保护和地貌恢复等环保措施和要求。</w:t>
      </w:r>
    </w:p>
    <w:p w14:paraId="4DA0E714">
      <w:pPr>
        <w:ind w:firstLine="480"/>
      </w:pPr>
      <w:r>
        <w:rPr>
          <w:rFonts w:hint="eastAsia"/>
        </w:rPr>
        <w:t>根据建设项目环境影响评价文件及批复或审查意见文件的要求，结合施工期环境污染的特点，按基础工程、土建工程、安装工程等给出环境监理要点，包括大气污染防治、水污染防治、噪声污染防治、固体废物污染防治、环境风险防范和其他污染防治措施。</w:t>
      </w:r>
    </w:p>
    <w:p w14:paraId="0CD3B2C2">
      <w:pPr>
        <w:ind w:firstLine="480"/>
      </w:pPr>
      <w:r>
        <w:rPr>
          <w:rFonts w:hint="eastAsia"/>
        </w:rPr>
        <w:t>根据环境影响评价文件及批复或审查意见文件的要求，给出项目配套建设的环境保护防治设施的环境监理要点，反映环境环保防治设施的主要处理工艺、处理规模、数量、效率等；包括大气污染防治、水污染防治、噪声污染控制、固体废物处理与处置、生态保护与修复设施和环境风险防范等设施（包括自动切断导排系统）。</w:t>
      </w:r>
    </w:p>
    <w:p w14:paraId="069D7307">
      <w:pPr>
        <w:pStyle w:val="45"/>
        <w:spacing w:before="65" w:after="65"/>
      </w:pPr>
      <w:r>
        <w:rPr>
          <w:rFonts w:hint="eastAsia"/>
        </w:rPr>
        <w:t>环境监理职责与内容</w:t>
      </w:r>
    </w:p>
    <w:p w14:paraId="4E6C47BB">
      <w:pPr>
        <w:ind w:firstLine="480"/>
      </w:pPr>
      <w:r>
        <w:rPr>
          <w:rFonts w:hint="eastAsia"/>
        </w:rPr>
        <w:t>环境监理单位应按照合同，公正、独立、自主地开展环境监理工作，维护建设单位的合法权益，确保建设项目各项环境保护措施达到环评文件及批复或审查意见的要求，并对建设项目环境监理结论负责。遵循国家及当地政府关于环境保护的方针、政策、法令、法规，监督落实与建设单位签定的工程承包合同中有关环保条款。主要工作为：</w:t>
      </w:r>
    </w:p>
    <w:p w14:paraId="4AA9A5BE">
      <w:pPr>
        <w:ind w:firstLine="480"/>
      </w:pPr>
      <w:r>
        <w:rPr>
          <w:rFonts w:hint="eastAsia"/>
        </w:rPr>
        <w:t>（1）按照建设项目环评文件和批复或审查意见的要求，编制环境监理实施方案，并报负责该建设项目“三同时”监督管理的环境保护行政主管部门。</w:t>
      </w:r>
    </w:p>
    <w:p w14:paraId="64DDB03E">
      <w:pPr>
        <w:ind w:firstLine="480"/>
      </w:pPr>
      <w:r>
        <w:rPr>
          <w:rFonts w:hint="eastAsia"/>
        </w:rPr>
        <w:t>（2）依据项目建设进度，按单项措施编制环境监理实施细则。</w:t>
      </w:r>
    </w:p>
    <w:p w14:paraId="2232DE35">
      <w:pPr>
        <w:ind w:firstLine="480"/>
      </w:pPr>
      <w:r>
        <w:rPr>
          <w:rFonts w:hint="eastAsia"/>
        </w:rPr>
        <w:t>（3）按照环境监理实施细则实施监理，定期向项目建设单位提供环境监理报告。</w:t>
      </w:r>
    </w:p>
    <w:p w14:paraId="1A7AFFD2">
      <w:pPr>
        <w:ind w:firstLine="480"/>
      </w:pPr>
      <w:r>
        <w:rPr>
          <w:rFonts w:hint="eastAsia"/>
        </w:rPr>
        <w:t>（</w:t>
      </w:r>
      <w:r>
        <w:t>4</w:t>
      </w:r>
      <w:r>
        <w:rPr>
          <w:rFonts w:hint="eastAsia"/>
        </w:rPr>
        <w:t>）环境监理工作结束后，向项目建设单位提交环境监理总报告，移交完整的环境监理档案资料。</w:t>
      </w:r>
    </w:p>
    <w:p w14:paraId="7275D071">
      <w:pPr>
        <w:pStyle w:val="45"/>
        <w:spacing w:before="65" w:after="65"/>
      </w:pPr>
      <w:r>
        <w:rPr>
          <w:rFonts w:hint="eastAsia"/>
        </w:rPr>
        <w:t>环境监理方法</w:t>
      </w:r>
    </w:p>
    <w:p w14:paraId="57DD98A7">
      <w:pPr>
        <w:ind w:firstLine="480"/>
      </w:pPr>
      <w:r>
        <w:rPr>
          <w:rFonts w:hint="eastAsia"/>
        </w:rPr>
        <w:t>根据确定的环境监理内容和要点，开展现场环境监理，按施工进度、分项工程，明确施工期环境监理的方法。</w:t>
      </w:r>
    </w:p>
    <w:p w14:paraId="491555D3">
      <w:pPr>
        <w:ind w:firstLine="480"/>
      </w:pPr>
      <w:r>
        <w:rPr>
          <w:rFonts w:hint="eastAsia"/>
        </w:rPr>
        <w:t>（1）资料查阅——说明工程相关资料与工程建设的落实情况；</w:t>
      </w:r>
    </w:p>
    <w:p w14:paraId="1D3CF00A">
      <w:pPr>
        <w:ind w:firstLine="480"/>
      </w:pPr>
      <w:r>
        <w:rPr>
          <w:rFonts w:hint="eastAsia"/>
        </w:rPr>
        <w:t>（2）巡视检查——说明巡视检查的内容、范围与频次；</w:t>
      </w:r>
    </w:p>
    <w:p w14:paraId="7640C704">
      <w:pPr>
        <w:ind w:firstLine="480"/>
      </w:pPr>
      <w:r>
        <w:rPr>
          <w:rFonts w:hint="eastAsia"/>
        </w:rPr>
        <w:t>（3）旁站监理——说明旁站监理的具体部位和内容；</w:t>
      </w:r>
    </w:p>
    <w:p w14:paraId="63CE4450">
      <w:pPr>
        <w:ind w:firstLine="480"/>
      </w:pPr>
      <w:r>
        <w:rPr>
          <w:rFonts w:hint="eastAsia"/>
        </w:rPr>
        <w:t>（4）现场记录——说明环境监理日志、影像的要求；</w:t>
      </w:r>
    </w:p>
    <w:p w14:paraId="79AE60AC">
      <w:pPr>
        <w:ind w:firstLine="480"/>
      </w:pPr>
      <w:r>
        <w:rPr>
          <w:rFonts w:hint="eastAsia"/>
        </w:rPr>
        <w:t>（5）发布文件指令——说明发布文件、指令的程序；</w:t>
      </w:r>
    </w:p>
    <w:p w14:paraId="1955E242">
      <w:pPr>
        <w:ind w:firstLine="480"/>
      </w:pPr>
      <w:r>
        <w:rPr>
          <w:rFonts w:hint="eastAsia"/>
        </w:rPr>
        <w:t>（6）环境监理专题会议——说明召开环境监理专题会议的条件。</w:t>
      </w:r>
    </w:p>
    <w:p w14:paraId="49F09DAB">
      <w:pPr>
        <w:pStyle w:val="43"/>
      </w:pPr>
      <w:bookmarkStart w:id="771" w:name="_Toc131679961"/>
      <w:bookmarkStart w:id="772" w:name="_Toc82518887"/>
      <w:bookmarkStart w:id="773" w:name="_Toc127441103"/>
      <w:bookmarkStart w:id="774" w:name="_Toc108710739"/>
      <w:r>
        <w:rPr>
          <w:rFonts w:hint="eastAsia"/>
        </w:rPr>
        <w:t>环境监理主要成果</w:t>
      </w:r>
      <w:bookmarkEnd w:id="771"/>
      <w:bookmarkEnd w:id="772"/>
      <w:bookmarkEnd w:id="773"/>
      <w:bookmarkEnd w:id="774"/>
    </w:p>
    <w:p w14:paraId="28988F75">
      <w:pPr>
        <w:ind w:firstLine="480"/>
      </w:pPr>
      <w:r>
        <w:rPr>
          <w:rFonts w:hint="eastAsia"/>
        </w:rPr>
        <w:t>（1）环境监理实施方案；</w:t>
      </w:r>
    </w:p>
    <w:p w14:paraId="721AAA04">
      <w:pPr>
        <w:ind w:firstLine="480"/>
      </w:pPr>
      <w:r>
        <w:rPr>
          <w:rFonts w:hint="eastAsia"/>
        </w:rPr>
        <w:t>（2）环境监理报告；环境监理报告必须全面客观反映项目建设与环评文件及批复或审查意见的符合性（性质、规模、选址、平面布置、工艺、环保措施等实际建设内容与环评文件及批复或审查意见的要求是否相符）；施工建设过程中环境污染治理设施、环境风险防范与事故应急设施与措施、与环保相关的隐蔽工程（如：防渗工程）等是否按照环评文件及批复或审查意见要求，与主体工程同步建设，相应的环保措施是否同步落实；主体工程配套的“以新带老”、落后产能淘汰、生态环境保护和地貌恢复等环保措施和要求；其它需要环境监理的内容等。</w:t>
      </w:r>
    </w:p>
    <w:p w14:paraId="1BFCADF1">
      <w:pPr>
        <w:ind w:firstLine="480"/>
      </w:pPr>
      <w:r>
        <w:rPr>
          <w:rFonts w:hint="eastAsia"/>
        </w:rPr>
        <w:t>（3）移交建设单位的环境监理文件和资料清单。</w:t>
      </w:r>
    </w:p>
    <w:p w14:paraId="24275693">
      <w:pPr>
        <w:pStyle w:val="43"/>
      </w:pPr>
      <w:bookmarkStart w:id="775" w:name="_Toc108710740"/>
      <w:bookmarkStart w:id="776" w:name="_Toc82518888"/>
      <w:bookmarkStart w:id="777" w:name="_Toc131679962"/>
      <w:bookmarkStart w:id="778" w:name="_Toc127441104"/>
      <w:r>
        <w:rPr>
          <w:rFonts w:hint="eastAsia"/>
        </w:rPr>
        <w:t>环境监理机构</w:t>
      </w:r>
      <w:bookmarkEnd w:id="775"/>
      <w:bookmarkEnd w:id="776"/>
      <w:bookmarkEnd w:id="777"/>
      <w:bookmarkEnd w:id="778"/>
    </w:p>
    <w:p w14:paraId="2E988A4B">
      <w:pPr>
        <w:ind w:firstLine="480"/>
      </w:pPr>
      <w:r>
        <w:t>环境监理机构由</w:t>
      </w:r>
      <w:r>
        <w:rPr>
          <w:rFonts w:hint="eastAsia"/>
        </w:rPr>
        <w:t>建设</w:t>
      </w:r>
      <w:r>
        <w:t>单位在具有相应资质的单位中招标确定。</w:t>
      </w:r>
    </w:p>
    <w:p w14:paraId="1A02435D">
      <w:pPr>
        <w:pStyle w:val="43"/>
      </w:pPr>
      <w:bookmarkStart w:id="779" w:name="_Toc127441105"/>
      <w:bookmarkStart w:id="780" w:name="_Toc131679963"/>
      <w:bookmarkStart w:id="781" w:name="_Toc82518889"/>
      <w:bookmarkStart w:id="782" w:name="_Toc108710741"/>
      <w:r>
        <w:rPr>
          <w:rFonts w:hint="eastAsia"/>
        </w:rPr>
        <w:t>环境监理建议</w:t>
      </w:r>
      <w:bookmarkEnd w:id="779"/>
      <w:bookmarkEnd w:id="780"/>
      <w:bookmarkEnd w:id="781"/>
      <w:bookmarkEnd w:id="782"/>
    </w:p>
    <w:p w14:paraId="15E5B665">
      <w:pPr>
        <w:ind w:firstLine="480"/>
      </w:pPr>
      <w:r>
        <w:rPr>
          <w:rFonts w:hint="eastAsia"/>
        </w:rPr>
        <w:t>为预防和治理施工中的环境污染问题，要加强施工期的环境监测和管理。对此，提出以下建议：</w:t>
      </w:r>
    </w:p>
    <w:p w14:paraId="3CCCE666">
      <w:pPr>
        <w:ind w:firstLine="480"/>
      </w:pPr>
      <w:r>
        <w:rPr>
          <w:rFonts w:hint="eastAsia"/>
        </w:rPr>
        <w:t>（1）建设单位在签订施工承包合同时，应将有关环境保护的条款列入合同，其中应包括施工中在环境污染预防和治理方面对承包方的具体要求，如施工噪声污染、废水、扬尘和废气等排放治理，施工垃圾处理处置等内容。</w:t>
      </w:r>
    </w:p>
    <w:p w14:paraId="5649DF4E">
      <w:pPr>
        <w:ind w:firstLine="480"/>
      </w:pPr>
      <w:r>
        <w:rPr>
          <w:rFonts w:hint="eastAsia"/>
        </w:rPr>
        <w:t>（2）建设期间业主单位应指派一名环保专职或兼职人员，负责施工的环境管理工作，并参与制定和落实施工中的污染防治措施和应急计划，向施工人员讲明施工应采取的环保措施及注意事项。</w:t>
      </w:r>
    </w:p>
    <w:p w14:paraId="29C876CA">
      <w:pPr>
        <w:ind w:firstLine="480"/>
      </w:pPr>
      <w:r>
        <w:rPr>
          <w:rFonts w:hint="eastAsia"/>
        </w:rPr>
        <w:t>环境监理小组负责检查环评报告中提出的环境影响减缓措施在施工阶段的实施情况，确保施工单位做到环境监理的要求。</w:t>
      </w:r>
    </w:p>
    <w:p w14:paraId="07B88069">
      <w:pPr>
        <w:ind w:firstLine="480"/>
      </w:pPr>
      <w:r>
        <w:rPr>
          <w:rFonts w:hint="eastAsia"/>
        </w:rPr>
        <w:t>（3）施工监理过程留下的相关工程质量验收档案和相关影像资料等应妥善保存1年以上，作为本项目竣工环境保护验收的技术支撑材料。</w:t>
      </w:r>
    </w:p>
    <w:p w14:paraId="3579D3FE">
      <w:pPr>
        <w:pStyle w:val="41"/>
      </w:pPr>
      <w:r>
        <w:rPr>
          <w:rFonts w:hint="eastAsia"/>
        </w:rPr>
        <w:t>污染物</w:t>
      </w:r>
      <w:r>
        <w:t>排放</w:t>
      </w:r>
      <w:r>
        <w:rPr>
          <w:rFonts w:hint="eastAsia"/>
        </w:rPr>
        <w:t>清单</w:t>
      </w:r>
      <w:bookmarkEnd w:id="762"/>
    </w:p>
    <w:p w14:paraId="517F7DE8">
      <w:pPr>
        <w:ind w:firstLine="480"/>
      </w:pPr>
      <w:r>
        <w:rPr>
          <w:rFonts w:hint="eastAsia"/>
        </w:rPr>
        <w:t>“关于做好环境影响评价制度与排污许可制衔接相关工作的通知（环办环评〔2017〕84号）”：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技术导则等技术文件，严格核定排放口数量、位置以及每个排放口的污染物种类、允许排放浓度和允许排放量、排放方式、排放去向、自行监测计划等与污染物排放相关的主要内容。</w:t>
      </w:r>
    </w:p>
    <w:p w14:paraId="71E43AE2">
      <w:pPr>
        <w:ind w:firstLine="480"/>
      </w:pPr>
      <w:r>
        <w:rPr>
          <w:rFonts w:hint="eastAsia"/>
        </w:rPr>
        <w:t>环境监测是保证环境管理措施落实的一个基本手段。环境监测能及时、准确地提供环境质量、污染源状况及发展趋势、环保设施运行效果的信息。及时发现环境管理措施的不足而及时修正，使环境质量和环境资源维持在期望值之内。</w:t>
      </w:r>
    </w:p>
    <w:p w14:paraId="67A91A00">
      <w:pPr>
        <w:ind w:firstLine="480"/>
      </w:pPr>
      <w:r>
        <w:rPr>
          <w:rFonts w:hint="eastAsia"/>
        </w:rPr>
        <w:t>环境监测工作主要委托有资质第三方监测机构定期对本项目区环境质量和污染源排放情况监测，并定期接受当地主管部门的监督性监测和指导。</w:t>
      </w:r>
    </w:p>
    <w:p w14:paraId="6D24DB1B">
      <w:pPr>
        <w:pStyle w:val="43"/>
      </w:pPr>
      <w:bookmarkStart w:id="783" w:name="_Toc152864289"/>
      <w:bookmarkStart w:id="784" w:name="_Toc82518880"/>
      <w:bookmarkStart w:id="785" w:name="_Toc80193195"/>
      <w:bookmarkStart w:id="786" w:name="_Toc80973619"/>
      <w:bookmarkStart w:id="787" w:name="_Toc79515566"/>
      <w:bookmarkStart w:id="788" w:name="_Toc77007888"/>
      <w:bookmarkStart w:id="789" w:name="_Toc81214187"/>
      <w:r>
        <w:rPr>
          <w:rFonts w:hint="eastAsia"/>
        </w:rPr>
        <w:t>污染源监测计划</w:t>
      </w:r>
      <w:bookmarkEnd w:id="783"/>
      <w:bookmarkEnd w:id="784"/>
      <w:bookmarkEnd w:id="785"/>
      <w:bookmarkEnd w:id="786"/>
      <w:bookmarkEnd w:id="787"/>
      <w:bookmarkEnd w:id="788"/>
      <w:bookmarkEnd w:id="789"/>
    </w:p>
    <w:p w14:paraId="68AA45CA">
      <w:pPr>
        <w:ind w:firstLine="480"/>
      </w:pPr>
      <w:r>
        <w:rPr>
          <w:rFonts w:hint="eastAsia"/>
        </w:rPr>
        <w:t>根据《排污许可证申请与核发技术规范 石化工业》（HJ</w:t>
      </w:r>
      <w:r>
        <w:t>853-2017</w:t>
      </w:r>
      <w:r>
        <w:rPr>
          <w:rFonts w:hint="eastAsia"/>
        </w:rPr>
        <w:t>）和《排污单位自行监测技术指南 石油炼制工业》（HJ</w:t>
      </w:r>
      <w:r>
        <w:t>880-2017</w:t>
      </w:r>
      <w:r>
        <w:rPr>
          <w:rFonts w:hint="eastAsia"/>
        </w:rPr>
        <w:t>），本企业污染源监测计划见下表。</w:t>
      </w:r>
    </w:p>
    <w:p w14:paraId="1B5D038C">
      <w:pPr>
        <w:pStyle w:val="47"/>
        <w:spacing w:before="65"/>
      </w:pPr>
      <w:r>
        <w:rPr>
          <w:rFonts w:hint="eastAsia"/>
        </w:rPr>
        <w:t>表8</w:t>
      </w:r>
      <w:r>
        <w:t xml:space="preserve">.3-1   </w:t>
      </w:r>
      <w:r>
        <w:rPr>
          <w:rFonts w:hint="eastAsia"/>
        </w:rPr>
        <w:t>本项目污染源监测计划表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440"/>
        <w:gridCol w:w="552"/>
        <w:gridCol w:w="1132"/>
        <w:gridCol w:w="2552"/>
        <w:gridCol w:w="992"/>
        <w:gridCol w:w="3062"/>
      </w:tblGrid>
      <w:tr w14:paraId="179E9A8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68" w:type="pct"/>
            <w:gridSpan w:val="2"/>
            <w:shd w:val="clear" w:color="auto" w:fill="auto"/>
            <w:vAlign w:val="center"/>
          </w:tcPr>
          <w:p w14:paraId="3D679938">
            <w:pPr>
              <w:pStyle w:val="90"/>
              <w:rPr>
                <w:lang w:eastAsia="en-US"/>
              </w:rPr>
            </w:pPr>
            <w:r>
              <w:rPr>
                <w:lang w:eastAsia="en-US"/>
              </w:rPr>
              <w:t>类别</w:t>
            </w:r>
          </w:p>
        </w:tc>
        <w:tc>
          <w:tcPr>
            <w:tcW w:w="648" w:type="pct"/>
            <w:shd w:val="clear" w:color="auto" w:fill="auto"/>
            <w:vAlign w:val="center"/>
          </w:tcPr>
          <w:p w14:paraId="6992546A">
            <w:pPr>
              <w:pStyle w:val="90"/>
              <w:rPr>
                <w:lang w:eastAsia="en-US"/>
              </w:rPr>
            </w:pPr>
            <w:r>
              <w:rPr>
                <w:lang w:eastAsia="en-US"/>
              </w:rPr>
              <w:t>监测点位</w:t>
            </w:r>
          </w:p>
        </w:tc>
        <w:tc>
          <w:tcPr>
            <w:tcW w:w="1461" w:type="pct"/>
            <w:shd w:val="clear" w:color="auto" w:fill="auto"/>
            <w:vAlign w:val="center"/>
          </w:tcPr>
          <w:p w14:paraId="01B17C9C">
            <w:pPr>
              <w:pStyle w:val="90"/>
              <w:rPr>
                <w:lang w:eastAsia="en-US"/>
              </w:rPr>
            </w:pPr>
            <w:r>
              <w:rPr>
                <w:lang w:eastAsia="en-US"/>
              </w:rPr>
              <w:t>监测因子</w:t>
            </w:r>
          </w:p>
        </w:tc>
        <w:tc>
          <w:tcPr>
            <w:tcW w:w="568" w:type="pct"/>
            <w:shd w:val="clear" w:color="auto" w:fill="auto"/>
            <w:vAlign w:val="center"/>
          </w:tcPr>
          <w:p w14:paraId="3F3E4741">
            <w:pPr>
              <w:pStyle w:val="90"/>
              <w:rPr>
                <w:lang w:eastAsia="en-US"/>
              </w:rPr>
            </w:pPr>
            <w:r>
              <w:rPr>
                <w:lang w:eastAsia="en-US"/>
              </w:rPr>
              <w:t>监测频次</w:t>
            </w:r>
          </w:p>
        </w:tc>
        <w:tc>
          <w:tcPr>
            <w:tcW w:w="1753" w:type="pct"/>
            <w:vAlign w:val="center"/>
          </w:tcPr>
          <w:p w14:paraId="0BDEA319">
            <w:pPr>
              <w:pStyle w:val="90"/>
              <w:rPr>
                <w:lang w:eastAsia="en-US"/>
              </w:rPr>
            </w:pPr>
            <w:r>
              <w:rPr>
                <w:rFonts w:hint="eastAsia"/>
              </w:rPr>
              <w:t>评价标准</w:t>
            </w:r>
          </w:p>
        </w:tc>
      </w:tr>
      <w:tr w14:paraId="7483C3E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52" w:type="pct"/>
            <w:vMerge w:val="restart"/>
            <w:shd w:val="clear" w:color="auto" w:fill="auto"/>
            <w:vAlign w:val="center"/>
          </w:tcPr>
          <w:p w14:paraId="461A1B33">
            <w:pPr>
              <w:pStyle w:val="90"/>
            </w:pPr>
            <w:r>
              <w:rPr>
                <w:rFonts w:hint="eastAsia"/>
              </w:rPr>
              <w:t>废气</w:t>
            </w:r>
          </w:p>
        </w:tc>
        <w:tc>
          <w:tcPr>
            <w:tcW w:w="316" w:type="pct"/>
            <w:vMerge w:val="restart"/>
            <w:shd w:val="clear" w:color="auto" w:fill="auto"/>
            <w:vAlign w:val="center"/>
          </w:tcPr>
          <w:p w14:paraId="5E54F42A">
            <w:pPr>
              <w:pStyle w:val="90"/>
            </w:pPr>
            <w:r>
              <w:t>有组织</w:t>
            </w:r>
          </w:p>
        </w:tc>
        <w:tc>
          <w:tcPr>
            <w:tcW w:w="648" w:type="pct"/>
            <w:shd w:val="clear" w:color="auto" w:fill="auto"/>
            <w:vAlign w:val="center"/>
          </w:tcPr>
          <w:p w14:paraId="3B8A9782">
            <w:pPr>
              <w:pStyle w:val="90"/>
              <w:ind w:firstLine="0" w:firstLineChars="0"/>
              <w:rPr>
                <w:rFonts w:hint="default" w:ascii="Times New Roman" w:hAnsi="Times New Roman" w:eastAsia="宋体" w:cs="Times New Roman"/>
                <w:bCs/>
                <w:kern w:val="2"/>
                <w:sz w:val="21"/>
                <w:szCs w:val="20"/>
                <w:lang w:val="en-US" w:eastAsia="zh-CN" w:bidi="ar-SA"/>
              </w:rPr>
            </w:pPr>
            <w:r>
              <w:rPr>
                <w:rFonts w:hint="eastAsia"/>
                <w:lang w:val="en-US" w:eastAsia="zh-CN"/>
              </w:rPr>
              <w:t>DA001</w:t>
            </w:r>
          </w:p>
        </w:tc>
        <w:tc>
          <w:tcPr>
            <w:tcW w:w="1461" w:type="pct"/>
            <w:shd w:val="clear" w:color="auto" w:fill="auto"/>
            <w:vAlign w:val="center"/>
          </w:tcPr>
          <w:p w14:paraId="472AB8BA">
            <w:pPr>
              <w:pStyle w:val="90"/>
              <w:ind w:firstLine="0" w:firstLineChars="0"/>
              <w:rPr>
                <w:rFonts w:ascii="Times New Roman" w:hAnsi="Times New Roman" w:eastAsia="宋体" w:cs="Times New Roman"/>
                <w:bCs/>
                <w:kern w:val="2"/>
                <w:sz w:val="21"/>
                <w:szCs w:val="20"/>
                <w:lang w:val="zh-CN" w:eastAsia="en-US" w:bidi="ar-SA"/>
              </w:rPr>
            </w:pPr>
            <w:r>
              <w:rPr>
                <w:rFonts w:hint="eastAsia"/>
              </w:rPr>
              <w:t>非甲烷总烃</w:t>
            </w:r>
          </w:p>
        </w:tc>
        <w:tc>
          <w:tcPr>
            <w:tcW w:w="568" w:type="pct"/>
            <w:shd w:val="clear" w:color="auto" w:fill="auto"/>
            <w:vAlign w:val="center"/>
          </w:tcPr>
          <w:p w14:paraId="6485B2E0">
            <w:pPr>
              <w:pStyle w:val="90"/>
              <w:ind w:firstLine="0" w:firstLineChars="0"/>
              <w:rPr>
                <w:rFonts w:ascii="Times New Roman" w:hAnsi="Times New Roman" w:eastAsia="宋体" w:cs="Times New Roman"/>
                <w:bCs/>
                <w:kern w:val="2"/>
                <w:sz w:val="21"/>
                <w:szCs w:val="20"/>
                <w:lang w:val="zh-CN" w:eastAsia="zh-CN" w:bidi="ar-SA"/>
              </w:rPr>
            </w:pPr>
            <w:r>
              <w:t>1次/</w:t>
            </w:r>
            <w:r>
              <w:rPr>
                <w:rFonts w:hint="eastAsia"/>
              </w:rPr>
              <w:t>月</w:t>
            </w:r>
          </w:p>
        </w:tc>
        <w:tc>
          <w:tcPr>
            <w:tcW w:w="1753" w:type="pct"/>
            <w:vMerge w:val="restart"/>
            <w:vAlign w:val="center"/>
          </w:tcPr>
          <w:p w14:paraId="197ACDCD">
            <w:pPr>
              <w:pStyle w:val="90"/>
            </w:pPr>
            <w:r>
              <w:rPr>
                <w:rFonts w:hint="eastAsia"/>
              </w:rPr>
              <w:t>《石油炼制工业污染物排放标准》（GB31570-2015）表4</w:t>
            </w:r>
          </w:p>
        </w:tc>
      </w:tr>
      <w:tr w14:paraId="491FB16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52" w:type="pct"/>
            <w:vMerge w:val="continue"/>
            <w:shd w:val="clear" w:color="auto" w:fill="auto"/>
            <w:vAlign w:val="center"/>
          </w:tcPr>
          <w:p w14:paraId="69629442">
            <w:pPr>
              <w:pStyle w:val="90"/>
            </w:pPr>
          </w:p>
        </w:tc>
        <w:tc>
          <w:tcPr>
            <w:tcW w:w="316" w:type="pct"/>
            <w:vMerge w:val="continue"/>
            <w:shd w:val="clear" w:color="auto" w:fill="auto"/>
            <w:vAlign w:val="center"/>
          </w:tcPr>
          <w:p w14:paraId="538CD0A1">
            <w:pPr>
              <w:pStyle w:val="90"/>
            </w:pPr>
          </w:p>
        </w:tc>
        <w:tc>
          <w:tcPr>
            <w:tcW w:w="648" w:type="pct"/>
            <w:shd w:val="clear" w:color="auto" w:fill="auto"/>
            <w:vAlign w:val="center"/>
          </w:tcPr>
          <w:p w14:paraId="67EB1B55">
            <w:pPr>
              <w:pStyle w:val="90"/>
              <w:ind w:firstLine="0" w:firstLineChars="0"/>
              <w:rPr>
                <w:rFonts w:hint="default" w:ascii="Times New Roman" w:hAnsi="Times New Roman" w:eastAsia="宋体" w:cs="Times New Roman"/>
                <w:bCs/>
                <w:kern w:val="2"/>
                <w:sz w:val="21"/>
                <w:szCs w:val="20"/>
                <w:lang w:val="en-US" w:eastAsia="zh-CN" w:bidi="ar-SA"/>
              </w:rPr>
            </w:pPr>
            <w:r>
              <w:rPr>
                <w:rFonts w:hint="eastAsia"/>
                <w:lang w:val="en-US" w:eastAsia="zh-CN"/>
              </w:rPr>
              <w:t>DA002</w:t>
            </w:r>
          </w:p>
        </w:tc>
        <w:tc>
          <w:tcPr>
            <w:tcW w:w="1461" w:type="pct"/>
            <w:shd w:val="clear" w:color="auto" w:fill="auto"/>
            <w:vAlign w:val="center"/>
          </w:tcPr>
          <w:p w14:paraId="7177844A">
            <w:pPr>
              <w:pStyle w:val="90"/>
              <w:ind w:firstLine="0" w:firstLineChars="0"/>
              <w:rPr>
                <w:rFonts w:ascii="Times New Roman" w:hAnsi="Times New Roman" w:eastAsia="宋体" w:cs="Times New Roman"/>
                <w:bCs/>
                <w:kern w:val="2"/>
                <w:sz w:val="21"/>
                <w:szCs w:val="20"/>
                <w:lang w:val="zh-CN" w:eastAsia="en-US" w:bidi="ar-SA"/>
              </w:rPr>
            </w:pPr>
            <w:r>
              <w:rPr>
                <w:rFonts w:hint="eastAsia"/>
              </w:rPr>
              <w:t>氮氧化物、二氧化硫、颗粒物</w:t>
            </w:r>
          </w:p>
        </w:tc>
        <w:tc>
          <w:tcPr>
            <w:tcW w:w="568" w:type="pct"/>
            <w:shd w:val="clear" w:color="auto" w:fill="auto"/>
            <w:vAlign w:val="center"/>
          </w:tcPr>
          <w:p w14:paraId="3B433CAA">
            <w:pPr>
              <w:pStyle w:val="90"/>
              <w:ind w:firstLine="0" w:firstLineChars="0"/>
              <w:rPr>
                <w:rFonts w:ascii="Times New Roman" w:hAnsi="Times New Roman" w:eastAsia="宋体" w:cs="Times New Roman"/>
                <w:bCs/>
                <w:kern w:val="2"/>
                <w:sz w:val="21"/>
                <w:szCs w:val="20"/>
                <w:lang w:val="zh-CN" w:eastAsia="zh-CN" w:bidi="ar-SA"/>
              </w:rPr>
            </w:pPr>
            <w:r>
              <w:rPr>
                <w:rFonts w:hint="eastAsia"/>
              </w:rPr>
              <w:t>1次/季度</w:t>
            </w:r>
          </w:p>
        </w:tc>
        <w:tc>
          <w:tcPr>
            <w:tcW w:w="1753" w:type="pct"/>
            <w:vMerge w:val="continue"/>
            <w:vAlign w:val="center"/>
          </w:tcPr>
          <w:p w14:paraId="5457CD75">
            <w:pPr>
              <w:pStyle w:val="90"/>
            </w:pPr>
          </w:p>
        </w:tc>
      </w:tr>
      <w:tr w14:paraId="424AF02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52" w:type="pct"/>
            <w:vMerge w:val="continue"/>
            <w:shd w:val="clear" w:color="auto" w:fill="auto"/>
            <w:vAlign w:val="center"/>
          </w:tcPr>
          <w:p w14:paraId="1C4D6BCD">
            <w:pPr>
              <w:pStyle w:val="90"/>
            </w:pPr>
          </w:p>
        </w:tc>
        <w:tc>
          <w:tcPr>
            <w:tcW w:w="316" w:type="pct"/>
            <w:vMerge w:val="continue"/>
            <w:shd w:val="clear" w:color="auto" w:fill="auto"/>
            <w:vAlign w:val="center"/>
          </w:tcPr>
          <w:p w14:paraId="5409C2D1">
            <w:pPr>
              <w:pStyle w:val="90"/>
            </w:pPr>
          </w:p>
        </w:tc>
        <w:tc>
          <w:tcPr>
            <w:tcW w:w="648" w:type="pct"/>
            <w:vMerge w:val="restart"/>
            <w:shd w:val="clear" w:color="auto" w:fill="auto"/>
            <w:vAlign w:val="center"/>
          </w:tcPr>
          <w:p w14:paraId="3CF943C0">
            <w:pPr>
              <w:pStyle w:val="90"/>
              <w:rPr>
                <w:rFonts w:hint="default" w:eastAsia="宋体"/>
                <w:lang w:val="en-US" w:eastAsia="zh-CN"/>
              </w:rPr>
            </w:pPr>
            <w:r>
              <w:rPr>
                <w:rFonts w:hint="eastAsia"/>
                <w:lang w:val="en-US" w:eastAsia="zh-CN"/>
              </w:rPr>
              <w:t>DA003</w:t>
            </w:r>
          </w:p>
        </w:tc>
        <w:tc>
          <w:tcPr>
            <w:tcW w:w="1461" w:type="pct"/>
            <w:shd w:val="clear" w:color="auto" w:fill="auto"/>
            <w:vAlign w:val="center"/>
          </w:tcPr>
          <w:p w14:paraId="55CC60DD">
            <w:pPr>
              <w:pStyle w:val="90"/>
              <w:rPr>
                <w:rFonts w:hint="default" w:eastAsia="宋体"/>
                <w:lang w:val="en-US" w:eastAsia="zh-CN"/>
              </w:rPr>
            </w:pPr>
            <w:r>
              <w:rPr>
                <w:rFonts w:hint="eastAsia"/>
                <w:lang w:val="en-US" w:eastAsia="zh-CN"/>
              </w:rPr>
              <w:t>非甲烷总烃</w:t>
            </w:r>
          </w:p>
        </w:tc>
        <w:tc>
          <w:tcPr>
            <w:tcW w:w="568" w:type="pct"/>
            <w:shd w:val="clear" w:color="auto" w:fill="auto"/>
            <w:vAlign w:val="center"/>
          </w:tcPr>
          <w:p w14:paraId="3A89637A">
            <w:pPr>
              <w:pStyle w:val="90"/>
            </w:pPr>
            <w:r>
              <w:t>1次/</w:t>
            </w:r>
            <w:r>
              <w:rPr>
                <w:rFonts w:hint="eastAsia"/>
              </w:rPr>
              <w:t>月</w:t>
            </w:r>
          </w:p>
        </w:tc>
        <w:tc>
          <w:tcPr>
            <w:tcW w:w="1753" w:type="pct"/>
            <w:vMerge w:val="continue"/>
            <w:vAlign w:val="center"/>
          </w:tcPr>
          <w:p w14:paraId="4E7065BB">
            <w:pPr>
              <w:pStyle w:val="90"/>
            </w:pPr>
          </w:p>
        </w:tc>
      </w:tr>
      <w:tr w14:paraId="5F27761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252" w:type="pct"/>
            <w:vMerge w:val="continue"/>
            <w:shd w:val="clear" w:color="auto" w:fill="auto"/>
            <w:vAlign w:val="center"/>
          </w:tcPr>
          <w:p w14:paraId="0C133B7B">
            <w:pPr>
              <w:pStyle w:val="90"/>
            </w:pPr>
          </w:p>
        </w:tc>
        <w:tc>
          <w:tcPr>
            <w:tcW w:w="316" w:type="pct"/>
            <w:vMerge w:val="continue"/>
            <w:shd w:val="clear" w:color="auto" w:fill="auto"/>
            <w:vAlign w:val="center"/>
          </w:tcPr>
          <w:p w14:paraId="2FE03CDC">
            <w:pPr>
              <w:pStyle w:val="90"/>
            </w:pPr>
          </w:p>
        </w:tc>
        <w:tc>
          <w:tcPr>
            <w:tcW w:w="648" w:type="pct"/>
            <w:vMerge w:val="continue"/>
            <w:shd w:val="clear" w:color="auto" w:fill="auto"/>
            <w:vAlign w:val="center"/>
          </w:tcPr>
          <w:p w14:paraId="0B5B4EFA">
            <w:pPr>
              <w:pStyle w:val="90"/>
              <w:rPr>
                <w:rFonts w:hint="eastAsia"/>
                <w:lang w:val="en-US" w:eastAsia="zh-CN"/>
              </w:rPr>
            </w:pPr>
          </w:p>
        </w:tc>
        <w:tc>
          <w:tcPr>
            <w:tcW w:w="1461" w:type="pct"/>
            <w:shd w:val="clear" w:color="auto" w:fill="auto"/>
            <w:vAlign w:val="center"/>
          </w:tcPr>
          <w:p w14:paraId="4BB606A8">
            <w:pPr>
              <w:pStyle w:val="90"/>
              <w:rPr>
                <w:rFonts w:hint="eastAsia"/>
                <w:lang w:val="en-US" w:eastAsia="zh-CN"/>
              </w:rPr>
            </w:pPr>
            <w:r>
              <w:rPr>
                <w:rFonts w:hint="eastAsia"/>
                <w:lang w:val="en-US" w:eastAsia="zh-CN"/>
              </w:rPr>
              <w:t>硫酸雾</w:t>
            </w:r>
          </w:p>
        </w:tc>
        <w:tc>
          <w:tcPr>
            <w:tcW w:w="568" w:type="pct"/>
            <w:shd w:val="clear" w:color="auto" w:fill="auto"/>
            <w:vAlign w:val="center"/>
          </w:tcPr>
          <w:p w14:paraId="146CF8FC">
            <w:pPr>
              <w:pStyle w:val="90"/>
              <w:rPr>
                <w:rFonts w:hint="eastAsia" w:eastAsia="宋体"/>
                <w:lang w:val="en-US" w:eastAsia="zh-CN"/>
              </w:rPr>
            </w:pPr>
            <w:r>
              <w:t>1次/</w:t>
            </w:r>
            <w:r>
              <w:rPr>
                <w:rFonts w:hint="eastAsia"/>
                <w:lang w:val="en-US" w:eastAsia="zh-CN"/>
              </w:rPr>
              <w:t>年</w:t>
            </w:r>
          </w:p>
        </w:tc>
        <w:tc>
          <w:tcPr>
            <w:tcW w:w="1753" w:type="pct"/>
            <w:vMerge w:val="continue"/>
            <w:vAlign w:val="center"/>
          </w:tcPr>
          <w:p w14:paraId="26ABAB6A">
            <w:pPr>
              <w:pStyle w:val="90"/>
            </w:pPr>
          </w:p>
        </w:tc>
      </w:tr>
      <w:tr w14:paraId="6676BA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9" w:hRule="atLeast"/>
          <w:jc w:val="center"/>
        </w:trPr>
        <w:tc>
          <w:tcPr>
            <w:tcW w:w="252" w:type="pct"/>
            <w:vMerge w:val="continue"/>
            <w:shd w:val="clear" w:color="auto" w:fill="auto"/>
            <w:vAlign w:val="center"/>
          </w:tcPr>
          <w:p w14:paraId="44A99378">
            <w:pPr>
              <w:pStyle w:val="90"/>
              <w:rPr>
                <w:lang w:eastAsia="en-US"/>
              </w:rPr>
            </w:pPr>
          </w:p>
        </w:tc>
        <w:tc>
          <w:tcPr>
            <w:tcW w:w="316" w:type="pct"/>
            <w:vMerge w:val="restart"/>
            <w:shd w:val="clear" w:color="auto" w:fill="auto"/>
            <w:vAlign w:val="center"/>
          </w:tcPr>
          <w:p w14:paraId="0781C441">
            <w:pPr>
              <w:pStyle w:val="90"/>
              <w:rPr>
                <w:lang w:eastAsia="en-US"/>
              </w:rPr>
            </w:pPr>
            <w:r>
              <w:rPr>
                <w:lang w:eastAsia="en-US"/>
              </w:rPr>
              <w:t>无组织废气</w:t>
            </w:r>
          </w:p>
        </w:tc>
        <w:tc>
          <w:tcPr>
            <w:tcW w:w="648" w:type="pct"/>
            <w:vMerge w:val="restart"/>
            <w:shd w:val="clear" w:color="auto" w:fill="auto"/>
            <w:vAlign w:val="center"/>
          </w:tcPr>
          <w:p w14:paraId="50EDFC62">
            <w:pPr>
              <w:pStyle w:val="90"/>
              <w:rPr>
                <w:lang w:eastAsia="en-US"/>
              </w:rPr>
            </w:pPr>
            <w:r>
              <w:rPr>
                <w:lang w:eastAsia="en-US"/>
              </w:rPr>
              <w:t>厂界四周</w:t>
            </w:r>
          </w:p>
        </w:tc>
        <w:tc>
          <w:tcPr>
            <w:tcW w:w="1461" w:type="pct"/>
            <w:shd w:val="clear" w:color="auto" w:fill="auto"/>
            <w:vAlign w:val="center"/>
          </w:tcPr>
          <w:p w14:paraId="04C8FD56">
            <w:pPr>
              <w:pStyle w:val="90"/>
              <w:rPr>
                <w:rFonts w:hint="default" w:eastAsia="宋体"/>
                <w:lang w:val="en-US" w:eastAsia="zh-CN"/>
              </w:rPr>
            </w:pPr>
            <w:r>
              <w:rPr>
                <w:rFonts w:hint="eastAsia"/>
              </w:rPr>
              <w:t>非甲烷总烃</w:t>
            </w:r>
            <w:r>
              <w:rPr>
                <w:rFonts w:hint="eastAsia"/>
                <w:lang w:eastAsia="zh-CN"/>
              </w:rPr>
              <w:t>、</w:t>
            </w:r>
            <w:r>
              <w:rPr>
                <w:rFonts w:hint="eastAsia"/>
                <w:lang w:val="en-US" w:eastAsia="zh-CN"/>
              </w:rPr>
              <w:t>颗粒物</w:t>
            </w:r>
          </w:p>
        </w:tc>
        <w:tc>
          <w:tcPr>
            <w:tcW w:w="568" w:type="pct"/>
            <w:vMerge w:val="restart"/>
            <w:shd w:val="clear" w:color="auto" w:fill="auto"/>
            <w:vAlign w:val="center"/>
          </w:tcPr>
          <w:p w14:paraId="060E0E6C">
            <w:pPr>
              <w:pStyle w:val="90"/>
              <w:rPr>
                <w:lang w:eastAsia="en-US"/>
              </w:rPr>
            </w:pPr>
            <w:r>
              <w:rPr>
                <w:lang w:eastAsia="en-US"/>
              </w:rPr>
              <w:t>1</w:t>
            </w:r>
            <w:r>
              <w:rPr>
                <w:spacing w:val="-43"/>
                <w:lang w:eastAsia="en-US"/>
              </w:rPr>
              <w:t xml:space="preserve"> </w:t>
            </w:r>
            <w:r>
              <w:rPr>
                <w:lang w:eastAsia="en-US"/>
              </w:rPr>
              <w:t>次/</w:t>
            </w:r>
            <w:r>
              <w:rPr>
                <w:rFonts w:hint="eastAsia"/>
              </w:rPr>
              <w:t>季度</w:t>
            </w:r>
          </w:p>
        </w:tc>
        <w:tc>
          <w:tcPr>
            <w:tcW w:w="1753" w:type="pct"/>
            <w:vAlign w:val="center"/>
          </w:tcPr>
          <w:p w14:paraId="65C69D83">
            <w:pPr>
              <w:pStyle w:val="90"/>
            </w:pPr>
            <w:r>
              <w:rPr>
                <w:rFonts w:hint="eastAsia"/>
              </w:rPr>
              <w:t>《石油炼制工业污染物排放标准》（GB31570-2015）表</w:t>
            </w:r>
            <w:r>
              <w:t>5</w:t>
            </w:r>
          </w:p>
        </w:tc>
      </w:tr>
      <w:tr w14:paraId="5A952E9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54" w:hRule="atLeast"/>
          <w:jc w:val="center"/>
        </w:trPr>
        <w:tc>
          <w:tcPr>
            <w:tcW w:w="252" w:type="pct"/>
            <w:vMerge w:val="continue"/>
            <w:shd w:val="clear" w:color="auto" w:fill="auto"/>
            <w:vAlign w:val="center"/>
          </w:tcPr>
          <w:p w14:paraId="008CB3D4">
            <w:pPr>
              <w:pStyle w:val="90"/>
            </w:pPr>
          </w:p>
        </w:tc>
        <w:tc>
          <w:tcPr>
            <w:tcW w:w="316" w:type="pct"/>
            <w:vMerge w:val="continue"/>
            <w:shd w:val="clear" w:color="auto" w:fill="auto"/>
            <w:vAlign w:val="center"/>
          </w:tcPr>
          <w:p w14:paraId="0FF0E33B">
            <w:pPr>
              <w:pStyle w:val="90"/>
            </w:pPr>
          </w:p>
        </w:tc>
        <w:tc>
          <w:tcPr>
            <w:tcW w:w="648" w:type="pct"/>
            <w:vMerge w:val="continue"/>
            <w:shd w:val="clear" w:color="auto" w:fill="auto"/>
            <w:vAlign w:val="center"/>
          </w:tcPr>
          <w:p w14:paraId="1FAF4BFB">
            <w:pPr>
              <w:pStyle w:val="90"/>
            </w:pPr>
          </w:p>
        </w:tc>
        <w:tc>
          <w:tcPr>
            <w:tcW w:w="1461" w:type="pct"/>
            <w:shd w:val="clear" w:color="auto" w:fill="auto"/>
            <w:vAlign w:val="center"/>
          </w:tcPr>
          <w:p w14:paraId="56212807">
            <w:pPr>
              <w:pStyle w:val="90"/>
            </w:pPr>
            <w:r>
              <w:rPr>
                <w:rFonts w:hint="eastAsia"/>
              </w:rPr>
              <w:t>氨、硫化氢、臭气浓度</w:t>
            </w:r>
          </w:p>
        </w:tc>
        <w:tc>
          <w:tcPr>
            <w:tcW w:w="568" w:type="pct"/>
            <w:vMerge w:val="continue"/>
            <w:shd w:val="clear" w:color="auto" w:fill="auto"/>
            <w:vAlign w:val="center"/>
          </w:tcPr>
          <w:p w14:paraId="33919E1C">
            <w:pPr>
              <w:pStyle w:val="90"/>
            </w:pPr>
          </w:p>
        </w:tc>
        <w:tc>
          <w:tcPr>
            <w:tcW w:w="1753" w:type="pct"/>
            <w:vAlign w:val="center"/>
          </w:tcPr>
          <w:p w14:paraId="387B743B">
            <w:pPr>
              <w:pStyle w:val="90"/>
            </w:pPr>
            <w:r>
              <w:rPr>
                <w:rFonts w:hint="eastAsia"/>
              </w:rPr>
              <w:t>《恶臭污染物排放标准》（GB</w:t>
            </w:r>
            <w:r>
              <w:t>14554-1993</w:t>
            </w:r>
            <w:r>
              <w:rPr>
                <w:rFonts w:hint="eastAsia"/>
              </w:rPr>
              <w:t>）表1</w:t>
            </w:r>
          </w:p>
        </w:tc>
      </w:tr>
      <w:tr w14:paraId="488C3E8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68" w:type="pct"/>
            <w:gridSpan w:val="2"/>
            <w:vMerge w:val="restart"/>
            <w:shd w:val="clear" w:color="auto" w:fill="auto"/>
            <w:vAlign w:val="center"/>
          </w:tcPr>
          <w:p w14:paraId="7A321781">
            <w:pPr>
              <w:pStyle w:val="90"/>
              <w:rPr>
                <w:lang w:eastAsia="en-US"/>
              </w:rPr>
            </w:pPr>
            <w:r>
              <w:rPr>
                <w:lang w:eastAsia="en-US"/>
              </w:rPr>
              <w:t>废水</w:t>
            </w:r>
          </w:p>
        </w:tc>
        <w:tc>
          <w:tcPr>
            <w:tcW w:w="648" w:type="pct"/>
            <w:vMerge w:val="restart"/>
            <w:shd w:val="clear" w:color="auto" w:fill="auto"/>
            <w:vAlign w:val="center"/>
          </w:tcPr>
          <w:p w14:paraId="3A599330">
            <w:pPr>
              <w:pStyle w:val="90"/>
            </w:pPr>
            <w:r>
              <w:rPr>
                <w:rFonts w:hint="eastAsia"/>
              </w:rPr>
              <w:t>废水</w:t>
            </w:r>
            <w:r>
              <w:rPr>
                <w:lang w:eastAsia="en-US"/>
              </w:rPr>
              <w:t>总排口</w:t>
            </w:r>
          </w:p>
        </w:tc>
        <w:tc>
          <w:tcPr>
            <w:tcW w:w="1461" w:type="pct"/>
            <w:shd w:val="clear" w:color="auto" w:fill="auto"/>
            <w:vAlign w:val="center"/>
          </w:tcPr>
          <w:p w14:paraId="75459F7B">
            <w:pPr>
              <w:pStyle w:val="90"/>
            </w:pPr>
            <w:r>
              <w:rPr>
                <w:rFonts w:hint="eastAsia"/>
              </w:rPr>
              <w:t>化学需氧量、氨氮</w:t>
            </w:r>
          </w:p>
        </w:tc>
        <w:tc>
          <w:tcPr>
            <w:tcW w:w="568" w:type="pct"/>
            <w:shd w:val="clear" w:color="auto" w:fill="auto"/>
            <w:vAlign w:val="center"/>
          </w:tcPr>
          <w:p w14:paraId="48B6A52D">
            <w:pPr>
              <w:pStyle w:val="90"/>
            </w:pPr>
            <w:r>
              <w:rPr>
                <w:rFonts w:hint="eastAsia"/>
              </w:rPr>
              <w:t>1次/周</w:t>
            </w:r>
          </w:p>
        </w:tc>
        <w:tc>
          <w:tcPr>
            <w:tcW w:w="1753" w:type="pct"/>
            <w:vMerge w:val="restart"/>
            <w:vAlign w:val="center"/>
          </w:tcPr>
          <w:p w14:paraId="53490C93">
            <w:pPr>
              <w:pStyle w:val="90"/>
            </w:pPr>
            <w:r>
              <w:rPr>
                <w:rFonts w:hint="eastAsia"/>
              </w:rPr>
              <w:t>《石油炼制工业污染物排放标准》（GB31570-2015）中表</w:t>
            </w:r>
            <w:r>
              <w:t>1</w:t>
            </w:r>
            <w:r>
              <w:rPr>
                <w:rFonts w:hint="eastAsia"/>
              </w:rPr>
              <w:t>间接排放限值</w:t>
            </w:r>
          </w:p>
        </w:tc>
      </w:tr>
      <w:tr w14:paraId="21C584A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68" w:type="pct"/>
            <w:gridSpan w:val="2"/>
            <w:vMerge w:val="continue"/>
            <w:shd w:val="clear" w:color="auto" w:fill="auto"/>
            <w:vAlign w:val="center"/>
          </w:tcPr>
          <w:p w14:paraId="46416553">
            <w:pPr>
              <w:pStyle w:val="90"/>
            </w:pPr>
          </w:p>
        </w:tc>
        <w:tc>
          <w:tcPr>
            <w:tcW w:w="648" w:type="pct"/>
            <w:vMerge w:val="continue"/>
            <w:shd w:val="clear" w:color="auto" w:fill="auto"/>
            <w:vAlign w:val="center"/>
          </w:tcPr>
          <w:p w14:paraId="071D7C82">
            <w:pPr>
              <w:pStyle w:val="90"/>
            </w:pPr>
          </w:p>
        </w:tc>
        <w:tc>
          <w:tcPr>
            <w:tcW w:w="1461" w:type="pct"/>
            <w:shd w:val="clear" w:color="auto" w:fill="auto"/>
            <w:vAlign w:val="center"/>
          </w:tcPr>
          <w:p w14:paraId="4148DE9F">
            <w:pPr>
              <w:pStyle w:val="90"/>
            </w:pPr>
            <w:r>
              <w:t>pH</w:t>
            </w:r>
            <w:r>
              <w:rPr>
                <w:rFonts w:hint="eastAsia"/>
              </w:rPr>
              <w:t>值</w:t>
            </w:r>
            <w:r>
              <w:t>、</w:t>
            </w:r>
            <w:r>
              <w:rPr>
                <w:rFonts w:hint="eastAsia"/>
              </w:rPr>
              <w:t>悬浮物、总氮、总磷、石油类、硫化物、挥发酚</w:t>
            </w:r>
          </w:p>
        </w:tc>
        <w:tc>
          <w:tcPr>
            <w:tcW w:w="568" w:type="pct"/>
            <w:shd w:val="clear" w:color="auto" w:fill="auto"/>
            <w:vAlign w:val="center"/>
          </w:tcPr>
          <w:p w14:paraId="35FDCBA7">
            <w:pPr>
              <w:pStyle w:val="90"/>
              <w:rPr>
                <w:lang w:eastAsia="en-US"/>
              </w:rPr>
            </w:pPr>
            <w:r>
              <w:rPr>
                <w:lang w:eastAsia="en-US"/>
              </w:rPr>
              <w:t>1</w:t>
            </w:r>
            <w:r>
              <w:rPr>
                <w:spacing w:val="-43"/>
                <w:lang w:eastAsia="en-US"/>
              </w:rPr>
              <w:t xml:space="preserve"> </w:t>
            </w:r>
            <w:r>
              <w:rPr>
                <w:lang w:eastAsia="en-US"/>
              </w:rPr>
              <w:t>次/</w:t>
            </w:r>
            <w:r>
              <w:rPr>
                <w:rFonts w:hint="eastAsia"/>
              </w:rPr>
              <w:t>月</w:t>
            </w:r>
          </w:p>
        </w:tc>
        <w:tc>
          <w:tcPr>
            <w:tcW w:w="1753" w:type="pct"/>
            <w:vMerge w:val="continue"/>
            <w:vAlign w:val="center"/>
          </w:tcPr>
          <w:p w14:paraId="64B8A9D1">
            <w:pPr>
              <w:pStyle w:val="90"/>
              <w:rPr>
                <w:lang w:eastAsia="en-US"/>
              </w:rPr>
            </w:pPr>
          </w:p>
        </w:tc>
      </w:tr>
      <w:tr w14:paraId="6EFF840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68" w:type="pct"/>
            <w:gridSpan w:val="2"/>
            <w:vMerge w:val="continue"/>
            <w:shd w:val="clear" w:color="auto" w:fill="auto"/>
            <w:vAlign w:val="center"/>
          </w:tcPr>
          <w:p w14:paraId="2593CD2A">
            <w:pPr>
              <w:pStyle w:val="90"/>
            </w:pPr>
          </w:p>
        </w:tc>
        <w:tc>
          <w:tcPr>
            <w:tcW w:w="648" w:type="pct"/>
            <w:vMerge w:val="continue"/>
            <w:shd w:val="clear" w:color="auto" w:fill="auto"/>
            <w:vAlign w:val="center"/>
          </w:tcPr>
          <w:p w14:paraId="20193286">
            <w:pPr>
              <w:pStyle w:val="90"/>
            </w:pPr>
          </w:p>
        </w:tc>
        <w:tc>
          <w:tcPr>
            <w:tcW w:w="1461" w:type="pct"/>
            <w:shd w:val="clear" w:color="auto" w:fill="auto"/>
            <w:vAlign w:val="center"/>
          </w:tcPr>
          <w:p w14:paraId="110CB40A">
            <w:pPr>
              <w:pStyle w:val="90"/>
            </w:pPr>
            <w:r>
              <w:rPr>
                <w:rFonts w:hint="eastAsia"/>
              </w:rPr>
              <w:t>五日生化需氧量</w:t>
            </w:r>
          </w:p>
        </w:tc>
        <w:tc>
          <w:tcPr>
            <w:tcW w:w="568" w:type="pct"/>
            <w:shd w:val="clear" w:color="auto" w:fill="auto"/>
            <w:vAlign w:val="center"/>
          </w:tcPr>
          <w:p w14:paraId="41D53850">
            <w:pPr>
              <w:pStyle w:val="90"/>
              <w:rPr>
                <w:lang w:eastAsia="en-US"/>
              </w:rPr>
            </w:pPr>
            <w:r>
              <w:rPr>
                <w:lang w:eastAsia="en-US"/>
              </w:rPr>
              <w:t>1</w:t>
            </w:r>
            <w:r>
              <w:rPr>
                <w:spacing w:val="-43"/>
                <w:lang w:eastAsia="en-US"/>
              </w:rPr>
              <w:t xml:space="preserve"> </w:t>
            </w:r>
            <w:r>
              <w:rPr>
                <w:lang w:eastAsia="en-US"/>
              </w:rPr>
              <w:t>次/</w:t>
            </w:r>
            <w:r>
              <w:rPr>
                <w:rFonts w:hint="eastAsia"/>
              </w:rPr>
              <w:t>季度</w:t>
            </w:r>
          </w:p>
        </w:tc>
        <w:tc>
          <w:tcPr>
            <w:tcW w:w="1753" w:type="pct"/>
            <w:vMerge w:val="continue"/>
            <w:vAlign w:val="center"/>
          </w:tcPr>
          <w:p w14:paraId="5E240489">
            <w:pPr>
              <w:pStyle w:val="90"/>
              <w:rPr>
                <w:lang w:eastAsia="en-US"/>
              </w:rPr>
            </w:pPr>
          </w:p>
        </w:tc>
      </w:tr>
      <w:tr w14:paraId="17C3AED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568" w:type="pct"/>
            <w:gridSpan w:val="2"/>
            <w:shd w:val="clear" w:color="auto" w:fill="auto"/>
            <w:vAlign w:val="center"/>
          </w:tcPr>
          <w:p w14:paraId="488249F5">
            <w:pPr>
              <w:pStyle w:val="90"/>
            </w:pPr>
            <w:r>
              <w:rPr>
                <w:rFonts w:hint="eastAsia"/>
              </w:rPr>
              <w:t>噪声</w:t>
            </w:r>
          </w:p>
        </w:tc>
        <w:tc>
          <w:tcPr>
            <w:tcW w:w="648" w:type="pct"/>
            <w:shd w:val="clear" w:color="auto" w:fill="auto"/>
            <w:vAlign w:val="center"/>
          </w:tcPr>
          <w:p w14:paraId="17A9605A">
            <w:pPr>
              <w:pStyle w:val="90"/>
            </w:pPr>
            <w:r>
              <w:rPr>
                <w:rFonts w:hint="eastAsia"/>
              </w:rPr>
              <w:t>厂界四周</w:t>
            </w:r>
          </w:p>
        </w:tc>
        <w:tc>
          <w:tcPr>
            <w:tcW w:w="1461" w:type="pct"/>
            <w:shd w:val="clear" w:color="auto" w:fill="auto"/>
            <w:vAlign w:val="center"/>
          </w:tcPr>
          <w:p w14:paraId="450C477D">
            <w:pPr>
              <w:pStyle w:val="90"/>
            </w:pPr>
            <w:r>
              <w:rPr>
                <w:rFonts w:hint="eastAsia"/>
              </w:rPr>
              <w:t>等效连续A声级</w:t>
            </w:r>
          </w:p>
        </w:tc>
        <w:tc>
          <w:tcPr>
            <w:tcW w:w="568" w:type="pct"/>
            <w:shd w:val="clear" w:color="auto" w:fill="auto"/>
            <w:vAlign w:val="center"/>
          </w:tcPr>
          <w:p w14:paraId="5CAEEEA7">
            <w:pPr>
              <w:pStyle w:val="90"/>
            </w:pPr>
            <w:r>
              <w:rPr>
                <w:rFonts w:hint="eastAsia"/>
              </w:rPr>
              <w:t>1次/季度</w:t>
            </w:r>
          </w:p>
        </w:tc>
        <w:tc>
          <w:tcPr>
            <w:tcW w:w="1753" w:type="pct"/>
            <w:vAlign w:val="center"/>
          </w:tcPr>
          <w:p w14:paraId="1A3D2429">
            <w:pPr>
              <w:pStyle w:val="90"/>
            </w:pPr>
            <w:r>
              <w:t>《工业企业厂界环境噪声排放标准》</w:t>
            </w:r>
            <w:r>
              <w:rPr>
                <w:rFonts w:hint="eastAsia"/>
              </w:rPr>
              <w:t>（</w:t>
            </w:r>
            <w:r>
              <w:t>GB12348-2008</w:t>
            </w:r>
            <w:r>
              <w:rPr>
                <w:rFonts w:hint="eastAsia"/>
              </w:rPr>
              <w:t>）3类区标准值</w:t>
            </w:r>
          </w:p>
        </w:tc>
      </w:tr>
    </w:tbl>
    <w:p w14:paraId="2CCC8B50">
      <w:pPr>
        <w:pStyle w:val="43"/>
      </w:pPr>
      <w:bookmarkStart w:id="790" w:name="_Toc80193196"/>
      <w:bookmarkStart w:id="791" w:name="_Toc79515567"/>
      <w:bookmarkStart w:id="792" w:name="_Toc77007889"/>
      <w:bookmarkStart w:id="793" w:name="_Toc80973620"/>
      <w:bookmarkStart w:id="794" w:name="_Toc81214188"/>
      <w:bookmarkStart w:id="795" w:name="_Toc152864290"/>
      <w:bookmarkStart w:id="796" w:name="_Toc82518881"/>
      <w:r>
        <w:rPr>
          <w:rFonts w:hint="eastAsia"/>
        </w:rPr>
        <w:t>环境质量监测计划</w:t>
      </w:r>
      <w:bookmarkEnd w:id="790"/>
      <w:bookmarkEnd w:id="791"/>
      <w:bookmarkEnd w:id="792"/>
      <w:bookmarkEnd w:id="793"/>
      <w:bookmarkEnd w:id="794"/>
      <w:bookmarkEnd w:id="795"/>
      <w:bookmarkEnd w:id="796"/>
    </w:p>
    <w:p w14:paraId="00ADD31D">
      <w:pPr>
        <w:ind w:firstLine="480"/>
      </w:pPr>
      <w:r>
        <w:rPr>
          <w:rFonts w:hint="eastAsia"/>
        </w:rPr>
        <w:t>根据《排污许可证申请与核发技术规范 石化工业》（HJ</w:t>
      </w:r>
      <w:r>
        <w:t>853-2017</w:t>
      </w:r>
      <w:r>
        <w:rPr>
          <w:rFonts w:hint="eastAsia"/>
        </w:rPr>
        <w:t>）、《排污单位自行监测技术指南 总则》（HJ</w:t>
      </w:r>
      <w:r>
        <w:t>819</w:t>
      </w:r>
      <w:r>
        <w:rPr>
          <w:rFonts w:hint="eastAsia"/>
        </w:rPr>
        <w:t>-201</w:t>
      </w:r>
      <w:r>
        <w:t>7</w:t>
      </w:r>
      <w:r>
        <w:rPr>
          <w:rFonts w:hint="eastAsia"/>
        </w:rPr>
        <w:t>）和《排污单位自行监测技术指南 石油炼制工业》（HJ</w:t>
      </w:r>
      <w:r>
        <w:t>880-2017</w:t>
      </w:r>
      <w:r>
        <w:rPr>
          <w:rFonts w:hint="eastAsia"/>
        </w:rPr>
        <w:t>），本企业环境质量监测计划见下表。</w:t>
      </w:r>
    </w:p>
    <w:p w14:paraId="62E73E12">
      <w:pPr>
        <w:pStyle w:val="47"/>
        <w:spacing w:before="65"/>
      </w:pPr>
      <w:r>
        <w:rPr>
          <w:rFonts w:hint="eastAsia"/>
        </w:rPr>
        <w:t>表8</w:t>
      </w:r>
      <w:r>
        <w:t xml:space="preserve">.3-2   </w:t>
      </w:r>
      <w:r>
        <w:rPr>
          <w:rFonts w:hint="eastAsia"/>
        </w:rPr>
        <w:t>本项目环境质量监测计划表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19"/>
        <w:gridCol w:w="1062"/>
        <w:gridCol w:w="1903"/>
        <w:gridCol w:w="1435"/>
        <w:gridCol w:w="711"/>
        <w:gridCol w:w="3200"/>
      </w:tblGrid>
      <w:tr w14:paraId="55111B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40" w:type="pct"/>
            <w:shd w:val="clear" w:color="auto" w:fill="auto"/>
            <w:vAlign w:val="center"/>
          </w:tcPr>
          <w:p w14:paraId="78B50802">
            <w:pPr>
              <w:adjustRightInd w:val="0"/>
              <w:snapToGrid w:val="0"/>
              <w:spacing w:line="240" w:lineRule="auto"/>
              <w:ind w:firstLine="0" w:firstLineChars="0"/>
              <w:jc w:val="center"/>
              <w:rPr>
                <w:sz w:val="21"/>
                <w:szCs w:val="21"/>
                <w:lang w:eastAsia="en-US"/>
              </w:rPr>
            </w:pPr>
            <w:r>
              <w:rPr>
                <w:sz w:val="21"/>
                <w:szCs w:val="21"/>
                <w:lang w:eastAsia="en-US"/>
              </w:rPr>
              <w:t>序号</w:t>
            </w:r>
          </w:p>
        </w:tc>
        <w:tc>
          <w:tcPr>
            <w:tcW w:w="608" w:type="pct"/>
            <w:shd w:val="clear" w:color="auto" w:fill="auto"/>
            <w:vAlign w:val="center"/>
          </w:tcPr>
          <w:p w14:paraId="1C9CC5FB">
            <w:pPr>
              <w:adjustRightInd w:val="0"/>
              <w:snapToGrid w:val="0"/>
              <w:spacing w:line="240" w:lineRule="auto"/>
              <w:ind w:firstLine="0" w:firstLineChars="0"/>
              <w:jc w:val="center"/>
              <w:rPr>
                <w:sz w:val="21"/>
                <w:szCs w:val="21"/>
                <w:lang w:eastAsia="en-US"/>
              </w:rPr>
            </w:pPr>
            <w:r>
              <w:rPr>
                <w:sz w:val="21"/>
                <w:szCs w:val="21"/>
                <w:lang w:eastAsia="en-US"/>
              </w:rPr>
              <w:t>监测项目</w:t>
            </w:r>
          </w:p>
        </w:tc>
        <w:tc>
          <w:tcPr>
            <w:tcW w:w="1090" w:type="pct"/>
            <w:shd w:val="clear" w:color="auto" w:fill="auto"/>
            <w:vAlign w:val="center"/>
          </w:tcPr>
          <w:p w14:paraId="3FF39ECE">
            <w:pPr>
              <w:adjustRightInd w:val="0"/>
              <w:snapToGrid w:val="0"/>
              <w:spacing w:line="240" w:lineRule="auto"/>
              <w:ind w:firstLine="0" w:firstLineChars="0"/>
              <w:jc w:val="center"/>
              <w:rPr>
                <w:sz w:val="21"/>
                <w:szCs w:val="21"/>
                <w:lang w:eastAsia="en-US"/>
              </w:rPr>
            </w:pPr>
            <w:r>
              <w:rPr>
                <w:sz w:val="21"/>
                <w:szCs w:val="21"/>
                <w:lang w:eastAsia="en-US"/>
              </w:rPr>
              <w:t>监测位置</w:t>
            </w:r>
          </w:p>
        </w:tc>
        <w:tc>
          <w:tcPr>
            <w:tcW w:w="822" w:type="pct"/>
            <w:shd w:val="clear" w:color="auto" w:fill="auto"/>
            <w:vAlign w:val="center"/>
          </w:tcPr>
          <w:p w14:paraId="3803CA6E">
            <w:pPr>
              <w:adjustRightInd w:val="0"/>
              <w:snapToGrid w:val="0"/>
              <w:spacing w:line="240" w:lineRule="auto"/>
              <w:ind w:firstLine="0" w:firstLineChars="0"/>
              <w:jc w:val="center"/>
              <w:rPr>
                <w:sz w:val="21"/>
                <w:szCs w:val="21"/>
                <w:lang w:eastAsia="en-US"/>
              </w:rPr>
            </w:pPr>
            <w:r>
              <w:rPr>
                <w:sz w:val="21"/>
                <w:szCs w:val="21"/>
                <w:lang w:eastAsia="en-US"/>
              </w:rPr>
              <w:t>监测因子</w:t>
            </w:r>
          </w:p>
        </w:tc>
        <w:tc>
          <w:tcPr>
            <w:tcW w:w="407" w:type="pct"/>
            <w:shd w:val="clear" w:color="auto" w:fill="auto"/>
            <w:vAlign w:val="center"/>
          </w:tcPr>
          <w:p w14:paraId="0343B79E">
            <w:pPr>
              <w:adjustRightInd w:val="0"/>
              <w:snapToGrid w:val="0"/>
              <w:spacing w:line="240" w:lineRule="auto"/>
              <w:ind w:firstLine="0" w:firstLineChars="0"/>
              <w:jc w:val="center"/>
              <w:rPr>
                <w:sz w:val="21"/>
                <w:szCs w:val="21"/>
                <w:lang w:eastAsia="en-US"/>
              </w:rPr>
            </w:pPr>
            <w:r>
              <w:rPr>
                <w:sz w:val="21"/>
                <w:szCs w:val="21"/>
                <w:lang w:eastAsia="en-US"/>
              </w:rPr>
              <w:t>监测 频次</w:t>
            </w:r>
          </w:p>
        </w:tc>
        <w:tc>
          <w:tcPr>
            <w:tcW w:w="1833" w:type="pct"/>
            <w:shd w:val="clear" w:color="auto" w:fill="auto"/>
            <w:vAlign w:val="center"/>
          </w:tcPr>
          <w:p w14:paraId="3D20BF84">
            <w:pPr>
              <w:adjustRightInd w:val="0"/>
              <w:snapToGrid w:val="0"/>
              <w:spacing w:line="240" w:lineRule="auto"/>
              <w:ind w:firstLine="0" w:firstLineChars="0"/>
              <w:jc w:val="center"/>
              <w:rPr>
                <w:sz w:val="21"/>
                <w:szCs w:val="21"/>
                <w:lang w:eastAsia="en-US"/>
              </w:rPr>
            </w:pPr>
            <w:r>
              <w:rPr>
                <w:sz w:val="21"/>
                <w:szCs w:val="21"/>
                <w:lang w:eastAsia="en-US"/>
              </w:rPr>
              <w:t>执行标准</w:t>
            </w:r>
          </w:p>
        </w:tc>
      </w:tr>
      <w:tr w14:paraId="249C70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40" w:type="pct"/>
            <w:shd w:val="clear" w:color="auto" w:fill="auto"/>
            <w:vAlign w:val="center"/>
          </w:tcPr>
          <w:p w14:paraId="6D663289">
            <w:pPr>
              <w:numPr>
                <w:ilvl w:val="0"/>
                <w:numId w:val="31"/>
              </w:numPr>
              <w:adjustRightInd w:val="0"/>
              <w:snapToGrid w:val="0"/>
              <w:spacing w:line="240" w:lineRule="auto"/>
              <w:ind w:firstLineChars="0"/>
              <w:jc w:val="center"/>
              <w:rPr>
                <w:rFonts w:hAnsi="Calibri"/>
                <w:sz w:val="21"/>
                <w:szCs w:val="21"/>
                <w:lang w:eastAsia="en-US"/>
              </w:rPr>
            </w:pPr>
          </w:p>
        </w:tc>
        <w:tc>
          <w:tcPr>
            <w:tcW w:w="608" w:type="pct"/>
            <w:vMerge w:val="restart"/>
            <w:shd w:val="clear" w:color="auto" w:fill="auto"/>
            <w:vAlign w:val="center"/>
          </w:tcPr>
          <w:p w14:paraId="4AC349B7">
            <w:pPr>
              <w:adjustRightInd w:val="0"/>
              <w:snapToGrid w:val="0"/>
              <w:spacing w:line="240" w:lineRule="auto"/>
              <w:ind w:firstLine="0" w:firstLineChars="0"/>
              <w:jc w:val="center"/>
              <w:rPr>
                <w:sz w:val="21"/>
                <w:szCs w:val="21"/>
                <w:lang w:eastAsia="en-US"/>
              </w:rPr>
            </w:pPr>
            <w:r>
              <w:rPr>
                <w:rFonts w:hint="eastAsia"/>
                <w:sz w:val="21"/>
                <w:szCs w:val="21"/>
              </w:rPr>
              <w:t>大气环境</w:t>
            </w:r>
          </w:p>
        </w:tc>
        <w:tc>
          <w:tcPr>
            <w:tcW w:w="1090" w:type="pct"/>
            <w:vMerge w:val="restart"/>
            <w:shd w:val="clear" w:color="auto" w:fill="auto"/>
            <w:vAlign w:val="center"/>
          </w:tcPr>
          <w:p w14:paraId="292A3103">
            <w:pPr>
              <w:adjustRightInd w:val="0"/>
              <w:snapToGrid w:val="0"/>
              <w:spacing w:line="240" w:lineRule="auto"/>
              <w:ind w:firstLine="0" w:firstLineChars="0"/>
              <w:jc w:val="center"/>
              <w:rPr>
                <w:sz w:val="21"/>
                <w:szCs w:val="21"/>
              </w:rPr>
            </w:pPr>
            <w:r>
              <w:rPr>
                <w:sz w:val="21"/>
                <w:szCs w:val="21"/>
              </w:rPr>
              <w:t>130团22连</w:t>
            </w:r>
          </w:p>
        </w:tc>
        <w:tc>
          <w:tcPr>
            <w:tcW w:w="822" w:type="pct"/>
            <w:shd w:val="clear" w:color="auto" w:fill="auto"/>
            <w:vAlign w:val="center"/>
          </w:tcPr>
          <w:p w14:paraId="10BA8C78">
            <w:pPr>
              <w:adjustRightInd w:val="0"/>
              <w:snapToGrid w:val="0"/>
              <w:spacing w:line="240" w:lineRule="auto"/>
              <w:ind w:firstLine="0" w:firstLineChars="0"/>
              <w:jc w:val="center"/>
              <w:rPr>
                <w:position w:val="1"/>
                <w:sz w:val="21"/>
                <w:szCs w:val="21"/>
              </w:rPr>
            </w:pPr>
            <w:r>
              <w:rPr>
                <w:rFonts w:hint="eastAsia"/>
                <w:position w:val="1"/>
                <w:sz w:val="21"/>
                <w:szCs w:val="21"/>
              </w:rPr>
              <w:t>非甲烷总烃</w:t>
            </w:r>
          </w:p>
        </w:tc>
        <w:tc>
          <w:tcPr>
            <w:tcW w:w="407" w:type="pct"/>
            <w:vMerge w:val="restart"/>
            <w:shd w:val="clear" w:color="auto" w:fill="auto"/>
            <w:vAlign w:val="center"/>
          </w:tcPr>
          <w:p w14:paraId="3DF4BF36">
            <w:pPr>
              <w:adjustRightInd w:val="0"/>
              <w:snapToGrid w:val="0"/>
              <w:spacing w:line="240" w:lineRule="auto"/>
              <w:ind w:firstLine="0" w:firstLineChars="0"/>
              <w:jc w:val="center"/>
              <w:rPr>
                <w:rFonts w:eastAsia="Times New Roman"/>
                <w:sz w:val="21"/>
                <w:szCs w:val="21"/>
                <w:lang w:eastAsia="en-US"/>
              </w:rPr>
            </w:pPr>
            <w:r>
              <w:rPr>
                <w:rFonts w:eastAsia="Times New Roman"/>
                <w:sz w:val="21"/>
                <w:szCs w:val="21"/>
                <w:lang w:eastAsia="en-US"/>
              </w:rPr>
              <w:t>1</w:t>
            </w:r>
            <w:r>
              <w:rPr>
                <w:sz w:val="21"/>
                <w:szCs w:val="21"/>
                <w:lang w:eastAsia="en-US"/>
              </w:rPr>
              <w:t>次</w:t>
            </w:r>
            <w:r>
              <w:rPr>
                <w:rFonts w:eastAsia="Times New Roman"/>
                <w:sz w:val="21"/>
                <w:szCs w:val="21"/>
                <w:lang w:eastAsia="en-US"/>
              </w:rPr>
              <w:t>/</w:t>
            </w:r>
            <w:r>
              <w:rPr>
                <w:rFonts w:hint="eastAsia" w:ascii="宋体" w:hAnsi="宋体"/>
                <w:sz w:val="21"/>
                <w:szCs w:val="21"/>
              </w:rPr>
              <w:t>年</w:t>
            </w:r>
          </w:p>
        </w:tc>
        <w:tc>
          <w:tcPr>
            <w:tcW w:w="1833" w:type="pct"/>
            <w:shd w:val="clear" w:color="auto" w:fill="auto"/>
            <w:vAlign w:val="center"/>
          </w:tcPr>
          <w:p w14:paraId="04F360A4">
            <w:pPr>
              <w:adjustRightInd w:val="0"/>
              <w:snapToGrid w:val="0"/>
              <w:spacing w:line="240" w:lineRule="auto"/>
              <w:ind w:firstLine="0" w:firstLineChars="0"/>
              <w:jc w:val="center"/>
              <w:rPr>
                <w:sz w:val="21"/>
                <w:szCs w:val="21"/>
              </w:rPr>
            </w:pPr>
            <w:r>
              <w:rPr>
                <w:rFonts w:hint="eastAsia"/>
                <w:bCs/>
                <w:sz w:val="21"/>
                <w:szCs w:val="21"/>
              </w:rPr>
              <w:t>《大气污染物综合排放标准详解》</w:t>
            </w:r>
            <w:r>
              <w:rPr>
                <w:rFonts w:hint="eastAsia"/>
                <w:sz w:val="21"/>
                <w:szCs w:val="21"/>
              </w:rPr>
              <w:t>限值要求</w:t>
            </w:r>
          </w:p>
        </w:tc>
      </w:tr>
      <w:tr w14:paraId="74FDDC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40" w:type="pct"/>
            <w:shd w:val="clear" w:color="auto" w:fill="auto"/>
            <w:vAlign w:val="center"/>
          </w:tcPr>
          <w:p w14:paraId="51CEC05B">
            <w:pPr>
              <w:numPr>
                <w:ilvl w:val="0"/>
                <w:numId w:val="31"/>
              </w:numPr>
              <w:adjustRightInd w:val="0"/>
              <w:snapToGrid w:val="0"/>
              <w:spacing w:line="240" w:lineRule="auto"/>
              <w:ind w:firstLineChars="0"/>
              <w:jc w:val="center"/>
              <w:rPr>
                <w:rFonts w:hAnsi="Calibri"/>
                <w:sz w:val="21"/>
                <w:szCs w:val="21"/>
              </w:rPr>
            </w:pPr>
          </w:p>
        </w:tc>
        <w:tc>
          <w:tcPr>
            <w:tcW w:w="608" w:type="pct"/>
            <w:vMerge w:val="continue"/>
            <w:shd w:val="clear" w:color="auto" w:fill="auto"/>
            <w:vAlign w:val="center"/>
          </w:tcPr>
          <w:p w14:paraId="33922DAF">
            <w:pPr>
              <w:adjustRightInd w:val="0"/>
              <w:snapToGrid w:val="0"/>
              <w:spacing w:line="240" w:lineRule="auto"/>
              <w:ind w:firstLine="0" w:firstLineChars="0"/>
              <w:jc w:val="center"/>
              <w:rPr>
                <w:sz w:val="21"/>
                <w:szCs w:val="21"/>
              </w:rPr>
            </w:pPr>
          </w:p>
        </w:tc>
        <w:tc>
          <w:tcPr>
            <w:tcW w:w="1090" w:type="pct"/>
            <w:vMerge w:val="continue"/>
            <w:shd w:val="clear" w:color="auto" w:fill="auto"/>
            <w:vAlign w:val="center"/>
          </w:tcPr>
          <w:p w14:paraId="09F99566">
            <w:pPr>
              <w:adjustRightInd w:val="0"/>
              <w:snapToGrid w:val="0"/>
              <w:spacing w:line="240" w:lineRule="auto"/>
              <w:ind w:firstLine="0" w:firstLineChars="0"/>
              <w:jc w:val="center"/>
              <w:rPr>
                <w:sz w:val="21"/>
                <w:szCs w:val="21"/>
              </w:rPr>
            </w:pPr>
          </w:p>
        </w:tc>
        <w:tc>
          <w:tcPr>
            <w:tcW w:w="822" w:type="pct"/>
            <w:shd w:val="clear" w:color="auto" w:fill="auto"/>
            <w:vAlign w:val="center"/>
          </w:tcPr>
          <w:p w14:paraId="08D2E979">
            <w:pPr>
              <w:adjustRightInd w:val="0"/>
              <w:snapToGrid w:val="0"/>
              <w:spacing w:line="240" w:lineRule="auto"/>
              <w:ind w:firstLine="0" w:firstLineChars="0"/>
              <w:jc w:val="center"/>
              <w:rPr>
                <w:position w:val="1"/>
                <w:sz w:val="21"/>
                <w:szCs w:val="21"/>
              </w:rPr>
            </w:pPr>
            <w:r>
              <w:rPr>
                <w:rFonts w:hint="eastAsia"/>
                <w:position w:val="1"/>
                <w:sz w:val="21"/>
                <w:szCs w:val="21"/>
              </w:rPr>
              <w:t>氨、硫化氢</w:t>
            </w:r>
          </w:p>
        </w:tc>
        <w:tc>
          <w:tcPr>
            <w:tcW w:w="407" w:type="pct"/>
            <w:vMerge w:val="continue"/>
            <w:shd w:val="clear" w:color="auto" w:fill="auto"/>
            <w:vAlign w:val="center"/>
          </w:tcPr>
          <w:p w14:paraId="78CDE17D">
            <w:pPr>
              <w:adjustRightInd w:val="0"/>
              <w:snapToGrid w:val="0"/>
              <w:spacing w:line="240" w:lineRule="auto"/>
              <w:ind w:firstLine="0" w:firstLineChars="0"/>
              <w:jc w:val="center"/>
              <w:rPr>
                <w:rFonts w:eastAsia="Times New Roman"/>
                <w:sz w:val="21"/>
                <w:szCs w:val="21"/>
                <w:lang w:eastAsia="en-US"/>
              </w:rPr>
            </w:pPr>
          </w:p>
        </w:tc>
        <w:tc>
          <w:tcPr>
            <w:tcW w:w="1833" w:type="pct"/>
            <w:shd w:val="clear" w:color="auto" w:fill="auto"/>
            <w:vAlign w:val="center"/>
          </w:tcPr>
          <w:p w14:paraId="5A8247E3">
            <w:pPr>
              <w:adjustRightInd w:val="0"/>
              <w:snapToGrid w:val="0"/>
              <w:spacing w:line="240" w:lineRule="auto"/>
              <w:ind w:firstLine="0" w:firstLineChars="0"/>
              <w:jc w:val="center"/>
              <w:rPr>
                <w:sz w:val="21"/>
                <w:szCs w:val="21"/>
                <w:lang w:val="zh-CN"/>
              </w:rPr>
            </w:pPr>
            <w:r>
              <w:rPr>
                <w:rFonts w:hint="eastAsia"/>
                <w:sz w:val="21"/>
                <w:szCs w:val="21"/>
                <w:lang w:val="zh-CN"/>
              </w:rPr>
              <w:t>《环境影响评价技术导则 大气环境》（HJ</w:t>
            </w:r>
            <w:r>
              <w:rPr>
                <w:sz w:val="21"/>
                <w:szCs w:val="21"/>
                <w:lang w:val="zh-CN"/>
              </w:rPr>
              <w:t>2.2-2018</w:t>
            </w:r>
            <w:r>
              <w:rPr>
                <w:rFonts w:hint="eastAsia"/>
                <w:sz w:val="21"/>
                <w:szCs w:val="21"/>
                <w:lang w:val="zh-CN"/>
              </w:rPr>
              <w:t>）附录D</w:t>
            </w:r>
          </w:p>
        </w:tc>
      </w:tr>
      <w:tr w14:paraId="21C3C1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40" w:type="pct"/>
            <w:shd w:val="clear" w:color="auto" w:fill="auto"/>
            <w:vAlign w:val="center"/>
          </w:tcPr>
          <w:p w14:paraId="23313351">
            <w:pPr>
              <w:numPr>
                <w:ilvl w:val="0"/>
                <w:numId w:val="31"/>
              </w:numPr>
              <w:adjustRightInd w:val="0"/>
              <w:snapToGrid w:val="0"/>
              <w:spacing w:line="240" w:lineRule="auto"/>
              <w:ind w:firstLineChars="0"/>
              <w:jc w:val="center"/>
              <w:rPr>
                <w:rFonts w:eastAsia="Times New Roman"/>
                <w:sz w:val="21"/>
                <w:szCs w:val="21"/>
              </w:rPr>
            </w:pPr>
          </w:p>
        </w:tc>
        <w:tc>
          <w:tcPr>
            <w:tcW w:w="608" w:type="pct"/>
            <w:shd w:val="clear" w:color="auto" w:fill="auto"/>
            <w:vAlign w:val="center"/>
          </w:tcPr>
          <w:p w14:paraId="441B28F8">
            <w:pPr>
              <w:adjustRightInd w:val="0"/>
              <w:snapToGrid w:val="0"/>
              <w:spacing w:line="240" w:lineRule="auto"/>
              <w:ind w:firstLine="0" w:firstLineChars="0"/>
              <w:jc w:val="center"/>
              <w:rPr>
                <w:sz w:val="21"/>
                <w:szCs w:val="21"/>
                <w:lang w:eastAsia="en-US"/>
              </w:rPr>
            </w:pPr>
            <w:r>
              <w:rPr>
                <w:sz w:val="21"/>
                <w:szCs w:val="21"/>
                <w:lang w:eastAsia="en-US"/>
              </w:rPr>
              <w:t>地下水环境</w:t>
            </w:r>
          </w:p>
        </w:tc>
        <w:tc>
          <w:tcPr>
            <w:tcW w:w="1090" w:type="pct"/>
            <w:shd w:val="clear" w:color="auto" w:fill="auto"/>
            <w:vAlign w:val="center"/>
          </w:tcPr>
          <w:p w14:paraId="6728F6DA">
            <w:pPr>
              <w:adjustRightInd w:val="0"/>
              <w:snapToGrid w:val="0"/>
              <w:spacing w:line="240" w:lineRule="auto"/>
              <w:ind w:firstLine="0" w:firstLineChars="0"/>
              <w:jc w:val="center"/>
              <w:rPr>
                <w:sz w:val="21"/>
                <w:szCs w:val="21"/>
              </w:rPr>
            </w:pPr>
            <w:r>
              <w:rPr>
                <w:sz w:val="21"/>
                <w:szCs w:val="21"/>
              </w:rPr>
              <w:t>地下水监控井（3口，上、</w:t>
            </w:r>
            <w:r>
              <w:rPr>
                <w:rFonts w:hint="eastAsia"/>
                <w:sz w:val="21"/>
                <w:szCs w:val="21"/>
              </w:rPr>
              <w:t>侧</w:t>
            </w:r>
            <w:r>
              <w:rPr>
                <w:sz w:val="21"/>
                <w:szCs w:val="21"/>
              </w:rPr>
              <w:t>、下游各一口）</w:t>
            </w:r>
          </w:p>
        </w:tc>
        <w:tc>
          <w:tcPr>
            <w:tcW w:w="822" w:type="pct"/>
            <w:shd w:val="clear" w:color="auto" w:fill="auto"/>
            <w:vAlign w:val="center"/>
          </w:tcPr>
          <w:p w14:paraId="248A8EAC">
            <w:pPr>
              <w:adjustRightInd w:val="0"/>
              <w:snapToGrid w:val="0"/>
              <w:spacing w:line="240" w:lineRule="auto"/>
              <w:ind w:firstLine="0" w:firstLineChars="0"/>
              <w:jc w:val="center"/>
              <w:rPr>
                <w:sz w:val="21"/>
                <w:szCs w:val="21"/>
              </w:rPr>
            </w:pPr>
            <w:r>
              <w:rPr>
                <w:rFonts w:eastAsia="Times New Roman"/>
                <w:position w:val="1"/>
                <w:sz w:val="21"/>
                <w:szCs w:val="21"/>
              </w:rPr>
              <w:t>COD</w:t>
            </w:r>
            <w:r>
              <w:rPr>
                <w:rFonts w:eastAsia="Times New Roman"/>
                <w:position w:val="1"/>
                <w:sz w:val="21"/>
                <w:szCs w:val="21"/>
                <w:vertAlign w:val="subscript"/>
              </w:rPr>
              <w:t>Cr</w:t>
            </w:r>
            <w:r>
              <w:rPr>
                <w:position w:val="1"/>
                <w:sz w:val="21"/>
                <w:szCs w:val="21"/>
              </w:rPr>
              <w:t>、氨氮、石油类</w:t>
            </w:r>
            <w:r>
              <w:rPr>
                <w:rFonts w:hint="eastAsia"/>
                <w:position w:val="1"/>
                <w:sz w:val="21"/>
                <w:szCs w:val="21"/>
              </w:rPr>
              <w:t>、总磷、石油类</w:t>
            </w:r>
          </w:p>
        </w:tc>
        <w:tc>
          <w:tcPr>
            <w:tcW w:w="407" w:type="pct"/>
            <w:shd w:val="clear" w:color="auto" w:fill="auto"/>
            <w:vAlign w:val="center"/>
          </w:tcPr>
          <w:p w14:paraId="3CE0B6F4">
            <w:pPr>
              <w:adjustRightInd w:val="0"/>
              <w:snapToGrid w:val="0"/>
              <w:spacing w:line="240" w:lineRule="auto"/>
              <w:ind w:firstLine="0" w:firstLineChars="0"/>
              <w:jc w:val="center"/>
              <w:rPr>
                <w:sz w:val="21"/>
                <w:szCs w:val="21"/>
                <w:lang w:eastAsia="en-US"/>
              </w:rPr>
            </w:pPr>
            <w:r>
              <w:rPr>
                <w:rFonts w:eastAsia="Times New Roman"/>
                <w:sz w:val="21"/>
                <w:szCs w:val="21"/>
                <w:lang w:eastAsia="en-US"/>
              </w:rPr>
              <w:t>1</w:t>
            </w:r>
            <w:r>
              <w:rPr>
                <w:sz w:val="21"/>
                <w:szCs w:val="21"/>
                <w:lang w:eastAsia="en-US"/>
              </w:rPr>
              <w:t>次</w:t>
            </w:r>
            <w:r>
              <w:rPr>
                <w:rFonts w:eastAsia="Times New Roman"/>
                <w:sz w:val="21"/>
                <w:szCs w:val="21"/>
                <w:lang w:eastAsia="en-US"/>
              </w:rPr>
              <w:t>/</w:t>
            </w:r>
            <w:r>
              <w:rPr>
                <w:rFonts w:hint="eastAsia" w:ascii="宋体" w:hAnsi="宋体"/>
                <w:sz w:val="21"/>
                <w:szCs w:val="21"/>
              </w:rPr>
              <w:t>年</w:t>
            </w:r>
          </w:p>
        </w:tc>
        <w:tc>
          <w:tcPr>
            <w:tcW w:w="1833" w:type="pct"/>
            <w:shd w:val="clear" w:color="auto" w:fill="auto"/>
            <w:vAlign w:val="center"/>
          </w:tcPr>
          <w:p w14:paraId="1FF9EBF0">
            <w:pPr>
              <w:adjustRightInd w:val="0"/>
              <w:snapToGrid w:val="0"/>
              <w:spacing w:line="240" w:lineRule="auto"/>
              <w:ind w:firstLine="0" w:firstLineChars="0"/>
              <w:jc w:val="center"/>
              <w:rPr>
                <w:sz w:val="21"/>
                <w:szCs w:val="21"/>
              </w:rPr>
            </w:pPr>
            <w:r>
              <w:rPr>
                <w:sz w:val="21"/>
                <w:szCs w:val="21"/>
              </w:rPr>
              <w:t>《地下水质量标准》（</w:t>
            </w:r>
            <w:r>
              <w:rPr>
                <w:rFonts w:eastAsia="Times New Roman"/>
                <w:sz w:val="21"/>
                <w:szCs w:val="21"/>
              </w:rPr>
              <w:t>GB14848-2017</w:t>
            </w:r>
            <w:r>
              <w:rPr>
                <w:sz w:val="21"/>
                <w:szCs w:val="21"/>
              </w:rPr>
              <w:t>）</w:t>
            </w:r>
            <w:r>
              <w:rPr>
                <w:rFonts w:eastAsia="Times New Roman"/>
                <w:sz w:val="21"/>
                <w:szCs w:val="21"/>
              </w:rPr>
              <w:t>Ⅲ</w:t>
            </w:r>
            <w:r>
              <w:rPr>
                <w:sz w:val="21"/>
                <w:szCs w:val="21"/>
              </w:rPr>
              <w:t>类标准</w:t>
            </w:r>
          </w:p>
        </w:tc>
      </w:tr>
      <w:tr w14:paraId="7AF53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40" w:type="pct"/>
            <w:shd w:val="clear" w:color="auto" w:fill="auto"/>
            <w:vAlign w:val="center"/>
          </w:tcPr>
          <w:p w14:paraId="545DDA8F">
            <w:pPr>
              <w:numPr>
                <w:ilvl w:val="0"/>
                <w:numId w:val="31"/>
              </w:numPr>
              <w:adjustRightInd w:val="0"/>
              <w:snapToGrid w:val="0"/>
              <w:spacing w:line="240" w:lineRule="auto"/>
              <w:ind w:firstLineChars="0"/>
              <w:jc w:val="center"/>
              <w:rPr>
                <w:rFonts w:eastAsia="Times New Roman"/>
                <w:sz w:val="21"/>
                <w:szCs w:val="21"/>
              </w:rPr>
            </w:pPr>
          </w:p>
        </w:tc>
        <w:tc>
          <w:tcPr>
            <w:tcW w:w="608" w:type="pct"/>
            <w:shd w:val="clear" w:color="auto" w:fill="auto"/>
            <w:vAlign w:val="center"/>
          </w:tcPr>
          <w:p w14:paraId="7EA3D406">
            <w:pPr>
              <w:adjustRightInd w:val="0"/>
              <w:snapToGrid w:val="0"/>
              <w:spacing w:line="240" w:lineRule="auto"/>
              <w:ind w:firstLine="0" w:firstLineChars="0"/>
              <w:jc w:val="center"/>
              <w:rPr>
                <w:sz w:val="21"/>
                <w:szCs w:val="21"/>
                <w:lang w:eastAsia="en-US"/>
              </w:rPr>
            </w:pPr>
            <w:r>
              <w:rPr>
                <w:sz w:val="21"/>
                <w:szCs w:val="21"/>
                <w:lang w:eastAsia="en-US"/>
              </w:rPr>
              <w:t>土壤</w:t>
            </w:r>
          </w:p>
        </w:tc>
        <w:tc>
          <w:tcPr>
            <w:tcW w:w="1090" w:type="pct"/>
            <w:shd w:val="clear" w:color="auto" w:fill="auto"/>
            <w:vAlign w:val="center"/>
          </w:tcPr>
          <w:p w14:paraId="28E061A9">
            <w:pPr>
              <w:adjustRightInd w:val="0"/>
              <w:snapToGrid w:val="0"/>
              <w:spacing w:line="240" w:lineRule="auto"/>
              <w:ind w:firstLine="0" w:firstLineChars="0"/>
              <w:jc w:val="center"/>
              <w:rPr>
                <w:sz w:val="21"/>
                <w:szCs w:val="21"/>
              </w:rPr>
            </w:pPr>
            <w:r>
              <w:rPr>
                <w:sz w:val="21"/>
                <w:szCs w:val="21"/>
              </w:rPr>
              <w:t>厂内设4个点位：</w:t>
            </w:r>
            <w:r>
              <w:rPr>
                <w:rFonts w:hint="eastAsia"/>
                <w:sz w:val="21"/>
                <w:szCs w:val="21"/>
              </w:rPr>
              <w:t>1</w:t>
            </w:r>
            <w:r>
              <w:rPr>
                <w:sz w:val="21"/>
                <w:szCs w:val="21"/>
              </w:rPr>
              <w:t>#</w:t>
            </w:r>
            <w:r>
              <w:rPr>
                <w:rFonts w:hint="eastAsia"/>
                <w:sz w:val="21"/>
                <w:szCs w:val="21"/>
              </w:rPr>
              <w:t>罐区附近、2</w:t>
            </w:r>
            <w:r>
              <w:rPr>
                <w:sz w:val="21"/>
                <w:szCs w:val="21"/>
              </w:rPr>
              <w:t>#</w:t>
            </w:r>
            <w:r>
              <w:rPr>
                <w:rFonts w:hint="eastAsia"/>
                <w:sz w:val="21"/>
                <w:szCs w:val="21"/>
              </w:rPr>
              <w:t>罐区附近、润滑油生产车间、润滑脂生产车间</w:t>
            </w:r>
          </w:p>
        </w:tc>
        <w:tc>
          <w:tcPr>
            <w:tcW w:w="822" w:type="pct"/>
            <w:shd w:val="clear" w:color="auto" w:fill="auto"/>
            <w:vAlign w:val="center"/>
          </w:tcPr>
          <w:p w14:paraId="54AFBDEF">
            <w:pPr>
              <w:adjustRightInd w:val="0"/>
              <w:snapToGrid w:val="0"/>
              <w:spacing w:line="240" w:lineRule="auto"/>
              <w:ind w:firstLine="0" w:firstLineChars="0"/>
              <w:jc w:val="center"/>
              <w:rPr>
                <w:sz w:val="21"/>
                <w:szCs w:val="21"/>
              </w:rPr>
            </w:pPr>
            <w:r>
              <w:rPr>
                <w:rFonts w:hint="eastAsia"/>
                <w:sz w:val="21"/>
                <w:szCs w:val="21"/>
              </w:rPr>
              <w:t>pH</w:t>
            </w:r>
            <w:r>
              <w:rPr>
                <w:sz w:val="21"/>
                <w:szCs w:val="21"/>
                <w:lang w:eastAsia="en-US"/>
              </w:rPr>
              <w:t>+基础</w:t>
            </w:r>
            <w:r>
              <w:rPr>
                <w:spacing w:val="-44"/>
                <w:sz w:val="21"/>
                <w:szCs w:val="21"/>
                <w:lang w:eastAsia="en-US"/>
              </w:rPr>
              <w:t xml:space="preserve"> </w:t>
            </w:r>
            <w:r>
              <w:rPr>
                <w:rFonts w:eastAsia="Times New Roman"/>
                <w:sz w:val="21"/>
                <w:szCs w:val="21"/>
                <w:lang w:eastAsia="en-US"/>
              </w:rPr>
              <w:t>45</w:t>
            </w:r>
            <w:r>
              <w:rPr>
                <w:sz w:val="21"/>
                <w:szCs w:val="21"/>
                <w:lang w:eastAsia="en-US"/>
              </w:rPr>
              <w:t>项</w:t>
            </w:r>
            <w:r>
              <w:rPr>
                <w:rFonts w:hint="eastAsia"/>
                <w:sz w:val="21"/>
                <w:szCs w:val="21"/>
              </w:rPr>
              <w:t>+石油烃</w:t>
            </w:r>
          </w:p>
        </w:tc>
        <w:tc>
          <w:tcPr>
            <w:tcW w:w="407" w:type="pct"/>
            <w:shd w:val="clear" w:color="auto" w:fill="auto"/>
            <w:vAlign w:val="center"/>
          </w:tcPr>
          <w:p w14:paraId="50F02467">
            <w:pPr>
              <w:adjustRightInd w:val="0"/>
              <w:snapToGrid w:val="0"/>
              <w:spacing w:line="240" w:lineRule="auto"/>
              <w:ind w:firstLine="0" w:firstLineChars="0"/>
              <w:jc w:val="center"/>
              <w:rPr>
                <w:rFonts w:eastAsia="Times New Roman"/>
                <w:sz w:val="21"/>
                <w:szCs w:val="21"/>
                <w:lang w:eastAsia="en-US"/>
              </w:rPr>
            </w:pPr>
            <w:r>
              <w:rPr>
                <w:rFonts w:eastAsia="Times New Roman"/>
                <w:sz w:val="21"/>
                <w:szCs w:val="21"/>
                <w:lang w:eastAsia="en-US"/>
              </w:rPr>
              <w:t>1</w:t>
            </w:r>
            <w:r>
              <w:rPr>
                <w:sz w:val="21"/>
                <w:szCs w:val="21"/>
                <w:lang w:eastAsia="en-US"/>
              </w:rPr>
              <w:t>次</w:t>
            </w:r>
            <w:r>
              <w:rPr>
                <w:rFonts w:eastAsia="Times New Roman"/>
                <w:sz w:val="21"/>
                <w:szCs w:val="21"/>
                <w:lang w:eastAsia="en-US"/>
              </w:rPr>
              <w:t>/5a</w:t>
            </w:r>
          </w:p>
        </w:tc>
        <w:tc>
          <w:tcPr>
            <w:tcW w:w="1833" w:type="pct"/>
            <w:shd w:val="clear" w:color="auto" w:fill="auto"/>
            <w:vAlign w:val="center"/>
          </w:tcPr>
          <w:p w14:paraId="72DE3E85">
            <w:pPr>
              <w:adjustRightInd w:val="0"/>
              <w:snapToGrid w:val="0"/>
              <w:spacing w:line="240" w:lineRule="auto"/>
              <w:ind w:firstLine="0" w:firstLineChars="0"/>
              <w:jc w:val="center"/>
              <w:rPr>
                <w:sz w:val="21"/>
                <w:szCs w:val="21"/>
              </w:rPr>
            </w:pPr>
            <w:r>
              <w:rPr>
                <w:sz w:val="21"/>
                <w:szCs w:val="21"/>
              </w:rPr>
              <w:t>《土壤环境质量</w:t>
            </w:r>
            <w:r>
              <w:rPr>
                <w:spacing w:val="1"/>
                <w:sz w:val="21"/>
                <w:szCs w:val="21"/>
              </w:rPr>
              <w:t xml:space="preserve"> </w:t>
            </w:r>
            <w:r>
              <w:rPr>
                <w:sz w:val="21"/>
                <w:szCs w:val="21"/>
              </w:rPr>
              <w:t>建设用地土壤污染风险管控标准</w:t>
            </w:r>
            <w:r>
              <w:rPr>
                <w:spacing w:val="-13"/>
                <w:sz w:val="21"/>
                <w:szCs w:val="21"/>
              </w:rPr>
              <w:t>（试行）》（</w:t>
            </w:r>
            <w:r>
              <w:rPr>
                <w:rFonts w:eastAsia="Times New Roman"/>
                <w:spacing w:val="-13"/>
                <w:sz w:val="21"/>
                <w:szCs w:val="21"/>
              </w:rPr>
              <w:t>GB36600-</w:t>
            </w:r>
            <w:r>
              <w:rPr>
                <w:rFonts w:eastAsia="Times New Roman"/>
                <w:sz w:val="21"/>
                <w:szCs w:val="21"/>
              </w:rPr>
              <w:t xml:space="preserve"> 2018</w:t>
            </w:r>
            <w:r>
              <w:rPr>
                <w:sz w:val="21"/>
                <w:szCs w:val="21"/>
              </w:rPr>
              <w:t>）中表</w:t>
            </w:r>
            <w:r>
              <w:rPr>
                <w:rFonts w:eastAsia="Times New Roman"/>
                <w:sz w:val="21"/>
                <w:szCs w:val="21"/>
              </w:rPr>
              <w:t>1</w:t>
            </w:r>
            <w:r>
              <w:rPr>
                <w:sz w:val="21"/>
                <w:szCs w:val="21"/>
              </w:rPr>
              <w:t>第二类用地标准</w:t>
            </w:r>
          </w:p>
        </w:tc>
      </w:tr>
    </w:tbl>
    <w:p w14:paraId="16092A95">
      <w:pPr>
        <w:ind w:firstLine="480"/>
      </w:pPr>
      <w:r>
        <w:t>按照</w:t>
      </w:r>
      <w:r>
        <w:rPr>
          <w:rFonts w:hint="eastAsia"/>
        </w:rPr>
        <w:t>《排污许可证申请与核发技术规范 石化工业》（HJ</w:t>
      </w:r>
      <w:r>
        <w:t>853-2017</w:t>
      </w:r>
      <w:r>
        <w:rPr>
          <w:rFonts w:hint="eastAsia"/>
        </w:rPr>
        <w:t>）以及《排污单位自行监测技术指南 总则》（HJ</w:t>
      </w:r>
      <w:r>
        <w:t>819</w:t>
      </w:r>
      <w:r>
        <w:rPr>
          <w:rFonts w:hint="eastAsia"/>
        </w:rPr>
        <w:t>-201</w:t>
      </w:r>
      <w:r>
        <w:t>7</w:t>
      </w:r>
      <w:r>
        <w:rPr>
          <w:rFonts w:hint="eastAsia"/>
        </w:rPr>
        <w:t>）</w:t>
      </w:r>
      <w:r>
        <w:t>要求，建设单位需要将上述污染源监测及环境质量监测结果自行公开。具体公布要求如下：</w:t>
      </w:r>
    </w:p>
    <w:p w14:paraId="2C771148">
      <w:pPr>
        <w:ind w:firstLine="480"/>
      </w:pPr>
      <w:r>
        <w:t>（1）公布方式：自行监测信息公布于第七师胡杨河市门户网站发布平台。</w:t>
      </w:r>
    </w:p>
    <w:p w14:paraId="49455CF3">
      <w:pPr>
        <w:ind w:firstLine="480"/>
      </w:pPr>
      <w:r>
        <w:t>（2）公布内容：基础信息（企业名称、法人代表、所属行业、地理位置、生产周期、联系方式、委托监测机构名称等）、自行监测方案（有修订要及时备案公布）、自行监测结果（全部监测点位、监测时间、污染物种类及浓度、标准限值、达标情况、超标倍数、污染物排放方式及排放去向）、未开展自行监测的原因、年度报告。</w:t>
      </w:r>
    </w:p>
    <w:p w14:paraId="025F3063">
      <w:pPr>
        <w:ind w:firstLine="480"/>
      </w:pPr>
      <w:r>
        <w:t>（3）公布时限：</w:t>
      </w:r>
    </w:p>
    <w:p w14:paraId="362D35A5">
      <w:pPr>
        <w:ind w:firstLine="480"/>
      </w:pPr>
      <w:r>
        <w:rPr>
          <w:rFonts w:hint="eastAsia" w:ascii="宋体" w:hAnsi="宋体" w:cs="宋体"/>
        </w:rPr>
        <w:t>①</w:t>
      </w:r>
      <w:r>
        <w:t>企业基础信息应随监测数据一并公布，基础信息、自行监测方案如有调整变化时，应于变更后的五</w:t>
      </w:r>
      <w:r>
        <w:rPr>
          <w:rFonts w:hint="eastAsia"/>
        </w:rPr>
        <w:t>个工作</w:t>
      </w:r>
      <w:r>
        <w:t>日内公布最新内容；</w:t>
      </w:r>
    </w:p>
    <w:p w14:paraId="070029F6">
      <w:pPr>
        <w:ind w:firstLine="480"/>
      </w:pPr>
      <w:r>
        <w:rPr>
          <w:rFonts w:hint="eastAsia" w:ascii="宋体" w:hAnsi="宋体" w:cs="宋体"/>
        </w:rPr>
        <w:t>②</w:t>
      </w:r>
      <w:r>
        <w:t>手工监测数据应于每次监测完成后的次日公布；</w:t>
      </w:r>
    </w:p>
    <w:p w14:paraId="46CFC191">
      <w:pPr>
        <w:ind w:firstLine="480"/>
      </w:pPr>
      <w:r>
        <w:rPr>
          <w:rFonts w:hint="eastAsia" w:ascii="宋体" w:hAnsi="宋体" w:cs="宋体"/>
        </w:rPr>
        <w:t>③</w:t>
      </w:r>
      <w:r>
        <w:t>于每年一月底前公布上年度自行监测年度报告；</w:t>
      </w:r>
    </w:p>
    <w:p w14:paraId="7F8FCC80">
      <w:pPr>
        <w:ind w:firstLine="480"/>
      </w:pPr>
      <w:r>
        <w:rPr>
          <w:rFonts w:hint="eastAsia" w:ascii="宋体" w:hAnsi="宋体" w:cs="宋体"/>
        </w:rPr>
        <w:t>④</w:t>
      </w:r>
      <w:r>
        <w:t>当自动监测装置发生故障时及时采用手工监测并按手工监测数据公布的要求公布。</w:t>
      </w:r>
    </w:p>
    <w:p w14:paraId="6E6642CF">
      <w:pPr>
        <w:pStyle w:val="41"/>
      </w:pPr>
      <w:bookmarkStart w:id="797" w:name="_Toc152864291"/>
      <w:r>
        <w:rPr>
          <w:rFonts w:hint="eastAsia"/>
        </w:rPr>
        <w:t>总量控制</w:t>
      </w:r>
      <w:bookmarkEnd w:id="797"/>
    </w:p>
    <w:p w14:paraId="3C8599E9">
      <w:pPr>
        <w:ind w:firstLine="480"/>
        <w:rPr>
          <w:rFonts w:hint="eastAsia"/>
        </w:rPr>
      </w:pPr>
      <w:r>
        <w:rPr>
          <w:rFonts w:hint="eastAsia"/>
        </w:rPr>
        <w:t>本项目废气污染物主要为VOCs（以非甲烷总烃计），废水依托园区污水处理厂处理，不外排，不涉及国家规定的总量控制指标。</w:t>
      </w:r>
    </w:p>
    <w:p w14:paraId="080524C8">
      <w:pPr>
        <w:ind w:firstLine="480"/>
        <w:rPr>
          <w:rFonts w:hint="eastAsia"/>
          <w:lang w:eastAsia="zh-CN"/>
        </w:rPr>
      </w:pPr>
      <w:r>
        <w:rPr>
          <w:rFonts w:hint="eastAsia"/>
          <w:lang w:val="en-US" w:eastAsia="zh-CN"/>
        </w:rPr>
        <w:t>本项目原环评批复总量指标为</w:t>
      </w:r>
      <w:r>
        <w:rPr>
          <w:rFonts w:hint="eastAsia"/>
        </w:rPr>
        <w:t>VOCs（以非甲烷总烃计）排放量为</w:t>
      </w:r>
      <w:r>
        <w:rPr>
          <w:rFonts w:hint="eastAsia"/>
          <w:lang w:val="en-US" w:eastAsia="zh-CN"/>
        </w:rPr>
        <w:t>1.22</w:t>
      </w:r>
      <w:r>
        <w:rPr>
          <w:rFonts w:hint="eastAsia"/>
        </w:rPr>
        <w:t>t</w:t>
      </w:r>
      <w:r>
        <w:t>/a</w:t>
      </w:r>
      <w:r>
        <w:rPr>
          <w:rFonts w:hint="eastAsia"/>
        </w:rPr>
        <w:t>；氮氧化物0</w:t>
      </w:r>
      <w:r>
        <w:t>.136</w:t>
      </w:r>
      <w:r>
        <w:rPr>
          <w:rFonts w:hint="eastAsia"/>
        </w:rPr>
        <w:t>t</w:t>
      </w:r>
      <w:r>
        <w:t>/a</w:t>
      </w:r>
      <w:r>
        <w:rPr>
          <w:rFonts w:hint="eastAsia"/>
          <w:lang w:eastAsia="zh-CN"/>
        </w:rPr>
        <w:t>；</w:t>
      </w:r>
      <w:r>
        <w:rPr>
          <w:rFonts w:hint="eastAsia"/>
        </w:rPr>
        <w:t>根据工程分析，本项目</w:t>
      </w:r>
      <w:r>
        <w:rPr>
          <w:rFonts w:hint="eastAsia"/>
          <w:lang w:val="en-US" w:eastAsia="zh-CN"/>
        </w:rPr>
        <w:t>变动后</w:t>
      </w:r>
      <w:r>
        <w:rPr>
          <w:rFonts w:hint="eastAsia"/>
        </w:rPr>
        <w:t>的主要污染物VOCs（以非甲烷总烃计）排放量为</w:t>
      </w:r>
      <w:r>
        <w:rPr>
          <w:rFonts w:hint="eastAsia"/>
          <w:lang w:val="en-US" w:eastAsia="zh-CN"/>
        </w:rPr>
        <w:t>6.8</w:t>
      </w:r>
      <w:r>
        <w:rPr>
          <w:rFonts w:hint="eastAsia"/>
        </w:rPr>
        <w:t>t</w:t>
      </w:r>
      <w:r>
        <w:t>/a</w:t>
      </w:r>
      <w:r>
        <w:rPr>
          <w:rFonts w:hint="eastAsia"/>
        </w:rPr>
        <w:t>；氮氧化物0</w:t>
      </w:r>
      <w:r>
        <w:t>.136</w:t>
      </w:r>
      <w:r>
        <w:rPr>
          <w:rFonts w:hint="eastAsia"/>
        </w:rPr>
        <w:t>t</w:t>
      </w:r>
      <w:r>
        <w:t>/a</w:t>
      </w:r>
      <w:r>
        <w:rPr>
          <w:rFonts w:hint="eastAsia"/>
          <w:lang w:eastAsia="zh-CN"/>
        </w:rPr>
        <w:t>。</w:t>
      </w:r>
    </w:p>
    <w:p w14:paraId="697E12BD">
      <w:pPr>
        <w:ind w:firstLine="480"/>
      </w:pPr>
      <w:r>
        <w:rPr>
          <w:rFonts w:hint="eastAsia"/>
          <w:lang w:val="en-US" w:eastAsia="zh-CN"/>
        </w:rPr>
        <w:t>因此，本次环评申请</w:t>
      </w:r>
      <w:r>
        <w:rPr>
          <w:rFonts w:hint="eastAsia"/>
        </w:rPr>
        <w:t>总量控制指标</w:t>
      </w:r>
      <w:r>
        <w:rPr>
          <w:rFonts w:hint="eastAsia"/>
          <w:color w:val="auto"/>
        </w:rPr>
        <w:t>为：VOCs</w:t>
      </w:r>
      <w:r>
        <w:rPr>
          <w:rFonts w:hint="eastAsia"/>
          <w:color w:val="auto"/>
          <w:lang w:val="en-US" w:eastAsia="zh-CN"/>
        </w:rPr>
        <w:t>5.58</w:t>
      </w:r>
      <w:r>
        <w:rPr>
          <w:rFonts w:hint="eastAsia"/>
          <w:color w:val="auto"/>
        </w:rPr>
        <w:t>t</w:t>
      </w:r>
      <w:r>
        <w:rPr>
          <w:color w:val="auto"/>
        </w:rPr>
        <w:t>/a</w:t>
      </w:r>
      <w:r>
        <w:rPr>
          <w:rFonts w:hint="eastAsia"/>
          <w:color w:val="auto"/>
        </w:rPr>
        <w:t>。</w:t>
      </w:r>
    </w:p>
    <w:p w14:paraId="09E46FF7">
      <w:pPr>
        <w:pStyle w:val="41"/>
      </w:pPr>
      <w:bookmarkStart w:id="798" w:name="_Toc152864292"/>
      <w:r>
        <w:rPr>
          <w:rFonts w:hint="eastAsia"/>
        </w:rPr>
        <w:t>“三同时”验收</w:t>
      </w:r>
      <w:bookmarkEnd w:id="798"/>
    </w:p>
    <w:p w14:paraId="5E5C4D1C">
      <w:pPr>
        <w:ind w:firstLine="480"/>
      </w:pPr>
      <w:r>
        <w:rPr>
          <w:rFonts w:hint="eastAsia"/>
        </w:rPr>
        <w:t>根据《建设项目环境保护管理条例》，建设项目需要配套建设的环境保护设施，必须与主体工程同时设计、同时施工、同时投产使用。本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投入生产或者使用。本项目“三同时”验收内容见表8</w:t>
      </w:r>
      <w:r>
        <w:t>.5-1</w:t>
      </w:r>
      <w:r>
        <w:rPr>
          <w:rFonts w:hint="eastAsia"/>
        </w:rPr>
        <w:t>。</w:t>
      </w:r>
    </w:p>
    <w:p w14:paraId="7196629E">
      <w:pPr>
        <w:ind w:firstLine="480"/>
        <w:sectPr>
          <w:footerReference r:id="rId34"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1645ED44">
      <w:pPr>
        <w:pStyle w:val="47"/>
        <w:keepNext w:val="0"/>
        <w:keepLines w:val="0"/>
        <w:pageBreakBefore w:val="0"/>
        <w:widowControl w:val="0"/>
        <w:kinsoku/>
        <w:wordWrap/>
        <w:overflowPunct/>
        <w:topLinePunct w:val="0"/>
        <w:autoSpaceDE/>
        <w:autoSpaceDN/>
        <w:bidi w:val="0"/>
        <w:adjustRightInd w:val="0"/>
        <w:snapToGrid w:val="0"/>
        <w:spacing w:before="0" w:beforeLines="0" w:after="0"/>
        <w:ind w:firstLine="0"/>
        <w:textAlignment w:val="auto"/>
      </w:pPr>
      <w:r>
        <w:rPr>
          <w:rFonts w:hint="eastAsia"/>
        </w:rPr>
        <w:t>表8</w:t>
      </w:r>
      <w:r>
        <w:t xml:space="preserve">.5-1   </w:t>
      </w:r>
      <w:r>
        <w:rPr>
          <w:rFonts w:hint="eastAsia"/>
        </w:rPr>
        <w:t>本项目“三同时”环保验收一览表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877"/>
        <w:gridCol w:w="1985"/>
        <w:gridCol w:w="2870"/>
        <w:gridCol w:w="2801"/>
        <w:gridCol w:w="5425"/>
      </w:tblGrid>
      <w:tr w14:paraId="628423E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Align w:val="center"/>
          </w:tcPr>
          <w:p w14:paraId="0C355724">
            <w:pPr>
              <w:adjustRightInd w:val="0"/>
              <w:snapToGrid w:val="0"/>
              <w:spacing w:line="240" w:lineRule="auto"/>
              <w:ind w:firstLine="0" w:firstLineChars="0"/>
              <w:jc w:val="center"/>
              <w:rPr>
                <w:sz w:val="21"/>
                <w:szCs w:val="21"/>
                <w:lang w:eastAsia="en-US"/>
              </w:rPr>
            </w:pPr>
            <w:r>
              <w:rPr>
                <w:sz w:val="21"/>
                <w:szCs w:val="21"/>
                <w:lang w:eastAsia="en-US"/>
              </w:rPr>
              <w:t>类别</w:t>
            </w:r>
          </w:p>
        </w:tc>
        <w:tc>
          <w:tcPr>
            <w:tcW w:w="711" w:type="pct"/>
            <w:vAlign w:val="center"/>
          </w:tcPr>
          <w:p w14:paraId="72E005B2">
            <w:pPr>
              <w:adjustRightInd w:val="0"/>
              <w:snapToGrid w:val="0"/>
              <w:spacing w:line="240" w:lineRule="auto"/>
              <w:ind w:firstLine="0" w:firstLineChars="0"/>
              <w:jc w:val="center"/>
              <w:rPr>
                <w:sz w:val="21"/>
                <w:szCs w:val="21"/>
                <w:lang w:eastAsia="en-US"/>
              </w:rPr>
            </w:pPr>
            <w:r>
              <w:rPr>
                <w:sz w:val="21"/>
                <w:szCs w:val="21"/>
                <w:lang w:eastAsia="en-US"/>
              </w:rPr>
              <w:t>污染源</w:t>
            </w:r>
          </w:p>
        </w:tc>
        <w:tc>
          <w:tcPr>
            <w:tcW w:w="1028" w:type="pct"/>
            <w:vAlign w:val="center"/>
          </w:tcPr>
          <w:p w14:paraId="26F07F6F">
            <w:pPr>
              <w:adjustRightInd w:val="0"/>
              <w:snapToGrid w:val="0"/>
              <w:spacing w:line="240" w:lineRule="auto"/>
              <w:ind w:firstLine="0" w:firstLineChars="0"/>
              <w:jc w:val="center"/>
              <w:rPr>
                <w:sz w:val="21"/>
                <w:szCs w:val="21"/>
                <w:lang w:eastAsia="en-US"/>
              </w:rPr>
            </w:pPr>
            <w:r>
              <w:rPr>
                <w:sz w:val="21"/>
                <w:szCs w:val="21"/>
                <w:lang w:eastAsia="en-US"/>
              </w:rPr>
              <w:t>环保设施</w:t>
            </w:r>
          </w:p>
        </w:tc>
        <w:tc>
          <w:tcPr>
            <w:tcW w:w="1002" w:type="pct"/>
            <w:vAlign w:val="center"/>
          </w:tcPr>
          <w:p w14:paraId="0320F8F4">
            <w:pPr>
              <w:adjustRightInd w:val="0"/>
              <w:snapToGrid w:val="0"/>
              <w:spacing w:line="240" w:lineRule="auto"/>
              <w:ind w:firstLine="0" w:firstLineChars="0"/>
              <w:jc w:val="center"/>
              <w:rPr>
                <w:sz w:val="21"/>
                <w:szCs w:val="21"/>
                <w:lang w:eastAsia="en-US"/>
              </w:rPr>
            </w:pPr>
            <w:r>
              <w:rPr>
                <w:sz w:val="21"/>
                <w:szCs w:val="21"/>
                <w:lang w:eastAsia="en-US"/>
              </w:rPr>
              <w:t>监控因子</w:t>
            </w:r>
          </w:p>
        </w:tc>
        <w:tc>
          <w:tcPr>
            <w:tcW w:w="1943" w:type="pct"/>
            <w:vAlign w:val="center"/>
          </w:tcPr>
          <w:p w14:paraId="3509CE23">
            <w:pPr>
              <w:adjustRightInd w:val="0"/>
              <w:snapToGrid w:val="0"/>
              <w:spacing w:line="240" w:lineRule="auto"/>
              <w:ind w:firstLine="0" w:firstLineChars="0"/>
              <w:jc w:val="center"/>
              <w:rPr>
                <w:sz w:val="21"/>
                <w:szCs w:val="21"/>
                <w:lang w:eastAsia="en-US"/>
              </w:rPr>
            </w:pPr>
            <w:r>
              <w:rPr>
                <w:sz w:val="21"/>
                <w:szCs w:val="21"/>
                <w:lang w:eastAsia="en-US"/>
              </w:rPr>
              <w:t>验收标准</w:t>
            </w:r>
          </w:p>
        </w:tc>
      </w:tr>
      <w:tr w14:paraId="31F624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restart"/>
            <w:vAlign w:val="center"/>
          </w:tcPr>
          <w:p w14:paraId="3D399281">
            <w:pPr>
              <w:adjustRightInd w:val="0"/>
              <w:snapToGrid w:val="0"/>
              <w:spacing w:line="240" w:lineRule="auto"/>
              <w:ind w:firstLine="0" w:firstLineChars="0"/>
              <w:jc w:val="center"/>
              <w:rPr>
                <w:sz w:val="21"/>
                <w:szCs w:val="21"/>
                <w:lang w:eastAsia="en-US"/>
              </w:rPr>
            </w:pPr>
            <w:r>
              <w:rPr>
                <w:sz w:val="21"/>
                <w:szCs w:val="21"/>
                <w:lang w:eastAsia="en-US"/>
              </w:rPr>
              <w:t>废气</w:t>
            </w:r>
          </w:p>
        </w:tc>
        <w:tc>
          <w:tcPr>
            <w:tcW w:w="711" w:type="pct"/>
            <w:vMerge w:val="restart"/>
            <w:vAlign w:val="center"/>
          </w:tcPr>
          <w:p w14:paraId="3C6B1010">
            <w:pPr>
              <w:adjustRightInd w:val="0"/>
              <w:snapToGrid w:val="0"/>
              <w:spacing w:line="240" w:lineRule="auto"/>
              <w:ind w:firstLine="0" w:firstLineChars="0"/>
              <w:jc w:val="center"/>
              <w:rPr>
                <w:sz w:val="21"/>
                <w:szCs w:val="21"/>
              </w:rPr>
            </w:pPr>
            <w:r>
              <w:rPr>
                <w:rFonts w:hint="eastAsia"/>
                <w:sz w:val="21"/>
                <w:szCs w:val="21"/>
              </w:rPr>
              <w:t>润滑油、润滑脂生产车间</w:t>
            </w:r>
          </w:p>
        </w:tc>
        <w:tc>
          <w:tcPr>
            <w:tcW w:w="1028" w:type="pct"/>
            <w:vMerge w:val="restart"/>
            <w:vAlign w:val="center"/>
          </w:tcPr>
          <w:p w14:paraId="4471AA84">
            <w:pPr>
              <w:adjustRightInd w:val="0"/>
              <w:snapToGrid w:val="0"/>
              <w:spacing w:line="240" w:lineRule="auto"/>
              <w:ind w:firstLine="0" w:firstLineChars="0"/>
              <w:jc w:val="center"/>
              <w:rPr>
                <w:sz w:val="21"/>
                <w:szCs w:val="21"/>
              </w:rPr>
            </w:pPr>
            <w:r>
              <w:rPr>
                <w:rFonts w:hint="eastAsia"/>
                <w:sz w:val="21"/>
                <w:szCs w:val="21"/>
              </w:rPr>
              <w:t>泄漏检测与修复（LDAR）</w:t>
            </w:r>
          </w:p>
        </w:tc>
        <w:tc>
          <w:tcPr>
            <w:tcW w:w="1002" w:type="pct"/>
            <w:vMerge w:val="restart"/>
            <w:vAlign w:val="center"/>
          </w:tcPr>
          <w:p w14:paraId="5111E42B">
            <w:pPr>
              <w:adjustRightInd w:val="0"/>
              <w:snapToGrid w:val="0"/>
              <w:spacing w:line="240" w:lineRule="auto"/>
              <w:ind w:firstLine="0" w:firstLineChars="0"/>
              <w:jc w:val="center"/>
              <w:rPr>
                <w:sz w:val="21"/>
                <w:szCs w:val="21"/>
              </w:rPr>
            </w:pPr>
            <w:r>
              <w:rPr>
                <w:rFonts w:hint="eastAsia"/>
                <w:sz w:val="21"/>
                <w:szCs w:val="21"/>
              </w:rPr>
              <w:t>非甲烷总烃</w:t>
            </w:r>
          </w:p>
        </w:tc>
        <w:tc>
          <w:tcPr>
            <w:tcW w:w="1943" w:type="pct"/>
            <w:vAlign w:val="center"/>
          </w:tcPr>
          <w:p w14:paraId="0D58C835">
            <w:pPr>
              <w:adjustRightInd w:val="0"/>
              <w:snapToGrid w:val="0"/>
              <w:spacing w:line="240" w:lineRule="auto"/>
              <w:ind w:firstLine="0" w:firstLineChars="0"/>
              <w:jc w:val="center"/>
              <w:rPr>
                <w:sz w:val="21"/>
                <w:szCs w:val="21"/>
              </w:rPr>
            </w:pPr>
            <w:r>
              <w:rPr>
                <w:rFonts w:hint="eastAsia"/>
                <w:sz w:val="21"/>
                <w:szCs w:val="21"/>
              </w:rPr>
              <w:t>/</w:t>
            </w:r>
          </w:p>
        </w:tc>
      </w:tr>
      <w:tr w14:paraId="382C31A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14" w:type="pct"/>
            <w:vMerge w:val="continue"/>
            <w:vAlign w:val="center"/>
          </w:tcPr>
          <w:p w14:paraId="61C20762">
            <w:pPr>
              <w:adjustRightInd w:val="0"/>
              <w:snapToGrid w:val="0"/>
              <w:spacing w:line="240" w:lineRule="auto"/>
              <w:ind w:firstLine="0" w:firstLineChars="0"/>
              <w:jc w:val="center"/>
              <w:rPr>
                <w:sz w:val="21"/>
                <w:szCs w:val="21"/>
                <w:lang w:eastAsia="en-US"/>
              </w:rPr>
            </w:pPr>
          </w:p>
        </w:tc>
        <w:tc>
          <w:tcPr>
            <w:tcW w:w="711" w:type="pct"/>
            <w:vMerge w:val="continue"/>
            <w:vAlign w:val="center"/>
          </w:tcPr>
          <w:p w14:paraId="0F657135">
            <w:pPr>
              <w:adjustRightInd w:val="0"/>
              <w:snapToGrid w:val="0"/>
              <w:spacing w:line="240" w:lineRule="auto"/>
              <w:ind w:firstLine="0" w:firstLineChars="0"/>
              <w:jc w:val="center"/>
              <w:rPr>
                <w:rFonts w:hint="eastAsia"/>
                <w:sz w:val="21"/>
                <w:szCs w:val="21"/>
              </w:rPr>
            </w:pPr>
          </w:p>
        </w:tc>
        <w:tc>
          <w:tcPr>
            <w:tcW w:w="1028" w:type="pct"/>
            <w:vMerge w:val="continue"/>
            <w:vAlign w:val="center"/>
          </w:tcPr>
          <w:p w14:paraId="4AB9131F">
            <w:pPr>
              <w:adjustRightInd w:val="0"/>
              <w:snapToGrid w:val="0"/>
              <w:spacing w:line="240" w:lineRule="auto"/>
              <w:ind w:firstLine="0" w:firstLineChars="0"/>
              <w:jc w:val="center"/>
              <w:rPr>
                <w:rFonts w:hint="default" w:eastAsia="宋体"/>
                <w:color w:val="FF0000"/>
                <w:sz w:val="21"/>
                <w:szCs w:val="21"/>
                <w:lang w:val="en-US" w:eastAsia="zh-CN"/>
              </w:rPr>
            </w:pPr>
          </w:p>
        </w:tc>
        <w:tc>
          <w:tcPr>
            <w:tcW w:w="1002" w:type="pct"/>
            <w:vMerge w:val="continue"/>
            <w:vAlign w:val="center"/>
          </w:tcPr>
          <w:p w14:paraId="6A92724C">
            <w:pPr>
              <w:adjustRightInd w:val="0"/>
              <w:snapToGrid w:val="0"/>
              <w:spacing w:line="240" w:lineRule="auto"/>
              <w:ind w:firstLine="0" w:firstLineChars="0"/>
              <w:jc w:val="center"/>
              <w:rPr>
                <w:rFonts w:hint="eastAsia"/>
                <w:color w:val="FF0000"/>
                <w:sz w:val="21"/>
                <w:szCs w:val="21"/>
              </w:rPr>
            </w:pPr>
          </w:p>
        </w:tc>
        <w:tc>
          <w:tcPr>
            <w:tcW w:w="1943" w:type="pct"/>
            <w:vMerge w:val="restart"/>
            <w:vAlign w:val="center"/>
          </w:tcPr>
          <w:p w14:paraId="3E7C8BC7">
            <w:pPr>
              <w:adjustRightInd w:val="0"/>
              <w:snapToGrid w:val="0"/>
              <w:spacing w:line="240" w:lineRule="auto"/>
              <w:ind w:firstLine="0" w:firstLineChars="0"/>
              <w:jc w:val="center"/>
              <w:rPr>
                <w:sz w:val="21"/>
                <w:szCs w:val="21"/>
              </w:rPr>
            </w:pPr>
            <w:r>
              <w:rPr>
                <w:rFonts w:hint="eastAsia"/>
                <w:sz w:val="21"/>
                <w:szCs w:val="21"/>
              </w:rPr>
              <w:t>《石油炼制工业污染物排放标准》（GB31570-2015）表4</w:t>
            </w:r>
          </w:p>
        </w:tc>
      </w:tr>
      <w:tr w14:paraId="37A0AFA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199B34B2">
            <w:pPr>
              <w:adjustRightInd w:val="0"/>
              <w:snapToGrid w:val="0"/>
              <w:spacing w:line="240" w:lineRule="auto"/>
              <w:ind w:firstLine="0" w:firstLineChars="0"/>
              <w:jc w:val="center"/>
              <w:rPr>
                <w:sz w:val="21"/>
                <w:szCs w:val="21"/>
              </w:rPr>
            </w:pPr>
          </w:p>
        </w:tc>
        <w:tc>
          <w:tcPr>
            <w:tcW w:w="711" w:type="pct"/>
            <w:vAlign w:val="center"/>
          </w:tcPr>
          <w:p w14:paraId="3D9B5CAC">
            <w:pPr>
              <w:adjustRightInd w:val="0"/>
              <w:snapToGrid w:val="0"/>
              <w:spacing w:line="240" w:lineRule="auto"/>
              <w:ind w:firstLine="0" w:firstLineChars="0"/>
              <w:jc w:val="center"/>
              <w:rPr>
                <w:sz w:val="21"/>
                <w:szCs w:val="21"/>
              </w:rPr>
            </w:pPr>
            <w:r>
              <w:rPr>
                <w:rFonts w:hint="eastAsia"/>
                <w:sz w:val="21"/>
                <w:szCs w:val="21"/>
              </w:rPr>
              <w:t>罐区储存和装卸</w:t>
            </w:r>
          </w:p>
        </w:tc>
        <w:tc>
          <w:tcPr>
            <w:tcW w:w="1028" w:type="pct"/>
            <w:vAlign w:val="center"/>
          </w:tcPr>
          <w:p w14:paraId="619C9895">
            <w:pPr>
              <w:adjustRightInd w:val="0"/>
              <w:snapToGrid w:val="0"/>
              <w:spacing w:line="240" w:lineRule="auto"/>
              <w:ind w:firstLine="0" w:firstLineChars="0"/>
              <w:jc w:val="center"/>
              <w:rPr>
                <w:sz w:val="21"/>
                <w:szCs w:val="21"/>
              </w:rPr>
            </w:pPr>
            <w:r>
              <w:rPr>
                <w:rFonts w:hint="eastAsia"/>
                <w:sz w:val="21"/>
                <w:szCs w:val="21"/>
              </w:rPr>
              <w:t>设置油气平衡+油气回收+</w:t>
            </w:r>
            <w:r>
              <w:rPr>
                <w:sz w:val="21"/>
                <w:szCs w:val="21"/>
              </w:rPr>
              <w:t>15</w:t>
            </w:r>
            <w:r>
              <w:rPr>
                <w:rFonts w:hint="eastAsia"/>
                <w:sz w:val="21"/>
                <w:szCs w:val="21"/>
              </w:rPr>
              <w:t>m排气筒1根（DA</w:t>
            </w:r>
            <w:r>
              <w:rPr>
                <w:sz w:val="21"/>
                <w:szCs w:val="21"/>
              </w:rPr>
              <w:t>001</w:t>
            </w:r>
            <w:r>
              <w:rPr>
                <w:rFonts w:hint="eastAsia"/>
                <w:sz w:val="21"/>
                <w:szCs w:val="21"/>
              </w:rPr>
              <w:t>）；实行浸没式装载</w:t>
            </w:r>
          </w:p>
        </w:tc>
        <w:tc>
          <w:tcPr>
            <w:tcW w:w="1002" w:type="pct"/>
            <w:vAlign w:val="center"/>
          </w:tcPr>
          <w:p w14:paraId="48E203BC">
            <w:pPr>
              <w:adjustRightInd w:val="0"/>
              <w:snapToGrid w:val="0"/>
              <w:spacing w:line="240" w:lineRule="auto"/>
              <w:ind w:firstLine="0" w:firstLineChars="0"/>
              <w:jc w:val="center"/>
              <w:rPr>
                <w:sz w:val="21"/>
                <w:szCs w:val="21"/>
              </w:rPr>
            </w:pPr>
            <w:r>
              <w:rPr>
                <w:rFonts w:hint="eastAsia"/>
                <w:sz w:val="21"/>
                <w:szCs w:val="21"/>
              </w:rPr>
              <w:t>非甲烷总烃</w:t>
            </w:r>
          </w:p>
        </w:tc>
        <w:tc>
          <w:tcPr>
            <w:tcW w:w="1943" w:type="pct"/>
            <w:vMerge w:val="continue"/>
            <w:vAlign w:val="center"/>
          </w:tcPr>
          <w:p w14:paraId="7998A00A">
            <w:pPr>
              <w:adjustRightInd w:val="0"/>
              <w:snapToGrid w:val="0"/>
              <w:spacing w:line="240" w:lineRule="auto"/>
              <w:ind w:firstLine="0" w:firstLineChars="0"/>
              <w:jc w:val="center"/>
              <w:rPr>
                <w:sz w:val="21"/>
                <w:szCs w:val="21"/>
              </w:rPr>
            </w:pPr>
          </w:p>
        </w:tc>
      </w:tr>
      <w:tr w14:paraId="0B0D1D3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5794B403">
            <w:pPr>
              <w:adjustRightInd w:val="0"/>
              <w:snapToGrid w:val="0"/>
              <w:spacing w:line="240" w:lineRule="auto"/>
              <w:ind w:firstLine="0" w:firstLineChars="0"/>
              <w:jc w:val="center"/>
              <w:rPr>
                <w:sz w:val="21"/>
                <w:szCs w:val="21"/>
              </w:rPr>
            </w:pPr>
          </w:p>
        </w:tc>
        <w:tc>
          <w:tcPr>
            <w:tcW w:w="711" w:type="pct"/>
            <w:vAlign w:val="center"/>
          </w:tcPr>
          <w:p w14:paraId="3AE603AA">
            <w:pPr>
              <w:adjustRightInd w:val="0"/>
              <w:snapToGrid w:val="0"/>
              <w:spacing w:line="240" w:lineRule="auto"/>
              <w:ind w:firstLine="0" w:firstLineChars="0"/>
              <w:jc w:val="center"/>
              <w:rPr>
                <w:sz w:val="21"/>
                <w:szCs w:val="21"/>
              </w:rPr>
            </w:pPr>
            <w:r>
              <w:rPr>
                <w:rFonts w:hint="eastAsia"/>
                <w:sz w:val="21"/>
                <w:szCs w:val="21"/>
              </w:rPr>
              <w:t>天然气导热油炉</w:t>
            </w:r>
          </w:p>
        </w:tc>
        <w:tc>
          <w:tcPr>
            <w:tcW w:w="1028" w:type="pct"/>
            <w:vAlign w:val="center"/>
          </w:tcPr>
          <w:p w14:paraId="48980C14">
            <w:pPr>
              <w:adjustRightInd w:val="0"/>
              <w:snapToGrid w:val="0"/>
              <w:spacing w:line="240" w:lineRule="auto"/>
              <w:ind w:firstLine="0" w:firstLineChars="0"/>
              <w:jc w:val="center"/>
              <w:rPr>
                <w:sz w:val="21"/>
                <w:szCs w:val="21"/>
              </w:rPr>
            </w:pPr>
            <w:r>
              <w:rPr>
                <w:rFonts w:hint="eastAsia"/>
                <w:sz w:val="21"/>
                <w:szCs w:val="21"/>
              </w:rPr>
              <w:t>低氮燃烧+1</w:t>
            </w:r>
            <w:r>
              <w:rPr>
                <w:sz w:val="21"/>
                <w:szCs w:val="21"/>
              </w:rPr>
              <w:t>5</w:t>
            </w:r>
            <w:r>
              <w:rPr>
                <w:rFonts w:hint="eastAsia"/>
                <w:sz w:val="21"/>
                <w:szCs w:val="21"/>
              </w:rPr>
              <w:t>m排气筒（DA002）</w:t>
            </w:r>
          </w:p>
        </w:tc>
        <w:tc>
          <w:tcPr>
            <w:tcW w:w="1002" w:type="pct"/>
            <w:vAlign w:val="center"/>
          </w:tcPr>
          <w:p w14:paraId="239B3B0C">
            <w:pPr>
              <w:adjustRightInd w:val="0"/>
              <w:snapToGrid w:val="0"/>
              <w:spacing w:line="240" w:lineRule="auto"/>
              <w:ind w:firstLine="0" w:firstLineChars="0"/>
              <w:jc w:val="center"/>
              <w:rPr>
                <w:sz w:val="21"/>
                <w:szCs w:val="21"/>
              </w:rPr>
            </w:pPr>
            <w:r>
              <w:rPr>
                <w:rFonts w:hint="eastAsia"/>
                <w:sz w:val="21"/>
                <w:szCs w:val="21"/>
              </w:rPr>
              <w:t>二氧化硫、氮氧化物、颗粒物</w:t>
            </w:r>
          </w:p>
        </w:tc>
        <w:tc>
          <w:tcPr>
            <w:tcW w:w="1943" w:type="pct"/>
            <w:vMerge w:val="continue"/>
            <w:vAlign w:val="center"/>
          </w:tcPr>
          <w:p w14:paraId="6BE54D6E">
            <w:pPr>
              <w:adjustRightInd w:val="0"/>
              <w:snapToGrid w:val="0"/>
              <w:spacing w:line="240" w:lineRule="auto"/>
              <w:ind w:firstLine="0" w:firstLineChars="0"/>
              <w:jc w:val="center"/>
              <w:rPr>
                <w:sz w:val="21"/>
                <w:szCs w:val="21"/>
              </w:rPr>
            </w:pPr>
          </w:p>
        </w:tc>
      </w:tr>
      <w:tr w14:paraId="27127B7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3460F4CB">
            <w:pPr>
              <w:adjustRightInd w:val="0"/>
              <w:snapToGrid w:val="0"/>
              <w:spacing w:line="240" w:lineRule="auto"/>
              <w:ind w:firstLine="0" w:firstLineChars="0"/>
              <w:jc w:val="center"/>
              <w:rPr>
                <w:sz w:val="21"/>
                <w:szCs w:val="21"/>
              </w:rPr>
            </w:pPr>
          </w:p>
        </w:tc>
        <w:tc>
          <w:tcPr>
            <w:tcW w:w="711" w:type="pct"/>
            <w:vAlign w:val="center"/>
          </w:tcPr>
          <w:p w14:paraId="3819BABB">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润滑油生产车间洗油沉淀罐、白土锅等</w:t>
            </w:r>
          </w:p>
        </w:tc>
        <w:tc>
          <w:tcPr>
            <w:tcW w:w="1028" w:type="pct"/>
            <w:shd w:val="clear" w:color="auto" w:fill="auto"/>
            <w:vAlign w:val="center"/>
          </w:tcPr>
          <w:p w14:paraId="76793FC9">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碱洗喷淋+活性炭吸附（2套）+1根15m排气筒（DA003）</w:t>
            </w:r>
          </w:p>
        </w:tc>
        <w:tc>
          <w:tcPr>
            <w:tcW w:w="1002" w:type="pct"/>
            <w:shd w:val="clear" w:color="auto" w:fill="auto"/>
            <w:vAlign w:val="center"/>
          </w:tcPr>
          <w:p w14:paraId="70D3561C">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非甲烷总烃</w:t>
            </w:r>
          </w:p>
        </w:tc>
        <w:tc>
          <w:tcPr>
            <w:tcW w:w="1943" w:type="pct"/>
            <w:vMerge w:val="continue"/>
            <w:vAlign w:val="center"/>
          </w:tcPr>
          <w:p w14:paraId="4BD6E0E0">
            <w:pPr>
              <w:adjustRightInd w:val="0"/>
              <w:snapToGrid w:val="0"/>
              <w:spacing w:line="240" w:lineRule="auto"/>
              <w:ind w:firstLine="0" w:firstLineChars="0"/>
              <w:jc w:val="center"/>
              <w:rPr>
                <w:sz w:val="21"/>
                <w:szCs w:val="21"/>
              </w:rPr>
            </w:pPr>
          </w:p>
        </w:tc>
      </w:tr>
      <w:tr w14:paraId="2C10B2D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36021E64">
            <w:pPr>
              <w:adjustRightInd w:val="0"/>
              <w:snapToGrid w:val="0"/>
              <w:spacing w:line="240" w:lineRule="auto"/>
              <w:ind w:firstLine="0" w:firstLineChars="0"/>
              <w:jc w:val="center"/>
              <w:rPr>
                <w:rFonts w:ascii="Calibri" w:hAnsi="Calibri"/>
                <w:sz w:val="21"/>
                <w:szCs w:val="21"/>
              </w:rPr>
            </w:pPr>
          </w:p>
        </w:tc>
        <w:tc>
          <w:tcPr>
            <w:tcW w:w="711" w:type="pct"/>
            <w:vMerge w:val="restart"/>
            <w:vAlign w:val="center"/>
          </w:tcPr>
          <w:p w14:paraId="2BC4512C">
            <w:pPr>
              <w:adjustRightInd w:val="0"/>
              <w:snapToGrid w:val="0"/>
              <w:spacing w:line="240" w:lineRule="auto"/>
              <w:ind w:firstLine="0" w:firstLineChars="0"/>
              <w:jc w:val="center"/>
              <w:rPr>
                <w:sz w:val="21"/>
                <w:szCs w:val="21"/>
                <w:lang w:eastAsia="en-US"/>
              </w:rPr>
            </w:pPr>
            <w:r>
              <w:rPr>
                <w:sz w:val="21"/>
                <w:szCs w:val="21"/>
                <w:lang w:eastAsia="en-US"/>
              </w:rPr>
              <w:t>厂界无组织废气</w:t>
            </w:r>
          </w:p>
        </w:tc>
        <w:tc>
          <w:tcPr>
            <w:tcW w:w="1028" w:type="pct"/>
            <w:vMerge w:val="restart"/>
            <w:vAlign w:val="center"/>
          </w:tcPr>
          <w:p w14:paraId="1A2363A2">
            <w:pPr>
              <w:adjustRightInd w:val="0"/>
              <w:snapToGrid w:val="0"/>
              <w:spacing w:line="240" w:lineRule="auto"/>
              <w:ind w:firstLine="0" w:firstLineChars="0"/>
              <w:jc w:val="center"/>
              <w:rPr>
                <w:sz w:val="21"/>
                <w:szCs w:val="21"/>
                <w:lang w:eastAsia="en-US"/>
              </w:rPr>
            </w:pPr>
            <w:r>
              <w:rPr>
                <w:rFonts w:hint="eastAsia"/>
                <w:sz w:val="21"/>
                <w:szCs w:val="21"/>
              </w:rPr>
              <w:t>本项目</w:t>
            </w:r>
            <w:r>
              <w:rPr>
                <w:sz w:val="21"/>
                <w:szCs w:val="21"/>
                <w:lang w:eastAsia="en-US"/>
              </w:rPr>
              <w:t>车间封闭厂房</w:t>
            </w:r>
          </w:p>
        </w:tc>
        <w:tc>
          <w:tcPr>
            <w:tcW w:w="1002" w:type="pct"/>
            <w:vAlign w:val="center"/>
          </w:tcPr>
          <w:p w14:paraId="0AACCD9A">
            <w:pPr>
              <w:adjustRightInd w:val="0"/>
              <w:snapToGrid w:val="0"/>
              <w:spacing w:line="240" w:lineRule="auto"/>
              <w:ind w:firstLine="0" w:firstLineChars="0"/>
              <w:jc w:val="center"/>
              <w:rPr>
                <w:sz w:val="21"/>
                <w:szCs w:val="21"/>
                <w:lang w:eastAsia="en-US"/>
              </w:rPr>
            </w:pPr>
            <w:r>
              <w:rPr>
                <w:rFonts w:hint="eastAsia"/>
                <w:sz w:val="21"/>
                <w:szCs w:val="21"/>
              </w:rPr>
              <w:t>非甲烷总烃</w:t>
            </w:r>
          </w:p>
        </w:tc>
        <w:tc>
          <w:tcPr>
            <w:tcW w:w="1943" w:type="pct"/>
            <w:vAlign w:val="center"/>
          </w:tcPr>
          <w:p w14:paraId="745D9890">
            <w:pPr>
              <w:adjustRightInd w:val="0"/>
              <w:snapToGrid w:val="0"/>
              <w:spacing w:line="240" w:lineRule="auto"/>
              <w:ind w:firstLine="0" w:firstLineChars="0"/>
              <w:jc w:val="center"/>
              <w:rPr>
                <w:sz w:val="21"/>
                <w:szCs w:val="21"/>
              </w:rPr>
            </w:pPr>
            <w:r>
              <w:rPr>
                <w:rFonts w:hint="eastAsia"/>
                <w:sz w:val="21"/>
                <w:szCs w:val="21"/>
              </w:rPr>
              <w:t>《石油炼制工业污染物排放标准》（GB31570-2015）表</w:t>
            </w:r>
            <w:r>
              <w:rPr>
                <w:sz w:val="21"/>
                <w:szCs w:val="21"/>
              </w:rPr>
              <w:t>5</w:t>
            </w:r>
          </w:p>
        </w:tc>
      </w:tr>
      <w:tr w14:paraId="4E721F3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3A3615AB">
            <w:pPr>
              <w:adjustRightInd w:val="0"/>
              <w:snapToGrid w:val="0"/>
              <w:spacing w:line="240" w:lineRule="auto"/>
              <w:ind w:firstLine="0" w:firstLineChars="0"/>
              <w:jc w:val="center"/>
              <w:rPr>
                <w:rFonts w:ascii="Calibri" w:hAnsi="Calibri"/>
                <w:sz w:val="21"/>
                <w:szCs w:val="21"/>
              </w:rPr>
            </w:pPr>
          </w:p>
        </w:tc>
        <w:tc>
          <w:tcPr>
            <w:tcW w:w="711" w:type="pct"/>
            <w:vMerge w:val="continue"/>
            <w:vAlign w:val="center"/>
          </w:tcPr>
          <w:p w14:paraId="666A3BE3">
            <w:pPr>
              <w:adjustRightInd w:val="0"/>
              <w:snapToGrid w:val="0"/>
              <w:spacing w:line="240" w:lineRule="auto"/>
              <w:ind w:firstLine="0" w:firstLineChars="0"/>
              <w:jc w:val="center"/>
              <w:rPr>
                <w:sz w:val="21"/>
                <w:szCs w:val="21"/>
              </w:rPr>
            </w:pPr>
          </w:p>
        </w:tc>
        <w:tc>
          <w:tcPr>
            <w:tcW w:w="1028" w:type="pct"/>
            <w:vMerge w:val="continue"/>
            <w:vAlign w:val="center"/>
          </w:tcPr>
          <w:p w14:paraId="497B8B0C">
            <w:pPr>
              <w:adjustRightInd w:val="0"/>
              <w:snapToGrid w:val="0"/>
              <w:spacing w:line="240" w:lineRule="auto"/>
              <w:ind w:firstLine="0" w:firstLineChars="0"/>
              <w:jc w:val="center"/>
              <w:rPr>
                <w:sz w:val="21"/>
                <w:szCs w:val="21"/>
              </w:rPr>
            </w:pPr>
          </w:p>
        </w:tc>
        <w:tc>
          <w:tcPr>
            <w:tcW w:w="1002" w:type="pct"/>
            <w:vAlign w:val="center"/>
          </w:tcPr>
          <w:p w14:paraId="4825CC21">
            <w:pPr>
              <w:adjustRightInd w:val="0"/>
              <w:snapToGrid w:val="0"/>
              <w:spacing w:line="240" w:lineRule="auto"/>
              <w:ind w:firstLine="0" w:firstLineChars="0"/>
              <w:jc w:val="center"/>
              <w:rPr>
                <w:sz w:val="21"/>
                <w:szCs w:val="21"/>
              </w:rPr>
            </w:pPr>
            <w:r>
              <w:rPr>
                <w:rFonts w:hint="eastAsia"/>
                <w:sz w:val="21"/>
                <w:szCs w:val="21"/>
              </w:rPr>
              <w:t>氨、硫化氢</w:t>
            </w:r>
          </w:p>
        </w:tc>
        <w:tc>
          <w:tcPr>
            <w:tcW w:w="1943" w:type="pct"/>
            <w:vAlign w:val="center"/>
          </w:tcPr>
          <w:p w14:paraId="05A1B30F">
            <w:pPr>
              <w:adjustRightInd w:val="0"/>
              <w:snapToGrid w:val="0"/>
              <w:spacing w:line="240" w:lineRule="auto"/>
              <w:ind w:firstLine="0" w:firstLineChars="0"/>
              <w:jc w:val="center"/>
              <w:rPr>
                <w:sz w:val="21"/>
                <w:szCs w:val="21"/>
              </w:rPr>
            </w:pPr>
            <w:r>
              <w:rPr>
                <w:rFonts w:hint="eastAsia"/>
                <w:sz w:val="21"/>
                <w:szCs w:val="21"/>
              </w:rPr>
              <w:t>《恶臭污染物排放标准》（GB</w:t>
            </w:r>
            <w:r>
              <w:rPr>
                <w:sz w:val="21"/>
                <w:szCs w:val="21"/>
              </w:rPr>
              <w:t>14554-1993</w:t>
            </w:r>
            <w:r>
              <w:rPr>
                <w:rFonts w:hint="eastAsia"/>
                <w:sz w:val="21"/>
                <w:szCs w:val="21"/>
              </w:rPr>
              <w:t>）表1</w:t>
            </w:r>
          </w:p>
        </w:tc>
      </w:tr>
      <w:tr w14:paraId="0AEF2E0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restart"/>
            <w:vAlign w:val="center"/>
          </w:tcPr>
          <w:p w14:paraId="53E3315F">
            <w:pPr>
              <w:adjustRightInd w:val="0"/>
              <w:snapToGrid w:val="0"/>
              <w:spacing w:line="240" w:lineRule="auto"/>
              <w:ind w:firstLine="0" w:firstLineChars="0"/>
              <w:jc w:val="center"/>
              <w:rPr>
                <w:sz w:val="21"/>
                <w:szCs w:val="21"/>
                <w:lang w:eastAsia="en-US"/>
              </w:rPr>
            </w:pPr>
            <w:r>
              <w:rPr>
                <w:sz w:val="21"/>
                <w:szCs w:val="21"/>
                <w:lang w:eastAsia="en-US"/>
              </w:rPr>
              <w:t>废水</w:t>
            </w:r>
          </w:p>
        </w:tc>
        <w:tc>
          <w:tcPr>
            <w:tcW w:w="711" w:type="pct"/>
            <w:vAlign w:val="center"/>
          </w:tcPr>
          <w:p w14:paraId="32F08F04">
            <w:pPr>
              <w:adjustRightInd w:val="0"/>
              <w:snapToGrid w:val="0"/>
              <w:spacing w:line="240" w:lineRule="auto"/>
              <w:ind w:firstLine="0" w:firstLineChars="0"/>
              <w:jc w:val="center"/>
              <w:rPr>
                <w:sz w:val="21"/>
                <w:szCs w:val="21"/>
              </w:rPr>
            </w:pPr>
            <w:r>
              <w:rPr>
                <w:rFonts w:hint="eastAsia"/>
                <w:sz w:val="21"/>
                <w:szCs w:val="21"/>
              </w:rPr>
              <w:t>减线油罐区的定期排污</w:t>
            </w:r>
          </w:p>
        </w:tc>
        <w:tc>
          <w:tcPr>
            <w:tcW w:w="1028" w:type="pct"/>
            <w:vAlign w:val="center"/>
          </w:tcPr>
          <w:p w14:paraId="7DE9BAD0">
            <w:pPr>
              <w:adjustRightInd w:val="0"/>
              <w:snapToGrid w:val="0"/>
              <w:spacing w:line="240" w:lineRule="auto"/>
              <w:ind w:firstLine="0" w:firstLineChars="0"/>
              <w:jc w:val="center"/>
              <w:rPr>
                <w:sz w:val="21"/>
                <w:szCs w:val="21"/>
              </w:rPr>
            </w:pPr>
            <w:r>
              <w:rPr>
                <w:rFonts w:hint="eastAsia"/>
                <w:sz w:val="21"/>
                <w:szCs w:val="21"/>
              </w:rPr>
              <w:t>管网收集+污水处理站+依托园区污水处理厂</w:t>
            </w:r>
          </w:p>
        </w:tc>
        <w:tc>
          <w:tcPr>
            <w:tcW w:w="1002" w:type="pct"/>
            <w:vAlign w:val="center"/>
          </w:tcPr>
          <w:p w14:paraId="021A3AF5">
            <w:pPr>
              <w:adjustRightInd w:val="0"/>
              <w:snapToGrid w:val="0"/>
              <w:spacing w:line="240" w:lineRule="auto"/>
              <w:ind w:firstLine="0" w:firstLineChars="0"/>
              <w:jc w:val="center"/>
              <w:rPr>
                <w:sz w:val="21"/>
                <w:szCs w:val="21"/>
              </w:rPr>
            </w:pPr>
            <w:r>
              <w:rPr>
                <w:rFonts w:hint="eastAsia"/>
                <w:sz w:val="21"/>
                <w:szCs w:val="21"/>
              </w:rPr>
              <w:t>化学需氧量、氨氮、石油类、硫化物、氟化物、挥发酚等</w:t>
            </w:r>
          </w:p>
        </w:tc>
        <w:tc>
          <w:tcPr>
            <w:tcW w:w="1943" w:type="pct"/>
            <w:vAlign w:val="center"/>
          </w:tcPr>
          <w:p w14:paraId="61688C2C">
            <w:pPr>
              <w:adjustRightInd w:val="0"/>
              <w:snapToGrid w:val="0"/>
              <w:spacing w:line="240" w:lineRule="auto"/>
              <w:ind w:firstLine="0" w:firstLineChars="0"/>
              <w:jc w:val="center"/>
              <w:rPr>
                <w:sz w:val="21"/>
                <w:szCs w:val="21"/>
              </w:rPr>
            </w:pPr>
            <w:r>
              <w:rPr>
                <w:rFonts w:hint="eastAsia"/>
                <w:sz w:val="21"/>
                <w:szCs w:val="21"/>
              </w:rPr>
              <w:t>《石油炼制工业污染物排放标准》（GB31570-2015）中表1间接排放限值</w:t>
            </w:r>
          </w:p>
        </w:tc>
      </w:tr>
      <w:tr w14:paraId="2592936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4C4CB8ED">
            <w:pPr>
              <w:adjustRightInd w:val="0"/>
              <w:snapToGrid w:val="0"/>
              <w:spacing w:line="240" w:lineRule="auto"/>
              <w:ind w:firstLine="0" w:firstLineChars="0"/>
              <w:jc w:val="center"/>
              <w:rPr>
                <w:rFonts w:ascii="Calibri" w:hAnsi="Calibri"/>
                <w:sz w:val="21"/>
                <w:szCs w:val="21"/>
              </w:rPr>
            </w:pPr>
          </w:p>
        </w:tc>
        <w:tc>
          <w:tcPr>
            <w:tcW w:w="711" w:type="pct"/>
            <w:vAlign w:val="center"/>
          </w:tcPr>
          <w:p w14:paraId="1A0CB22E">
            <w:pPr>
              <w:adjustRightInd w:val="0"/>
              <w:snapToGrid w:val="0"/>
              <w:spacing w:line="240" w:lineRule="auto"/>
              <w:ind w:firstLine="0" w:firstLineChars="0"/>
              <w:jc w:val="center"/>
              <w:rPr>
                <w:sz w:val="21"/>
                <w:szCs w:val="21"/>
                <w:lang w:eastAsia="en-US"/>
              </w:rPr>
            </w:pPr>
            <w:r>
              <w:rPr>
                <w:sz w:val="21"/>
                <w:szCs w:val="21"/>
                <w:lang w:eastAsia="en-US"/>
              </w:rPr>
              <w:t>生活污水</w:t>
            </w:r>
          </w:p>
        </w:tc>
        <w:tc>
          <w:tcPr>
            <w:tcW w:w="1028" w:type="pct"/>
            <w:vAlign w:val="center"/>
          </w:tcPr>
          <w:p w14:paraId="79214469">
            <w:pPr>
              <w:adjustRightInd w:val="0"/>
              <w:snapToGrid w:val="0"/>
              <w:spacing w:line="240" w:lineRule="auto"/>
              <w:ind w:firstLine="0" w:firstLineChars="0"/>
              <w:jc w:val="center"/>
              <w:rPr>
                <w:rFonts w:eastAsia="Times New Roman"/>
                <w:sz w:val="21"/>
                <w:szCs w:val="21"/>
              </w:rPr>
            </w:pPr>
            <w:r>
              <w:rPr>
                <w:rFonts w:hint="eastAsia"/>
                <w:sz w:val="21"/>
                <w:szCs w:val="21"/>
              </w:rPr>
              <w:t>管网收集+依托园区污水处理厂</w:t>
            </w:r>
          </w:p>
        </w:tc>
        <w:tc>
          <w:tcPr>
            <w:tcW w:w="1002" w:type="pct"/>
            <w:vAlign w:val="center"/>
          </w:tcPr>
          <w:p w14:paraId="7CF17B92">
            <w:pPr>
              <w:adjustRightInd w:val="0"/>
              <w:snapToGrid w:val="0"/>
              <w:spacing w:line="240" w:lineRule="auto"/>
              <w:ind w:firstLine="0" w:firstLineChars="0"/>
              <w:jc w:val="center"/>
              <w:rPr>
                <w:sz w:val="21"/>
                <w:szCs w:val="21"/>
                <w:lang w:eastAsia="en-US"/>
              </w:rPr>
            </w:pPr>
            <w:r>
              <w:rPr>
                <w:rFonts w:hint="eastAsia"/>
                <w:position w:val="1"/>
                <w:sz w:val="21"/>
                <w:szCs w:val="21"/>
              </w:rPr>
              <w:t>pH、</w:t>
            </w:r>
            <w:r>
              <w:rPr>
                <w:position w:val="1"/>
                <w:sz w:val="21"/>
                <w:szCs w:val="21"/>
                <w:lang w:eastAsia="en-US"/>
              </w:rPr>
              <w:t>CODcr、BOD</w:t>
            </w:r>
            <w:r>
              <w:rPr>
                <w:sz w:val="21"/>
                <w:szCs w:val="21"/>
                <w:vertAlign w:val="subscript"/>
                <w:lang w:eastAsia="en-US"/>
              </w:rPr>
              <w:t>5</w:t>
            </w:r>
            <w:r>
              <w:rPr>
                <w:position w:val="1"/>
                <w:sz w:val="21"/>
                <w:szCs w:val="21"/>
                <w:lang w:eastAsia="en-US"/>
              </w:rPr>
              <w:t>、</w:t>
            </w:r>
            <w:r>
              <w:rPr>
                <w:rFonts w:hint="eastAsia"/>
                <w:position w:val="1"/>
                <w:sz w:val="21"/>
                <w:szCs w:val="21"/>
              </w:rPr>
              <w:t>氨氮、动植物油、总磷</w:t>
            </w:r>
            <w:r>
              <w:rPr>
                <w:sz w:val="21"/>
                <w:szCs w:val="21"/>
                <w:lang w:eastAsia="en-US"/>
              </w:rPr>
              <w:t>、</w:t>
            </w:r>
            <w:r>
              <w:rPr>
                <w:sz w:val="21"/>
                <w:szCs w:val="21"/>
              </w:rPr>
              <w:t>SS</w:t>
            </w:r>
          </w:p>
        </w:tc>
        <w:tc>
          <w:tcPr>
            <w:tcW w:w="1943" w:type="pct"/>
            <w:vAlign w:val="center"/>
          </w:tcPr>
          <w:p w14:paraId="44805B21">
            <w:pPr>
              <w:adjustRightInd w:val="0"/>
              <w:snapToGrid w:val="0"/>
              <w:spacing w:line="240" w:lineRule="auto"/>
              <w:ind w:firstLine="0" w:firstLineChars="0"/>
              <w:jc w:val="center"/>
              <w:rPr>
                <w:sz w:val="21"/>
                <w:szCs w:val="21"/>
              </w:rPr>
            </w:pPr>
            <w:r>
              <w:rPr>
                <w:spacing w:val="-4"/>
                <w:sz w:val="21"/>
                <w:szCs w:val="21"/>
              </w:rPr>
              <w:t>《污水综合排放标准》（</w:t>
            </w:r>
            <w:r>
              <w:rPr>
                <w:rFonts w:eastAsia="Times New Roman"/>
                <w:spacing w:val="-4"/>
                <w:sz w:val="21"/>
                <w:szCs w:val="21"/>
              </w:rPr>
              <w:t>GB8978-1996</w:t>
            </w:r>
            <w:r>
              <w:rPr>
                <w:spacing w:val="-4"/>
                <w:sz w:val="21"/>
                <w:szCs w:val="21"/>
              </w:rPr>
              <w:t>）三级标准</w:t>
            </w:r>
          </w:p>
        </w:tc>
      </w:tr>
      <w:tr w14:paraId="33872E7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Align w:val="center"/>
          </w:tcPr>
          <w:p w14:paraId="0F632B81">
            <w:pPr>
              <w:adjustRightInd w:val="0"/>
              <w:snapToGrid w:val="0"/>
              <w:spacing w:line="240" w:lineRule="auto"/>
              <w:ind w:firstLine="0" w:firstLineChars="0"/>
              <w:jc w:val="center"/>
              <w:rPr>
                <w:sz w:val="21"/>
                <w:szCs w:val="21"/>
                <w:lang w:eastAsia="en-US"/>
              </w:rPr>
            </w:pPr>
            <w:r>
              <w:rPr>
                <w:sz w:val="21"/>
                <w:szCs w:val="21"/>
                <w:lang w:eastAsia="en-US"/>
              </w:rPr>
              <w:t>噪声</w:t>
            </w:r>
          </w:p>
        </w:tc>
        <w:tc>
          <w:tcPr>
            <w:tcW w:w="711" w:type="pct"/>
            <w:vAlign w:val="center"/>
          </w:tcPr>
          <w:p w14:paraId="76E85748">
            <w:pPr>
              <w:adjustRightInd w:val="0"/>
              <w:snapToGrid w:val="0"/>
              <w:spacing w:line="240" w:lineRule="auto"/>
              <w:ind w:firstLine="0" w:firstLineChars="0"/>
              <w:jc w:val="center"/>
              <w:rPr>
                <w:sz w:val="21"/>
                <w:szCs w:val="21"/>
                <w:lang w:eastAsia="en-US"/>
              </w:rPr>
            </w:pPr>
            <w:r>
              <w:rPr>
                <w:sz w:val="21"/>
                <w:szCs w:val="21"/>
                <w:lang w:eastAsia="en-US"/>
              </w:rPr>
              <w:t>生产设备</w:t>
            </w:r>
          </w:p>
        </w:tc>
        <w:tc>
          <w:tcPr>
            <w:tcW w:w="1028" w:type="pct"/>
            <w:vAlign w:val="center"/>
          </w:tcPr>
          <w:p w14:paraId="393C62AF">
            <w:pPr>
              <w:adjustRightInd w:val="0"/>
              <w:snapToGrid w:val="0"/>
              <w:spacing w:line="240" w:lineRule="auto"/>
              <w:ind w:firstLine="0" w:firstLineChars="0"/>
              <w:jc w:val="center"/>
              <w:rPr>
                <w:sz w:val="21"/>
                <w:szCs w:val="21"/>
              </w:rPr>
            </w:pPr>
            <w:r>
              <w:rPr>
                <w:sz w:val="21"/>
                <w:szCs w:val="21"/>
              </w:rPr>
              <w:t>优选低噪设备，隔声、消声、减振等</w:t>
            </w:r>
          </w:p>
        </w:tc>
        <w:tc>
          <w:tcPr>
            <w:tcW w:w="1002" w:type="pct"/>
            <w:vAlign w:val="center"/>
          </w:tcPr>
          <w:p w14:paraId="75993B77">
            <w:pPr>
              <w:adjustRightInd w:val="0"/>
              <w:snapToGrid w:val="0"/>
              <w:spacing w:line="240" w:lineRule="auto"/>
              <w:ind w:firstLine="0" w:firstLineChars="0"/>
              <w:jc w:val="center"/>
              <w:rPr>
                <w:sz w:val="21"/>
                <w:szCs w:val="21"/>
                <w:lang w:eastAsia="en-US"/>
              </w:rPr>
            </w:pPr>
            <w:r>
              <w:rPr>
                <w:sz w:val="21"/>
                <w:szCs w:val="21"/>
                <w:lang w:eastAsia="en-US"/>
              </w:rPr>
              <w:t>等效</w:t>
            </w:r>
            <w:r>
              <w:rPr>
                <w:rFonts w:eastAsia="Times New Roman"/>
                <w:sz w:val="21"/>
                <w:szCs w:val="21"/>
                <w:lang w:eastAsia="en-US"/>
              </w:rPr>
              <w:t>A</w:t>
            </w:r>
            <w:r>
              <w:rPr>
                <w:sz w:val="21"/>
                <w:szCs w:val="21"/>
                <w:lang w:eastAsia="en-US"/>
              </w:rPr>
              <w:t>声级</w:t>
            </w:r>
          </w:p>
        </w:tc>
        <w:tc>
          <w:tcPr>
            <w:tcW w:w="1943" w:type="pct"/>
            <w:vAlign w:val="center"/>
          </w:tcPr>
          <w:p w14:paraId="586166C0">
            <w:pPr>
              <w:adjustRightInd w:val="0"/>
              <w:snapToGrid w:val="0"/>
              <w:spacing w:line="240" w:lineRule="auto"/>
              <w:ind w:firstLine="0" w:firstLineChars="0"/>
              <w:jc w:val="center"/>
              <w:rPr>
                <w:sz w:val="21"/>
                <w:szCs w:val="21"/>
              </w:rPr>
            </w:pPr>
            <w:r>
              <w:rPr>
                <w:spacing w:val="-4"/>
                <w:sz w:val="21"/>
                <w:szCs w:val="21"/>
              </w:rPr>
              <w:t>《工业企业厂界环境噪声排放标准》（</w:t>
            </w:r>
            <w:r>
              <w:rPr>
                <w:rFonts w:eastAsia="Times New Roman"/>
                <w:spacing w:val="-4"/>
                <w:sz w:val="21"/>
                <w:szCs w:val="21"/>
              </w:rPr>
              <w:t>GB12348-2008</w:t>
            </w:r>
            <w:r>
              <w:rPr>
                <w:spacing w:val="-4"/>
                <w:sz w:val="21"/>
                <w:szCs w:val="21"/>
              </w:rPr>
              <w:t>）</w:t>
            </w:r>
            <w:r>
              <w:rPr>
                <w:rFonts w:eastAsia="Times New Roman"/>
                <w:spacing w:val="-4"/>
                <w:sz w:val="21"/>
                <w:szCs w:val="21"/>
              </w:rPr>
              <w:t>3</w:t>
            </w:r>
            <w:r>
              <w:rPr>
                <w:sz w:val="21"/>
                <w:szCs w:val="21"/>
              </w:rPr>
              <w:t>类</w:t>
            </w:r>
          </w:p>
        </w:tc>
      </w:tr>
      <w:tr w14:paraId="2C4CE44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Align w:val="center"/>
          </w:tcPr>
          <w:p w14:paraId="7FE7B391">
            <w:pPr>
              <w:adjustRightInd w:val="0"/>
              <w:snapToGrid w:val="0"/>
              <w:spacing w:line="240" w:lineRule="auto"/>
              <w:ind w:firstLine="0" w:firstLineChars="0"/>
              <w:jc w:val="center"/>
              <w:rPr>
                <w:rFonts w:ascii="Calibri" w:hAnsi="Calibri"/>
                <w:sz w:val="21"/>
                <w:szCs w:val="21"/>
              </w:rPr>
            </w:pPr>
            <w:r>
              <w:rPr>
                <w:rFonts w:hint="eastAsia" w:ascii="Calibri" w:hAnsi="Calibri"/>
                <w:sz w:val="21"/>
                <w:szCs w:val="21"/>
              </w:rPr>
              <w:t>固体废物</w:t>
            </w:r>
          </w:p>
        </w:tc>
        <w:tc>
          <w:tcPr>
            <w:tcW w:w="711" w:type="pct"/>
            <w:vAlign w:val="center"/>
          </w:tcPr>
          <w:p w14:paraId="386557AE">
            <w:pPr>
              <w:adjustRightInd w:val="0"/>
              <w:snapToGrid w:val="0"/>
              <w:spacing w:line="240" w:lineRule="auto"/>
              <w:ind w:firstLine="0" w:firstLineChars="0"/>
              <w:jc w:val="center"/>
              <w:rPr>
                <w:sz w:val="21"/>
                <w:szCs w:val="21"/>
                <w:lang w:eastAsia="en-US"/>
              </w:rPr>
            </w:pPr>
            <w:r>
              <w:rPr>
                <w:rFonts w:hint="eastAsia"/>
                <w:sz w:val="21"/>
                <w:szCs w:val="21"/>
              </w:rPr>
              <w:t>危险废物</w:t>
            </w:r>
          </w:p>
        </w:tc>
        <w:tc>
          <w:tcPr>
            <w:tcW w:w="2031" w:type="pct"/>
            <w:gridSpan w:val="2"/>
            <w:vAlign w:val="center"/>
          </w:tcPr>
          <w:p w14:paraId="47BCDA19">
            <w:pPr>
              <w:adjustRightInd w:val="0"/>
              <w:snapToGrid w:val="0"/>
              <w:spacing w:line="240" w:lineRule="auto"/>
              <w:ind w:firstLine="0" w:firstLineChars="0"/>
              <w:jc w:val="center"/>
              <w:rPr>
                <w:sz w:val="21"/>
                <w:szCs w:val="21"/>
              </w:rPr>
            </w:pPr>
            <w:r>
              <w:rPr>
                <w:rFonts w:hint="eastAsia"/>
                <w:sz w:val="21"/>
                <w:szCs w:val="21"/>
              </w:rPr>
              <w:t>设置危险废物暂存库1座，占地面积</w:t>
            </w:r>
            <w:r>
              <w:rPr>
                <w:sz w:val="21"/>
                <w:szCs w:val="21"/>
              </w:rPr>
              <w:t>36</w:t>
            </w:r>
            <w:r>
              <w:rPr>
                <w:rFonts w:hint="eastAsia"/>
                <w:sz w:val="21"/>
                <w:szCs w:val="21"/>
              </w:rPr>
              <w:t>m</w:t>
            </w:r>
            <w:r>
              <w:rPr>
                <w:sz w:val="21"/>
                <w:szCs w:val="21"/>
                <w:vertAlign w:val="superscript"/>
              </w:rPr>
              <w:t>2</w:t>
            </w:r>
            <w:r>
              <w:rPr>
                <w:rFonts w:hint="eastAsia"/>
                <w:sz w:val="21"/>
                <w:szCs w:val="21"/>
              </w:rPr>
              <w:t>。</w:t>
            </w:r>
          </w:p>
        </w:tc>
        <w:tc>
          <w:tcPr>
            <w:tcW w:w="1943" w:type="pct"/>
            <w:vAlign w:val="center"/>
          </w:tcPr>
          <w:p w14:paraId="31BF9042">
            <w:pPr>
              <w:adjustRightInd w:val="0"/>
              <w:snapToGrid w:val="0"/>
              <w:spacing w:line="240" w:lineRule="auto"/>
              <w:ind w:firstLine="0" w:firstLineChars="0"/>
              <w:jc w:val="center"/>
              <w:rPr>
                <w:sz w:val="21"/>
                <w:szCs w:val="21"/>
              </w:rPr>
            </w:pPr>
            <w:r>
              <w:rPr>
                <w:rFonts w:hint="eastAsia"/>
                <w:sz w:val="21"/>
                <w:szCs w:val="21"/>
              </w:rPr>
              <w:t>《危险废物贮存污染控制标准》（GB1859</w:t>
            </w:r>
            <w:r>
              <w:rPr>
                <w:sz w:val="21"/>
                <w:szCs w:val="21"/>
              </w:rPr>
              <w:t>7</w:t>
            </w:r>
            <w:r>
              <w:rPr>
                <w:rFonts w:hint="eastAsia"/>
                <w:sz w:val="21"/>
                <w:szCs w:val="21"/>
              </w:rPr>
              <w:t>-202</w:t>
            </w:r>
            <w:r>
              <w:rPr>
                <w:sz w:val="21"/>
                <w:szCs w:val="21"/>
              </w:rPr>
              <w:t>3</w:t>
            </w:r>
            <w:r>
              <w:rPr>
                <w:rFonts w:hint="eastAsia"/>
                <w:sz w:val="21"/>
                <w:szCs w:val="21"/>
              </w:rPr>
              <w:t>）</w:t>
            </w:r>
          </w:p>
        </w:tc>
      </w:tr>
      <w:tr w14:paraId="0A155C7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restart"/>
            <w:vAlign w:val="center"/>
          </w:tcPr>
          <w:p w14:paraId="68663B64">
            <w:pPr>
              <w:adjustRightInd w:val="0"/>
              <w:snapToGrid w:val="0"/>
              <w:spacing w:line="240" w:lineRule="auto"/>
              <w:ind w:firstLine="0" w:firstLineChars="0"/>
              <w:jc w:val="center"/>
              <w:rPr>
                <w:sz w:val="21"/>
                <w:szCs w:val="21"/>
                <w:lang w:eastAsia="en-US"/>
              </w:rPr>
            </w:pPr>
            <w:r>
              <w:rPr>
                <w:sz w:val="21"/>
                <w:szCs w:val="21"/>
                <w:lang w:eastAsia="en-US"/>
              </w:rPr>
              <w:t>地下水</w:t>
            </w:r>
          </w:p>
        </w:tc>
        <w:tc>
          <w:tcPr>
            <w:tcW w:w="711" w:type="pct"/>
            <w:vAlign w:val="center"/>
          </w:tcPr>
          <w:p w14:paraId="391A9283">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c>
          <w:tcPr>
            <w:tcW w:w="2031" w:type="pct"/>
            <w:gridSpan w:val="2"/>
            <w:vAlign w:val="center"/>
          </w:tcPr>
          <w:p w14:paraId="73F90826">
            <w:pPr>
              <w:adjustRightInd w:val="0"/>
              <w:snapToGrid w:val="0"/>
              <w:spacing w:line="240" w:lineRule="auto"/>
              <w:ind w:firstLine="0" w:firstLineChars="0"/>
              <w:jc w:val="center"/>
              <w:rPr>
                <w:sz w:val="21"/>
                <w:szCs w:val="21"/>
              </w:rPr>
            </w:pPr>
            <w:r>
              <w:rPr>
                <w:rFonts w:hint="eastAsia"/>
                <w:sz w:val="21"/>
                <w:szCs w:val="21"/>
              </w:rPr>
              <w:t>重点防渗区包括油气回收装置、1#和2#储罐、生产车间、污水处理站、危废暂存库等区域，一般防渗区包括生活区、仓库等。</w:t>
            </w:r>
          </w:p>
        </w:tc>
        <w:tc>
          <w:tcPr>
            <w:tcW w:w="1943" w:type="pct"/>
            <w:vAlign w:val="center"/>
          </w:tcPr>
          <w:p w14:paraId="65C5D14E">
            <w:pPr>
              <w:adjustRightInd w:val="0"/>
              <w:snapToGrid w:val="0"/>
              <w:spacing w:line="240" w:lineRule="auto"/>
              <w:ind w:firstLine="0" w:firstLineChars="0"/>
              <w:jc w:val="center"/>
              <w:rPr>
                <w:sz w:val="21"/>
                <w:szCs w:val="21"/>
              </w:rPr>
            </w:pPr>
            <w:r>
              <w:rPr>
                <w:rFonts w:hint="eastAsia"/>
                <w:sz w:val="21"/>
                <w:szCs w:val="21"/>
              </w:rPr>
              <w:t>采用“长丝无纺土工布+2mm厚HDPE土工膜+长丝无纺土工布+1.0m厚度粘土或原土夯实”的防渗方式，防渗技术要求为：复合防渗措施，防渗层渗透系数≤10-10cm/s，满足《石油化工工程防渗技术规范》（GB/T50934-2013）等相关要求。</w:t>
            </w:r>
          </w:p>
          <w:p w14:paraId="5E7EE444">
            <w:pPr>
              <w:adjustRightInd w:val="0"/>
              <w:snapToGrid w:val="0"/>
              <w:spacing w:line="240" w:lineRule="auto"/>
              <w:ind w:firstLine="0" w:firstLineChars="0"/>
              <w:jc w:val="center"/>
              <w:rPr>
                <w:rFonts w:eastAsia="Times New Roman"/>
                <w:sz w:val="21"/>
                <w:szCs w:val="21"/>
              </w:rPr>
            </w:pPr>
            <w:r>
              <w:rPr>
                <w:rFonts w:hint="eastAsia" w:ascii="宋体" w:hAnsi="宋体" w:cs="宋体"/>
                <w:sz w:val="21"/>
                <w:szCs w:val="21"/>
              </w:rPr>
              <w:t>一般防渗区防渗层的防渗性能不应低于</w:t>
            </w:r>
            <w:r>
              <w:rPr>
                <w:rFonts w:hint="eastAsia" w:eastAsia="Times New Roman"/>
                <w:sz w:val="21"/>
                <w:szCs w:val="21"/>
              </w:rPr>
              <w:t>1.5</w:t>
            </w:r>
            <w:r>
              <w:rPr>
                <w:rFonts w:hint="eastAsia" w:ascii="宋体" w:hAnsi="宋体" w:cs="宋体"/>
                <w:sz w:val="21"/>
                <w:szCs w:val="21"/>
              </w:rPr>
              <w:t>米厚渗透系数为</w:t>
            </w:r>
            <w:r>
              <w:rPr>
                <w:rFonts w:hint="eastAsia" w:eastAsia="Times New Roman"/>
                <w:sz w:val="21"/>
                <w:szCs w:val="21"/>
              </w:rPr>
              <w:t>1.0</w:t>
            </w:r>
            <w:r>
              <w:rPr>
                <w:rFonts w:eastAsia="Times New Roman"/>
                <w:sz w:val="21"/>
                <w:szCs w:val="21"/>
              </w:rPr>
              <w:t>×</w:t>
            </w:r>
            <w:r>
              <w:rPr>
                <w:rFonts w:hint="eastAsia" w:eastAsia="Times New Roman"/>
                <w:sz w:val="21"/>
                <w:szCs w:val="21"/>
              </w:rPr>
              <w:t>10</w:t>
            </w:r>
            <w:r>
              <w:rPr>
                <w:rFonts w:hint="eastAsia" w:eastAsia="Times New Roman"/>
                <w:sz w:val="21"/>
                <w:szCs w:val="21"/>
                <w:vertAlign w:val="superscript"/>
              </w:rPr>
              <w:t>-7</w:t>
            </w:r>
            <w:r>
              <w:rPr>
                <w:rFonts w:hint="eastAsia" w:ascii="宋体" w:hAnsi="宋体" w:cs="宋体"/>
                <w:sz w:val="21"/>
                <w:szCs w:val="21"/>
              </w:rPr>
              <w:t>厘米</w:t>
            </w:r>
            <w:r>
              <w:rPr>
                <w:rFonts w:hint="eastAsia" w:eastAsia="Times New Roman"/>
                <w:sz w:val="21"/>
                <w:szCs w:val="21"/>
              </w:rPr>
              <w:t>/</w:t>
            </w:r>
            <w:r>
              <w:rPr>
                <w:rFonts w:hint="eastAsia" w:ascii="宋体" w:hAnsi="宋体" w:cs="宋体"/>
                <w:sz w:val="21"/>
                <w:szCs w:val="21"/>
              </w:rPr>
              <w:t>秒的黏土层的防渗性能。</w:t>
            </w:r>
          </w:p>
        </w:tc>
      </w:tr>
      <w:tr w14:paraId="2CD1906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4AB9BF38">
            <w:pPr>
              <w:adjustRightInd w:val="0"/>
              <w:snapToGrid w:val="0"/>
              <w:spacing w:line="240" w:lineRule="auto"/>
              <w:ind w:firstLine="0" w:firstLineChars="0"/>
              <w:jc w:val="center"/>
              <w:rPr>
                <w:rFonts w:ascii="Calibri" w:hAnsi="Calibri"/>
                <w:sz w:val="21"/>
                <w:szCs w:val="21"/>
              </w:rPr>
            </w:pPr>
          </w:p>
        </w:tc>
        <w:tc>
          <w:tcPr>
            <w:tcW w:w="711" w:type="pct"/>
            <w:vAlign w:val="center"/>
          </w:tcPr>
          <w:p w14:paraId="79E9475A">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c>
          <w:tcPr>
            <w:tcW w:w="1028" w:type="pct"/>
            <w:vAlign w:val="center"/>
          </w:tcPr>
          <w:p w14:paraId="404706A8">
            <w:pPr>
              <w:adjustRightInd w:val="0"/>
              <w:snapToGrid w:val="0"/>
              <w:spacing w:line="240" w:lineRule="auto"/>
              <w:ind w:firstLine="0" w:firstLineChars="0"/>
              <w:jc w:val="center"/>
              <w:rPr>
                <w:sz w:val="21"/>
                <w:szCs w:val="21"/>
              </w:rPr>
            </w:pPr>
            <w:r>
              <w:rPr>
                <w:rFonts w:eastAsia="Times New Roman"/>
                <w:sz w:val="21"/>
                <w:szCs w:val="21"/>
              </w:rPr>
              <w:t>3</w:t>
            </w:r>
            <w:r>
              <w:rPr>
                <w:sz w:val="21"/>
                <w:szCs w:val="21"/>
              </w:rPr>
              <w:t>口地下水监测井（上、</w:t>
            </w:r>
            <w:r>
              <w:rPr>
                <w:rFonts w:hint="eastAsia"/>
                <w:sz w:val="21"/>
                <w:szCs w:val="21"/>
              </w:rPr>
              <w:t>侧</w:t>
            </w:r>
            <w:r>
              <w:rPr>
                <w:sz w:val="21"/>
                <w:szCs w:val="21"/>
              </w:rPr>
              <w:t>、下游各一口）</w:t>
            </w:r>
          </w:p>
        </w:tc>
        <w:tc>
          <w:tcPr>
            <w:tcW w:w="1002" w:type="pct"/>
            <w:vAlign w:val="center"/>
          </w:tcPr>
          <w:p w14:paraId="4D24FE4E">
            <w:pPr>
              <w:adjustRightInd w:val="0"/>
              <w:snapToGrid w:val="0"/>
              <w:spacing w:line="240" w:lineRule="auto"/>
              <w:ind w:firstLine="0" w:firstLineChars="0"/>
              <w:jc w:val="center"/>
              <w:rPr>
                <w:sz w:val="21"/>
                <w:szCs w:val="21"/>
              </w:rPr>
            </w:pPr>
            <w:r>
              <w:rPr>
                <w:position w:val="1"/>
                <w:sz w:val="21"/>
                <w:szCs w:val="21"/>
              </w:rPr>
              <w:t>COD</w:t>
            </w:r>
            <w:r>
              <w:rPr>
                <w:position w:val="1"/>
                <w:sz w:val="21"/>
                <w:szCs w:val="21"/>
                <w:vertAlign w:val="subscript"/>
              </w:rPr>
              <w:t>Cr</w:t>
            </w:r>
            <w:r>
              <w:rPr>
                <w:position w:val="1"/>
                <w:sz w:val="21"/>
                <w:szCs w:val="21"/>
              </w:rPr>
              <w:t>、氨氮、石油类</w:t>
            </w:r>
            <w:r>
              <w:rPr>
                <w:rFonts w:hint="eastAsia"/>
                <w:position w:val="1"/>
                <w:sz w:val="21"/>
                <w:szCs w:val="21"/>
              </w:rPr>
              <w:t>、总磷、石油类</w:t>
            </w:r>
          </w:p>
        </w:tc>
        <w:tc>
          <w:tcPr>
            <w:tcW w:w="1943" w:type="pct"/>
            <w:vAlign w:val="center"/>
          </w:tcPr>
          <w:p w14:paraId="3CC8289B">
            <w:pPr>
              <w:adjustRightInd w:val="0"/>
              <w:snapToGrid w:val="0"/>
              <w:spacing w:line="240" w:lineRule="auto"/>
              <w:ind w:firstLine="0" w:firstLineChars="0"/>
              <w:jc w:val="center"/>
              <w:rPr>
                <w:sz w:val="21"/>
                <w:szCs w:val="21"/>
              </w:rPr>
            </w:pPr>
            <w:r>
              <w:rPr>
                <w:spacing w:val="-3"/>
                <w:sz w:val="21"/>
                <w:szCs w:val="21"/>
              </w:rPr>
              <w:t>水质满足《地下水质量标准》（</w:t>
            </w:r>
            <w:r>
              <w:rPr>
                <w:rFonts w:eastAsia="Times New Roman"/>
                <w:spacing w:val="-3"/>
                <w:sz w:val="21"/>
                <w:szCs w:val="21"/>
              </w:rPr>
              <w:t>GB/T14848-2017</w:t>
            </w:r>
            <w:r>
              <w:rPr>
                <w:spacing w:val="-3"/>
                <w:sz w:val="21"/>
                <w:szCs w:val="21"/>
              </w:rPr>
              <w:t>）</w:t>
            </w:r>
            <w:r>
              <w:rPr>
                <w:rFonts w:eastAsia="Times New Roman"/>
                <w:spacing w:val="-3"/>
                <w:sz w:val="21"/>
                <w:szCs w:val="21"/>
              </w:rPr>
              <w:t>Ⅲ</w:t>
            </w:r>
            <w:r>
              <w:rPr>
                <w:spacing w:val="-3"/>
                <w:sz w:val="21"/>
                <w:szCs w:val="21"/>
              </w:rPr>
              <w:t>类</w:t>
            </w:r>
            <w:r>
              <w:rPr>
                <w:spacing w:val="-79"/>
                <w:sz w:val="21"/>
                <w:szCs w:val="21"/>
              </w:rPr>
              <w:t xml:space="preserve"> </w:t>
            </w:r>
            <w:r>
              <w:rPr>
                <w:sz w:val="21"/>
                <w:szCs w:val="21"/>
              </w:rPr>
              <w:t>标准要求</w:t>
            </w:r>
          </w:p>
        </w:tc>
      </w:tr>
      <w:tr w14:paraId="48CD587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restart"/>
            <w:vAlign w:val="center"/>
          </w:tcPr>
          <w:p w14:paraId="143385E5">
            <w:pPr>
              <w:adjustRightInd w:val="0"/>
              <w:snapToGrid w:val="0"/>
              <w:spacing w:line="240" w:lineRule="auto"/>
              <w:ind w:firstLine="0" w:firstLineChars="0"/>
              <w:jc w:val="center"/>
              <w:rPr>
                <w:sz w:val="21"/>
                <w:szCs w:val="21"/>
                <w:lang w:eastAsia="en-US"/>
              </w:rPr>
            </w:pPr>
            <w:r>
              <w:rPr>
                <w:sz w:val="21"/>
                <w:szCs w:val="21"/>
                <w:lang w:eastAsia="en-US"/>
              </w:rPr>
              <w:t>环境风险</w:t>
            </w:r>
          </w:p>
        </w:tc>
        <w:tc>
          <w:tcPr>
            <w:tcW w:w="711" w:type="pct"/>
            <w:vMerge w:val="restart"/>
            <w:vAlign w:val="center"/>
          </w:tcPr>
          <w:p w14:paraId="220F8BDB">
            <w:pPr>
              <w:adjustRightInd w:val="0"/>
              <w:snapToGrid w:val="0"/>
              <w:spacing w:line="240" w:lineRule="auto"/>
              <w:ind w:firstLine="0" w:firstLineChars="0"/>
              <w:jc w:val="center"/>
              <w:rPr>
                <w:rFonts w:eastAsia="Times New Roman"/>
                <w:sz w:val="21"/>
                <w:szCs w:val="21"/>
                <w:lang w:eastAsia="en-US"/>
              </w:rPr>
            </w:pPr>
            <w:r>
              <w:rPr>
                <w:rFonts w:hAnsi="Calibri"/>
                <w:sz w:val="21"/>
                <w:szCs w:val="21"/>
                <w:lang w:eastAsia="en-US"/>
              </w:rPr>
              <w:t>/</w:t>
            </w:r>
          </w:p>
        </w:tc>
        <w:tc>
          <w:tcPr>
            <w:tcW w:w="1028" w:type="pct"/>
            <w:vAlign w:val="center"/>
          </w:tcPr>
          <w:p w14:paraId="5540B950">
            <w:pPr>
              <w:adjustRightInd w:val="0"/>
              <w:snapToGrid w:val="0"/>
              <w:spacing w:line="240" w:lineRule="auto"/>
              <w:ind w:firstLine="0" w:firstLineChars="0"/>
              <w:jc w:val="center"/>
              <w:rPr>
                <w:sz w:val="21"/>
                <w:szCs w:val="21"/>
                <w:lang w:eastAsia="en-US"/>
              </w:rPr>
            </w:pPr>
            <w:r>
              <w:rPr>
                <w:rFonts w:hint="eastAsia"/>
                <w:sz w:val="21"/>
                <w:szCs w:val="21"/>
              </w:rPr>
              <w:t>事故应急</w:t>
            </w:r>
            <w:r>
              <w:rPr>
                <w:sz w:val="21"/>
                <w:szCs w:val="21"/>
                <w:lang w:eastAsia="en-US"/>
              </w:rPr>
              <w:t>池</w:t>
            </w:r>
          </w:p>
        </w:tc>
        <w:tc>
          <w:tcPr>
            <w:tcW w:w="1002" w:type="pct"/>
            <w:vAlign w:val="center"/>
          </w:tcPr>
          <w:p w14:paraId="2E00E0F9">
            <w:pPr>
              <w:adjustRightInd w:val="0"/>
              <w:snapToGrid w:val="0"/>
              <w:spacing w:line="240" w:lineRule="auto"/>
              <w:ind w:firstLine="0" w:firstLineChars="0"/>
              <w:jc w:val="center"/>
              <w:rPr>
                <w:rFonts w:eastAsia="Times New Roman"/>
                <w:sz w:val="21"/>
                <w:szCs w:val="21"/>
              </w:rPr>
            </w:pPr>
            <w:r>
              <w:rPr>
                <w:rFonts w:hint="eastAsia"/>
                <w:sz w:val="21"/>
                <w:szCs w:val="21"/>
              </w:rPr>
              <w:t>建设事故应急</w:t>
            </w:r>
            <w:r>
              <w:rPr>
                <w:sz w:val="21"/>
                <w:szCs w:val="21"/>
              </w:rPr>
              <w:t>池</w:t>
            </w:r>
            <w:r>
              <w:rPr>
                <w:rFonts w:hint="eastAsia"/>
                <w:sz w:val="21"/>
                <w:szCs w:val="21"/>
              </w:rPr>
              <w:t>1座，</w:t>
            </w:r>
            <w:r>
              <w:rPr>
                <w:sz w:val="21"/>
                <w:szCs w:val="21"/>
              </w:rPr>
              <w:t>容积750</w:t>
            </w:r>
            <w:r>
              <w:rPr>
                <w:rFonts w:hint="eastAsia"/>
                <w:sz w:val="21"/>
                <w:szCs w:val="21"/>
              </w:rPr>
              <w:t>m</w:t>
            </w:r>
            <w:r>
              <w:rPr>
                <w:sz w:val="21"/>
                <w:szCs w:val="21"/>
                <w:vertAlign w:val="superscript"/>
              </w:rPr>
              <w:t>3</w:t>
            </w:r>
            <w:r>
              <w:rPr>
                <w:rFonts w:hint="eastAsia"/>
                <w:sz w:val="21"/>
                <w:szCs w:val="21"/>
              </w:rPr>
              <w:t>。</w:t>
            </w:r>
          </w:p>
        </w:tc>
        <w:tc>
          <w:tcPr>
            <w:tcW w:w="1943" w:type="pct"/>
            <w:vAlign w:val="center"/>
          </w:tcPr>
          <w:p w14:paraId="213BADFD">
            <w:pPr>
              <w:adjustRightInd w:val="0"/>
              <w:snapToGrid w:val="0"/>
              <w:spacing w:line="240" w:lineRule="auto"/>
              <w:ind w:firstLine="0" w:firstLineChars="0"/>
              <w:jc w:val="center"/>
              <w:rPr>
                <w:rFonts w:eastAsia="Times New Roman"/>
                <w:sz w:val="21"/>
                <w:szCs w:val="21"/>
              </w:rPr>
            </w:pPr>
            <w:r>
              <w:rPr>
                <w:sz w:val="21"/>
                <w:szCs w:val="21"/>
              </w:rPr>
              <w:t>防渗层渗透系数</w:t>
            </w:r>
            <w:r>
              <w:rPr>
                <w:rFonts w:eastAsia="Times New Roman"/>
                <w:sz w:val="21"/>
                <w:szCs w:val="21"/>
              </w:rPr>
              <w:t>≤10</w:t>
            </w:r>
            <w:r>
              <w:rPr>
                <w:rFonts w:eastAsia="Times New Roman"/>
                <w:sz w:val="21"/>
                <w:szCs w:val="21"/>
                <w:vertAlign w:val="superscript"/>
              </w:rPr>
              <w:t>-10</w:t>
            </w:r>
            <w:r>
              <w:rPr>
                <w:rFonts w:eastAsia="Times New Roman"/>
                <w:sz w:val="21"/>
                <w:szCs w:val="21"/>
              </w:rPr>
              <w:t>cm/s</w:t>
            </w:r>
          </w:p>
        </w:tc>
      </w:tr>
      <w:tr w14:paraId="6E10636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10DD2281">
            <w:pPr>
              <w:adjustRightInd w:val="0"/>
              <w:snapToGrid w:val="0"/>
              <w:spacing w:line="240" w:lineRule="auto"/>
              <w:ind w:firstLine="0" w:firstLineChars="0"/>
              <w:jc w:val="center"/>
              <w:rPr>
                <w:rFonts w:ascii="Calibri" w:hAnsi="Calibri"/>
                <w:sz w:val="21"/>
                <w:szCs w:val="21"/>
              </w:rPr>
            </w:pPr>
          </w:p>
        </w:tc>
        <w:tc>
          <w:tcPr>
            <w:tcW w:w="711" w:type="pct"/>
            <w:vMerge w:val="continue"/>
            <w:vAlign w:val="center"/>
          </w:tcPr>
          <w:p w14:paraId="19F12214">
            <w:pPr>
              <w:adjustRightInd w:val="0"/>
              <w:snapToGrid w:val="0"/>
              <w:spacing w:line="240" w:lineRule="auto"/>
              <w:ind w:firstLine="0" w:firstLineChars="0"/>
              <w:jc w:val="center"/>
              <w:rPr>
                <w:rFonts w:ascii="Calibri" w:hAnsi="Calibri"/>
                <w:sz w:val="21"/>
                <w:szCs w:val="21"/>
              </w:rPr>
            </w:pPr>
          </w:p>
        </w:tc>
        <w:tc>
          <w:tcPr>
            <w:tcW w:w="2031" w:type="pct"/>
            <w:gridSpan w:val="2"/>
            <w:vAlign w:val="center"/>
          </w:tcPr>
          <w:p w14:paraId="7A1ECE7D">
            <w:pPr>
              <w:adjustRightInd w:val="0"/>
              <w:snapToGrid w:val="0"/>
              <w:spacing w:line="240" w:lineRule="auto"/>
              <w:ind w:firstLine="0" w:firstLineChars="0"/>
              <w:jc w:val="center"/>
              <w:rPr>
                <w:sz w:val="21"/>
                <w:szCs w:val="21"/>
              </w:rPr>
            </w:pPr>
            <w:r>
              <w:rPr>
                <w:sz w:val="21"/>
                <w:szCs w:val="21"/>
              </w:rPr>
              <w:t>三级防控措施、消防及火灾报警系统，人员培训，应急预案等</w:t>
            </w:r>
          </w:p>
        </w:tc>
        <w:tc>
          <w:tcPr>
            <w:tcW w:w="1943" w:type="pct"/>
            <w:vAlign w:val="center"/>
          </w:tcPr>
          <w:p w14:paraId="5D0BA703">
            <w:pPr>
              <w:adjustRightInd w:val="0"/>
              <w:snapToGrid w:val="0"/>
              <w:spacing w:line="240" w:lineRule="auto"/>
              <w:ind w:firstLine="0" w:firstLineChars="0"/>
              <w:jc w:val="center"/>
              <w:rPr>
                <w:sz w:val="21"/>
                <w:szCs w:val="21"/>
                <w:lang w:eastAsia="en-US"/>
              </w:rPr>
            </w:pPr>
            <w:r>
              <w:rPr>
                <w:sz w:val="21"/>
                <w:szCs w:val="21"/>
                <w:lang w:eastAsia="en-US"/>
              </w:rPr>
              <w:t>是否按环评要求建设</w:t>
            </w:r>
          </w:p>
        </w:tc>
      </w:tr>
      <w:tr w14:paraId="4C962AE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314" w:type="pct"/>
            <w:vMerge w:val="continue"/>
            <w:vAlign w:val="center"/>
          </w:tcPr>
          <w:p w14:paraId="1A0BA598">
            <w:pPr>
              <w:adjustRightInd w:val="0"/>
              <w:snapToGrid w:val="0"/>
              <w:spacing w:line="240" w:lineRule="auto"/>
              <w:ind w:firstLine="0" w:firstLineChars="0"/>
              <w:jc w:val="center"/>
              <w:rPr>
                <w:rFonts w:ascii="Calibri" w:hAnsi="Calibri"/>
                <w:sz w:val="21"/>
                <w:szCs w:val="21"/>
                <w:lang w:eastAsia="en-US"/>
              </w:rPr>
            </w:pPr>
          </w:p>
        </w:tc>
        <w:tc>
          <w:tcPr>
            <w:tcW w:w="711" w:type="pct"/>
            <w:vMerge w:val="continue"/>
            <w:vAlign w:val="center"/>
          </w:tcPr>
          <w:p w14:paraId="6B122665">
            <w:pPr>
              <w:adjustRightInd w:val="0"/>
              <w:snapToGrid w:val="0"/>
              <w:spacing w:line="240" w:lineRule="auto"/>
              <w:ind w:firstLine="0" w:firstLineChars="0"/>
              <w:jc w:val="center"/>
              <w:rPr>
                <w:rFonts w:ascii="Calibri" w:hAnsi="Calibri"/>
                <w:sz w:val="21"/>
                <w:szCs w:val="21"/>
                <w:lang w:eastAsia="en-US"/>
              </w:rPr>
            </w:pPr>
          </w:p>
        </w:tc>
        <w:tc>
          <w:tcPr>
            <w:tcW w:w="2031" w:type="pct"/>
            <w:gridSpan w:val="2"/>
            <w:vAlign w:val="center"/>
          </w:tcPr>
          <w:p w14:paraId="20542FED">
            <w:pPr>
              <w:adjustRightInd w:val="0"/>
              <w:snapToGrid w:val="0"/>
              <w:spacing w:line="240" w:lineRule="auto"/>
              <w:ind w:firstLine="0" w:firstLineChars="0"/>
              <w:jc w:val="center"/>
              <w:rPr>
                <w:sz w:val="21"/>
                <w:szCs w:val="21"/>
              </w:rPr>
            </w:pPr>
            <w:r>
              <w:rPr>
                <w:rFonts w:hint="eastAsia"/>
                <w:sz w:val="21"/>
                <w:szCs w:val="21"/>
              </w:rPr>
              <w:t>各</w:t>
            </w:r>
            <w:r>
              <w:rPr>
                <w:sz w:val="21"/>
                <w:szCs w:val="21"/>
              </w:rPr>
              <w:t>储罐</w:t>
            </w:r>
            <w:r>
              <w:rPr>
                <w:rFonts w:hint="eastAsia"/>
                <w:sz w:val="21"/>
                <w:szCs w:val="21"/>
              </w:rPr>
              <w:t>罐区周围</w:t>
            </w:r>
            <w:r>
              <w:rPr>
                <w:sz w:val="21"/>
                <w:szCs w:val="21"/>
              </w:rPr>
              <w:t>设置围堰</w:t>
            </w:r>
            <w:r>
              <w:rPr>
                <w:rFonts w:hint="eastAsia"/>
                <w:sz w:val="21"/>
                <w:szCs w:val="21"/>
              </w:rPr>
              <w:t>1</w:t>
            </w:r>
            <w:r>
              <w:rPr>
                <w:sz w:val="21"/>
                <w:szCs w:val="21"/>
              </w:rPr>
              <w:t>.0</w:t>
            </w:r>
            <w:r>
              <w:rPr>
                <w:rFonts w:hint="eastAsia"/>
                <w:sz w:val="21"/>
                <w:szCs w:val="21"/>
              </w:rPr>
              <w:t>m</w:t>
            </w:r>
            <w:r>
              <w:rPr>
                <w:sz w:val="21"/>
                <w:szCs w:val="21"/>
              </w:rPr>
              <w:t>，围堰内铺设防渗防腐材料</w:t>
            </w:r>
            <w:r>
              <w:rPr>
                <w:rFonts w:hint="eastAsia"/>
                <w:sz w:val="21"/>
                <w:szCs w:val="21"/>
              </w:rPr>
              <w:t>。</w:t>
            </w:r>
          </w:p>
        </w:tc>
        <w:tc>
          <w:tcPr>
            <w:tcW w:w="1943" w:type="pct"/>
            <w:vAlign w:val="center"/>
          </w:tcPr>
          <w:p w14:paraId="1F2DD754">
            <w:pPr>
              <w:adjustRightInd w:val="0"/>
              <w:snapToGrid w:val="0"/>
              <w:spacing w:line="240" w:lineRule="auto"/>
              <w:ind w:firstLine="0" w:firstLineChars="0"/>
              <w:jc w:val="center"/>
              <w:rPr>
                <w:sz w:val="21"/>
                <w:szCs w:val="21"/>
                <w:lang w:eastAsia="en-US"/>
              </w:rPr>
            </w:pPr>
            <w:r>
              <w:rPr>
                <w:sz w:val="21"/>
                <w:szCs w:val="21"/>
                <w:lang w:eastAsia="en-US"/>
              </w:rPr>
              <w:t>是否按环评要求建设</w:t>
            </w:r>
          </w:p>
        </w:tc>
      </w:tr>
    </w:tbl>
    <w:p w14:paraId="0F2299F8">
      <w:pPr>
        <w:ind w:firstLine="480"/>
        <w:sectPr>
          <w:footerReference r:id="rId35" w:type="default"/>
          <w:pgSz w:w="16838" w:h="11906" w:orient="landscape"/>
          <w:pgMar w:top="1440" w:right="1440" w:bottom="1440" w:left="1440" w:header="709" w:footer="590" w:gutter="0"/>
          <w:pgBorders>
            <w:top w:val="none" w:sz="0" w:space="0"/>
            <w:left w:val="none" w:sz="0" w:space="0"/>
            <w:bottom w:val="none" w:sz="0" w:space="0"/>
            <w:right w:val="none" w:sz="0" w:space="0"/>
          </w:pgBorders>
          <w:pgNumType w:fmt="numberInDash"/>
          <w:cols w:space="425" w:num="1"/>
          <w:docGrid w:type="linesAndChars" w:linePitch="326" w:charSpace="0"/>
        </w:sectPr>
      </w:pPr>
    </w:p>
    <w:p w14:paraId="3FF38543">
      <w:pPr>
        <w:pStyle w:val="40"/>
      </w:pPr>
      <w:bookmarkStart w:id="799" w:name="_Toc152864293"/>
      <w:r>
        <w:rPr>
          <w:rFonts w:hint="eastAsia"/>
        </w:rPr>
        <w:t>环境影响评价结论</w:t>
      </w:r>
      <w:bookmarkEnd w:id="799"/>
    </w:p>
    <w:p w14:paraId="5E0CC826">
      <w:pPr>
        <w:pStyle w:val="41"/>
      </w:pPr>
      <w:r>
        <w:rPr>
          <w:rFonts w:hint="eastAsia"/>
        </w:rPr>
        <w:t>项目概况</w:t>
      </w:r>
    </w:p>
    <w:p w14:paraId="7E998005">
      <w:pPr>
        <w:ind w:firstLine="480"/>
        <w:rPr>
          <w:lang w:val="zh-CN"/>
        </w:rPr>
      </w:pPr>
      <w:r>
        <w:rPr>
          <w:rFonts w:hint="eastAsia"/>
          <w:lang w:val="zh-CN"/>
        </w:rPr>
        <w:t>新疆翱巡能源科技有限公司8万吨/年润滑油、2万吨/年润滑脂生产项目选址位于胡杨河经济技术开发区南园区内，</w:t>
      </w:r>
      <w:r>
        <w:rPr>
          <w:rFonts w:hint="eastAsia"/>
        </w:rPr>
        <w:t>本项目分两期建设，一期建设办公楼、宿舍楼、食堂、公辅车间、消防水罐、循环水池、润滑油生产车间、1</w:t>
      </w:r>
      <w:r>
        <w:t>#</w:t>
      </w:r>
      <w:r>
        <w:rPr>
          <w:rFonts w:hint="eastAsia"/>
        </w:rPr>
        <w:t>储罐区、应急事故池、污水处理站、危废库房等，形成年产8万吨润滑油生产线1条；二期建设润滑脂车间、添加剂库房、综合仓库、成品堆场、2</w:t>
      </w:r>
      <w:r>
        <w:t>#</w:t>
      </w:r>
      <w:r>
        <w:rPr>
          <w:rFonts w:hint="eastAsia"/>
        </w:rPr>
        <w:t>储罐区等，形成年产2万吨润滑脂生产线1条</w:t>
      </w:r>
      <w:r>
        <w:rPr>
          <w:rFonts w:hint="eastAsia"/>
          <w:lang w:val="zh-CN"/>
        </w:rPr>
        <w:t>，本项目总占地面积</w:t>
      </w:r>
      <w:r>
        <w:rPr>
          <w:lang w:val="zh-CN"/>
        </w:rPr>
        <w:t>66171.6</w:t>
      </w:r>
      <w:r>
        <w:rPr>
          <w:rFonts w:hint="eastAsia"/>
          <w:lang w:val="zh-CN"/>
        </w:rPr>
        <w:t>m</w:t>
      </w:r>
      <w:r>
        <w:rPr>
          <w:rFonts w:hint="eastAsia"/>
          <w:vertAlign w:val="superscript"/>
          <w:lang w:val="zh-CN"/>
        </w:rPr>
        <w:t>2</w:t>
      </w:r>
      <w:r>
        <w:rPr>
          <w:rFonts w:hint="eastAsia"/>
          <w:lang w:val="zh-CN"/>
        </w:rPr>
        <w:t>。本项目属于</w:t>
      </w:r>
      <w:r>
        <w:rPr>
          <w:rFonts w:hint="eastAsia"/>
        </w:rPr>
        <w:t>“</w:t>
      </w:r>
      <w:r>
        <w:t>2511</w:t>
      </w:r>
      <w:r>
        <w:rPr>
          <w:rFonts w:hint="eastAsia"/>
        </w:rPr>
        <w:t xml:space="preserve"> 原油加工及石油制品制造”</w:t>
      </w:r>
      <w:r>
        <w:rPr>
          <w:rFonts w:hint="eastAsia"/>
          <w:lang w:val="zh-CN"/>
        </w:rPr>
        <w:t>项目，总投资1</w:t>
      </w:r>
      <w:r>
        <w:rPr>
          <w:lang w:val="zh-CN"/>
        </w:rPr>
        <w:t>5</w:t>
      </w:r>
      <w:r>
        <w:rPr>
          <w:rFonts w:hint="eastAsia"/>
          <w:lang w:val="zh-CN"/>
        </w:rPr>
        <w:t>000万元，其中环保投资</w:t>
      </w:r>
      <w:r>
        <w:rPr>
          <w:lang w:val="zh-CN"/>
        </w:rPr>
        <w:t>1365.5</w:t>
      </w:r>
      <w:r>
        <w:rPr>
          <w:rFonts w:hint="eastAsia"/>
          <w:lang w:val="zh-CN"/>
        </w:rPr>
        <w:t>万元，占总投资的9</w:t>
      </w:r>
      <w:r>
        <w:rPr>
          <w:lang w:val="zh-CN"/>
        </w:rPr>
        <w:t>.1</w:t>
      </w:r>
      <w:r>
        <w:rPr>
          <w:rFonts w:hint="eastAsia"/>
          <w:lang w:val="zh-CN"/>
        </w:rPr>
        <w:t>%。</w:t>
      </w:r>
    </w:p>
    <w:p w14:paraId="22C54A32">
      <w:pPr>
        <w:pStyle w:val="41"/>
      </w:pPr>
      <w:r>
        <w:rPr>
          <w:rFonts w:hint="eastAsia"/>
        </w:rPr>
        <w:t>环境质量现状</w:t>
      </w:r>
    </w:p>
    <w:p w14:paraId="0ED8BB14">
      <w:pPr>
        <w:ind w:firstLine="480"/>
        <w:rPr>
          <w:lang w:val="zh-CN"/>
        </w:rPr>
      </w:pPr>
      <w:r>
        <w:rPr>
          <w:rFonts w:hint="eastAsia"/>
          <w:lang w:val="zh-CN"/>
        </w:rPr>
        <w:t>（1）大气环境质量现状</w:t>
      </w:r>
    </w:p>
    <w:p w14:paraId="72089D6F">
      <w:pPr>
        <w:ind w:firstLine="480"/>
        <w:rPr>
          <w:lang w:val="zh-CN"/>
        </w:rPr>
      </w:pPr>
      <w:r>
        <w:rPr>
          <w:rFonts w:hint="eastAsia"/>
          <w:lang w:val="zh-CN"/>
        </w:rPr>
        <w:t>根据克拉玛依市独山子区站点202</w:t>
      </w:r>
      <w:r>
        <w:rPr>
          <w:lang w:val="zh-CN"/>
        </w:rPr>
        <w:t>2</w:t>
      </w:r>
      <w:r>
        <w:rPr>
          <w:rFonts w:hint="eastAsia"/>
          <w:lang w:val="zh-CN"/>
        </w:rPr>
        <w:t>年的监测数据统计结果可知，本项目所在区域各个污染物的年评价指标均满足《环境空气质量标准》（GB3095-2012）中的二级标准。因此，本项目所在区域环境空气质量为达标区。</w:t>
      </w:r>
    </w:p>
    <w:p w14:paraId="7BB71189">
      <w:pPr>
        <w:ind w:firstLine="480"/>
        <w:rPr>
          <w:lang w:val="zh-CN"/>
        </w:rPr>
      </w:pPr>
      <w:r>
        <w:rPr>
          <w:rFonts w:hint="eastAsia"/>
        </w:rPr>
        <w:t>根据监测结果可知，非甲烷总烃环境质量现状监测结果的浓度满足《大气污染物综合排放标准详解》中的标准限值（2</w:t>
      </w:r>
      <w:r>
        <w:t>.0</w:t>
      </w:r>
      <w:r>
        <w:rPr>
          <w:rFonts w:hint="eastAsia"/>
        </w:rPr>
        <w:t>mg</w:t>
      </w:r>
      <w:r>
        <w:t>/</w:t>
      </w:r>
      <w:r>
        <w:rPr>
          <w:rFonts w:hint="eastAsia"/>
        </w:rPr>
        <w:t>m</w:t>
      </w:r>
      <w:r>
        <w:rPr>
          <w:vertAlign w:val="superscript"/>
        </w:rPr>
        <w:t>3</w:t>
      </w:r>
      <w:r>
        <w:rPr>
          <w:rFonts w:hint="eastAsia"/>
        </w:rPr>
        <w:t>）；硫酸雾、氨、硫化氢满足《环境影响评价技术导则 大气环境》（HJ</w:t>
      </w:r>
      <w:r>
        <w:t>2.2-2018</w:t>
      </w:r>
      <w:r>
        <w:rPr>
          <w:rFonts w:hint="eastAsia"/>
        </w:rPr>
        <w:t>）附录D限值要求</w:t>
      </w:r>
      <w:r>
        <w:rPr>
          <w:rFonts w:hint="eastAsia"/>
          <w:lang w:val="zh-CN"/>
        </w:rPr>
        <w:t>，环境质量良好。</w:t>
      </w:r>
    </w:p>
    <w:p w14:paraId="54B9D487">
      <w:pPr>
        <w:ind w:firstLine="480"/>
        <w:rPr>
          <w:lang w:val="zh-CN"/>
        </w:rPr>
      </w:pPr>
      <w:r>
        <w:rPr>
          <w:rFonts w:hint="eastAsia"/>
          <w:lang w:val="zh-CN"/>
        </w:rPr>
        <w:t>（2）水环境现状</w:t>
      </w:r>
    </w:p>
    <w:p w14:paraId="56A6AA16">
      <w:pPr>
        <w:ind w:firstLine="480"/>
        <w:rPr>
          <w:lang w:val="zh-CN"/>
        </w:rPr>
      </w:pPr>
      <w:r>
        <w:rPr>
          <w:rFonts w:hint="eastAsia"/>
          <w:lang w:val="zh-CN"/>
        </w:rPr>
        <w:t>根据监测结果可知：南9点、南6点、130团15连水井监测点总硬度超标；南6点、南5点、邦德生物、130团15连水井监测点溶解性总固体超标；南9点、南6点、南5点、邦德生物、130团15连水井监测点硫酸盐超标；南6点、南5点、邦德生物、130团15连水井监测点氯化物超标，其余各监测点的各项监测因子均满足《地下水质量标准》（GB/T14848-2017）中</w:t>
      </w:r>
      <w:r>
        <w:rPr>
          <w:lang w:val="zh-CN"/>
        </w:rPr>
        <w:t>Ⅲ</w:t>
      </w:r>
      <w:r>
        <w:rPr>
          <w:rFonts w:hint="eastAsia"/>
          <w:lang w:val="zh-CN"/>
        </w:rPr>
        <w:t>类标准限值的要求。</w:t>
      </w:r>
    </w:p>
    <w:p w14:paraId="131FAC6B">
      <w:pPr>
        <w:ind w:firstLine="480"/>
        <w:rPr>
          <w:lang w:val="zh-CN"/>
        </w:rPr>
      </w:pPr>
      <w:r>
        <w:rPr>
          <w:rFonts w:hint="eastAsia"/>
          <w:lang w:val="zh-CN"/>
        </w:rPr>
        <w:t>（3）声环境现状</w:t>
      </w:r>
    </w:p>
    <w:p w14:paraId="55FEC618">
      <w:pPr>
        <w:ind w:firstLine="480"/>
        <w:rPr>
          <w:lang w:val="zh-CN"/>
        </w:rPr>
      </w:pPr>
      <w:r>
        <w:rPr>
          <w:rFonts w:hint="eastAsia"/>
          <w:lang w:val="zh-CN"/>
        </w:rPr>
        <w:t>本项目区各监测点噪声均符合《声环境质量标准》（GB3096-2008）3类标准要求，本项目区声环境质量良好。</w:t>
      </w:r>
    </w:p>
    <w:p w14:paraId="65CCC2D1">
      <w:pPr>
        <w:ind w:firstLine="480"/>
        <w:rPr>
          <w:lang w:val="zh-CN"/>
        </w:rPr>
      </w:pPr>
      <w:r>
        <w:rPr>
          <w:rFonts w:hint="eastAsia"/>
          <w:lang w:val="zh-CN"/>
        </w:rPr>
        <w:t>（4）土壤环境现状</w:t>
      </w:r>
    </w:p>
    <w:p w14:paraId="4C5007DC">
      <w:pPr>
        <w:ind w:firstLine="480"/>
        <w:rPr>
          <w:lang w:val="zh-CN"/>
        </w:rPr>
      </w:pPr>
      <w:r>
        <w:rPr>
          <w:rFonts w:hint="eastAsia"/>
          <w:lang w:val="zh-CN"/>
        </w:rPr>
        <w:t>本项目区土壤各项监测指标均满足《土壤环境质量 建设用地土壤污染风险管控标准（试行）》（GB36600-2018）标准限值，可不开展土壤污染治理修复。</w:t>
      </w:r>
    </w:p>
    <w:p w14:paraId="5C778CD5">
      <w:pPr>
        <w:pStyle w:val="41"/>
      </w:pPr>
      <w:r>
        <w:rPr>
          <w:rFonts w:hint="eastAsia"/>
        </w:rPr>
        <w:t>主要环境影响</w:t>
      </w:r>
    </w:p>
    <w:p w14:paraId="007F3743">
      <w:pPr>
        <w:pStyle w:val="43"/>
      </w:pPr>
      <w:r>
        <w:rPr>
          <w:rFonts w:hint="eastAsia"/>
        </w:rPr>
        <w:t>大气环境影响分析</w:t>
      </w:r>
    </w:p>
    <w:p w14:paraId="727253E8">
      <w:pPr>
        <w:ind w:firstLine="480"/>
        <w:rPr>
          <w:lang w:val="zh-CN"/>
        </w:rPr>
      </w:pPr>
      <w:r>
        <w:rPr>
          <w:rFonts w:hint="eastAsia"/>
          <w:lang w:val="zh-CN"/>
        </w:rPr>
        <w:t>（1）</w:t>
      </w:r>
      <w:r>
        <w:rPr>
          <w:rFonts w:hint="eastAsia"/>
        </w:rPr>
        <w:t>项目在运营后，大气污染源所排放的非甲烷总烃，在正常工况各污染物最大落地浓度都能满足</w:t>
      </w:r>
      <w:r>
        <w:rPr>
          <w:rFonts w:hint="eastAsia"/>
          <w:lang w:bidi="en-US"/>
        </w:rPr>
        <w:t>《大气污染物综合排放详解》中的浓度限值（2</w:t>
      </w:r>
      <w:r>
        <w:rPr>
          <w:lang w:bidi="en-US"/>
        </w:rPr>
        <w:t>.0mg/m</w:t>
      </w:r>
      <w:r>
        <w:rPr>
          <w:vertAlign w:val="superscript"/>
          <w:lang w:bidi="en-US"/>
        </w:rPr>
        <w:t>3</w:t>
      </w:r>
      <w:r>
        <w:rPr>
          <w:rFonts w:hint="eastAsia"/>
          <w:lang w:bidi="en-US"/>
        </w:rPr>
        <w:t>）</w:t>
      </w:r>
      <w:r>
        <w:rPr>
          <w:rFonts w:hint="eastAsia"/>
        </w:rPr>
        <w:t>；二氧化硫、氮氧化物和PM</w:t>
      </w:r>
      <w:r>
        <w:rPr>
          <w:vertAlign w:val="subscript"/>
        </w:rPr>
        <w:t>10</w:t>
      </w:r>
      <w:r>
        <w:rPr>
          <w:rFonts w:hint="eastAsia"/>
        </w:rPr>
        <w:t>最大落地浓度满足《环境空气质量标准》（GB</w:t>
      </w:r>
      <w:r>
        <w:t>3095-2018</w:t>
      </w:r>
      <w:r>
        <w:rPr>
          <w:rFonts w:hint="eastAsia"/>
        </w:rPr>
        <w:t>）中二级浓度限值（二氧化硫：6</w:t>
      </w:r>
      <w:r>
        <w:t>0μg/m</w:t>
      </w:r>
      <w:r>
        <w:rPr>
          <w:vertAlign w:val="superscript"/>
        </w:rPr>
        <w:t>3</w:t>
      </w:r>
      <w:r>
        <w:t>、氮氧化物：</w:t>
      </w:r>
      <w:r>
        <w:rPr>
          <w:rFonts w:hint="eastAsia"/>
        </w:rPr>
        <w:t>2</w:t>
      </w:r>
      <w:r>
        <w:t>00μg/m</w:t>
      </w:r>
      <w:r>
        <w:rPr>
          <w:vertAlign w:val="superscript"/>
        </w:rPr>
        <w:t>3</w:t>
      </w:r>
      <w:r>
        <w:t>、PM</w:t>
      </w:r>
      <w:r>
        <w:rPr>
          <w:vertAlign w:val="subscript"/>
        </w:rPr>
        <w:t>10</w:t>
      </w:r>
      <w:r>
        <w:t>（</w:t>
      </w:r>
      <w:r>
        <w:rPr>
          <w:rFonts w:hint="eastAsia"/>
        </w:rPr>
        <w:t>2</w:t>
      </w:r>
      <w:r>
        <w:t>4小时平均）：</w:t>
      </w:r>
      <w:r>
        <w:rPr>
          <w:rFonts w:hint="eastAsia"/>
        </w:rPr>
        <w:t>1</w:t>
      </w:r>
      <w:r>
        <w:t>50μg/m</w:t>
      </w:r>
      <w:r>
        <w:rPr>
          <w:vertAlign w:val="superscript"/>
        </w:rPr>
        <w:t>3</w:t>
      </w:r>
      <w:r>
        <w:rPr>
          <w:rFonts w:hint="eastAsia"/>
        </w:rPr>
        <w:t>）；</w:t>
      </w:r>
      <w:r>
        <w:rPr>
          <w:rFonts w:hint="eastAsia"/>
          <w:lang w:val="en-US" w:eastAsia="zh-CN"/>
        </w:rPr>
        <w:t>硫酸、</w:t>
      </w:r>
      <w:r>
        <w:rPr>
          <w:rFonts w:hint="eastAsia"/>
        </w:rPr>
        <w:t>氨和硫化氢最大落地浓度满足《环境影响评价技术导则 大气环境》（HJ2.2-2018）附录D（</w:t>
      </w:r>
      <w:r>
        <w:rPr>
          <w:rFonts w:hint="eastAsia"/>
          <w:lang w:val="en-US" w:eastAsia="zh-CN"/>
        </w:rPr>
        <w:t>硫酸：300</w:t>
      </w:r>
      <w:r>
        <w:t>μg/m</w:t>
      </w:r>
      <w:r>
        <w:rPr>
          <w:vertAlign w:val="superscript"/>
        </w:rPr>
        <w:t>3</w:t>
      </w:r>
      <w:r>
        <w:t>、</w:t>
      </w:r>
      <w:r>
        <w:rPr>
          <w:rFonts w:hint="eastAsia"/>
        </w:rPr>
        <w:t>氨：2</w:t>
      </w:r>
      <w:r>
        <w:t>00μg/m</w:t>
      </w:r>
      <w:r>
        <w:rPr>
          <w:vertAlign w:val="superscript"/>
        </w:rPr>
        <w:t>3</w:t>
      </w:r>
      <w:r>
        <w:t>、硫化氢：</w:t>
      </w:r>
      <w:r>
        <w:rPr>
          <w:rFonts w:hint="eastAsia"/>
        </w:rPr>
        <w:t>1</w:t>
      </w:r>
      <w:r>
        <w:t>0μg/m</w:t>
      </w:r>
      <w:r>
        <w:rPr>
          <w:vertAlign w:val="superscript"/>
        </w:rPr>
        <w:t>3</w:t>
      </w:r>
      <w:r>
        <w:rPr>
          <w:rFonts w:hint="eastAsia"/>
        </w:rPr>
        <w:t>），预测结果表明项目运行后对大气环境的影响在可接受范围内，不会降低区域大气环境质量级别。</w:t>
      </w:r>
    </w:p>
    <w:p w14:paraId="529C7C28">
      <w:pPr>
        <w:ind w:firstLine="480"/>
        <w:rPr>
          <w:lang w:val="zh-CN"/>
        </w:rPr>
      </w:pPr>
      <w:r>
        <w:rPr>
          <w:rFonts w:hint="eastAsia"/>
          <w:lang w:val="zh-CN"/>
        </w:rPr>
        <w:t>（2）非正常工况下，大气污染源所排放的非甲烷总烃落地浓度和占标率有所增大，为减少废气会对周围环境产生影响，要杜绝非正常工况发生。</w:t>
      </w:r>
    </w:p>
    <w:p w14:paraId="41F3368D">
      <w:pPr>
        <w:pStyle w:val="43"/>
      </w:pPr>
      <w:r>
        <w:rPr>
          <w:rFonts w:hint="eastAsia"/>
        </w:rPr>
        <w:t>水环境影响分析</w:t>
      </w:r>
    </w:p>
    <w:p w14:paraId="5635D7EA">
      <w:pPr>
        <w:ind w:firstLine="480"/>
        <w:rPr>
          <w:lang w:val="zh-CN"/>
        </w:rPr>
      </w:pPr>
      <w:r>
        <w:rPr>
          <w:rFonts w:hint="eastAsia"/>
          <w:lang w:val="zh-CN"/>
        </w:rPr>
        <w:t>本项目周围无地表水分布，生产废水和生活污水经厂区污水处理站处理后排入园区污水处理厂进一步处理，不外排，对地表水环境影响较小。</w:t>
      </w:r>
    </w:p>
    <w:p w14:paraId="79AC984C">
      <w:pPr>
        <w:pStyle w:val="43"/>
      </w:pPr>
      <w:r>
        <w:rPr>
          <w:rFonts w:hint="eastAsia"/>
        </w:rPr>
        <w:t>声环境影响分析</w:t>
      </w:r>
    </w:p>
    <w:p w14:paraId="7D238436">
      <w:pPr>
        <w:ind w:firstLine="480"/>
        <w:rPr>
          <w:lang w:val="zh-CN"/>
        </w:rPr>
      </w:pPr>
      <w:r>
        <w:rPr>
          <w:rFonts w:hint="eastAsia"/>
          <w:lang w:val="zh-CN"/>
        </w:rPr>
        <w:t>本项目正常运行后，昼、夜间厂界四周均满足《工业企业厂界环境噪声排放标准》（GB12348-2008）3类标准规定限值要求，且周围1km范围内无居民区，对周围声环境影响较小。</w:t>
      </w:r>
    </w:p>
    <w:p w14:paraId="3C4B4B10">
      <w:pPr>
        <w:pStyle w:val="43"/>
      </w:pPr>
      <w:r>
        <w:rPr>
          <w:rFonts w:hint="eastAsia"/>
        </w:rPr>
        <w:t>固体废物影响分析</w:t>
      </w:r>
    </w:p>
    <w:p w14:paraId="7BA98883">
      <w:pPr>
        <w:ind w:firstLine="480"/>
        <w:rPr>
          <w:lang w:val="zh-CN"/>
        </w:rPr>
      </w:pPr>
      <w:r>
        <w:rPr>
          <w:rFonts w:hint="eastAsia"/>
          <w:lang w:val="zh-CN"/>
        </w:rPr>
        <w:t>本项目危险废物新建危废暂存间1座，委托有资质单位定期清运处理；生活垃圾经厂区设置垃圾桶收集后委托园区环卫部门清运，各类固体废物得到妥善处置，对周围环境影响较小。</w:t>
      </w:r>
    </w:p>
    <w:p w14:paraId="374ADF8B">
      <w:pPr>
        <w:pStyle w:val="43"/>
      </w:pPr>
      <w:r>
        <w:rPr>
          <w:rFonts w:hint="eastAsia"/>
        </w:rPr>
        <w:t>土壤环境影响分析</w:t>
      </w:r>
    </w:p>
    <w:p w14:paraId="4BE76428">
      <w:pPr>
        <w:ind w:firstLine="480"/>
        <w:rPr>
          <w:lang w:val="zh-CN"/>
        </w:rPr>
      </w:pPr>
      <w:r>
        <w:rPr>
          <w:rFonts w:hint="eastAsia"/>
          <w:lang w:val="zh-CN"/>
        </w:rPr>
        <w:t>正常情况下，在做好各区域防渗的基础上，原料、辅料、产品及废水不会发生泄漏，对土壤环境的影响较小。</w:t>
      </w:r>
    </w:p>
    <w:p w14:paraId="3929C706">
      <w:pPr>
        <w:pStyle w:val="41"/>
      </w:pPr>
      <w:r>
        <w:rPr>
          <w:rFonts w:hint="eastAsia"/>
        </w:rPr>
        <w:t>环境保护措施</w:t>
      </w:r>
    </w:p>
    <w:p w14:paraId="5D439C91">
      <w:pPr>
        <w:pStyle w:val="43"/>
      </w:pPr>
      <w:bookmarkStart w:id="800" w:name="_Toc79515580"/>
      <w:bookmarkStart w:id="801" w:name="_Toc146125298"/>
      <w:bookmarkStart w:id="802" w:name="_Toc151391587"/>
      <w:bookmarkStart w:id="803" w:name="_Toc80973632"/>
      <w:bookmarkStart w:id="804" w:name="_Toc82518900"/>
      <w:bookmarkStart w:id="805" w:name="_Toc77007902"/>
      <w:bookmarkStart w:id="806" w:name="_Toc80193208"/>
      <w:bookmarkStart w:id="807" w:name="_Toc81214200"/>
      <w:r>
        <w:rPr>
          <w:rFonts w:hint="eastAsia"/>
        </w:rPr>
        <w:t>废气污染防治措施</w:t>
      </w:r>
      <w:bookmarkEnd w:id="800"/>
      <w:bookmarkEnd w:id="801"/>
      <w:bookmarkEnd w:id="802"/>
      <w:bookmarkEnd w:id="803"/>
      <w:bookmarkEnd w:id="804"/>
      <w:bookmarkEnd w:id="805"/>
      <w:bookmarkEnd w:id="806"/>
      <w:bookmarkEnd w:id="807"/>
    </w:p>
    <w:p w14:paraId="6D7458F4">
      <w:pPr>
        <w:ind w:firstLine="480"/>
      </w:pPr>
      <w:r>
        <w:rPr>
          <w:rFonts w:hint="eastAsia"/>
          <w:lang w:val="zh-CN"/>
        </w:rPr>
        <w:t>本项目主要污染物为生产车间生产、罐区储罐储存和装卸过程产生的有机废气，其中生产车间及储罐等设备与管线组件采取泄漏检测与修复（LDAR）措施，</w:t>
      </w:r>
      <w:r>
        <w:rPr>
          <w:rFonts w:hint="eastAsia"/>
          <w:lang w:val="en-US" w:eastAsia="zh-CN"/>
        </w:rPr>
        <w:t>并设置2套“碱洗喷淋+活性炭吸附”处理酸性废气及有机废气</w:t>
      </w:r>
      <w:r>
        <w:rPr>
          <w:rFonts w:hint="eastAsia"/>
          <w:lang w:val="zh-CN"/>
        </w:rPr>
        <w:t>；罐区储罐储存过程采用油气平衡+油气回收（冷凝+吸附）处理措施；装卸过程采用顶部浸没式装卸，并与储罐共用1套油气回收（冷凝+吸附）处理措施，上述治理措施均属于</w:t>
      </w:r>
      <w:r>
        <w:rPr>
          <w:rFonts w:hint="eastAsia"/>
        </w:rPr>
        <w:t>《排污许可证申请与核发技术规范 石化工业》（HJ</w:t>
      </w:r>
      <w:r>
        <w:t>853-2017</w:t>
      </w:r>
      <w:r>
        <w:rPr>
          <w:rFonts w:hint="eastAsia"/>
        </w:rPr>
        <w:t>）表5中列明的可行技术。</w:t>
      </w:r>
    </w:p>
    <w:p w14:paraId="1CC13D94">
      <w:pPr>
        <w:ind w:firstLine="480"/>
      </w:pPr>
      <w:r>
        <w:rPr>
          <w:rFonts w:hint="eastAsia"/>
        </w:rPr>
        <w:t>油气回收装置排气筒非甲烷总烃</w:t>
      </w:r>
      <w:r>
        <w:rPr>
          <w:rFonts w:hint="eastAsia"/>
          <w:lang w:eastAsia="zh-CN"/>
        </w:rPr>
        <w:t>、</w:t>
      </w:r>
      <w:r>
        <w:rPr>
          <w:rFonts w:hint="eastAsia"/>
          <w:lang w:val="en-US" w:eastAsia="zh-CN"/>
        </w:rPr>
        <w:t>硫酸雾</w:t>
      </w:r>
      <w:r>
        <w:rPr>
          <w:rFonts w:hint="eastAsia"/>
        </w:rPr>
        <w:t>排放浓度满足《石油炼制工业污染物排放标准》（GB31570-2015）表</w:t>
      </w:r>
      <w:r>
        <w:t>4</w:t>
      </w:r>
      <w:r>
        <w:rPr>
          <w:rFonts w:hint="eastAsia"/>
        </w:rPr>
        <w:t>大气污染物排放限值；厂界无组织非甲烷总烃排放浓度应满足《石油炼制工业污染物排放标准》（GB31570-2015）表</w:t>
      </w:r>
      <w:r>
        <w:t>5</w:t>
      </w:r>
      <w:r>
        <w:rPr>
          <w:rFonts w:hint="eastAsia"/>
        </w:rPr>
        <w:t>中的限值，氨、硫化氢厂界浓度应满足《恶臭污染物排放标准》（GB</w:t>
      </w:r>
      <w:r>
        <w:t>14554-1993</w:t>
      </w:r>
      <w:r>
        <w:rPr>
          <w:rFonts w:hint="eastAsia"/>
        </w:rPr>
        <w:t>）表1中的限值。</w:t>
      </w:r>
    </w:p>
    <w:p w14:paraId="1D8D8FFF">
      <w:pPr>
        <w:pStyle w:val="43"/>
      </w:pPr>
      <w:r>
        <w:rPr>
          <w:rFonts w:hint="eastAsia"/>
        </w:rPr>
        <w:t>水污染防治措施</w:t>
      </w:r>
    </w:p>
    <w:p w14:paraId="4BAB6361">
      <w:pPr>
        <w:ind w:firstLine="480"/>
        <w:rPr>
          <w:lang w:val="zh-CN"/>
        </w:rPr>
      </w:pPr>
      <w:r>
        <w:rPr>
          <w:rFonts w:hint="eastAsia"/>
          <w:lang w:val="zh-CN"/>
        </w:rPr>
        <w:t>本项目生产废水主要为减线油罐区的定期排污废水、冲洗废水、循环冷却水排污废水和生活污水，废水产生量共计</w:t>
      </w:r>
      <w:r>
        <w:rPr>
          <w:rFonts w:hint="eastAsia"/>
          <w:lang w:val="en-US" w:eastAsia="zh-CN"/>
        </w:rPr>
        <w:t>5822.74</w:t>
      </w:r>
      <w:r>
        <w:rPr>
          <w:rFonts w:hint="eastAsia"/>
          <w:lang w:val="zh-CN"/>
        </w:rPr>
        <w:t>m</w:t>
      </w:r>
      <w:r>
        <w:rPr>
          <w:vertAlign w:val="superscript"/>
          <w:lang w:val="zh-CN"/>
        </w:rPr>
        <w:t>3</w:t>
      </w:r>
      <w:r>
        <w:rPr>
          <w:lang w:val="zh-CN"/>
        </w:rPr>
        <w:t>/a</w:t>
      </w:r>
      <w:r>
        <w:rPr>
          <w:rFonts w:hint="eastAsia"/>
          <w:lang w:val="zh-CN"/>
        </w:rPr>
        <w:t>。生产废水和生活污水经厂区污水处理站（“隔油池+A</w:t>
      </w:r>
      <w:r>
        <w:rPr>
          <w:lang w:val="zh-CN"/>
        </w:rPr>
        <w:t>/</w:t>
      </w:r>
      <w:r>
        <w:rPr>
          <w:rFonts w:hint="eastAsia"/>
          <w:lang w:val="zh-CN"/>
        </w:rPr>
        <w:t>O生化池”工艺）处理后，满足《石油炼制工业污染物排放标准》（GB31570-2015）中表1间接排放限值，排入园区污水处理厂处理。</w:t>
      </w:r>
    </w:p>
    <w:p w14:paraId="54C93631">
      <w:pPr>
        <w:pStyle w:val="43"/>
      </w:pPr>
      <w:r>
        <w:rPr>
          <w:rFonts w:hint="eastAsia"/>
        </w:rPr>
        <w:t>噪声防治措施</w:t>
      </w:r>
    </w:p>
    <w:p w14:paraId="549DF9B2">
      <w:pPr>
        <w:ind w:firstLine="480"/>
        <w:rPr>
          <w:lang w:val="zh-CN"/>
        </w:rPr>
      </w:pPr>
      <w:r>
        <w:rPr>
          <w:rFonts w:hint="eastAsia"/>
          <w:lang w:val="zh-CN"/>
        </w:rPr>
        <w:t>本项目噪声源主要为</w:t>
      </w:r>
      <w:r>
        <w:rPr>
          <w:rFonts w:hint="eastAsia"/>
        </w:rPr>
        <w:t>各类泵、风机、加温白土锅、压滤机、皂化釜、调和罐、循环泵等产生的设备噪声，其噪声源强为8</w:t>
      </w:r>
      <w:r>
        <w:t>0</w:t>
      </w:r>
      <w:r>
        <w:rPr>
          <w:rFonts w:hint="eastAsia"/>
        </w:rPr>
        <w:t>～9</w:t>
      </w:r>
      <w:r>
        <w:t>0</w:t>
      </w:r>
      <w:r>
        <w:rPr>
          <w:rFonts w:hint="eastAsia"/>
        </w:rPr>
        <w:t>dB（A）</w:t>
      </w:r>
      <w:r>
        <w:rPr>
          <w:rFonts w:hint="eastAsia"/>
          <w:lang w:val="zh-CN"/>
        </w:rPr>
        <w:t>。主要采用隔音、消音、基础减振等措施，同时通过地形屏障、距离衰减等过程也可对噪声进行一定程度的削减。厂界噪声满足《工业企业厂界环境噪声排放标准》（GB12348-2008）3类区标准限值。</w:t>
      </w:r>
    </w:p>
    <w:p w14:paraId="21C95C93">
      <w:pPr>
        <w:pStyle w:val="43"/>
      </w:pPr>
      <w:r>
        <w:rPr>
          <w:rFonts w:hint="eastAsia"/>
        </w:rPr>
        <w:t>固体废物防治措施</w:t>
      </w:r>
    </w:p>
    <w:p w14:paraId="7ED2947F">
      <w:pPr>
        <w:ind w:firstLine="480"/>
        <w:rPr>
          <w:lang w:val="zh-CN"/>
        </w:rPr>
      </w:pPr>
      <w:r>
        <w:rPr>
          <w:rFonts w:hint="eastAsia"/>
          <w:lang w:val="zh-CN"/>
        </w:rPr>
        <w:t>新建3</w:t>
      </w:r>
      <w:r>
        <w:rPr>
          <w:lang w:val="zh-CN"/>
        </w:rPr>
        <w:t>6</w:t>
      </w:r>
      <w:r>
        <w:rPr>
          <w:rFonts w:hint="eastAsia"/>
          <w:lang w:val="zh-CN"/>
        </w:rPr>
        <w:t>m</w:t>
      </w:r>
      <w:r>
        <w:rPr>
          <w:vertAlign w:val="superscript"/>
          <w:lang w:val="zh-CN"/>
        </w:rPr>
        <w:t>2</w:t>
      </w:r>
      <w:r>
        <w:rPr>
          <w:rFonts w:hint="eastAsia"/>
          <w:lang w:val="zh-CN"/>
        </w:rPr>
        <w:t>危险废物库房1座，按照《危险废物贮存污染控制标准》（GB</w:t>
      </w:r>
      <w:r>
        <w:rPr>
          <w:lang w:val="zh-CN"/>
        </w:rPr>
        <w:t>18597-2023</w:t>
      </w:r>
      <w:r>
        <w:rPr>
          <w:rFonts w:hint="eastAsia"/>
          <w:lang w:val="zh-CN"/>
        </w:rPr>
        <w:t>）要求进行建设，用于本项目危险废物暂存，危险废物委托有资质定期清运、处置；生活垃圾通过厂区垃圾桶收集，委托园区环卫部门清运至1</w:t>
      </w:r>
      <w:r>
        <w:rPr>
          <w:lang w:val="zh-CN"/>
        </w:rPr>
        <w:t>29</w:t>
      </w:r>
      <w:r>
        <w:rPr>
          <w:rFonts w:hint="eastAsia"/>
          <w:lang w:val="zh-CN"/>
        </w:rPr>
        <w:t>团生活垃圾填埋场填埋处理。</w:t>
      </w:r>
    </w:p>
    <w:p w14:paraId="7B830D2E">
      <w:pPr>
        <w:pStyle w:val="41"/>
      </w:pPr>
      <w:r>
        <w:rPr>
          <w:rFonts w:hint="eastAsia"/>
        </w:rPr>
        <w:t>公众参与情况</w:t>
      </w:r>
    </w:p>
    <w:p w14:paraId="54F399F6">
      <w:pPr>
        <w:ind w:firstLine="480"/>
        <w:rPr>
          <w:lang w:val="zh-CN"/>
        </w:rPr>
      </w:pPr>
      <w:r>
        <w:rPr>
          <w:rFonts w:hint="eastAsia"/>
          <w:lang w:val="zh-CN"/>
        </w:rPr>
        <w:t>在本次环境影响报告书的编制过程中，建设单位按照《中华人民共和国环境影响评价法》、《环境影响评价公众参与办法》（生态环境部4号令）的要求进行了公众参与调查。建设单位在新疆生产建设兵团第七师胡杨河市门户网（http：//www.nqs.gov.cn/）分别开展了第二次信息公示和报批前公示。在第二次信息公示期间，本项目在新疆法制报上进行了2次登报公示。公示期间未收到反对意见。</w:t>
      </w:r>
    </w:p>
    <w:p w14:paraId="75CFFB19">
      <w:pPr>
        <w:pStyle w:val="41"/>
      </w:pPr>
      <w:bookmarkStart w:id="808" w:name="_Toc152864294"/>
      <w:r>
        <w:rPr>
          <w:rFonts w:hint="eastAsia"/>
        </w:rPr>
        <w:t>综合结论</w:t>
      </w:r>
      <w:bookmarkEnd w:id="808"/>
    </w:p>
    <w:p w14:paraId="0AA9B06A">
      <w:pPr>
        <w:ind w:firstLine="480"/>
      </w:pPr>
      <w:r>
        <w:rPr>
          <w:rFonts w:hint="eastAsia"/>
        </w:rPr>
        <w:t>新疆翱巡能源科技有限公司8万吨/年润滑油、2万吨/年润滑脂生产项目符合国家产业政策要求，选址符合区域规划和环境功能区划要求。项目在建设和运营期间会对环境造成一定的不利影响，在严格落实报告书中提出的各类污染防治措施的前提下，能够实现污染物的稳定达标排放。在严格执行“三同时”制度，落实好各项风险防范措施和事故应急计划、做好突发环境事件应急预案工作的前提下，从环保角度分析，本项目建设可行。</w:t>
      </w:r>
    </w:p>
    <w:p w14:paraId="77E402B1">
      <w:pPr>
        <w:pStyle w:val="41"/>
      </w:pPr>
      <w:bookmarkStart w:id="809" w:name="_Toc152864295"/>
      <w:r>
        <w:rPr>
          <w:rFonts w:hint="eastAsia"/>
        </w:rPr>
        <w:t>建议</w:t>
      </w:r>
      <w:bookmarkEnd w:id="809"/>
    </w:p>
    <w:p w14:paraId="1AC1013D">
      <w:pPr>
        <w:ind w:firstLine="480"/>
      </w:pPr>
      <w:r>
        <w:rPr>
          <w:rFonts w:hint="eastAsia"/>
        </w:rPr>
        <w:t>（</w:t>
      </w:r>
      <w:r>
        <w:t>1</w:t>
      </w:r>
      <w:r>
        <w:rPr>
          <w:rFonts w:hint="eastAsia"/>
        </w:rPr>
        <w:t>）在项目设计阶段，环境保护措施严格按照相应的要求进行设计。</w:t>
      </w:r>
    </w:p>
    <w:p w14:paraId="4B1C8E2D">
      <w:pPr>
        <w:ind w:firstLine="480"/>
      </w:pPr>
      <w:r>
        <w:rPr>
          <w:rFonts w:hint="eastAsia"/>
        </w:rPr>
        <w:t>（</w:t>
      </w:r>
      <w:r>
        <w:t>2</w:t>
      </w:r>
      <w:r>
        <w:rPr>
          <w:rFonts w:hint="eastAsia"/>
        </w:rPr>
        <w:t>）建议建设单位针对可能发生的环境风险事故，与项目环境风险应急预案进行衔接，统一管理，并经过专家评审，报相关行政主管部门备案，并定期进行预案演练。</w:t>
      </w:r>
    </w:p>
    <w:p w14:paraId="4BD5AFB5">
      <w:pPr>
        <w:ind w:firstLine="480"/>
        <w:sectPr>
          <w:footerReference r:id="rId36"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r>
        <w:rPr>
          <w:rFonts w:hint="eastAsia"/>
        </w:rPr>
        <w:t>（</w:t>
      </w:r>
      <w:r>
        <w:t>3</w:t>
      </w:r>
      <w:r>
        <w:rPr>
          <w:rFonts w:hint="eastAsia"/>
        </w:rPr>
        <w:t>）施工期应落实各项环境保护措施。</w:t>
      </w:r>
    </w:p>
    <w:p w14:paraId="515E9F3A">
      <w:pPr>
        <w:ind w:firstLine="480"/>
        <w:sectPr>
          <w:headerReference r:id="rId37" w:type="default"/>
          <w:footerReference r:id="rId38" w:type="default"/>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51BD5855">
      <w:pPr>
        <w:spacing w:line="240" w:lineRule="auto"/>
        <w:ind w:firstLine="0" w:firstLineChars="0"/>
        <w:jc w:val="center"/>
      </w:pPr>
    </w:p>
    <w:p w14:paraId="7A1E6650">
      <w:pPr>
        <w:ind w:firstLine="480"/>
        <w:sectPr>
          <w:pgSz w:w="16838" w:h="11906" w:orient="landscape"/>
          <w:pgMar w:top="1417" w:right="1440" w:bottom="1417" w:left="1440" w:header="709" w:footer="590" w:gutter="0"/>
          <w:pgBorders>
            <w:top w:val="none" w:sz="0" w:space="0"/>
            <w:left w:val="none" w:sz="0" w:space="0"/>
            <w:bottom w:val="none" w:sz="0" w:space="0"/>
            <w:right w:val="none" w:sz="0" w:space="0"/>
          </w:pgBorders>
          <w:pgNumType w:fmt="numberInDash"/>
          <w:cols w:space="0" w:num="1"/>
          <w:rtlGutter w:val="0"/>
          <w:docGrid w:type="linesAndChars" w:linePitch="336" w:charSpace="0"/>
        </w:sectPr>
      </w:pPr>
    </w:p>
    <w:p w14:paraId="3F38A54E">
      <w:pPr>
        <w:ind w:firstLine="480"/>
      </w:pPr>
    </w:p>
    <w:p w14:paraId="09FC5BCD">
      <w:pPr>
        <w:ind w:firstLine="480"/>
        <w:sectPr>
          <w:pgSz w:w="11906" w:h="16838"/>
          <w:pgMar w:top="1440" w:right="1588" w:bottom="1440" w:left="1588" w:header="709" w:footer="592" w:gutter="0"/>
          <w:pgBorders>
            <w:top w:val="none" w:sz="0" w:space="0"/>
            <w:left w:val="none" w:sz="0" w:space="0"/>
            <w:bottom w:val="none" w:sz="0" w:space="0"/>
            <w:right w:val="none" w:sz="0" w:space="0"/>
          </w:pgBorders>
          <w:pgNumType w:fmt="numberInDash"/>
          <w:cols w:space="425" w:num="1"/>
          <w:docGrid w:type="linesAndChars" w:linePitch="326" w:charSpace="0"/>
        </w:sectPr>
      </w:pPr>
    </w:p>
    <w:p w14:paraId="4B185916">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lang w:eastAsia="zh-CN"/>
        </w:rPr>
      </w:pPr>
    </w:p>
    <w:p w14:paraId="707A7AB2">
      <w:pPr>
        <w:ind w:firstLine="480"/>
        <w:rPr>
          <w:rFonts w:hint="default"/>
          <w:lang w:val="en-US" w:eastAsia="zh-CN"/>
        </w:rPr>
      </w:pPr>
    </w:p>
    <w:p w14:paraId="2A33C261">
      <w:pPr>
        <w:ind w:firstLine="480"/>
        <w:rPr>
          <w:rFonts w:hint="default"/>
          <w:lang w:val="en-US" w:eastAsia="zh-CN"/>
        </w:rPr>
      </w:pPr>
    </w:p>
    <w:p w14:paraId="7FF93C2E">
      <w:pPr>
        <w:ind w:firstLine="480"/>
        <w:rPr>
          <w:rFonts w:hint="default"/>
          <w:lang w:val="en-US" w:eastAsia="zh-CN"/>
        </w:rPr>
      </w:pPr>
    </w:p>
    <w:p w14:paraId="44E0AA8B">
      <w:pPr>
        <w:spacing w:line="240" w:lineRule="auto"/>
        <w:ind w:firstLine="0" w:firstLineChars="0"/>
        <w:jc w:val="center"/>
        <w:rPr>
          <w:rFonts w:hint="eastAsia" w:eastAsia="宋体"/>
          <w:lang w:eastAsia="zh-CN"/>
        </w:rPr>
      </w:pPr>
    </w:p>
    <w:sectPr>
      <w:pgSz w:w="16838" w:h="11906" w:orient="landscape"/>
      <w:pgMar w:top="1134" w:right="1134" w:bottom="1134" w:left="1134" w:header="709" w:footer="590" w:gutter="0"/>
      <w:pgBorders>
        <w:top w:val="none" w:sz="0" w:space="0"/>
        <w:left w:val="none" w:sz="0" w:space="0"/>
        <w:bottom w:val="none" w:sz="0" w:space="0"/>
        <w:right w:val="none" w:sz="0" w:space="0"/>
      </w:pgBorders>
      <w:pgNumType w:fmt="numberInDash"/>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Segoe UI Emoji">
    <w:panose1 w:val="020B0502040204020203"/>
    <w:charset w:val="00"/>
    <w:family w:val="swiss"/>
    <w:pitch w:val="default"/>
    <w:sig w:usb0="00000001" w:usb1="02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89C17">
    <w:pPr>
      <w:pStyle w:val="1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74B03">
    <w:pPr>
      <w:pStyle w:val="19"/>
      <w:pBdr>
        <w:top w:val="thinThickSmallGap" w:color="auto" w:sz="18" w:space="1"/>
      </w:pBdr>
      <w:tabs>
        <w:tab w:val="center" w:pos="10467"/>
        <w:tab w:val="right" w:pos="20934"/>
        <w:tab w:val="clear" w:pos="4153"/>
        <w:tab w:val="clear" w:pos="8306"/>
      </w:tabs>
      <w:ind w:firstLine="420"/>
      <w:jc w:val="center"/>
      <w:rPr>
        <w:rFonts w:ascii="Times New Roman" w:hAnsi="Times New Roman" w:eastAsia="宋体"/>
        <w:sz w:val="21"/>
        <w:szCs w:val="21"/>
      </w:rPr>
    </w:pPr>
    <w:r>
      <w:rPr>
        <w:rFonts w:ascii="Times New Roman" w:hAnsi="Times New Roman" w:eastAsia="宋体"/>
        <w:sz w:val="21"/>
        <w:szCs w:val="21"/>
      </w:rPr>
      <w:t xml:space="preserve">                                                                                             </w:t>
    </w: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rPr>
      <w:t>- 52 -</w:t>
    </w:r>
    <w:r>
      <w:rPr>
        <w:rFonts w:ascii="Times New Roman" w:hAnsi="Times New Roman" w:eastAsia="宋体"/>
        <w:sz w:val="21"/>
        <w:szCs w:val="21"/>
      </w:rPr>
      <w:fldChar w:fldCharType="end"/>
    </w:r>
    <w:r>
      <w:rPr>
        <w:rFonts w:ascii="Times New Roman" w:hAnsi="Times New Roman" w:eastAsia="宋体"/>
        <w:sz w:val="21"/>
        <w:szCs w:val="21"/>
      </w:rPr>
      <w:t xml:space="preserve">                                                                      </w:t>
    </w:r>
    <w:r>
      <w:rPr>
        <w:rFonts w:hint="eastAsia" w:ascii="Times New Roman" w:hAnsi="Times New Roman" w:eastAsia="宋体"/>
        <w:iCs/>
        <w:sz w:val="21"/>
        <w:szCs w:val="21"/>
      </w:rPr>
      <w:t>新疆锦绣山河环境科技有限公司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7C666">
    <w:pPr>
      <w:pStyle w:val="19"/>
      <w:pBdr>
        <w:top w:val="thinThickSmallGap" w:color="auto" w:sz="18" w:space="1"/>
      </w:pBdr>
      <w:tabs>
        <w:tab w:val="center" w:pos="4365"/>
        <w:tab w:val="right" w:pos="8730"/>
        <w:tab w:val="clear" w:pos="4153"/>
        <w:tab w:val="clear" w:pos="8306"/>
      </w:tabs>
      <w:spacing w:line="240" w:lineRule="auto"/>
      <w:ind w:firstLine="0" w:firstLineChars="0"/>
      <w:jc w:val="center"/>
      <w:rPr>
        <w:rFonts w:ascii="Times New Roman" w:hAnsi="Times New Roman" w:eastAsia="宋体"/>
        <w:sz w:val="21"/>
        <w:szCs w:val="21"/>
      </w:rPr>
    </w:pPr>
    <w:r>
      <w:rPr>
        <w:rFonts w:ascii="Times New Roman" w:hAnsi="Times New Roman" w:eastAsia="宋体"/>
        <w:iCs/>
        <w:sz w:val="21"/>
        <w:szCs w:val="21"/>
        <w:lang w:val="en-US"/>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- 56 -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75E26">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- 97 -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F483B">
    <w:pPr>
      <w:pStyle w:val="19"/>
      <w:pBdr>
        <w:top w:val="thinThickSmallGap" w:color="auto" w:sz="18" w:space="1"/>
      </w:pBdr>
      <w:tabs>
        <w:tab w:val="left" w:pos="1935"/>
        <w:tab w:val="center" w:pos="6979"/>
        <w:tab w:val="right" w:pos="13958"/>
        <w:tab w:val="clear" w:pos="4153"/>
        <w:tab w:val="clear" w:pos="8306"/>
      </w:tabs>
      <w:ind w:firstLine="420"/>
      <w:rPr>
        <w:rFonts w:ascii="Times New Roman" w:hAnsi="Times New Roman" w:eastAsia="宋体"/>
        <w:sz w:val="21"/>
        <w:szCs w:val="21"/>
      </w:rPr>
    </w:pPr>
    <w:r>
      <w:rPr>
        <w:rFonts w:ascii="Times New Roman" w:hAnsi="Times New Roman" w:eastAsia="宋体"/>
        <w:sz w:val="21"/>
        <w:szCs w:val="21"/>
      </w:rPr>
      <w:tab/>
    </w:r>
    <w:r>
      <w:rPr>
        <w:rFonts w:ascii="Times New Roman" w:hAnsi="Times New Roman" w:eastAsia="宋体"/>
        <w:sz w:val="21"/>
        <w:szCs w:val="21"/>
      </w:rPr>
      <w:tab/>
    </w: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rPr>
      <w:t>- 99 -</w:t>
    </w:r>
    <w:r>
      <w:rPr>
        <w:rFonts w:ascii="Times New Roman" w:hAnsi="Times New Roman" w:eastAsia="宋体"/>
        <w:sz w:val="21"/>
        <w:szCs w:val="21"/>
      </w:rPr>
      <w:fldChar w:fldCharType="end"/>
    </w:r>
    <w:r>
      <w:rPr>
        <w:rFonts w:ascii="Times New Roman" w:hAnsi="Times New Roman" w:eastAsia="宋体"/>
        <w:sz w:val="21"/>
        <w:szCs w:val="21"/>
      </w:rPr>
      <w:tab/>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3BD4F">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- 102 -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F561E">
    <w:pPr>
      <w:pStyle w:val="19"/>
      <w:pBdr>
        <w:top w:val="thinThickSmallGap" w:color="auto" w:sz="18" w:space="1"/>
      </w:pBdr>
      <w:tabs>
        <w:tab w:val="center" w:pos="6979"/>
        <w:tab w:val="right" w:pos="13958"/>
        <w:tab w:val="clear" w:pos="4153"/>
        <w:tab w:val="clear" w:pos="8306"/>
      </w:tabs>
      <w:ind w:firstLine="420"/>
      <w:rPr>
        <w:rFonts w:ascii="Times New Roman" w:hAnsi="Times New Roman" w:eastAsia="宋体"/>
        <w:sz w:val="21"/>
        <w:szCs w:val="21"/>
      </w:rPr>
    </w:pPr>
    <w:r>
      <w:rPr>
        <w:rFonts w:ascii="Times New Roman" w:hAnsi="Times New Roman" w:eastAsia="宋体"/>
        <w:sz w:val="21"/>
        <w:szCs w:val="21"/>
      </w:rPr>
      <w:tab/>
    </w: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rPr>
      <w:t>- 103 -</w:t>
    </w:r>
    <w:r>
      <w:rPr>
        <w:rFonts w:ascii="Times New Roman" w:hAnsi="Times New Roman" w:eastAsia="宋体"/>
        <w:sz w:val="21"/>
        <w:szCs w:val="21"/>
      </w:rPr>
      <w:fldChar w:fldCharType="end"/>
    </w:r>
    <w:r>
      <w:rPr>
        <w:rFonts w:ascii="Times New Roman" w:hAnsi="Times New Roman" w:eastAsia="宋体"/>
        <w:sz w:val="21"/>
        <w:szCs w:val="21"/>
      </w:rPr>
      <w:tab/>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CE88">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- 106 -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9E5FD">
    <w:pPr>
      <w:pStyle w:val="19"/>
      <w:pBdr>
        <w:top w:val="thinThickSmallGap" w:color="auto" w:sz="18" w:space="1"/>
      </w:pBdr>
      <w:tabs>
        <w:tab w:val="center" w:pos="6979"/>
        <w:tab w:val="right" w:pos="13958"/>
        <w:tab w:val="clear" w:pos="4153"/>
        <w:tab w:val="clear" w:pos="8306"/>
      </w:tabs>
      <w:ind w:firstLine="420"/>
      <w:rPr>
        <w:rFonts w:ascii="Times New Roman" w:hAnsi="Times New Roman" w:eastAsia="宋体"/>
        <w:sz w:val="21"/>
        <w:szCs w:val="21"/>
      </w:rPr>
    </w:pPr>
    <w:r>
      <w:rPr>
        <w:rFonts w:ascii="Times New Roman" w:hAnsi="Times New Roman" w:eastAsia="宋体"/>
        <w:sz w:val="21"/>
        <w:szCs w:val="21"/>
      </w:rPr>
      <w:tab/>
    </w: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rPr>
      <w:t>- 107 -</w:t>
    </w:r>
    <w:r>
      <w:rPr>
        <w:rFonts w:ascii="Times New Roman" w:hAnsi="Times New Roman" w:eastAsia="宋体"/>
        <w:sz w:val="21"/>
        <w:szCs w:val="21"/>
      </w:rPr>
      <w:fldChar w:fldCharType="end"/>
    </w:r>
    <w:r>
      <w:rPr>
        <w:rFonts w:ascii="Times New Roman" w:hAnsi="Times New Roman" w:eastAsia="宋体"/>
        <w:sz w:val="21"/>
        <w:szCs w:val="21"/>
      </w:rPr>
      <w:tab/>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ADDF">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- 123 -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1FD52">
    <w:pPr>
      <w:pStyle w:val="19"/>
      <w:pBdr>
        <w:top w:val="thinThickSmallGap" w:color="auto" w:sz="18" w:space="1"/>
      </w:pBdr>
      <w:tabs>
        <w:tab w:val="center" w:pos="6979"/>
        <w:tab w:val="right" w:pos="13958"/>
        <w:tab w:val="clear" w:pos="4153"/>
        <w:tab w:val="clear" w:pos="8306"/>
      </w:tabs>
      <w:ind w:firstLine="420"/>
      <w:rPr>
        <w:rFonts w:ascii="Times New Roman" w:hAnsi="Times New Roman" w:eastAsia="宋体"/>
        <w:sz w:val="21"/>
        <w:szCs w:val="21"/>
      </w:rPr>
    </w:pPr>
    <w:r>
      <w:rPr>
        <w:rFonts w:ascii="Times New Roman" w:hAnsi="Times New Roman" w:eastAsia="宋体"/>
        <w:sz w:val="21"/>
        <w:szCs w:val="21"/>
      </w:rPr>
      <w:tab/>
    </w: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rPr>
      <w:t>- 124 -</w:t>
    </w:r>
    <w:r>
      <w:rPr>
        <w:rFonts w:ascii="Times New Roman" w:hAnsi="Times New Roman" w:eastAsia="宋体"/>
        <w:sz w:val="21"/>
        <w:szCs w:val="21"/>
      </w:rPr>
      <w:fldChar w:fldCharType="end"/>
    </w:r>
    <w:r>
      <w:rPr>
        <w:rFonts w:ascii="Times New Roman" w:hAnsi="Times New Roman" w:eastAsia="宋体"/>
        <w:sz w:val="21"/>
        <w:szCs w:val="21"/>
      </w:rPr>
      <w:tab/>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E6F55">
    <w:pPr>
      <w:pStyle w:val="19"/>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E5A7">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- 126 -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B7662">
    <w:pPr>
      <w:pStyle w:val="19"/>
      <w:pBdr>
        <w:top w:val="thinThickSmallGap" w:color="auto" w:sz="18" w:space="1"/>
      </w:pBdr>
      <w:tabs>
        <w:tab w:val="center" w:pos="6979"/>
        <w:tab w:val="right" w:pos="13958"/>
        <w:tab w:val="clear" w:pos="4153"/>
        <w:tab w:val="clear" w:pos="8306"/>
      </w:tabs>
      <w:ind w:firstLine="420"/>
      <w:rPr>
        <w:rFonts w:ascii="Times New Roman" w:hAnsi="Times New Roman" w:eastAsia="宋体"/>
        <w:sz w:val="21"/>
        <w:szCs w:val="21"/>
      </w:rPr>
    </w:pPr>
    <w:r>
      <w:rPr>
        <w:rFonts w:ascii="Times New Roman" w:hAnsi="Times New Roman" w:eastAsia="宋体"/>
        <w:sz w:val="21"/>
        <w:szCs w:val="21"/>
      </w:rPr>
      <w:tab/>
    </w: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rPr>
      <w:t>- 127 -</w:t>
    </w:r>
    <w:r>
      <w:rPr>
        <w:rFonts w:ascii="Times New Roman" w:hAnsi="Times New Roman" w:eastAsia="宋体"/>
        <w:sz w:val="21"/>
        <w:szCs w:val="21"/>
      </w:rPr>
      <w:fldChar w:fldCharType="end"/>
    </w:r>
    <w:r>
      <w:rPr>
        <w:rFonts w:ascii="Times New Roman" w:hAnsi="Times New Roman" w:eastAsia="宋体"/>
        <w:sz w:val="21"/>
        <w:szCs w:val="21"/>
      </w:rPr>
      <w:tab/>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B0731">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lang w:val="en-US"/>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- 146 -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D09D0">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lang w:val="en-US"/>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- 208 -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893BA">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- 209 -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1A6AF">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- 216 -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F3928">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- 227 -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11DA2">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lang w:val="en-US"/>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- 230 -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ED577">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- 234 -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w:t>
    </w:r>
    <w:r>
      <w:rPr>
        <w:rFonts w:ascii="Times New Roman" w:hAnsi="Times New Roman" w:eastAsia="宋体"/>
        <w:iCs/>
        <w:sz w:val="21"/>
        <w:szCs w:val="21"/>
      </w:rPr>
      <w:t>有限公司</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D55B1">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3908C">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D1FC0">
    <w:pPr>
      <w:pStyle w:val="19"/>
      <w:pBdr>
        <w:top w:val="thinThickSmallGap" w:color="auto" w:sz="18" w:space="1"/>
      </w:pBdr>
      <w:tabs>
        <w:tab w:val="right" w:pos="8730"/>
        <w:tab w:val="clear" w:pos="4153"/>
        <w:tab w:val="clear" w:pos="8306"/>
      </w:tabs>
      <w:ind w:firstLine="4410" w:firstLineChars="210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r>
      <w:rPr>
        <w:rFonts w:hint="eastAsia"/>
        <w:sz w:val="21"/>
        <w:szCs w:val="21"/>
      </w:rPr>
      <w:tab/>
    </w:r>
    <w:r>
      <w:rPr>
        <w:rFonts w:hint="eastAsia"/>
        <w:sz w:val="21"/>
        <w:szCs w:val="21"/>
      </w:rPr>
      <w:t xml:space="preserve">    </w:t>
    </w:r>
    <w:r>
      <w:rPr>
        <w:rFonts w:hint="eastAsia"/>
        <w:iCs/>
        <w:sz w:val="21"/>
        <w:szCs w:val="21"/>
      </w:rPr>
      <w:t>新疆锦绣山河环境科技有限公司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944F7">
    <w:pPr>
      <w:pStyle w:val="19"/>
      <w:pBdr>
        <w:top w:val="thinThickSmallGap" w:color="auto" w:sz="18" w:space="1"/>
      </w:pBdr>
      <w:tabs>
        <w:tab w:val="center" w:pos="4365"/>
        <w:tab w:val="right" w:pos="8730"/>
        <w:tab w:val="clear" w:pos="4153"/>
        <w:tab w:val="clear" w:pos="8306"/>
      </w:tabs>
      <w:ind w:firstLine="3675" w:firstLineChars="1750"/>
      <w:jc w:val="center"/>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- 42 -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ED302">
    <w:pPr>
      <w:pStyle w:val="19"/>
      <w:pBdr>
        <w:top w:val="thinThickSmallGap" w:color="auto" w:sz="18" w:space="1"/>
      </w:pBdr>
      <w:tabs>
        <w:tab w:val="center" w:pos="4365"/>
        <w:tab w:val="right" w:pos="8730"/>
        <w:tab w:val="clear" w:pos="4153"/>
        <w:tab w:val="clear" w:pos="8306"/>
      </w:tabs>
      <w:ind w:firstLine="3675" w:firstLineChars="1750"/>
      <w:rPr>
        <w:rFonts w:ascii="Times New Roman" w:hAnsi="Times New Roman" w:eastAsia="宋体"/>
        <w:sz w:val="21"/>
        <w:szCs w:val="21"/>
      </w:rPr>
    </w:pPr>
    <w:r>
      <w:rPr>
        <w:rFonts w:ascii="Times New Roman" w:hAnsi="Times New Roman" w:eastAsia="宋体"/>
        <w:iCs/>
        <w:sz w:val="21"/>
        <w:szCs w:val="21"/>
      </w:rPr>
      <w:t xml:space="preserve">                             </w:t>
    </w: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- 43 -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3383">
    <w:pPr>
      <w:pStyle w:val="19"/>
      <w:pBdr>
        <w:top w:val="thinThickSmallGap" w:color="auto" w:sz="18" w:space="1"/>
      </w:pBdr>
      <w:tabs>
        <w:tab w:val="center" w:pos="4365"/>
        <w:tab w:val="right" w:pos="8730"/>
        <w:tab w:val="clear" w:pos="4153"/>
        <w:tab w:val="clear" w:pos="8306"/>
      </w:tabs>
      <w:ind w:firstLine="3675" w:firstLineChars="1750"/>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- 51 -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9E6FC">
    <w:pPr>
      <w:pStyle w:val="19"/>
      <w:keepNext w:val="0"/>
      <w:keepLines w:val="0"/>
      <w:pageBreakBefore w:val="0"/>
      <w:widowControl w:val="0"/>
      <w:pBdr>
        <w:top w:val="thinThickSmallGap" w:color="auto" w:sz="18" w:space="1"/>
      </w:pBdr>
      <w:tabs>
        <w:tab w:val="center" w:pos="4365"/>
        <w:tab w:val="right" w:pos="8730"/>
        <w:tab w:val="clear" w:pos="4153"/>
        <w:tab w:val="clear" w:pos="8306"/>
      </w:tabs>
      <w:kinsoku/>
      <w:wordWrap/>
      <w:overflowPunct/>
      <w:topLinePunct w:val="0"/>
      <w:bidi w:val="0"/>
      <w:adjustRightInd/>
      <w:snapToGrid w:val="0"/>
      <w:ind w:firstLine="0" w:firstLineChars="0"/>
      <w:jc w:val="center"/>
      <w:textAlignment w:val="auto"/>
      <w:rPr>
        <w:rFonts w:hint="default" w:ascii="Times New Roman" w:hAnsi="Times New Roman" w:eastAsia="宋体"/>
        <w:sz w:val="21"/>
        <w:szCs w:val="21"/>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816989">
                          <w:pPr>
                            <w:pStyle w:val="19"/>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45</w:t>
                          </w:r>
                          <w:r>
                            <w:rPr>
                              <w:rFonts w:hint="default"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kA8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npJieMWJ375/u3y49fl51ey&#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5lSQDyQEAAJoDAAAOAAAAAAAAAAEAIAAAAB4BAABkcnMvZTJvRG9j&#10;LnhtbFBLBQYAAAAABgAGAFkBAABZBQAAAAA=&#10;">
              <v:fill on="f" focussize="0,0"/>
              <v:stroke on="f"/>
              <v:imagedata o:title=""/>
              <o:lock v:ext="edit" aspectratio="f"/>
              <v:textbox inset="0mm,0mm,0mm,0mm" style="mso-fit-shape-to-text:t;">
                <w:txbxContent>
                  <w:p w14:paraId="40816989">
                    <w:pPr>
                      <w:pStyle w:val="19"/>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45</w:t>
                    </w:r>
                    <w:r>
                      <w:rPr>
                        <w:rFonts w:hint="default" w:ascii="Times New Roman" w:hAnsi="Times New Roman" w:cs="Times New Roman"/>
                        <w:sz w:val="21"/>
                        <w:szCs w:val="21"/>
                      </w:rPr>
                      <w:fldChar w:fldCharType="end"/>
                    </w:r>
                  </w:p>
                </w:txbxContent>
              </v:textbox>
            </v:shape>
          </w:pict>
        </mc:Fallback>
      </mc:AlternateContent>
    </w:r>
    <w:r>
      <w:rPr>
        <w:rFonts w:hint="eastAsia" w:ascii="Times New Roman" w:hAnsi="Times New Roman" w:eastAsia="宋体"/>
        <w:sz w:val="21"/>
        <w:szCs w:val="21"/>
        <w:lang w:val="en-US" w:eastAsia="zh-CN"/>
      </w:rPr>
      <w:t xml:space="preserve">                                                                                                      新疆锦绣山河环境科技有限公司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3573D">
    <w:pPr>
      <w:pStyle w:val="19"/>
      <w:pBdr>
        <w:top w:val="thinThickSmallGap" w:color="auto" w:sz="18" w:space="1"/>
      </w:pBdr>
      <w:tabs>
        <w:tab w:val="center" w:pos="4365"/>
        <w:tab w:val="right" w:pos="8730"/>
        <w:tab w:val="clear" w:pos="4153"/>
        <w:tab w:val="clear" w:pos="8306"/>
      </w:tabs>
      <w:ind w:firstLine="3675" w:firstLineChars="1750"/>
      <w:rPr>
        <w:rFonts w:ascii="Times New Roman" w:hAnsi="Times New Roman" w:eastAsia="宋体"/>
        <w:sz w:val="21"/>
        <w:szCs w:val="21"/>
      </w:rPr>
    </w:pPr>
    <w:r>
      <w:rPr>
        <w:rFonts w:ascii="Times New Roman" w:hAnsi="Times New Roman" w:eastAsia="宋体"/>
        <w:iCs/>
        <w:sz w:val="21"/>
        <w:szCs w:val="21"/>
      </w:rPr>
      <w:fldChar w:fldCharType="begin"/>
    </w:r>
    <w:r>
      <w:rPr>
        <w:rFonts w:ascii="Times New Roman" w:hAnsi="Times New Roman" w:eastAsia="宋体"/>
        <w:iCs/>
        <w:sz w:val="21"/>
        <w:szCs w:val="21"/>
      </w:rPr>
      <w:instrText xml:space="preserve"> PAGE   \* MERGEFORMAT </w:instrText>
    </w:r>
    <w:r>
      <w:rPr>
        <w:rFonts w:ascii="Times New Roman" w:hAnsi="Times New Roman" w:eastAsia="宋体"/>
        <w:iCs/>
        <w:sz w:val="21"/>
        <w:szCs w:val="21"/>
      </w:rPr>
      <w:fldChar w:fldCharType="separate"/>
    </w:r>
    <w:r>
      <w:rPr>
        <w:rFonts w:ascii="Times New Roman" w:hAnsi="Times New Roman" w:eastAsia="宋体"/>
        <w:iCs/>
        <w:sz w:val="21"/>
        <w:szCs w:val="21"/>
      </w:rPr>
      <w:t>- 51 -</w:t>
    </w:r>
    <w:r>
      <w:rPr>
        <w:rFonts w:ascii="Times New Roman" w:hAnsi="Times New Roman" w:eastAsia="宋体"/>
        <w:iCs/>
        <w:sz w:val="21"/>
        <w:szCs w:val="21"/>
      </w:rPr>
      <w:fldChar w:fldCharType="end"/>
    </w:r>
    <w:r>
      <w:rPr>
        <w:rFonts w:ascii="Times New Roman" w:hAnsi="Times New Roman" w:eastAsia="宋体"/>
        <w:i/>
        <w:iCs/>
      </w:rPr>
      <w:tab/>
    </w:r>
    <w:r>
      <w:rPr>
        <w:rFonts w:ascii="Times New Roman" w:hAnsi="Times New Roman" w:eastAsia="宋体"/>
        <w:i/>
        <w:iCs/>
      </w:rPr>
      <w:t xml:space="preserve">                  </w:t>
    </w:r>
    <w:r>
      <w:rPr>
        <w:rFonts w:hint="eastAsia" w:ascii="Times New Roman" w:hAnsi="Times New Roman" w:eastAsia="宋体"/>
        <w:iCs/>
        <w:sz w:val="21"/>
        <w:szCs w:val="21"/>
      </w:rPr>
      <w:t>新疆锦绣山河环境科技有限公司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57DBD">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5B1BB">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97DE">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0560E">
    <w:pPr>
      <w:pBdr>
        <w:bottom w:val="thickThinSmallGap" w:color="auto" w:sz="18" w:space="1"/>
      </w:pBdr>
      <w:adjustRightInd w:val="0"/>
      <w:snapToGrid w:val="0"/>
      <w:spacing w:line="240" w:lineRule="auto"/>
      <w:ind w:firstLine="0" w:firstLineChars="0"/>
      <w:jc w:val="center"/>
      <w:rPr>
        <w:rFonts w:ascii="楷体" w:hAnsi="楷体" w:eastAsia="楷体"/>
        <w:i/>
        <w:sz w:val="20"/>
        <w:szCs w:val="18"/>
      </w:rPr>
    </w:pPr>
    <w:r>
      <w:rPr>
        <w:rFonts w:hint="eastAsia" w:ascii="楷体" w:hAnsi="楷体" w:eastAsia="楷体"/>
        <w:b/>
        <w:i/>
        <w:sz w:val="20"/>
        <w:szCs w:val="18"/>
      </w:rPr>
      <w:t>新疆翱巡能源科技有限公司</w:t>
    </w:r>
    <w:r>
      <w:rPr>
        <w:rFonts w:ascii="楷体" w:hAnsi="楷体" w:eastAsia="楷体"/>
        <w:b/>
        <w:i/>
        <w:sz w:val="20"/>
        <w:szCs w:val="18"/>
      </w:rPr>
      <w:t>8</w:t>
    </w:r>
    <w:r>
      <w:rPr>
        <w:rFonts w:hint="eastAsia" w:ascii="楷体" w:hAnsi="楷体" w:eastAsia="楷体"/>
        <w:b/>
        <w:i/>
        <w:sz w:val="20"/>
        <w:szCs w:val="18"/>
      </w:rPr>
      <w:t>万吨</w:t>
    </w:r>
    <w:r>
      <w:rPr>
        <w:rFonts w:ascii="楷体" w:hAnsi="楷体" w:eastAsia="楷体"/>
        <w:b/>
        <w:i/>
        <w:sz w:val="20"/>
        <w:szCs w:val="18"/>
      </w:rPr>
      <w:t>/</w:t>
    </w:r>
    <w:r>
      <w:rPr>
        <w:rFonts w:hint="eastAsia" w:ascii="楷体" w:hAnsi="楷体" w:eastAsia="楷体"/>
        <w:b/>
        <w:i/>
        <w:sz w:val="20"/>
        <w:szCs w:val="18"/>
      </w:rPr>
      <w:t>年润滑油、2万吨/年润滑脂生产项目</w:t>
    </w:r>
    <w:r>
      <w:rPr>
        <w:rFonts w:ascii="楷体" w:hAnsi="楷体" w:eastAsia="楷体"/>
        <w:b/>
        <w:i/>
        <w:sz w:val="20"/>
        <w:szCs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27F8D">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A3D74"/>
    <w:multiLevelType w:val="multilevel"/>
    <w:tmpl w:val="04EA3D74"/>
    <w:lvl w:ilvl="0" w:tentative="0">
      <w:start w:val="1"/>
      <w:numFmt w:val="decimal"/>
      <w:lvlText w:val="%1、"/>
      <w:lvlJc w:val="left"/>
      <w:pPr>
        <w:tabs>
          <w:tab w:val="left" w:pos="360"/>
        </w:tabs>
        <w:ind w:left="360" w:hanging="360"/>
      </w:pPr>
      <w:rPr>
        <w:rFonts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pStyle w:val="99"/>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5FE7EC6"/>
    <w:multiLevelType w:val="multilevel"/>
    <w:tmpl w:val="05FE7EC6"/>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EAA5344"/>
    <w:multiLevelType w:val="multilevel"/>
    <w:tmpl w:val="0EAA5344"/>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26011B5"/>
    <w:multiLevelType w:val="multilevel"/>
    <w:tmpl w:val="126011B5"/>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9F223C"/>
    <w:multiLevelType w:val="multilevel"/>
    <w:tmpl w:val="159F223C"/>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6020453"/>
    <w:multiLevelType w:val="multilevel"/>
    <w:tmpl w:val="16020453"/>
    <w:lvl w:ilvl="0" w:tentative="0">
      <w:start w:val="1"/>
      <w:numFmt w:val="decimal"/>
      <w:pStyle w:val="40"/>
      <w:suff w:val="space"/>
      <w:lvlText w:val="%1"/>
      <w:lvlJc w:val="center"/>
      <w:pPr>
        <w:ind w:left="0" w:firstLine="288"/>
      </w:pPr>
      <w:rPr>
        <w:rFonts w:hint="default" w:ascii="Times New Roman" w:hAnsi="Times New Roman" w:eastAsia="黑体"/>
        <w:b/>
        <w:i w:val="0"/>
        <w:sz w:val="44"/>
      </w:rPr>
    </w:lvl>
    <w:lvl w:ilvl="1" w:tentative="0">
      <w:start w:val="1"/>
      <w:numFmt w:val="decimal"/>
      <w:pStyle w:val="41"/>
      <w:isLgl/>
      <w:lvlText w:val="%1.%2"/>
      <w:lvlJc w:val="left"/>
      <w:pPr>
        <w:ind w:left="1701" w:firstLine="0"/>
      </w:pPr>
      <w:rPr>
        <w:rFonts w:hint="eastAsia"/>
      </w:rPr>
    </w:lvl>
    <w:lvl w:ilvl="2" w:tentative="0">
      <w:start w:val="1"/>
      <w:numFmt w:val="decimal"/>
      <w:pStyle w:val="43"/>
      <w:isLgl/>
      <w:suff w:val="space"/>
      <w:lvlText w:val="%1.%2.%3"/>
      <w:lvlJc w:val="left"/>
      <w:pPr>
        <w:ind w:left="1844" w:firstLine="0"/>
      </w:pPr>
      <w:rPr>
        <w:rFonts w:hint="eastAsia"/>
      </w:rPr>
    </w:lvl>
    <w:lvl w:ilvl="3" w:tentative="0">
      <w:start w:val="1"/>
      <w:numFmt w:val="decimal"/>
      <w:pStyle w:val="45"/>
      <w:isLgl/>
      <w:suff w:val="space"/>
      <w:lvlText w:val="%1.%2.%3.%4"/>
      <w:lvlJc w:val="left"/>
      <w:pPr>
        <w:ind w:left="0" w:firstLine="0"/>
      </w:pPr>
      <w:rPr>
        <w:rFonts w:hint="eastAsia"/>
      </w:rPr>
    </w:lvl>
    <w:lvl w:ilvl="4" w:tentative="0">
      <w:start w:val="1"/>
      <w:numFmt w:val="decimal"/>
      <w:pStyle w:val="8"/>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1B85709C"/>
    <w:multiLevelType w:val="multilevel"/>
    <w:tmpl w:val="1B85709C"/>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E030627"/>
    <w:multiLevelType w:val="multilevel"/>
    <w:tmpl w:val="1E030627"/>
    <w:lvl w:ilvl="0" w:tentative="0">
      <w:start w:val="7"/>
      <w:numFmt w:val="decimal"/>
      <w:suff w:val="nothing"/>
      <w:lvlText w:val="11月%1日"/>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FF9516B"/>
    <w:multiLevelType w:val="multilevel"/>
    <w:tmpl w:val="1FF9516B"/>
    <w:lvl w:ilvl="0" w:tentative="0">
      <w:start w:val="1"/>
      <w:numFmt w:val="decimal"/>
      <w:suff w:val="nothing"/>
      <w:lvlText w:val="（%1）"/>
      <w:lvlJc w:val="left"/>
      <w:pPr>
        <w:ind w:left="0" w:firstLine="480"/>
      </w:pPr>
      <w:rPr>
        <w:rFonts w:hint="eastAsia"/>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1A748E8"/>
    <w:multiLevelType w:val="multilevel"/>
    <w:tmpl w:val="21A748E8"/>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6C50FAA"/>
    <w:multiLevelType w:val="multilevel"/>
    <w:tmpl w:val="26C50FAA"/>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2AE71383"/>
    <w:multiLevelType w:val="multilevel"/>
    <w:tmpl w:val="2AE71383"/>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CE16DE4"/>
    <w:multiLevelType w:val="multilevel"/>
    <w:tmpl w:val="2CE16DE4"/>
    <w:lvl w:ilvl="0" w:tentative="0">
      <w:start w:val="1"/>
      <w:numFmt w:val="decimal"/>
      <w:suff w:val="nothing"/>
      <w:lvlText w:val="（%1）"/>
      <w:lvlJc w:val="left"/>
      <w:pPr>
        <w:ind w:left="0" w:firstLine="482"/>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D1B12BB"/>
    <w:multiLevelType w:val="multilevel"/>
    <w:tmpl w:val="2D1B12BB"/>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1CD4511"/>
    <w:multiLevelType w:val="multilevel"/>
    <w:tmpl w:val="31CD4511"/>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6111F9"/>
    <w:multiLevelType w:val="multilevel"/>
    <w:tmpl w:val="386111F9"/>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E241CE4"/>
    <w:multiLevelType w:val="multilevel"/>
    <w:tmpl w:val="3E241CE4"/>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331033D"/>
    <w:multiLevelType w:val="multilevel"/>
    <w:tmpl w:val="4331033D"/>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5F17D69"/>
    <w:multiLevelType w:val="multilevel"/>
    <w:tmpl w:val="45F17D6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A78211B"/>
    <w:multiLevelType w:val="multilevel"/>
    <w:tmpl w:val="4A78211B"/>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B32089A"/>
    <w:multiLevelType w:val="multilevel"/>
    <w:tmpl w:val="4B32089A"/>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D027CE7"/>
    <w:multiLevelType w:val="multilevel"/>
    <w:tmpl w:val="4D027CE7"/>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E652EBB"/>
    <w:multiLevelType w:val="multilevel"/>
    <w:tmpl w:val="4E652EBB"/>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F7333D4"/>
    <w:multiLevelType w:val="multilevel"/>
    <w:tmpl w:val="4F7333D4"/>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0C14454"/>
    <w:multiLevelType w:val="multilevel"/>
    <w:tmpl w:val="50C14454"/>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7E52A20"/>
    <w:multiLevelType w:val="multilevel"/>
    <w:tmpl w:val="57E52A20"/>
    <w:lvl w:ilvl="0" w:tentative="0">
      <w:start w:val="16"/>
      <w:numFmt w:val="decimal"/>
      <w:suff w:val="nothing"/>
      <w:lvlText w:val="6月%1日"/>
      <w:lvlJc w:val="center"/>
      <w:pPr>
        <w:ind w:left="0" w:firstLine="28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B9D5DA5"/>
    <w:multiLevelType w:val="multilevel"/>
    <w:tmpl w:val="5B9D5DA5"/>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5400C99"/>
    <w:multiLevelType w:val="multilevel"/>
    <w:tmpl w:val="65400C99"/>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8B513C1"/>
    <w:multiLevelType w:val="multilevel"/>
    <w:tmpl w:val="78B513C1"/>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F316067"/>
    <w:multiLevelType w:val="multilevel"/>
    <w:tmpl w:val="7F31606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7F7044D6"/>
    <w:multiLevelType w:val="multilevel"/>
    <w:tmpl w:val="7F7044D6"/>
    <w:lvl w:ilvl="0" w:tentative="0">
      <w:start w:val="1"/>
      <w:numFmt w:val="decimal"/>
      <w:suff w:val="nothing"/>
      <w:lvlText w:val="%1"/>
      <w:lvlJc w:val="center"/>
      <w:pPr>
        <w:ind w:left="0" w:firstLine="0"/>
      </w:pPr>
      <w:rPr>
        <w:rFonts w:hint="default" w:ascii="Times New Roman" w:hAnsi="Times New Roman" w:eastAsia="新宋体"/>
        <w:b w:val="0"/>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3"/>
  </w:num>
  <w:num w:numId="6">
    <w:abstractNumId w:val="10"/>
  </w:num>
  <w:num w:numId="7">
    <w:abstractNumId w:val="8"/>
  </w:num>
  <w:num w:numId="8">
    <w:abstractNumId w:val="1"/>
  </w:num>
  <w:num w:numId="9">
    <w:abstractNumId w:val="9"/>
  </w:num>
  <w:num w:numId="10">
    <w:abstractNumId w:val="6"/>
  </w:num>
  <w:num w:numId="11">
    <w:abstractNumId w:val="12"/>
  </w:num>
  <w:num w:numId="12">
    <w:abstractNumId w:val="19"/>
  </w:num>
  <w:num w:numId="13">
    <w:abstractNumId w:val="27"/>
  </w:num>
  <w:num w:numId="14">
    <w:abstractNumId w:val="2"/>
  </w:num>
  <w:num w:numId="15">
    <w:abstractNumId w:val="20"/>
  </w:num>
  <w:num w:numId="16">
    <w:abstractNumId w:val="22"/>
  </w:num>
  <w:num w:numId="17">
    <w:abstractNumId w:val="14"/>
  </w:num>
  <w:num w:numId="18">
    <w:abstractNumId w:val="18"/>
  </w:num>
  <w:num w:numId="19">
    <w:abstractNumId w:val="4"/>
  </w:num>
  <w:num w:numId="20">
    <w:abstractNumId w:val="13"/>
  </w:num>
  <w:num w:numId="21">
    <w:abstractNumId w:val="15"/>
  </w:num>
  <w:num w:numId="22">
    <w:abstractNumId w:val="7"/>
  </w:num>
  <w:num w:numId="23">
    <w:abstractNumId w:val="25"/>
  </w:num>
  <w:num w:numId="24">
    <w:abstractNumId w:val="16"/>
  </w:num>
  <w:num w:numId="25">
    <w:abstractNumId w:val="3"/>
  </w:num>
  <w:num w:numId="26">
    <w:abstractNumId w:val="24"/>
  </w:num>
  <w:num w:numId="27">
    <w:abstractNumId w:val="21"/>
  </w:num>
  <w:num w:numId="28">
    <w:abstractNumId w:val="26"/>
  </w:num>
  <w:num w:numId="29">
    <w:abstractNumId w:val="17"/>
  </w:num>
  <w:num w:numId="30">
    <w:abstractNumId w:val="2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NotTrackMoves/>
  <w:documentProtection w:enforcement="0"/>
  <w:defaultTabStop w:val="420"/>
  <w:drawingGridHorizontalSpacing w:val="120"/>
  <w:drawingGridVerticalSpacing w:val="168"/>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jYWFmYjgyNWYyN2IwNGExNjZmNmFmNWQxMTQ4MWYifQ=="/>
  </w:docVars>
  <w:rsids>
    <w:rsidRoot w:val="00851D2C"/>
    <w:rsid w:val="0000081F"/>
    <w:rsid w:val="000009BE"/>
    <w:rsid w:val="000030CC"/>
    <w:rsid w:val="00003CF3"/>
    <w:rsid w:val="0000428D"/>
    <w:rsid w:val="00004E16"/>
    <w:rsid w:val="00006538"/>
    <w:rsid w:val="00007D8B"/>
    <w:rsid w:val="000123F7"/>
    <w:rsid w:val="00012C08"/>
    <w:rsid w:val="0001670B"/>
    <w:rsid w:val="00017A97"/>
    <w:rsid w:val="00017ADC"/>
    <w:rsid w:val="00021555"/>
    <w:rsid w:val="0002289E"/>
    <w:rsid w:val="0002364A"/>
    <w:rsid w:val="0002447C"/>
    <w:rsid w:val="00025D72"/>
    <w:rsid w:val="00025DA4"/>
    <w:rsid w:val="0002787A"/>
    <w:rsid w:val="00030508"/>
    <w:rsid w:val="000308FF"/>
    <w:rsid w:val="00030B3C"/>
    <w:rsid w:val="000315E3"/>
    <w:rsid w:val="00031B17"/>
    <w:rsid w:val="00031FE5"/>
    <w:rsid w:val="0003288E"/>
    <w:rsid w:val="00032D2D"/>
    <w:rsid w:val="00032D49"/>
    <w:rsid w:val="00034B35"/>
    <w:rsid w:val="00035756"/>
    <w:rsid w:val="00035903"/>
    <w:rsid w:val="00036A95"/>
    <w:rsid w:val="0004059A"/>
    <w:rsid w:val="000414DE"/>
    <w:rsid w:val="00043F0C"/>
    <w:rsid w:val="00045B6C"/>
    <w:rsid w:val="000505F1"/>
    <w:rsid w:val="000520CD"/>
    <w:rsid w:val="000555CE"/>
    <w:rsid w:val="00056EDE"/>
    <w:rsid w:val="000610D2"/>
    <w:rsid w:val="00061A0E"/>
    <w:rsid w:val="00062AFE"/>
    <w:rsid w:val="00064607"/>
    <w:rsid w:val="000646E4"/>
    <w:rsid w:val="00066207"/>
    <w:rsid w:val="00066E2C"/>
    <w:rsid w:val="00070E8E"/>
    <w:rsid w:val="00071BE3"/>
    <w:rsid w:val="00072CBA"/>
    <w:rsid w:val="00075D4B"/>
    <w:rsid w:val="000777CD"/>
    <w:rsid w:val="000803D5"/>
    <w:rsid w:val="000806EC"/>
    <w:rsid w:val="0008206C"/>
    <w:rsid w:val="0008224A"/>
    <w:rsid w:val="000825BD"/>
    <w:rsid w:val="0008316F"/>
    <w:rsid w:val="000843A4"/>
    <w:rsid w:val="00085D15"/>
    <w:rsid w:val="00086104"/>
    <w:rsid w:val="000872A7"/>
    <w:rsid w:val="00087461"/>
    <w:rsid w:val="000910C0"/>
    <w:rsid w:val="00092543"/>
    <w:rsid w:val="00093710"/>
    <w:rsid w:val="000937EA"/>
    <w:rsid w:val="00094C8A"/>
    <w:rsid w:val="00096DA3"/>
    <w:rsid w:val="00096FA0"/>
    <w:rsid w:val="000972B5"/>
    <w:rsid w:val="00097C30"/>
    <w:rsid w:val="000A08A6"/>
    <w:rsid w:val="000A099D"/>
    <w:rsid w:val="000A4DAA"/>
    <w:rsid w:val="000A5E12"/>
    <w:rsid w:val="000A63A5"/>
    <w:rsid w:val="000A6BBC"/>
    <w:rsid w:val="000A6EB1"/>
    <w:rsid w:val="000A79D8"/>
    <w:rsid w:val="000A7E96"/>
    <w:rsid w:val="000B0768"/>
    <w:rsid w:val="000B0E18"/>
    <w:rsid w:val="000B1076"/>
    <w:rsid w:val="000B4E37"/>
    <w:rsid w:val="000B59C2"/>
    <w:rsid w:val="000B662F"/>
    <w:rsid w:val="000B69AB"/>
    <w:rsid w:val="000B6EE2"/>
    <w:rsid w:val="000B7133"/>
    <w:rsid w:val="000B7977"/>
    <w:rsid w:val="000C11B1"/>
    <w:rsid w:val="000C3528"/>
    <w:rsid w:val="000C3A80"/>
    <w:rsid w:val="000C5EFF"/>
    <w:rsid w:val="000C66EE"/>
    <w:rsid w:val="000C73FD"/>
    <w:rsid w:val="000D351C"/>
    <w:rsid w:val="000D5A69"/>
    <w:rsid w:val="000D6190"/>
    <w:rsid w:val="000D6384"/>
    <w:rsid w:val="000D6A06"/>
    <w:rsid w:val="000D795B"/>
    <w:rsid w:val="000E1A0B"/>
    <w:rsid w:val="000E28EF"/>
    <w:rsid w:val="000E34F9"/>
    <w:rsid w:val="000E3841"/>
    <w:rsid w:val="000E44DA"/>
    <w:rsid w:val="000E552F"/>
    <w:rsid w:val="000E5DF3"/>
    <w:rsid w:val="000E6385"/>
    <w:rsid w:val="000E7326"/>
    <w:rsid w:val="000E759E"/>
    <w:rsid w:val="000F0A61"/>
    <w:rsid w:val="000F27E8"/>
    <w:rsid w:val="000F3045"/>
    <w:rsid w:val="000F392C"/>
    <w:rsid w:val="000F40BE"/>
    <w:rsid w:val="000F713E"/>
    <w:rsid w:val="000F7CB8"/>
    <w:rsid w:val="00100170"/>
    <w:rsid w:val="001008C1"/>
    <w:rsid w:val="0010148E"/>
    <w:rsid w:val="00101E34"/>
    <w:rsid w:val="00102321"/>
    <w:rsid w:val="00103A07"/>
    <w:rsid w:val="00103DE0"/>
    <w:rsid w:val="00104E22"/>
    <w:rsid w:val="00105C66"/>
    <w:rsid w:val="00105E34"/>
    <w:rsid w:val="001076AA"/>
    <w:rsid w:val="0010797F"/>
    <w:rsid w:val="00112184"/>
    <w:rsid w:val="00113571"/>
    <w:rsid w:val="001141B6"/>
    <w:rsid w:val="00116931"/>
    <w:rsid w:val="001224AC"/>
    <w:rsid w:val="00123926"/>
    <w:rsid w:val="001242AA"/>
    <w:rsid w:val="001243E2"/>
    <w:rsid w:val="00124D3D"/>
    <w:rsid w:val="00127D77"/>
    <w:rsid w:val="00127D93"/>
    <w:rsid w:val="0013061D"/>
    <w:rsid w:val="001310B6"/>
    <w:rsid w:val="00131BFC"/>
    <w:rsid w:val="00132F42"/>
    <w:rsid w:val="00135A7D"/>
    <w:rsid w:val="00135AFA"/>
    <w:rsid w:val="00137935"/>
    <w:rsid w:val="00140787"/>
    <w:rsid w:val="00140CBD"/>
    <w:rsid w:val="00141A61"/>
    <w:rsid w:val="00141FE8"/>
    <w:rsid w:val="00143234"/>
    <w:rsid w:val="001446F4"/>
    <w:rsid w:val="0014544F"/>
    <w:rsid w:val="0014554C"/>
    <w:rsid w:val="0014569E"/>
    <w:rsid w:val="00147C54"/>
    <w:rsid w:val="00150149"/>
    <w:rsid w:val="00150FC2"/>
    <w:rsid w:val="001522D7"/>
    <w:rsid w:val="001525FE"/>
    <w:rsid w:val="00152F09"/>
    <w:rsid w:val="00153A25"/>
    <w:rsid w:val="00153BCE"/>
    <w:rsid w:val="00154DD0"/>
    <w:rsid w:val="001566A2"/>
    <w:rsid w:val="00160472"/>
    <w:rsid w:val="00162C8E"/>
    <w:rsid w:val="00162FAA"/>
    <w:rsid w:val="00165848"/>
    <w:rsid w:val="00165B55"/>
    <w:rsid w:val="00166A0F"/>
    <w:rsid w:val="00170EE1"/>
    <w:rsid w:val="001714A7"/>
    <w:rsid w:val="0017474A"/>
    <w:rsid w:val="001748C9"/>
    <w:rsid w:val="00174B64"/>
    <w:rsid w:val="00175E81"/>
    <w:rsid w:val="00176909"/>
    <w:rsid w:val="00176ED0"/>
    <w:rsid w:val="00182CDE"/>
    <w:rsid w:val="00184A33"/>
    <w:rsid w:val="00184F05"/>
    <w:rsid w:val="00186744"/>
    <w:rsid w:val="00191AF1"/>
    <w:rsid w:val="00195D95"/>
    <w:rsid w:val="00196DF2"/>
    <w:rsid w:val="00197D0A"/>
    <w:rsid w:val="001A0D3E"/>
    <w:rsid w:val="001A26FA"/>
    <w:rsid w:val="001A37A2"/>
    <w:rsid w:val="001A562B"/>
    <w:rsid w:val="001A6F1C"/>
    <w:rsid w:val="001B0DFC"/>
    <w:rsid w:val="001B10C5"/>
    <w:rsid w:val="001B1C21"/>
    <w:rsid w:val="001B4D0E"/>
    <w:rsid w:val="001B5ECA"/>
    <w:rsid w:val="001C340D"/>
    <w:rsid w:val="001C616E"/>
    <w:rsid w:val="001C6F78"/>
    <w:rsid w:val="001C7E42"/>
    <w:rsid w:val="001D158B"/>
    <w:rsid w:val="001D1627"/>
    <w:rsid w:val="001D244B"/>
    <w:rsid w:val="001D34F6"/>
    <w:rsid w:val="001D49E1"/>
    <w:rsid w:val="001D5707"/>
    <w:rsid w:val="001D57BA"/>
    <w:rsid w:val="001E1C4D"/>
    <w:rsid w:val="001E51A2"/>
    <w:rsid w:val="001E5845"/>
    <w:rsid w:val="001E6558"/>
    <w:rsid w:val="001F5289"/>
    <w:rsid w:val="001F67EB"/>
    <w:rsid w:val="002010FA"/>
    <w:rsid w:val="00201B92"/>
    <w:rsid w:val="00202ED4"/>
    <w:rsid w:val="002038E5"/>
    <w:rsid w:val="002043ED"/>
    <w:rsid w:val="002047C8"/>
    <w:rsid w:val="0020480C"/>
    <w:rsid w:val="00204BE5"/>
    <w:rsid w:val="002071B1"/>
    <w:rsid w:val="002120D0"/>
    <w:rsid w:val="002128C6"/>
    <w:rsid w:val="00213541"/>
    <w:rsid w:val="0021566C"/>
    <w:rsid w:val="0021566F"/>
    <w:rsid w:val="00217244"/>
    <w:rsid w:val="0021734E"/>
    <w:rsid w:val="002175D3"/>
    <w:rsid w:val="00221669"/>
    <w:rsid w:val="00221E7D"/>
    <w:rsid w:val="0022305A"/>
    <w:rsid w:val="00227DCB"/>
    <w:rsid w:val="002310D9"/>
    <w:rsid w:val="00233410"/>
    <w:rsid w:val="002418BE"/>
    <w:rsid w:val="002473F7"/>
    <w:rsid w:val="00247D0B"/>
    <w:rsid w:val="00251027"/>
    <w:rsid w:val="00251D40"/>
    <w:rsid w:val="00252291"/>
    <w:rsid w:val="0025470B"/>
    <w:rsid w:val="00254F2D"/>
    <w:rsid w:val="00255DED"/>
    <w:rsid w:val="002615EF"/>
    <w:rsid w:val="00262942"/>
    <w:rsid w:val="00263726"/>
    <w:rsid w:val="00263965"/>
    <w:rsid w:val="00264DCA"/>
    <w:rsid w:val="002654C8"/>
    <w:rsid w:val="00265E65"/>
    <w:rsid w:val="002664CF"/>
    <w:rsid w:val="0026685B"/>
    <w:rsid w:val="00271049"/>
    <w:rsid w:val="00271152"/>
    <w:rsid w:val="0027231C"/>
    <w:rsid w:val="0027348E"/>
    <w:rsid w:val="00274179"/>
    <w:rsid w:val="00274600"/>
    <w:rsid w:val="00274BC4"/>
    <w:rsid w:val="00280E3E"/>
    <w:rsid w:val="00280EF7"/>
    <w:rsid w:val="00281727"/>
    <w:rsid w:val="002819E2"/>
    <w:rsid w:val="00282D80"/>
    <w:rsid w:val="0028315A"/>
    <w:rsid w:val="0028413C"/>
    <w:rsid w:val="0028456A"/>
    <w:rsid w:val="0028494E"/>
    <w:rsid w:val="002851E1"/>
    <w:rsid w:val="00285D9E"/>
    <w:rsid w:val="00286127"/>
    <w:rsid w:val="00287036"/>
    <w:rsid w:val="00287AE9"/>
    <w:rsid w:val="0029258B"/>
    <w:rsid w:val="00293BF2"/>
    <w:rsid w:val="00294AAA"/>
    <w:rsid w:val="002953C5"/>
    <w:rsid w:val="0029602A"/>
    <w:rsid w:val="00296964"/>
    <w:rsid w:val="002A0C9A"/>
    <w:rsid w:val="002A0D17"/>
    <w:rsid w:val="002A3844"/>
    <w:rsid w:val="002A4E67"/>
    <w:rsid w:val="002A5A12"/>
    <w:rsid w:val="002A73B2"/>
    <w:rsid w:val="002A7AF7"/>
    <w:rsid w:val="002B11BB"/>
    <w:rsid w:val="002B15B1"/>
    <w:rsid w:val="002B2ED6"/>
    <w:rsid w:val="002B599E"/>
    <w:rsid w:val="002B5CFF"/>
    <w:rsid w:val="002B5EDE"/>
    <w:rsid w:val="002B6FA3"/>
    <w:rsid w:val="002B71CD"/>
    <w:rsid w:val="002B737A"/>
    <w:rsid w:val="002B7E38"/>
    <w:rsid w:val="002C2465"/>
    <w:rsid w:val="002C2A3E"/>
    <w:rsid w:val="002C42A9"/>
    <w:rsid w:val="002C477C"/>
    <w:rsid w:val="002C5160"/>
    <w:rsid w:val="002C5390"/>
    <w:rsid w:val="002C609B"/>
    <w:rsid w:val="002C7512"/>
    <w:rsid w:val="002C758F"/>
    <w:rsid w:val="002C76ED"/>
    <w:rsid w:val="002D001F"/>
    <w:rsid w:val="002D26E0"/>
    <w:rsid w:val="002D330E"/>
    <w:rsid w:val="002D33FC"/>
    <w:rsid w:val="002D3E65"/>
    <w:rsid w:val="002D4130"/>
    <w:rsid w:val="002D465E"/>
    <w:rsid w:val="002D6756"/>
    <w:rsid w:val="002D7329"/>
    <w:rsid w:val="002E1C61"/>
    <w:rsid w:val="002E2A49"/>
    <w:rsid w:val="002E397B"/>
    <w:rsid w:val="002E3F39"/>
    <w:rsid w:val="002E5660"/>
    <w:rsid w:val="002E571B"/>
    <w:rsid w:val="002E5D20"/>
    <w:rsid w:val="002E5F8C"/>
    <w:rsid w:val="002E70DE"/>
    <w:rsid w:val="002E78CF"/>
    <w:rsid w:val="002F2472"/>
    <w:rsid w:val="002F55F6"/>
    <w:rsid w:val="002F6FCB"/>
    <w:rsid w:val="002F7F58"/>
    <w:rsid w:val="00301B27"/>
    <w:rsid w:val="00306D35"/>
    <w:rsid w:val="00311CA8"/>
    <w:rsid w:val="00312838"/>
    <w:rsid w:val="00312FCE"/>
    <w:rsid w:val="003140F5"/>
    <w:rsid w:val="003157D0"/>
    <w:rsid w:val="00315AB9"/>
    <w:rsid w:val="00315B69"/>
    <w:rsid w:val="0031662D"/>
    <w:rsid w:val="00320A7C"/>
    <w:rsid w:val="00320EDF"/>
    <w:rsid w:val="00321007"/>
    <w:rsid w:val="00321832"/>
    <w:rsid w:val="00321AEE"/>
    <w:rsid w:val="00322C7E"/>
    <w:rsid w:val="003231E3"/>
    <w:rsid w:val="003231EA"/>
    <w:rsid w:val="00323486"/>
    <w:rsid w:val="003276EE"/>
    <w:rsid w:val="00333E96"/>
    <w:rsid w:val="003356E3"/>
    <w:rsid w:val="003359A2"/>
    <w:rsid w:val="003377A0"/>
    <w:rsid w:val="00337B39"/>
    <w:rsid w:val="00337CCD"/>
    <w:rsid w:val="0034298C"/>
    <w:rsid w:val="003432FD"/>
    <w:rsid w:val="0034459A"/>
    <w:rsid w:val="003445E5"/>
    <w:rsid w:val="00347A5F"/>
    <w:rsid w:val="00350543"/>
    <w:rsid w:val="00351E4D"/>
    <w:rsid w:val="003524C8"/>
    <w:rsid w:val="00353DD6"/>
    <w:rsid w:val="00353DDA"/>
    <w:rsid w:val="00355056"/>
    <w:rsid w:val="003575F8"/>
    <w:rsid w:val="003607AE"/>
    <w:rsid w:val="00361167"/>
    <w:rsid w:val="00362848"/>
    <w:rsid w:val="0036340D"/>
    <w:rsid w:val="00363AF0"/>
    <w:rsid w:val="00364C60"/>
    <w:rsid w:val="00364E77"/>
    <w:rsid w:val="0036754E"/>
    <w:rsid w:val="003679A6"/>
    <w:rsid w:val="00367FB5"/>
    <w:rsid w:val="003701E8"/>
    <w:rsid w:val="0037070B"/>
    <w:rsid w:val="00377006"/>
    <w:rsid w:val="00377904"/>
    <w:rsid w:val="00377F18"/>
    <w:rsid w:val="0038271E"/>
    <w:rsid w:val="00383F76"/>
    <w:rsid w:val="00384495"/>
    <w:rsid w:val="00385793"/>
    <w:rsid w:val="0038631C"/>
    <w:rsid w:val="00386F35"/>
    <w:rsid w:val="00387E3D"/>
    <w:rsid w:val="0039151E"/>
    <w:rsid w:val="00391F3B"/>
    <w:rsid w:val="00393752"/>
    <w:rsid w:val="00394438"/>
    <w:rsid w:val="0039445F"/>
    <w:rsid w:val="00394F5B"/>
    <w:rsid w:val="0039631C"/>
    <w:rsid w:val="00397334"/>
    <w:rsid w:val="00397C08"/>
    <w:rsid w:val="003A2155"/>
    <w:rsid w:val="003A2361"/>
    <w:rsid w:val="003A2936"/>
    <w:rsid w:val="003A436E"/>
    <w:rsid w:val="003A4CA1"/>
    <w:rsid w:val="003A5116"/>
    <w:rsid w:val="003A53F2"/>
    <w:rsid w:val="003A73AF"/>
    <w:rsid w:val="003B0EFD"/>
    <w:rsid w:val="003B1715"/>
    <w:rsid w:val="003B22D6"/>
    <w:rsid w:val="003B2A4C"/>
    <w:rsid w:val="003B2C4E"/>
    <w:rsid w:val="003B4141"/>
    <w:rsid w:val="003B43D8"/>
    <w:rsid w:val="003B5668"/>
    <w:rsid w:val="003B608E"/>
    <w:rsid w:val="003B68C8"/>
    <w:rsid w:val="003C131A"/>
    <w:rsid w:val="003C17EB"/>
    <w:rsid w:val="003C1A7C"/>
    <w:rsid w:val="003C26A7"/>
    <w:rsid w:val="003C3A4A"/>
    <w:rsid w:val="003C40B0"/>
    <w:rsid w:val="003C52C0"/>
    <w:rsid w:val="003C5FBB"/>
    <w:rsid w:val="003C7A81"/>
    <w:rsid w:val="003D0804"/>
    <w:rsid w:val="003D3C43"/>
    <w:rsid w:val="003D5A1C"/>
    <w:rsid w:val="003D638D"/>
    <w:rsid w:val="003D66B1"/>
    <w:rsid w:val="003D7267"/>
    <w:rsid w:val="003E25BA"/>
    <w:rsid w:val="003E4099"/>
    <w:rsid w:val="003E446D"/>
    <w:rsid w:val="003E74ED"/>
    <w:rsid w:val="003E7D15"/>
    <w:rsid w:val="003F1E22"/>
    <w:rsid w:val="003F27AD"/>
    <w:rsid w:val="003F2C21"/>
    <w:rsid w:val="003F3452"/>
    <w:rsid w:val="003F3623"/>
    <w:rsid w:val="003F36C8"/>
    <w:rsid w:val="003F46F9"/>
    <w:rsid w:val="003F720A"/>
    <w:rsid w:val="003F7C47"/>
    <w:rsid w:val="004003AC"/>
    <w:rsid w:val="00401F51"/>
    <w:rsid w:val="00402E01"/>
    <w:rsid w:val="00402E36"/>
    <w:rsid w:val="00402F52"/>
    <w:rsid w:val="004031A7"/>
    <w:rsid w:val="00404DD3"/>
    <w:rsid w:val="00405CBA"/>
    <w:rsid w:val="00407FFC"/>
    <w:rsid w:val="00411D31"/>
    <w:rsid w:val="00416945"/>
    <w:rsid w:val="00417BD6"/>
    <w:rsid w:val="00420CA0"/>
    <w:rsid w:val="00421A38"/>
    <w:rsid w:val="00421D9B"/>
    <w:rsid w:val="00422241"/>
    <w:rsid w:val="0042308D"/>
    <w:rsid w:val="00425E26"/>
    <w:rsid w:val="00426BAE"/>
    <w:rsid w:val="00426F71"/>
    <w:rsid w:val="0043079E"/>
    <w:rsid w:val="00431110"/>
    <w:rsid w:val="00432F94"/>
    <w:rsid w:val="00433DAF"/>
    <w:rsid w:val="00436812"/>
    <w:rsid w:val="004414C7"/>
    <w:rsid w:val="004421B6"/>
    <w:rsid w:val="00442C17"/>
    <w:rsid w:val="00444A8B"/>
    <w:rsid w:val="00444AD9"/>
    <w:rsid w:val="00444E76"/>
    <w:rsid w:val="00444F37"/>
    <w:rsid w:val="0044647D"/>
    <w:rsid w:val="00447962"/>
    <w:rsid w:val="00447B09"/>
    <w:rsid w:val="00450CDE"/>
    <w:rsid w:val="004514E0"/>
    <w:rsid w:val="00452AE2"/>
    <w:rsid w:val="00454854"/>
    <w:rsid w:val="00457F0C"/>
    <w:rsid w:val="00462AE7"/>
    <w:rsid w:val="00465E9C"/>
    <w:rsid w:val="00465F5A"/>
    <w:rsid w:val="00466352"/>
    <w:rsid w:val="004712D4"/>
    <w:rsid w:val="00472AC6"/>
    <w:rsid w:val="00474591"/>
    <w:rsid w:val="004770FC"/>
    <w:rsid w:val="00477EBD"/>
    <w:rsid w:val="00481521"/>
    <w:rsid w:val="00481728"/>
    <w:rsid w:val="00481A79"/>
    <w:rsid w:val="00483C83"/>
    <w:rsid w:val="00484A00"/>
    <w:rsid w:val="004865C8"/>
    <w:rsid w:val="00486B80"/>
    <w:rsid w:val="00487CA4"/>
    <w:rsid w:val="004908AF"/>
    <w:rsid w:val="00493F59"/>
    <w:rsid w:val="00494396"/>
    <w:rsid w:val="004A2951"/>
    <w:rsid w:val="004A32BE"/>
    <w:rsid w:val="004A5AEA"/>
    <w:rsid w:val="004A6F9E"/>
    <w:rsid w:val="004B06B8"/>
    <w:rsid w:val="004B0A33"/>
    <w:rsid w:val="004B17D5"/>
    <w:rsid w:val="004B675E"/>
    <w:rsid w:val="004B7CDB"/>
    <w:rsid w:val="004C2012"/>
    <w:rsid w:val="004D285F"/>
    <w:rsid w:val="004D4809"/>
    <w:rsid w:val="004D5DDA"/>
    <w:rsid w:val="004D60D8"/>
    <w:rsid w:val="004D690A"/>
    <w:rsid w:val="004D6EC9"/>
    <w:rsid w:val="004E01D0"/>
    <w:rsid w:val="004E27DE"/>
    <w:rsid w:val="004E2D39"/>
    <w:rsid w:val="004E3AC1"/>
    <w:rsid w:val="004E534D"/>
    <w:rsid w:val="004E6114"/>
    <w:rsid w:val="004E6CD3"/>
    <w:rsid w:val="004E6F1C"/>
    <w:rsid w:val="004F0D00"/>
    <w:rsid w:val="004F0E5B"/>
    <w:rsid w:val="004F18BA"/>
    <w:rsid w:val="004F738A"/>
    <w:rsid w:val="004F7EDD"/>
    <w:rsid w:val="00501CAF"/>
    <w:rsid w:val="005029A5"/>
    <w:rsid w:val="00503BDD"/>
    <w:rsid w:val="0050475C"/>
    <w:rsid w:val="00504BAD"/>
    <w:rsid w:val="00505486"/>
    <w:rsid w:val="0051173C"/>
    <w:rsid w:val="005138B9"/>
    <w:rsid w:val="005176E8"/>
    <w:rsid w:val="0052029A"/>
    <w:rsid w:val="00520A23"/>
    <w:rsid w:val="005222E5"/>
    <w:rsid w:val="0052264D"/>
    <w:rsid w:val="0052503C"/>
    <w:rsid w:val="00527D45"/>
    <w:rsid w:val="00530019"/>
    <w:rsid w:val="00530695"/>
    <w:rsid w:val="00530A24"/>
    <w:rsid w:val="0053103F"/>
    <w:rsid w:val="00531788"/>
    <w:rsid w:val="00532505"/>
    <w:rsid w:val="0053438C"/>
    <w:rsid w:val="00535AD8"/>
    <w:rsid w:val="005377AC"/>
    <w:rsid w:val="00540180"/>
    <w:rsid w:val="00540692"/>
    <w:rsid w:val="0054152D"/>
    <w:rsid w:val="00541DF3"/>
    <w:rsid w:val="0054245F"/>
    <w:rsid w:val="0054252B"/>
    <w:rsid w:val="00545DB7"/>
    <w:rsid w:val="00547536"/>
    <w:rsid w:val="00552E3E"/>
    <w:rsid w:val="0055539F"/>
    <w:rsid w:val="0055541E"/>
    <w:rsid w:val="00556CB7"/>
    <w:rsid w:val="00557345"/>
    <w:rsid w:val="00557EA9"/>
    <w:rsid w:val="00560DB1"/>
    <w:rsid w:val="005637D2"/>
    <w:rsid w:val="005638D2"/>
    <w:rsid w:val="00565868"/>
    <w:rsid w:val="00567B3A"/>
    <w:rsid w:val="00567D06"/>
    <w:rsid w:val="0057103A"/>
    <w:rsid w:val="005731CA"/>
    <w:rsid w:val="0057450D"/>
    <w:rsid w:val="00574590"/>
    <w:rsid w:val="005759EE"/>
    <w:rsid w:val="00576200"/>
    <w:rsid w:val="00576E61"/>
    <w:rsid w:val="00580E7A"/>
    <w:rsid w:val="00582728"/>
    <w:rsid w:val="00582E88"/>
    <w:rsid w:val="005837DD"/>
    <w:rsid w:val="0059061E"/>
    <w:rsid w:val="005908A5"/>
    <w:rsid w:val="005910BA"/>
    <w:rsid w:val="0059429A"/>
    <w:rsid w:val="0059650F"/>
    <w:rsid w:val="005A1331"/>
    <w:rsid w:val="005A33B3"/>
    <w:rsid w:val="005A355D"/>
    <w:rsid w:val="005A4572"/>
    <w:rsid w:val="005A6240"/>
    <w:rsid w:val="005A67A3"/>
    <w:rsid w:val="005A6E65"/>
    <w:rsid w:val="005B1E03"/>
    <w:rsid w:val="005B2E0A"/>
    <w:rsid w:val="005B42E0"/>
    <w:rsid w:val="005B53B8"/>
    <w:rsid w:val="005C2DBB"/>
    <w:rsid w:val="005C2F65"/>
    <w:rsid w:val="005C3F29"/>
    <w:rsid w:val="005C6454"/>
    <w:rsid w:val="005D0012"/>
    <w:rsid w:val="005D1FA5"/>
    <w:rsid w:val="005D2386"/>
    <w:rsid w:val="005D6FAF"/>
    <w:rsid w:val="005E0B25"/>
    <w:rsid w:val="005E1938"/>
    <w:rsid w:val="005E2A8F"/>
    <w:rsid w:val="005E3CA1"/>
    <w:rsid w:val="005E4F3C"/>
    <w:rsid w:val="005E5743"/>
    <w:rsid w:val="005E5A16"/>
    <w:rsid w:val="005E5BCC"/>
    <w:rsid w:val="005E6026"/>
    <w:rsid w:val="005F27A3"/>
    <w:rsid w:val="005F2F25"/>
    <w:rsid w:val="005F40D8"/>
    <w:rsid w:val="005F5B33"/>
    <w:rsid w:val="005F6050"/>
    <w:rsid w:val="005F614F"/>
    <w:rsid w:val="005F6DDB"/>
    <w:rsid w:val="005F7160"/>
    <w:rsid w:val="005F7E70"/>
    <w:rsid w:val="00601695"/>
    <w:rsid w:val="00601EA3"/>
    <w:rsid w:val="0060202D"/>
    <w:rsid w:val="00602E8E"/>
    <w:rsid w:val="00604239"/>
    <w:rsid w:val="00605E06"/>
    <w:rsid w:val="00606E93"/>
    <w:rsid w:val="00610C46"/>
    <w:rsid w:val="0061126C"/>
    <w:rsid w:val="00611EEE"/>
    <w:rsid w:val="0061304A"/>
    <w:rsid w:val="0061693F"/>
    <w:rsid w:val="006205ED"/>
    <w:rsid w:val="00620F2C"/>
    <w:rsid w:val="00622774"/>
    <w:rsid w:val="006230B3"/>
    <w:rsid w:val="006233DE"/>
    <w:rsid w:val="006247C9"/>
    <w:rsid w:val="00625266"/>
    <w:rsid w:val="0062601A"/>
    <w:rsid w:val="00630525"/>
    <w:rsid w:val="0063070A"/>
    <w:rsid w:val="006309E2"/>
    <w:rsid w:val="0063195A"/>
    <w:rsid w:val="00633A43"/>
    <w:rsid w:val="00634467"/>
    <w:rsid w:val="00636AA7"/>
    <w:rsid w:val="00636F5D"/>
    <w:rsid w:val="0064066C"/>
    <w:rsid w:val="00640B66"/>
    <w:rsid w:val="00642B63"/>
    <w:rsid w:val="006430BC"/>
    <w:rsid w:val="00644236"/>
    <w:rsid w:val="00644921"/>
    <w:rsid w:val="006455CD"/>
    <w:rsid w:val="00646FA9"/>
    <w:rsid w:val="006506BA"/>
    <w:rsid w:val="00650B18"/>
    <w:rsid w:val="00651143"/>
    <w:rsid w:val="00651589"/>
    <w:rsid w:val="00651A3D"/>
    <w:rsid w:val="00651A53"/>
    <w:rsid w:val="00653C4D"/>
    <w:rsid w:val="00654DED"/>
    <w:rsid w:val="0065609A"/>
    <w:rsid w:val="0065795E"/>
    <w:rsid w:val="0066075C"/>
    <w:rsid w:val="00660A3C"/>
    <w:rsid w:val="00661415"/>
    <w:rsid w:val="00661776"/>
    <w:rsid w:val="00663EA8"/>
    <w:rsid w:val="00663F78"/>
    <w:rsid w:val="006662ED"/>
    <w:rsid w:val="00667906"/>
    <w:rsid w:val="00671A03"/>
    <w:rsid w:val="00672B21"/>
    <w:rsid w:val="006775AD"/>
    <w:rsid w:val="006846C8"/>
    <w:rsid w:val="006915F9"/>
    <w:rsid w:val="0069234A"/>
    <w:rsid w:val="00692CB8"/>
    <w:rsid w:val="006947EB"/>
    <w:rsid w:val="00695F83"/>
    <w:rsid w:val="00696A08"/>
    <w:rsid w:val="006976DA"/>
    <w:rsid w:val="006A0B4F"/>
    <w:rsid w:val="006A114C"/>
    <w:rsid w:val="006A3A73"/>
    <w:rsid w:val="006A4E7B"/>
    <w:rsid w:val="006B0AB2"/>
    <w:rsid w:val="006B20A6"/>
    <w:rsid w:val="006B50D8"/>
    <w:rsid w:val="006B759D"/>
    <w:rsid w:val="006C099E"/>
    <w:rsid w:val="006C158A"/>
    <w:rsid w:val="006C2010"/>
    <w:rsid w:val="006C32E7"/>
    <w:rsid w:val="006C39A0"/>
    <w:rsid w:val="006C59C9"/>
    <w:rsid w:val="006C72E1"/>
    <w:rsid w:val="006D2DFC"/>
    <w:rsid w:val="006D3479"/>
    <w:rsid w:val="006D4653"/>
    <w:rsid w:val="006D6960"/>
    <w:rsid w:val="006D72CB"/>
    <w:rsid w:val="006D7992"/>
    <w:rsid w:val="006E04CB"/>
    <w:rsid w:val="006E1375"/>
    <w:rsid w:val="006E1B45"/>
    <w:rsid w:val="006E2237"/>
    <w:rsid w:val="006E2765"/>
    <w:rsid w:val="006E2CDB"/>
    <w:rsid w:val="006E3542"/>
    <w:rsid w:val="006E4E7E"/>
    <w:rsid w:val="006F013D"/>
    <w:rsid w:val="006F04FA"/>
    <w:rsid w:val="006F091B"/>
    <w:rsid w:val="006F175D"/>
    <w:rsid w:val="006F1F78"/>
    <w:rsid w:val="006F2052"/>
    <w:rsid w:val="006F2AB7"/>
    <w:rsid w:val="006F2F1C"/>
    <w:rsid w:val="006F6161"/>
    <w:rsid w:val="006F622A"/>
    <w:rsid w:val="006F6F4E"/>
    <w:rsid w:val="006F7420"/>
    <w:rsid w:val="0070043A"/>
    <w:rsid w:val="0070108B"/>
    <w:rsid w:val="00701404"/>
    <w:rsid w:val="00702EE0"/>
    <w:rsid w:val="0070569F"/>
    <w:rsid w:val="0070683D"/>
    <w:rsid w:val="0070777C"/>
    <w:rsid w:val="00710580"/>
    <w:rsid w:val="0072008F"/>
    <w:rsid w:val="00724AA8"/>
    <w:rsid w:val="007251B1"/>
    <w:rsid w:val="00727176"/>
    <w:rsid w:val="00732492"/>
    <w:rsid w:val="00736CAE"/>
    <w:rsid w:val="0074125A"/>
    <w:rsid w:val="00741ED2"/>
    <w:rsid w:val="0074375A"/>
    <w:rsid w:val="00744A13"/>
    <w:rsid w:val="00746702"/>
    <w:rsid w:val="007468A3"/>
    <w:rsid w:val="0074696E"/>
    <w:rsid w:val="007524DF"/>
    <w:rsid w:val="007528AC"/>
    <w:rsid w:val="00753085"/>
    <w:rsid w:val="007537C2"/>
    <w:rsid w:val="00753CCF"/>
    <w:rsid w:val="00753FA2"/>
    <w:rsid w:val="00755B7A"/>
    <w:rsid w:val="00756F21"/>
    <w:rsid w:val="007574F9"/>
    <w:rsid w:val="00760026"/>
    <w:rsid w:val="00761366"/>
    <w:rsid w:val="007621EB"/>
    <w:rsid w:val="00764922"/>
    <w:rsid w:val="0076785F"/>
    <w:rsid w:val="00770736"/>
    <w:rsid w:val="00772426"/>
    <w:rsid w:val="007754D7"/>
    <w:rsid w:val="0077688D"/>
    <w:rsid w:val="00781589"/>
    <w:rsid w:val="00784818"/>
    <w:rsid w:val="007849BF"/>
    <w:rsid w:val="007856EA"/>
    <w:rsid w:val="00785A1B"/>
    <w:rsid w:val="00786EB9"/>
    <w:rsid w:val="00787E1B"/>
    <w:rsid w:val="007933E5"/>
    <w:rsid w:val="00796684"/>
    <w:rsid w:val="00796C05"/>
    <w:rsid w:val="007A012F"/>
    <w:rsid w:val="007A028D"/>
    <w:rsid w:val="007A059F"/>
    <w:rsid w:val="007A24F8"/>
    <w:rsid w:val="007A3ACB"/>
    <w:rsid w:val="007A3AE6"/>
    <w:rsid w:val="007A4603"/>
    <w:rsid w:val="007A474F"/>
    <w:rsid w:val="007A6EB1"/>
    <w:rsid w:val="007A7D86"/>
    <w:rsid w:val="007A7FF2"/>
    <w:rsid w:val="007B02D3"/>
    <w:rsid w:val="007B0E96"/>
    <w:rsid w:val="007B0EDF"/>
    <w:rsid w:val="007B1A4F"/>
    <w:rsid w:val="007B3858"/>
    <w:rsid w:val="007B688E"/>
    <w:rsid w:val="007B6980"/>
    <w:rsid w:val="007C0974"/>
    <w:rsid w:val="007C238D"/>
    <w:rsid w:val="007C262D"/>
    <w:rsid w:val="007C2E67"/>
    <w:rsid w:val="007C3A8D"/>
    <w:rsid w:val="007C4507"/>
    <w:rsid w:val="007C48D7"/>
    <w:rsid w:val="007C6237"/>
    <w:rsid w:val="007C6E62"/>
    <w:rsid w:val="007D0434"/>
    <w:rsid w:val="007D2F65"/>
    <w:rsid w:val="007D4EC5"/>
    <w:rsid w:val="007D59F7"/>
    <w:rsid w:val="007D7FA6"/>
    <w:rsid w:val="007E160E"/>
    <w:rsid w:val="007E1A41"/>
    <w:rsid w:val="007E3471"/>
    <w:rsid w:val="007E48DE"/>
    <w:rsid w:val="007E49C0"/>
    <w:rsid w:val="007E5A9C"/>
    <w:rsid w:val="007F1EC6"/>
    <w:rsid w:val="007F65AD"/>
    <w:rsid w:val="00801CB1"/>
    <w:rsid w:val="00802C19"/>
    <w:rsid w:val="00804D3C"/>
    <w:rsid w:val="00806911"/>
    <w:rsid w:val="0081208F"/>
    <w:rsid w:val="00813913"/>
    <w:rsid w:val="008141EA"/>
    <w:rsid w:val="00815629"/>
    <w:rsid w:val="008158D3"/>
    <w:rsid w:val="00815BF4"/>
    <w:rsid w:val="008165F7"/>
    <w:rsid w:val="00816B57"/>
    <w:rsid w:val="0082053D"/>
    <w:rsid w:val="00820E65"/>
    <w:rsid w:val="00822538"/>
    <w:rsid w:val="008228AC"/>
    <w:rsid w:val="00822AD9"/>
    <w:rsid w:val="008233CB"/>
    <w:rsid w:val="0082381A"/>
    <w:rsid w:val="00823D4E"/>
    <w:rsid w:val="008241FE"/>
    <w:rsid w:val="00824D34"/>
    <w:rsid w:val="00825592"/>
    <w:rsid w:val="00826CC7"/>
    <w:rsid w:val="00827956"/>
    <w:rsid w:val="00830981"/>
    <w:rsid w:val="008360AE"/>
    <w:rsid w:val="00841C45"/>
    <w:rsid w:val="008443BB"/>
    <w:rsid w:val="00851D2C"/>
    <w:rsid w:val="008520A5"/>
    <w:rsid w:val="00853ECB"/>
    <w:rsid w:val="00854166"/>
    <w:rsid w:val="008555FB"/>
    <w:rsid w:val="00857100"/>
    <w:rsid w:val="008603A3"/>
    <w:rsid w:val="00863744"/>
    <w:rsid w:val="00863B9A"/>
    <w:rsid w:val="00864730"/>
    <w:rsid w:val="00865049"/>
    <w:rsid w:val="00865A8E"/>
    <w:rsid w:val="008663A9"/>
    <w:rsid w:val="00872D39"/>
    <w:rsid w:val="00872E97"/>
    <w:rsid w:val="0087326E"/>
    <w:rsid w:val="008732E1"/>
    <w:rsid w:val="008740BA"/>
    <w:rsid w:val="00875E0D"/>
    <w:rsid w:val="00875F5B"/>
    <w:rsid w:val="008761E4"/>
    <w:rsid w:val="00876930"/>
    <w:rsid w:val="00876F75"/>
    <w:rsid w:val="008777CB"/>
    <w:rsid w:val="00877B49"/>
    <w:rsid w:val="00877F8D"/>
    <w:rsid w:val="0088055A"/>
    <w:rsid w:val="00882B1C"/>
    <w:rsid w:val="00883D37"/>
    <w:rsid w:val="00884437"/>
    <w:rsid w:val="00885409"/>
    <w:rsid w:val="00887294"/>
    <w:rsid w:val="00887B6C"/>
    <w:rsid w:val="00893483"/>
    <w:rsid w:val="0089463F"/>
    <w:rsid w:val="0089577B"/>
    <w:rsid w:val="008A1080"/>
    <w:rsid w:val="008A1B34"/>
    <w:rsid w:val="008A1EE9"/>
    <w:rsid w:val="008A208A"/>
    <w:rsid w:val="008A2B8F"/>
    <w:rsid w:val="008A43D5"/>
    <w:rsid w:val="008A4CBD"/>
    <w:rsid w:val="008A4DD6"/>
    <w:rsid w:val="008A62A2"/>
    <w:rsid w:val="008B436D"/>
    <w:rsid w:val="008B48AB"/>
    <w:rsid w:val="008B6523"/>
    <w:rsid w:val="008C7561"/>
    <w:rsid w:val="008C784B"/>
    <w:rsid w:val="008D18AB"/>
    <w:rsid w:val="008D21D7"/>
    <w:rsid w:val="008D34AA"/>
    <w:rsid w:val="008D358C"/>
    <w:rsid w:val="008D4C6A"/>
    <w:rsid w:val="008D5258"/>
    <w:rsid w:val="008D6279"/>
    <w:rsid w:val="008D6A21"/>
    <w:rsid w:val="008D6DD4"/>
    <w:rsid w:val="008D72B8"/>
    <w:rsid w:val="008E071C"/>
    <w:rsid w:val="008E21A1"/>
    <w:rsid w:val="008E2CC9"/>
    <w:rsid w:val="008E3462"/>
    <w:rsid w:val="008E397D"/>
    <w:rsid w:val="008E42FE"/>
    <w:rsid w:val="008E4718"/>
    <w:rsid w:val="008E54CA"/>
    <w:rsid w:val="008E7C48"/>
    <w:rsid w:val="008F2173"/>
    <w:rsid w:val="008F29DD"/>
    <w:rsid w:val="008F5623"/>
    <w:rsid w:val="008F562B"/>
    <w:rsid w:val="008F5DDC"/>
    <w:rsid w:val="008F64C5"/>
    <w:rsid w:val="00900036"/>
    <w:rsid w:val="00900CAD"/>
    <w:rsid w:val="00901335"/>
    <w:rsid w:val="00901446"/>
    <w:rsid w:val="009035AF"/>
    <w:rsid w:val="009037F2"/>
    <w:rsid w:val="00903D4F"/>
    <w:rsid w:val="0090493A"/>
    <w:rsid w:val="00904F01"/>
    <w:rsid w:val="00905505"/>
    <w:rsid w:val="00910D13"/>
    <w:rsid w:val="00911B12"/>
    <w:rsid w:val="00916A5F"/>
    <w:rsid w:val="00917CAE"/>
    <w:rsid w:val="00923659"/>
    <w:rsid w:val="0092367C"/>
    <w:rsid w:val="00924AC1"/>
    <w:rsid w:val="00924D06"/>
    <w:rsid w:val="00924FEA"/>
    <w:rsid w:val="00925649"/>
    <w:rsid w:val="009318F0"/>
    <w:rsid w:val="00931B97"/>
    <w:rsid w:val="00931DB8"/>
    <w:rsid w:val="0093204F"/>
    <w:rsid w:val="0093313A"/>
    <w:rsid w:val="00933AAF"/>
    <w:rsid w:val="00934D15"/>
    <w:rsid w:val="00936D79"/>
    <w:rsid w:val="009374BC"/>
    <w:rsid w:val="0094072C"/>
    <w:rsid w:val="009416D1"/>
    <w:rsid w:val="00941742"/>
    <w:rsid w:val="00943409"/>
    <w:rsid w:val="00944680"/>
    <w:rsid w:val="00951963"/>
    <w:rsid w:val="00952BEF"/>
    <w:rsid w:val="00953219"/>
    <w:rsid w:val="009550CD"/>
    <w:rsid w:val="0095512D"/>
    <w:rsid w:val="00955CE0"/>
    <w:rsid w:val="0095665B"/>
    <w:rsid w:val="00957343"/>
    <w:rsid w:val="00960456"/>
    <w:rsid w:val="00960715"/>
    <w:rsid w:val="00961E4A"/>
    <w:rsid w:val="00963BFC"/>
    <w:rsid w:val="0096439C"/>
    <w:rsid w:val="00965C71"/>
    <w:rsid w:val="0097076B"/>
    <w:rsid w:val="0097243C"/>
    <w:rsid w:val="0097442D"/>
    <w:rsid w:val="00974953"/>
    <w:rsid w:val="00974C2B"/>
    <w:rsid w:val="0097517C"/>
    <w:rsid w:val="00977100"/>
    <w:rsid w:val="0097710A"/>
    <w:rsid w:val="009775FC"/>
    <w:rsid w:val="0098095B"/>
    <w:rsid w:val="0098188E"/>
    <w:rsid w:val="00984D94"/>
    <w:rsid w:val="00984F15"/>
    <w:rsid w:val="009929AC"/>
    <w:rsid w:val="009939D9"/>
    <w:rsid w:val="00995BE3"/>
    <w:rsid w:val="00997338"/>
    <w:rsid w:val="009A0704"/>
    <w:rsid w:val="009A1005"/>
    <w:rsid w:val="009A2843"/>
    <w:rsid w:val="009A295E"/>
    <w:rsid w:val="009A4561"/>
    <w:rsid w:val="009A4A82"/>
    <w:rsid w:val="009A51F1"/>
    <w:rsid w:val="009A5D7D"/>
    <w:rsid w:val="009A6185"/>
    <w:rsid w:val="009A672F"/>
    <w:rsid w:val="009B18F7"/>
    <w:rsid w:val="009B3477"/>
    <w:rsid w:val="009C41ED"/>
    <w:rsid w:val="009C4EA7"/>
    <w:rsid w:val="009C501B"/>
    <w:rsid w:val="009D078C"/>
    <w:rsid w:val="009D0820"/>
    <w:rsid w:val="009D152D"/>
    <w:rsid w:val="009D160E"/>
    <w:rsid w:val="009D77B1"/>
    <w:rsid w:val="009E079D"/>
    <w:rsid w:val="009E0EAC"/>
    <w:rsid w:val="009E1D85"/>
    <w:rsid w:val="009E312A"/>
    <w:rsid w:val="009E3747"/>
    <w:rsid w:val="009E459A"/>
    <w:rsid w:val="009E7169"/>
    <w:rsid w:val="009E77A2"/>
    <w:rsid w:val="009F1E30"/>
    <w:rsid w:val="009F28BC"/>
    <w:rsid w:val="009F28ED"/>
    <w:rsid w:val="009F45D6"/>
    <w:rsid w:val="009F6BCA"/>
    <w:rsid w:val="009F7763"/>
    <w:rsid w:val="00A01F09"/>
    <w:rsid w:val="00A02FD8"/>
    <w:rsid w:val="00A072D3"/>
    <w:rsid w:val="00A10EB0"/>
    <w:rsid w:val="00A112C7"/>
    <w:rsid w:val="00A1174B"/>
    <w:rsid w:val="00A13807"/>
    <w:rsid w:val="00A13D5D"/>
    <w:rsid w:val="00A14BC5"/>
    <w:rsid w:val="00A15807"/>
    <w:rsid w:val="00A16D8B"/>
    <w:rsid w:val="00A2095C"/>
    <w:rsid w:val="00A227A9"/>
    <w:rsid w:val="00A22A7A"/>
    <w:rsid w:val="00A22EC4"/>
    <w:rsid w:val="00A254A8"/>
    <w:rsid w:val="00A258F7"/>
    <w:rsid w:val="00A279D5"/>
    <w:rsid w:val="00A27EF0"/>
    <w:rsid w:val="00A30E5C"/>
    <w:rsid w:val="00A33A14"/>
    <w:rsid w:val="00A33BDB"/>
    <w:rsid w:val="00A37205"/>
    <w:rsid w:val="00A431FA"/>
    <w:rsid w:val="00A432CB"/>
    <w:rsid w:val="00A446C0"/>
    <w:rsid w:val="00A453A2"/>
    <w:rsid w:val="00A45BF1"/>
    <w:rsid w:val="00A4662C"/>
    <w:rsid w:val="00A4769F"/>
    <w:rsid w:val="00A50254"/>
    <w:rsid w:val="00A50FA8"/>
    <w:rsid w:val="00A51C60"/>
    <w:rsid w:val="00A57E45"/>
    <w:rsid w:val="00A6103B"/>
    <w:rsid w:val="00A612E9"/>
    <w:rsid w:val="00A649E4"/>
    <w:rsid w:val="00A65B13"/>
    <w:rsid w:val="00A668CE"/>
    <w:rsid w:val="00A67846"/>
    <w:rsid w:val="00A67B8B"/>
    <w:rsid w:val="00A720BD"/>
    <w:rsid w:val="00A730ED"/>
    <w:rsid w:val="00A732F6"/>
    <w:rsid w:val="00A73445"/>
    <w:rsid w:val="00A734A4"/>
    <w:rsid w:val="00A747EF"/>
    <w:rsid w:val="00A74F51"/>
    <w:rsid w:val="00A74FCE"/>
    <w:rsid w:val="00A75607"/>
    <w:rsid w:val="00A77F12"/>
    <w:rsid w:val="00A839B7"/>
    <w:rsid w:val="00A849C3"/>
    <w:rsid w:val="00A849D8"/>
    <w:rsid w:val="00A85884"/>
    <w:rsid w:val="00A85A12"/>
    <w:rsid w:val="00A87397"/>
    <w:rsid w:val="00A87D5C"/>
    <w:rsid w:val="00A9002A"/>
    <w:rsid w:val="00A932A7"/>
    <w:rsid w:val="00A95067"/>
    <w:rsid w:val="00A95E76"/>
    <w:rsid w:val="00AA0D5D"/>
    <w:rsid w:val="00AA2AF4"/>
    <w:rsid w:val="00AB439A"/>
    <w:rsid w:val="00AB4659"/>
    <w:rsid w:val="00AB56AF"/>
    <w:rsid w:val="00AB69A8"/>
    <w:rsid w:val="00AC0AB8"/>
    <w:rsid w:val="00AC1D28"/>
    <w:rsid w:val="00AC2081"/>
    <w:rsid w:val="00AC233F"/>
    <w:rsid w:val="00AC2BCC"/>
    <w:rsid w:val="00AC3364"/>
    <w:rsid w:val="00AC4C0F"/>
    <w:rsid w:val="00AC57FF"/>
    <w:rsid w:val="00AC7067"/>
    <w:rsid w:val="00AC71B7"/>
    <w:rsid w:val="00AC7B86"/>
    <w:rsid w:val="00AD0862"/>
    <w:rsid w:val="00AD1F47"/>
    <w:rsid w:val="00AD30EC"/>
    <w:rsid w:val="00AD40A9"/>
    <w:rsid w:val="00AD52C9"/>
    <w:rsid w:val="00AD5A8F"/>
    <w:rsid w:val="00AE0677"/>
    <w:rsid w:val="00AE2119"/>
    <w:rsid w:val="00AE36D2"/>
    <w:rsid w:val="00AE4AA5"/>
    <w:rsid w:val="00AE4F4E"/>
    <w:rsid w:val="00AE630A"/>
    <w:rsid w:val="00AE68F0"/>
    <w:rsid w:val="00AE6B95"/>
    <w:rsid w:val="00AF2511"/>
    <w:rsid w:val="00AF64BF"/>
    <w:rsid w:val="00AF65AD"/>
    <w:rsid w:val="00AF7454"/>
    <w:rsid w:val="00AF7455"/>
    <w:rsid w:val="00AF7B88"/>
    <w:rsid w:val="00B03345"/>
    <w:rsid w:val="00B0436D"/>
    <w:rsid w:val="00B07957"/>
    <w:rsid w:val="00B10683"/>
    <w:rsid w:val="00B1286D"/>
    <w:rsid w:val="00B13D4B"/>
    <w:rsid w:val="00B16605"/>
    <w:rsid w:val="00B16815"/>
    <w:rsid w:val="00B17634"/>
    <w:rsid w:val="00B17A9C"/>
    <w:rsid w:val="00B17CC1"/>
    <w:rsid w:val="00B26AAC"/>
    <w:rsid w:val="00B26D5F"/>
    <w:rsid w:val="00B27357"/>
    <w:rsid w:val="00B30C22"/>
    <w:rsid w:val="00B30CD6"/>
    <w:rsid w:val="00B350E8"/>
    <w:rsid w:val="00B351B8"/>
    <w:rsid w:val="00B36492"/>
    <w:rsid w:val="00B36C34"/>
    <w:rsid w:val="00B4088D"/>
    <w:rsid w:val="00B40D45"/>
    <w:rsid w:val="00B413B4"/>
    <w:rsid w:val="00B41C80"/>
    <w:rsid w:val="00B41CCF"/>
    <w:rsid w:val="00B43FFC"/>
    <w:rsid w:val="00B44414"/>
    <w:rsid w:val="00B460A8"/>
    <w:rsid w:val="00B465D6"/>
    <w:rsid w:val="00B51A95"/>
    <w:rsid w:val="00B52088"/>
    <w:rsid w:val="00B537A8"/>
    <w:rsid w:val="00B53E54"/>
    <w:rsid w:val="00B544BB"/>
    <w:rsid w:val="00B560B7"/>
    <w:rsid w:val="00B6126F"/>
    <w:rsid w:val="00B63BC6"/>
    <w:rsid w:val="00B6447C"/>
    <w:rsid w:val="00B6504E"/>
    <w:rsid w:val="00B651B0"/>
    <w:rsid w:val="00B70BBF"/>
    <w:rsid w:val="00B716C3"/>
    <w:rsid w:val="00B72ECD"/>
    <w:rsid w:val="00B73B25"/>
    <w:rsid w:val="00B74664"/>
    <w:rsid w:val="00B75363"/>
    <w:rsid w:val="00B75E48"/>
    <w:rsid w:val="00B760D0"/>
    <w:rsid w:val="00B77D00"/>
    <w:rsid w:val="00B77E7A"/>
    <w:rsid w:val="00B8070B"/>
    <w:rsid w:val="00B809D7"/>
    <w:rsid w:val="00B84167"/>
    <w:rsid w:val="00B850C0"/>
    <w:rsid w:val="00B85471"/>
    <w:rsid w:val="00B85817"/>
    <w:rsid w:val="00B85BC7"/>
    <w:rsid w:val="00B87EC6"/>
    <w:rsid w:val="00B90C2E"/>
    <w:rsid w:val="00B91A09"/>
    <w:rsid w:val="00B92EC6"/>
    <w:rsid w:val="00B9378B"/>
    <w:rsid w:val="00B9457D"/>
    <w:rsid w:val="00B95476"/>
    <w:rsid w:val="00B96F5F"/>
    <w:rsid w:val="00B976FB"/>
    <w:rsid w:val="00BA0553"/>
    <w:rsid w:val="00BA136F"/>
    <w:rsid w:val="00BA1FD8"/>
    <w:rsid w:val="00BA2050"/>
    <w:rsid w:val="00BA2956"/>
    <w:rsid w:val="00BA2B6D"/>
    <w:rsid w:val="00BA2E3F"/>
    <w:rsid w:val="00BA33F4"/>
    <w:rsid w:val="00BA513B"/>
    <w:rsid w:val="00BA621D"/>
    <w:rsid w:val="00BA6377"/>
    <w:rsid w:val="00BB01AF"/>
    <w:rsid w:val="00BB0F37"/>
    <w:rsid w:val="00BB1B5C"/>
    <w:rsid w:val="00BB1CC8"/>
    <w:rsid w:val="00BB2308"/>
    <w:rsid w:val="00BB2433"/>
    <w:rsid w:val="00BB2B29"/>
    <w:rsid w:val="00BB5541"/>
    <w:rsid w:val="00BB5C0B"/>
    <w:rsid w:val="00BB72FA"/>
    <w:rsid w:val="00BC290B"/>
    <w:rsid w:val="00BC446C"/>
    <w:rsid w:val="00BC60BF"/>
    <w:rsid w:val="00BC7184"/>
    <w:rsid w:val="00BC769D"/>
    <w:rsid w:val="00BD2629"/>
    <w:rsid w:val="00BD3339"/>
    <w:rsid w:val="00BD5C93"/>
    <w:rsid w:val="00BE338F"/>
    <w:rsid w:val="00BE363B"/>
    <w:rsid w:val="00BE52EF"/>
    <w:rsid w:val="00BF2116"/>
    <w:rsid w:val="00BF2142"/>
    <w:rsid w:val="00BF2182"/>
    <w:rsid w:val="00BF3B2D"/>
    <w:rsid w:val="00BF61B5"/>
    <w:rsid w:val="00BF6C6F"/>
    <w:rsid w:val="00C00BA3"/>
    <w:rsid w:val="00C031CC"/>
    <w:rsid w:val="00C07F05"/>
    <w:rsid w:val="00C10B19"/>
    <w:rsid w:val="00C11931"/>
    <w:rsid w:val="00C11EEA"/>
    <w:rsid w:val="00C1213E"/>
    <w:rsid w:val="00C12387"/>
    <w:rsid w:val="00C14390"/>
    <w:rsid w:val="00C1683C"/>
    <w:rsid w:val="00C16D7C"/>
    <w:rsid w:val="00C2236F"/>
    <w:rsid w:val="00C229B0"/>
    <w:rsid w:val="00C23D12"/>
    <w:rsid w:val="00C2564A"/>
    <w:rsid w:val="00C26414"/>
    <w:rsid w:val="00C2756A"/>
    <w:rsid w:val="00C27B28"/>
    <w:rsid w:val="00C317AB"/>
    <w:rsid w:val="00C3338B"/>
    <w:rsid w:val="00C34017"/>
    <w:rsid w:val="00C368D9"/>
    <w:rsid w:val="00C40FD5"/>
    <w:rsid w:val="00C41A6E"/>
    <w:rsid w:val="00C42092"/>
    <w:rsid w:val="00C42678"/>
    <w:rsid w:val="00C45273"/>
    <w:rsid w:val="00C46F0D"/>
    <w:rsid w:val="00C500C5"/>
    <w:rsid w:val="00C5050E"/>
    <w:rsid w:val="00C52070"/>
    <w:rsid w:val="00C5247E"/>
    <w:rsid w:val="00C541C5"/>
    <w:rsid w:val="00C546F3"/>
    <w:rsid w:val="00C5759A"/>
    <w:rsid w:val="00C57668"/>
    <w:rsid w:val="00C57CD6"/>
    <w:rsid w:val="00C616AC"/>
    <w:rsid w:val="00C63501"/>
    <w:rsid w:val="00C63C0B"/>
    <w:rsid w:val="00C64DEF"/>
    <w:rsid w:val="00C652CB"/>
    <w:rsid w:val="00C6562F"/>
    <w:rsid w:val="00C65C5B"/>
    <w:rsid w:val="00C715AD"/>
    <w:rsid w:val="00C74D83"/>
    <w:rsid w:val="00C767B7"/>
    <w:rsid w:val="00C7725E"/>
    <w:rsid w:val="00C774E6"/>
    <w:rsid w:val="00C80C85"/>
    <w:rsid w:val="00C816E9"/>
    <w:rsid w:val="00C81BCF"/>
    <w:rsid w:val="00C87B2D"/>
    <w:rsid w:val="00C91369"/>
    <w:rsid w:val="00C916DF"/>
    <w:rsid w:val="00C91BCC"/>
    <w:rsid w:val="00C9338F"/>
    <w:rsid w:val="00C933B0"/>
    <w:rsid w:val="00C93842"/>
    <w:rsid w:val="00C94295"/>
    <w:rsid w:val="00C9508F"/>
    <w:rsid w:val="00C95312"/>
    <w:rsid w:val="00C96694"/>
    <w:rsid w:val="00C96ADF"/>
    <w:rsid w:val="00C96C62"/>
    <w:rsid w:val="00C97825"/>
    <w:rsid w:val="00CA1775"/>
    <w:rsid w:val="00CA21E7"/>
    <w:rsid w:val="00CA24B5"/>
    <w:rsid w:val="00CA36E3"/>
    <w:rsid w:val="00CA3EF7"/>
    <w:rsid w:val="00CA4AE1"/>
    <w:rsid w:val="00CA53F9"/>
    <w:rsid w:val="00CB1743"/>
    <w:rsid w:val="00CB1E06"/>
    <w:rsid w:val="00CB2D35"/>
    <w:rsid w:val="00CB37C9"/>
    <w:rsid w:val="00CB492B"/>
    <w:rsid w:val="00CB5879"/>
    <w:rsid w:val="00CB5A88"/>
    <w:rsid w:val="00CB5AC1"/>
    <w:rsid w:val="00CC17E2"/>
    <w:rsid w:val="00CC2B7A"/>
    <w:rsid w:val="00CC541F"/>
    <w:rsid w:val="00CC5F9C"/>
    <w:rsid w:val="00CC7976"/>
    <w:rsid w:val="00CD0E63"/>
    <w:rsid w:val="00CD0E76"/>
    <w:rsid w:val="00CD483A"/>
    <w:rsid w:val="00CD6EEB"/>
    <w:rsid w:val="00CD7254"/>
    <w:rsid w:val="00CE0520"/>
    <w:rsid w:val="00CE262F"/>
    <w:rsid w:val="00CE3CC0"/>
    <w:rsid w:val="00CE5376"/>
    <w:rsid w:val="00CE64F0"/>
    <w:rsid w:val="00CF0DA0"/>
    <w:rsid w:val="00CF17E7"/>
    <w:rsid w:val="00CF188B"/>
    <w:rsid w:val="00CF1BCE"/>
    <w:rsid w:val="00CF2454"/>
    <w:rsid w:val="00CF2EBB"/>
    <w:rsid w:val="00CF57C9"/>
    <w:rsid w:val="00CF7EFC"/>
    <w:rsid w:val="00D01E49"/>
    <w:rsid w:val="00D02B32"/>
    <w:rsid w:val="00D044E6"/>
    <w:rsid w:val="00D103A9"/>
    <w:rsid w:val="00D118D1"/>
    <w:rsid w:val="00D1582D"/>
    <w:rsid w:val="00D1795F"/>
    <w:rsid w:val="00D17A1D"/>
    <w:rsid w:val="00D2371D"/>
    <w:rsid w:val="00D244BA"/>
    <w:rsid w:val="00D24890"/>
    <w:rsid w:val="00D248FE"/>
    <w:rsid w:val="00D24F3E"/>
    <w:rsid w:val="00D25556"/>
    <w:rsid w:val="00D2676E"/>
    <w:rsid w:val="00D307FF"/>
    <w:rsid w:val="00D3096D"/>
    <w:rsid w:val="00D334D7"/>
    <w:rsid w:val="00D34F1A"/>
    <w:rsid w:val="00D35173"/>
    <w:rsid w:val="00D352A6"/>
    <w:rsid w:val="00D353D7"/>
    <w:rsid w:val="00D36EE1"/>
    <w:rsid w:val="00D37629"/>
    <w:rsid w:val="00D37754"/>
    <w:rsid w:val="00D4098C"/>
    <w:rsid w:val="00D41AD2"/>
    <w:rsid w:val="00D42431"/>
    <w:rsid w:val="00D42457"/>
    <w:rsid w:val="00D42C11"/>
    <w:rsid w:val="00D440EC"/>
    <w:rsid w:val="00D44409"/>
    <w:rsid w:val="00D47F77"/>
    <w:rsid w:val="00D50053"/>
    <w:rsid w:val="00D519AC"/>
    <w:rsid w:val="00D536C4"/>
    <w:rsid w:val="00D537B9"/>
    <w:rsid w:val="00D53B08"/>
    <w:rsid w:val="00D53CEB"/>
    <w:rsid w:val="00D54E30"/>
    <w:rsid w:val="00D55197"/>
    <w:rsid w:val="00D567EF"/>
    <w:rsid w:val="00D56826"/>
    <w:rsid w:val="00D60102"/>
    <w:rsid w:val="00D6070B"/>
    <w:rsid w:val="00D6143D"/>
    <w:rsid w:val="00D624C2"/>
    <w:rsid w:val="00D63820"/>
    <w:rsid w:val="00D67D0C"/>
    <w:rsid w:val="00D725C9"/>
    <w:rsid w:val="00D730E6"/>
    <w:rsid w:val="00D74B47"/>
    <w:rsid w:val="00D74FDA"/>
    <w:rsid w:val="00D76564"/>
    <w:rsid w:val="00D76875"/>
    <w:rsid w:val="00D77416"/>
    <w:rsid w:val="00D8681D"/>
    <w:rsid w:val="00D87426"/>
    <w:rsid w:val="00D9033B"/>
    <w:rsid w:val="00D92373"/>
    <w:rsid w:val="00D925B4"/>
    <w:rsid w:val="00D93928"/>
    <w:rsid w:val="00D948E2"/>
    <w:rsid w:val="00D953BF"/>
    <w:rsid w:val="00D9638E"/>
    <w:rsid w:val="00D97384"/>
    <w:rsid w:val="00D976BC"/>
    <w:rsid w:val="00DA2179"/>
    <w:rsid w:val="00DA3844"/>
    <w:rsid w:val="00DA693E"/>
    <w:rsid w:val="00DB2DEE"/>
    <w:rsid w:val="00DB34ED"/>
    <w:rsid w:val="00DB54C5"/>
    <w:rsid w:val="00DB5DF5"/>
    <w:rsid w:val="00DB606F"/>
    <w:rsid w:val="00DB6B81"/>
    <w:rsid w:val="00DC02CD"/>
    <w:rsid w:val="00DC12E7"/>
    <w:rsid w:val="00DC1390"/>
    <w:rsid w:val="00DC28FC"/>
    <w:rsid w:val="00DC3FA3"/>
    <w:rsid w:val="00DC56A6"/>
    <w:rsid w:val="00DC5C8C"/>
    <w:rsid w:val="00DC6008"/>
    <w:rsid w:val="00DC6C05"/>
    <w:rsid w:val="00DC6D6E"/>
    <w:rsid w:val="00DC6FB9"/>
    <w:rsid w:val="00DC713E"/>
    <w:rsid w:val="00DC73AD"/>
    <w:rsid w:val="00DC7901"/>
    <w:rsid w:val="00DD0CFE"/>
    <w:rsid w:val="00DD0D0B"/>
    <w:rsid w:val="00DD0F3A"/>
    <w:rsid w:val="00DD4647"/>
    <w:rsid w:val="00DD4EC9"/>
    <w:rsid w:val="00DD57DB"/>
    <w:rsid w:val="00DD5DD4"/>
    <w:rsid w:val="00DD76DF"/>
    <w:rsid w:val="00DE22AE"/>
    <w:rsid w:val="00DE2AE8"/>
    <w:rsid w:val="00DE427C"/>
    <w:rsid w:val="00DE4AB5"/>
    <w:rsid w:val="00DE4D6C"/>
    <w:rsid w:val="00DE68EC"/>
    <w:rsid w:val="00DE6BF7"/>
    <w:rsid w:val="00DE7E75"/>
    <w:rsid w:val="00DF0C90"/>
    <w:rsid w:val="00DF0D6E"/>
    <w:rsid w:val="00DF1A25"/>
    <w:rsid w:val="00DF3A20"/>
    <w:rsid w:val="00DF61AB"/>
    <w:rsid w:val="00E00CB2"/>
    <w:rsid w:val="00E02D6A"/>
    <w:rsid w:val="00E04064"/>
    <w:rsid w:val="00E04317"/>
    <w:rsid w:val="00E04553"/>
    <w:rsid w:val="00E13E8E"/>
    <w:rsid w:val="00E14433"/>
    <w:rsid w:val="00E20969"/>
    <w:rsid w:val="00E21905"/>
    <w:rsid w:val="00E21F2D"/>
    <w:rsid w:val="00E23BD1"/>
    <w:rsid w:val="00E26AE5"/>
    <w:rsid w:val="00E26CC2"/>
    <w:rsid w:val="00E27BE2"/>
    <w:rsid w:val="00E27D66"/>
    <w:rsid w:val="00E31A38"/>
    <w:rsid w:val="00E3237B"/>
    <w:rsid w:val="00E32805"/>
    <w:rsid w:val="00E32AE6"/>
    <w:rsid w:val="00E33430"/>
    <w:rsid w:val="00E34468"/>
    <w:rsid w:val="00E34940"/>
    <w:rsid w:val="00E34B9E"/>
    <w:rsid w:val="00E352FA"/>
    <w:rsid w:val="00E40178"/>
    <w:rsid w:val="00E402C8"/>
    <w:rsid w:val="00E405C1"/>
    <w:rsid w:val="00E40DE1"/>
    <w:rsid w:val="00E42059"/>
    <w:rsid w:val="00E437B0"/>
    <w:rsid w:val="00E43AC3"/>
    <w:rsid w:val="00E44724"/>
    <w:rsid w:val="00E4481B"/>
    <w:rsid w:val="00E457DA"/>
    <w:rsid w:val="00E471F1"/>
    <w:rsid w:val="00E47DB9"/>
    <w:rsid w:val="00E565DC"/>
    <w:rsid w:val="00E6065D"/>
    <w:rsid w:val="00E6068E"/>
    <w:rsid w:val="00E608DB"/>
    <w:rsid w:val="00E62A33"/>
    <w:rsid w:val="00E6476B"/>
    <w:rsid w:val="00E64FE0"/>
    <w:rsid w:val="00E66879"/>
    <w:rsid w:val="00E6699A"/>
    <w:rsid w:val="00E67A3E"/>
    <w:rsid w:val="00E70C2D"/>
    <w:rsid w:val="00E71393"/>
    <w:rsid w:val="00E737FF"/>
    <w:rsid w:val="00E7456C"/>
    <w:rsid w:val="00E76AFA"/>
    <w:rsid w:val="00E770F2"/>
    <w:rsid w:val="00E7713C"/>
    <w:rsid w:val="00E80562"/>
    <w:rsid w:val="00E81E71"/>
    <w:rsid w:val="00E81EC9"/>
    <w:rsid w:val="00E826FD"/>
    <w:rsid w:val="00E827CD"/>
    <w:rsid w:val="00E82E7F"/>
    <w:rsid w:val="00E831E4"/>
    <w:rsid w:val="00E87702"/>
    <w:rsid w:val="00E87C87"/>
    <w:rsid w:val="00E9031F"/>
    <w:rsid w:val="00E9059E"/>
    <w:rsid w:val="00E9114D"/>
    <w:rsid w:val="00E91566"/>
    <w:rsid w:val="00E94290"/>
    <w:rsid w:val="00E94CB1"/>
    <w:rsid w:val="00E97B3D"/>
    <w:rsid w:val="00EA0E2D"/>
    <w:rsid w:val="00EA101E"/>
    <w:rsid w:val="00EA2416"/>
    <w:rsid w:val="00EA3832"/>
    <w:rsid w:val="00EA3973"/>
    <w:rsid w:val="00EA6E4B"/>
    <w:rsid w:val="00EA70F1"/>
    <w:rsid w:val="00EB0753"/>
    <w:rsid w:val="00EB09B2"/>
    <w:rsid w:val="00EB1C35"/>
    <w:rsid w:val="00EB2892"/>
    <w:rsid w:val="00EB28F3"/>
    <w:rsid w:val="00EB3594"/>
    <w:rsid w:val="00EB3DD2"/>
    <w:rsid w:val="00EB4022"/>
    <w:rsid w:val="00EB4B4A"/>
    <w:rsid w:val="00EC12D5"/>
    <w:rsid w:val="00EC14DD"/>
    <w:rsid w:val="00EC1D9D"/>
    <w:rsid w:val="00EC200D"/>
    <w:rsid w:val="00EC23A2"/>
    <w:rsid w:val="00EC26EC"/>
    <w:rsid w:val="00EC6941"/>
    <w:rsid w:val="00EC77BF"/>
    <w:rsid w:val="00ED1080"/>
    <w:rsid w:val="00ED1EB9"/>
    <w:rsid w:val="00ED2A11"/>
    <w:rsid w:val="00ED4A09"/>
    <w:rsid w:val="00ED5013"/>
    <w:rsid w:val="00ED52D5"/>
    <w:rsid w:val="00ED55F3"/>
    <w:rsid w:val="00EE2B3D"/>
    <w:rsid w:val="00EE53FC"/>
    <w:rsid w:val="00EE6064"/>
    <w:rsid w:val="00EE702D"/>
    <w:rsid w:val="00EE7A53"/>
    <w:rsid w:val="00EF0987"/>
    <w:rsid w:val="00EF2D8A"/>
    <w:rsid w:val="00EF313C"/>
    <w:rsid w:val="00EF3569"/>
    <w:rsid w:val="00EF4B86"/>
    <w:rsid w:val="00EF7527"/>
    <w:rsid w:val="00EF755B"/>
    <w:rsid w:val="00F01A9E"/>
    <w:rsid w:val="00F02669"/>
    <w:rsid w:val="00F02E8A"/>
    <w:rsid w:val="00F0468B"/>
    <w:rsid w:val="00F04E28"/>
    <w:rsid w:val="00F071E6"/>
    <w:rsid w:val="00F07E67"/>
    <w:rsid w:val="00F07F8A"/>
    <w:rsid w:val="00F10F85"/>
    <w:rsid w:val="00F11962"/>
    <w:rsid w:val="00F14594"/>
    <w:rsid w:val="00F15946"/>
    <w:rsid w:val="00F20162"/>
    <w:rsid w:val="00F20B9B"/>
    <w:rsid w:val="00F21B73"/>
    <w:rsid w:val="00F21E55"/>
    <w:rsid w:val="00F22B6B"/>
    <w:rsid w:val="00F23647"/>
    <w:rsid w:val="00F2382E"/>
    <w:rsid w:val="00F24249"/>
    <w:rsid w:val="00F2471C"/>
    <w:rsid w:val="00F250B1"/>
    <w:rsid w:val="00F267CF"/>
    <w:rsid w:val="00F275A9"/>
    <w:rsid w:val="00F278D2"/>
    <w:rsid w:val="00F330EB"/>
    <w:rsid w:val="00F345CE"/>
    <w:rsid w:val="00F41BB2"/>
    <w:rsid w:val="00F4277A"/>
    <w:rsid w:val="00F4382E"/>
    <w:rsid w:val="00F45F56"/>
    <w:rsid w:val="00F47A9D"/>
    <w:rsid w:val="00F47B3F"/>
    <w:rsid w:val="00F52004"/>
    <w:rsid w:val="00F53CF5"/>
    <w:rsid w:val="00F55CDA"/>
    <w:rsid w:val="00F56F9F"/>
    <w:rsid w:val="00F62585"/>
    <w:rsid w:val="00F7102D"/>
    <w:rsid w:val="00F71BF3"/>
    <w:rsid w:val="00F72C60"/>
    <w:rsid w:val="00F73779"/>
    <w:rsid w:val="00F73DA2"/>
    <w:rsid w:val="00F74318"/>
    <w:rsid w:val="00F75093"/>
    <w:rsid w:val="00F7583B"/>
    <w:rsid w:val="00F76870"/>
    <w:rsid w:val="00F81AB6"/>
    <w:rsid w:val="00F81FC3"/>
    <w:rsid w:val="00F8202B"/>
    <w:rsid w:val="00F82707"/>
    <w:rsid w:val="00F8756C"/>
    <w:rsid w:val="00F93B62"/>
    <w:rsid w:val="00F94030"/>
    <w:rsid w:val="00F969A9"/>
    <w:rsid w:val="00F96F0F"/>
    <w:rsid w:val="00FA004C"/>
    <w:rsid w:val="00FA1168"/>
    <w:rsid w:val="00FA2350"/>
    <w:rsid w:val="00FA2E23"/>
    <w:rsid w:val="00FA3F26"/>
    <w:rsid w:val="00FA4F6D"/>
    <w:rsid w:val="00FA57FF"/>
    <w:rsid w:val="00FA638C"/>
    <w:rsid w:val="00FA6E21"/>
    <w:rsid w:val="00FA7B9F"/>
    <w:rsid w:val="00FA7E2C"/>
    <w:rsid w:val="00FB0356"/>
    <w:rsid w:val="00FB2706"/>
    <w:rsid w:val="00FB71BD"/>
    <w:rsid w:val="00FC133E"/>
    <w:rsid w:val="00FC2611"/>
    <w:rsid w:val="00FC3D95"/>
    <w:rsid w:val="00FC67BE"/>
    <w:rsid w:val="00FC6CD6"/>
    <w:rsid w:val="00FC795F"/>
    <w:rsid w:val="00FC7F3E"/>
    <w:rsid w:val="00FD0799"/>
    <w:rsid w:val="00FD085A"/>
    <w:rsid w:val="00FD3859"/>
    <w:rsid w:val="00FD3F87"/>
    <w:rsid w:val="00FD4B1B"/>
    <w:rsid w:val="00FD7418"/>
    <w:rsid w:val="00FE1A8B"/>
    <w:rsid w:val="00FE3548"/>
    <w:rsid w:val="00FE68AA"/>
    <w:rsid w:val="00FE6909"/>
    <w:rsid w:val="00FF1DF0"/>
    <w:rsid w:val="00FF6B7C"/>
    <w:rsid w:val="00FF7236"/>
    <w:rsid w:val="014477BD"/>
    <w:rsid w:val="01CE0FC1"/>
    <w:rsid w:val="020D1BFB"/>
    <w:rsid w:val="02A20E4E"/>
    <w:rsid w:val="03E5328D"/>
    <w:rsid w:val="04A01E55"/>
    <w:rsid w:val="04F75053"/>
    <w:rsid w:val="05137986"/>
    <w:rsid w:val="05B3362A"/>
    <w:rsid w:val="076C3229"/>
    <w:rsid w:val="08485DEC"/>
    <w:rsid w:val="086A1537"/>
    <w:rsid w:val="09750C0F"/>
    <w:rsid w:val="0A80457D"/>
    <w:rsid w:val="0B7C1C87"/>
    <w:rsid w:val="0B7F22BA"/>
    <w:rsid w:val="0BA32578"/>
    <w:rsid w:val="0D205EC6"/>
    <w:rsid w:val="0E941B37"/>
    <w:rsid w:val="0EC13EF3"/>
    <w:rsid w:val="0F7A2BCA"/>
    <w:rsid w:val="0FB01DF5"/>
    <w:rsid w:val="104F28C8"/>
    <w:rsid w:val="10F23C46"/>
    <w:rsid w:val="13207AB3"/>
    <w:rsid w:val="13427DB4"/>
    <w:rsid w:val="137102B1"/>
    <w:rsid w:val="14084512"/>
    <w:rsid w:val="15443B59"/>
    <w:rsid w:val="168406E3"/>
    <w:rsid w:val="17793CEF"/>
    <w:rsid w:val="19053261"/>
    <w:rsid w:val="19A737A4"/>
    <w:rsid w:val="1B2304CB"/>
    <w:rsid w:val="1D480CEF"/>
    <w:rsid w:val="1E1931ED"/>
    <w:rsid w:val="1EB916DC"/>
    <w:rsid w:val="1ED003ED"/>
    <w:rsid w:val="1EEC146E"/>
    <w:rsid w:val="1F2B18A9"/>
    <w:rsid w:val="1F3F20C1"/>
    <w:rsid w:val="1F7A3B20"/>
    <w:rsid w:val="1F8F6966"/>
    <w:rsid w:val="21876657"/>
    <w:rsid w:val="21CF4F08"/>
    <w:rsid w:val="2201708C"/>
    <w:rsid w:val="22F55F11"/>
    <w:rsid w:val="23974491"/>
    <w:rsid w:val="264D464E"/>
    <w:rsid w:val="27FA544C"/>
    <w:rsid w:val="28E21466"/>
    <w:rsid w:val="291317EB"/>
    <w:rsid w:val="29795B86"/>
    <w:rsid w:val="29A71CB2"/>
    <w:rsid w:val="29A7336D"/>
    <w:rsid w:val="2C241554"/>
    <w:rsid w:val="2D9543ED"/>
    <w:rsid w:val="2DCC08A9"/>
    <w:rsid w:val="2E674D88"/>
    <w:rsid w:val="2ED93125"/>
    <w:rsid w:val="2EDF69A7"/>
    <w:rsid w:val="2EEF75F0"/>
    <w:rsid w:val="2FF454F8"/>
    <w:rsid w:val="301E6574"/>
    <w:rsid w:val="306F4229"/>
    <w:rsid w:val="30A745D0"/>
    <w:rsid w:val="31F458D0"/>
    <w:rsid w:val="321826E5"/>
    <w:rsid w:val="32852DB6"/>
    <w:rsid w:val="36EA08D4"/>
    <w:rsid w:val="3768666A"/>
    <w:rsid w:val="39E07D10"/>
    <w:rsid w:val="3AA70829"/>
    <w:rsid w:val="3C923802"/>
    <w:rsid w:val="3D4D57B2"/>
    <w:rsid w:val="3E3C73E2"/>
    <w:rsid w:val="3E5727B7"/>
    <w:rsid w:val="3F301791"/>
    <w:rsid w:val="3F3775AD"/>
    <w:rsid w:val="411B759A"/>
    <w:rsid w:val="418F295E"/>
    <w:rsid w:val="422A397F"/>
    <w:rsid w:val="42330A76"/>
    <w:rsid w:val="42F10E75"/>
    <w:rsid w:val="450B03F0"/>
    <w:rsid w:val="463E64D6"/>
    <w:rsid w:val="46AB5E02"/>
    <w:rsid w:val="477365F2"/>
    <w:rsid w:val="486847E4"/>
    <w:rsid w:val="48AE07C0"/>
    <w:rsid w:val="49F52515"/>
    <w:rsid w:val="4A4934DE"/>
    <w:rsid w:val="4BBA5530"/>
    <w:rsid w:val="4D1B7BB7"/>
    <w:rsid w:val="4D425895"/>
    <w:rsid w:val="4F425823"/>
    <w:rsid w:val="516740D9"/>
    <w:rsid w:val="51DD6131"/>
    <w:rsid w:val="52174D54"/>
    <w:rsid w:val="52A44E10"/>
    <w:rsid w:val="534660E0"/>
    <w:rsid w:val="53561F70"/>
    <w:rsid w:val="535B0A42"/>
    <w:rsid w:val="547441C7"/>
    <w:rsid w:val="5A593338"/>
    <w:rsid w:val="5A832992"/>
    <w:rsid w:val="5BF14AB5"/>
    <w:rsid w:val="5C32451C"/>
    <w:rsid w:val="5D623442"/>
    <w:rsid w:val="5D623DDA"/>
    <w:rsid w:val="5E827691"/>
    <w:rsid w:val="5EB47A92"/>
    <w:rsid w:val="5EF21883"/>
    <w:rsid w:val="5F777092"/>
    <w:rsid w:val="5F854ED1"/>
    <w:rsid w:val="5FC10A9A"/>
    <w:rsid w:val="61D05447"/>
    <w:rsid w:val="62922E0D"/>
    <w:rsid w:val="62F772C3"/>
    <w:rsid w:val="641E2686"/>
    <w:rsid w:val="655248B3"/>
    <w:rsid w:val="66596618"/>
    <w:rsid w:val="682765FF"/>
    <w:rsid w:val="68D73B93"/>
    <w:rsid w:val="692E5CD3"/>
    <w:rsid w:val="69840CAF"/>
    <w:rsid w:val="6A903BBC"/>
    <w:rsid w:val="6C3B4109"/>
    <w:rsid w:val="6C73754C"/>
    <w:rsid w:val="6CAE7F1F"/>
    <w:rsid w:val="6DAF0D17"/>
    <w:rsid w:val="6E356AB3"/>
    <w:rsid w:val="6EAB050C"/>
    <w:rsid w:val="6EF34252"/>
    <w:rsid w:val="6EF410D7"/>
    <w:rsid w:val="6F423497"/>
    <w:rsid w:val="6FC75BF2"/>
    <w:rsid w:val="72457E9C"/>
    <w:rsid w:val="745B5755"/>
    <w:rsid w:val="74AF3400"/>
    <w:rsid w:val="760C0F69"/>
    <w:rsid w:val="76932228"/>
    <w:rsid w:val="77387E30"/>
    <w:rsid w:val="774739D0"/>
    <w:rsid w:val="77894D9E"/>
    <w:rsid w:val="77C45B9C"/>
    <w:rsid w:val="79474256"/>
    <w:rsid w:val="79E03CE7"/>
    <w:rsid w:val="7A6747CF"/>
    <w:rsid w:val="7C82779E"/>
    <w:rsid w:val="7CD80985"/>
    <w:rsid w:val="7D76081B"/>
    <w:rsid w:val="7D862415"/>
    <w:rsid w:val="7D8A1B8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unhideWhenUsed="0" w:uiPriority="20" w:semiHidden="0" w:name="Emphasis"/>
    <w:lsdException w:qFormat="1" w:uiPriority="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82"/>
    <w:autoRedefine/>
    <w:qFormat/>
    <w:uiPriority w:val="9"/>
    <w:pPr>
      <w:keepNext/>
      <w:keepLines/>
      <w:spacing w:before="340" w:after="330" w:line="578" w:lineRule="auto"/>
      <w:outlineLvl w:val="0"/>
    </w:pPr>
    <w:rPr>
      <w:b/>
      <w:bCs/>
      <w:kern w:val="44"/>
      <w:sz w:val="44"/>
      <w:szCs w:val="44"/>
      <w:lang w:val="zh-CN"/>
    </w:rPr>
  </w:style>
  <w:style w:type="paragraph" w:styleId="5">
    <w:name w:val="heading 2"/>
    <w:basedOn w:val="1"/>
    <w:next w:val="1"/>
    <w:link w:val="93"/>
    <w:autoRedefine/>
    <w:unhideWhenUsed/>
    <w:qFormat/>
    <w:uiPriority w:val="9"/>
    <w:pPr>
      <w:keepNext/>
      <w:keepLines/>
      <w:spacing w:before="260" w:after="260" w:line="416" w:lineRule="auto"/>
      <w:outlineLvl w:val="1"/>
    </w:pPr>
    <w:rPr>
      <w:rFonts w:ascii="等线 Light" w:hAnsi="等线 Light" w:eastAsia="等线 Light"/>
      <w:b/>
      <w:bCs/>
      <w:sz w:val="32"/>
      <w:szCs w:val="32"/>
    </w:rPr>
  </w:style>
  <w:style w:type="paragraph" w:styleId="6">
    <w:name w:val="heading 3"/>
    <w:basedOn w:val="1"/>
    <w:next w:val="1"/>
    <w:link w:val="96"/>
    <w:autoRedefine/>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102"/>
    <w:autoRedefine/>
    <w:qFormat/>
    <w:uiPriority w:val="0"/>
    <w:pPr>
      <w:keepLines/>
      <w:ind w:firstLine="0" w:firstLineChars="0"/>
      <w:outlineLvl w:val="3"/>
    </w:pPr>
    <w:rPr>
      <w:rFonts w:ascii="Cambria" w:hAnsi="Cambria" w:eastAsia="黑体"/>
      <w:b/>
      <w:bCs/>
      <w:kern w:val="0"/>
      <w:sz w:val="28"/>
      <w:szCs w:val="28"/>
    </w:rPr>
  </w:style>
  <w:style w:type="paragraph" w:styleId="8">
    <w:name w:val="heading 5"/>
    <w:basedOn w:val="1"/>
    <w:next w:val="1"/>
    <w:link w:val="103"/>
    <w:autoRedefine/>
    <w:qFormat/>
    <w:uiPriority w:val="9"/>
    <w:pPr>
      <w:keepLines/>
      <w:numPr>
        <w:ilvl w:val="4"/>
        <w:numId w:val="1"/>
      </w:numPr>
      <w:ind w:firstLineChars="0"/>
      <w:outlineLvl w:val="4"/>
    </w:pPr>
    <w:rPr>
      <w:rFonts w:eastAsia="黑体"/>
      <w:b/>
      <w:bCs/>
      <w:color w:val="000000"/>
      <w:kern w:val="0"/>
      <w:sz w:val="28"/>
      <w:szCs w:val="28"/>
    </w:rPr>
  </w:style>
  <w:style w:type="paragraph" w:styleId="9">
    <w:name w:val="heading 6"/>
    <w:basedOn w:val="1"/>
    <w:next w:val="1"/>
    <w:link w:val="104"/>
    <w:autoRedefine/>
    <w:qFormat/>
    <w:uiPriority w:val="9"/>
    <w:pPr>
      <w:keepNext/>
      <w:keepLines/>
      <w:numPr>
        <w:ilvl w:val="5"/>
        <w:numId w:val="2"/>
      </w:numPr>
      <w:ind w:firstLine="0" w:firstLineChars="0"/>
      <w:outlineLvl w:val="5"/>
    </w:pPr>
    <w:rPr>
      <w:rFonts w:ascii="Cambria" w:hAnsi="Cambria" w:eastAsia="黑体"/>
      <w:bCs/>
      <w:color w:val="000000"/>
      <w:kern w:val="0"/>
      <w:sz w:val="28"/>
      <w:szCs w:val="24"/>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11"/>
    <w:autoRedefine/>
    <w:qFormat/>
    <w:uiPriority w:val="99"/>
    <w:pPr>
      <w:tabs>
        <w:tab w:val="left" w:pos="1260"/>
        <w:tab w:val="left" w:pos="2730"/>
      </w:tabs>
      <w:spacing w:line="240" w:lineRule="auto"/>
      <w:ind w:left="0" w:leftChars="0" w:firstLine="210" w:firstLineChars="0"/>
    </w:pPr>
    <w:rPr>
      <w:rFonts w:ascii="Calibri" w:hAnsi="Calibri"/>
      <w:color w:val="auto"/>
      <w:sz w:val="24"/>
      <w:szCs w:val="20"/>
    </w:rPr>
  </w:style>
  <w:style w:type="paragraph" w:styleId="3">
    <w:name w:val="Body Text Indent"/>
    <w:basedOn w:val="1"/>
    <w:link w:val="106"/>
    <w:autoRedefine/>
    <w:unhideWhenUsed/>
    <w:qFormat/>
    <w:uiPriority w:val="99"/>
    <w:pPr>
      <w:spacing w:after="120"/>
      <w:ind w:left="420" w:leftChars="200"/>
    </w:pPr>
    <w:rPr>
      <w:color w:val="000000"/>
      <w:kern w:val="0"/>
      <w:sz w:val="28"/>
      <w:szCs w:val="21"/>
    </w:rPr>
  </w:style>
  <w:style w:type="paragraph" w:styleId="10">
    <w:name w:val="toc 7"/>
    <w:basedOn w:val="1"/>
    <w:next w:val="1"/>
    <w:autoRedefine/>
    <w:unhideWhenUsed/>
    <w:qFormat/>
    <w:uiPriority w:val="39"/>
    <w:pPr>
      <w:spacing w:line="240" w:lineRule="auto"/>
      <w:ind w:left="2520" w:leftChars="1200" w:firstLine="0" w:firstLineChars="0"/>
    </w:pPr>
    <w:rPr>
      <w:rFonts w:ascii="等线" w:hAnsi="等线" w:eastAsia="等线"/>
      <w:sz w:val="21"/>
    </w:rPr>
  </w:style>
  <w:style w:type="paragraph" w:styleId="11">
    <w:name w:val="caption"/>
    <w:basedOn w:val="1"/>
    <w:next w:val="1"/>
    <w:link w:val="105"/>
    <w:autoRedefine/>
    <w:unhideWhenUsed/>
    <w:qFormat/>
    <w:uiPriority w:val="35"/>
    <w:pPr>
      <w:jc w:val="center"/>
    </w:pPr>
    <w:rPr>
      <w:rFonts w:ascii="等线 Light" w:hAnsi="等线 Light" w:eastAsia="黑体"/>
      <w:sz w:val="21"/>
      <w:szCs w:val="20"/>
    </w:rPr>
  </w:style>
  <w:style w:type="paragraph" w:styleId="12">
    <w:name w:val="Document Map"/>
    <w:basedOn w:val="1"/>
    <w:link w:val="86"/>
    <w:autoRedefine/>
    <w:semiHidden/>
    <w:unhideWhenUsed/>
    <w:qFormat/>
    <w:uiPriority w:val="0"/>
    <w:rPr>
      <w:rFonts w:ascii="宋体"/>
      <w:sz w:val="18"/>
      <w:szCs w:val="18"/>
    </w:rPr>
  </w:style>
  <w:style w:type="paragraph" w:styleId="13">
    <w:name w:val="annotation text"/>
    <w:basedOn w:val="1"/>
    <w:link w:val="94"/>
    <w:autoRedefine/>
    <w:unhideWhenUsed/>
    <w:qFormat/>
    <w:uiPriority w:val="99"/>
    <w:pPr>
      <w:jc w:val="left"/>
    </w:pPr>
  </w:style>
  <w:style w:type="paragraph" w:styleId="14">
    <w:name w:val="Body Text"/>
    <w:basedOn w:val="1"/>
    <w:link w:val="54"/>
    <w:autoRedefine/>
    <w:unhideWhenUsed/>
    <w:qFormat/>
    <w:uiPriority w:val="0"/>
    <w:pPr>
      <w:spacing w:after="120"/>
    </w:pPr>
    <w:rPr>
      <w:lang w:val="zh-CN"/>
    </w:rPr>
  </w:style>
  <w:style w:type="paragraph" w:styleId="15">
    <w:name w:val="toc 5"/>
    <w:basedOn w:val="1"/>
    <w:next w:val="1"/>
    <w:autoRedefine/>
    <w:unhideWhenUsed/>
    <w:qFormat/>
    <w:uiPriority w:val="39"/>
    <w:pPr>
      <w:spacing w:line="240" w:lineRule="auto"/>
      <w:ind w:left="1680" w:leftChars="800" w:firstLine="0" w:firstLineChars="0"/>
    </w:pPr>
    <w:rPr>
      <w:rFonts w:ascii="等线" w:hAnsi="等线" w:eastAsia="等线"/>
      <w:sz w:val="21"/>
    </w:rPr>
  </w:style>
  <w:style w:type="paragraph" w:styleId="16">
    <w:name w:val="toc 3"/>
    <w:basedOn w:val="1"/>
    <w:next w:val="1"/>
    <w:autoRedefine/>
    <w:unhideWhenUsed/>
    <w:qFormat/>
    <w:uiPriority w:val="39"/>
    <w:pPr>
      <w:ind w:left="840" w:leftChars="400"/>
    </w:pPr>
  </w:style>
  <w:style w:type="paragraph" w:styleId="17">
    <w:name w:val="toc 8"/>
    <w:basedOn w:val="1"/>
    <w:next w:val="1"/>
    <w:autoRedefine/>
    <w:unhideWhenUsed/>
    <w:qFormat/>
    <w:uiPriority w:val="39"/>
    <w:pPr>
      <w:spacing w:line="240" w:lineRule="auto"/>
      <w:ind w:left="2940" w:leftChars="1400" w:firstLine="0" w:firstLineChars="0"/>
    </w:pPr>
    <w:rPr>
      <w:rFonts w:ascii="等线" w:hAnsi="等线" w:eastAsia="等线"/>
      <w:sz w:val="21"/>
    </w:rPr>
  </w:style>
  <w:style w:type="paragraph" w:styleId="18">
    <w:name w:val="Balloon Text"/>
    <w:basedOn w:val="1"/>
    <w:link w:val="73"/>
    <w:unhideWhenUsed/>
    <w:qFormat/>
    <w:uiPriority w:val="99"/>
    <w:pPr>
      <w:spacing w:line="240" w:lineRule="auto"/>
    </w:pPr>
    <w:rPr>
      <w:sz w:val="18"/>
      <w:szCs w:val="18"/>
      <w:lang w:val="zh-CN"/>
    </w:rPr>
  </w:style>
  <w:style w:type="paragraph" w:styleId="19">
    <w:name w:val="footer"/>
    <w:basedOn w:val="1"/>
    <w:link w:val="39"/>
    <w:autoRedefine/>
    <w:unhideWhenUsed/>
    <w:qFormat/>
    <w:uiPriority w:val="99"/>
    <w:pPr>
      <w:tabs>
        <w:tab w:val="center" w:pos="4153"/>
        <w:tab w:val="right" w:pos="8306"/>
      </w:tabs>
      <w:snapToGrid w:val="0"/>
      <w:jc w:val="left"/>
    </w:pPr>
    <w:rPr>
      <w:rFonts w:ascii="等线" w:hAnsi="等线" w:eastAsia="等线"/>
      <w:kern w:val="0"/>
      <w:sz w:val="18"/>
      <w:szCs w:val="18"/>
      <w:lang w:val="zh-CN"/>
    </w:rPr>
  </w:style>
  <w:style w:type="paragraph" w:styleId="20">
    <w:name w:val="header"/>
    <w:basedOn w:val="1"/>
    <w:link w:val="38"/>
    <w:autoRedefine/>
    <w:unhideWhenUsed/>
    <w:qFormat/>
    <w:uiPriority w:val="99"/>
    <w:pPr>
      <w:pBdr>
        <w:bottom w:val="single" w:color="auto" w:sz="6" w:space="1"/>
      </w:pBdr>
      <w:tabs>
        <w:tab w:val="center" w:pos="4153"/>
        <w:tab w:val="right" w:pos="8306"/>
      </w:tabs>
      <w:snapToGrid w:val="0"/>
      <w:jc w:val="center"/>
    </w:pPr>
    <w:rPr>
      <w:rFonts w:ascii="等线" w:hAnsi="等线" w:eastAsia="等线"/>
      <w:kern w:val="0"/>
      <w:sz w:val="18"/>
      <w:szCs w:val="18"/>
      <w:lang w:val="zh-CN"/>
    </w:rPr>
  </w:style>
  <w:style w:type="paragraph" w:styleId="21">
    <w:name w:val="toc 1"/>
    <w:basedOn w:val="1"/>
    <w:next w:val="1"/>
    <w:autoRedefine/>
    <w:unhideWhenUsed/>
    <w:qFormat/>
    <w:uiPriority w:val="39"/>
  </w:style>
  <w:style w:type="paragraph" w:styleId="22">
    <w:name w:val="toc 4"/>
    <w:basedOn w:val="1"/>
    <w:next w:val="1"/>
    <w:autoRedefine/>
    <w:unhideWhenUsed/>
    <w:qFormat/>
    <w:uiPriority w:val="39"/>
    <w:pPr>
      <w:spacing w:line="240" w:lineRule="auto"/>
      <w:ind w:left="1260" w:leftChars="600" w:firstLine="0" w:firstLineChars="0"/>
    </w:pPr>
    <w:rPr>
      <w:rFonts w:ascii="等线" w:hAnsi="等线" w:eastAsia="等线"/>
      <w:sz w:val="21"/>
    </w:rPr>
  </w:style>
  <w:style w:type="paragraph" w:styleId="23">
    <w:name w:val="Subtitle"/>
    <w:basedOn w:val="1"/>
    <w:next w:val="1"/>
    <w:link w:val="110"/>
    <w:autoRedefine/>
    <w:qFormat/>
    <w:uiPriority w:val="11"/>
    <w:pPr>
      <w:spacing w:line="240" w:lineRule="auto"/>
      <w:ind w:firstLine="0" w:firstLineChars="0"/>
      <w:jc w:val="center"/>
    </w:pPr>
    <w:rPr>
      <w:rFonts w:ascii="Calibri" w:hAnsi="Calibri" w:eastAsia="黑体"/>
      <w:b/>
      <w:bCs/>
      <w:color w:val="000000"/>
      <w:kern w:val="28"/>
      <w:sz w:val="21"/>
      <w:szCs w:val="32"/>
    </w:rPr>
  </w:style>
  <w:style w:type="paragraph" w:styleId="24">
    <w:name w:val="toc 6"/>
    <w:basedOn w:val="1"/>
    <w:next w:val="1"/>
    <w:autoRedefine/>
    <w:unhideWhenUsed/>
    <w:qFormat/>
    <w:uiPriority w:val="39"/>
    <w:pPr>
      <w:spacing w:line="240" w:lineRule="auto"/>
      <w:ind w:left="2100" w:leftChars="1000" w:firstLine="0" w:firstLineChars="0"/>
    </w:pPr>
    <w:rPr>
      <w:rFonts w:ascii="等线" w:hAnsi="等线" w:eastAsia="等线"/>
      <w:sz w:val="21"/>
    </w:rPr>
  </w:style>
  <w:style w:type="paragraph" w:styleId="25">
    <w:name w:val="toc 2"/>
    <w:basedOn w:val="1"/>
    <w:next w:val="1"/>
    <w:autoRedefine/>
    <w:unhideWhenUsed/>
    <w:qFormat/>
    <w:uiPriority w:val="39"/>
    <w:pPr>
      <w:ind w:left="420" w:leftChars="200"/>
    </w:pPr>
  </w:style>
  <w:style w:type="paragraph" w:styleId="26">
    <w:name w:val="toc 9"/>
    <w:basedOn w:val="1"/>
    <w:next w:val="1"/>
    <w:autoRedefine/>
    <w:unhideWhenUsed/>
    <w:qFormat/>
    <w:uiPriority w:val="39"/>
    <w:pPr>
      <w:spacing w:line="240" w:lineRule="auto"/>
      <w:ind w:left="3360" w:leftChars="1600" w:firstLine="0" w:firstLineChars="0"/>
    </w:pPr>
    <w:rPr>
      <w:rFonts w:ascii="等线" w:hAnsi="等线" w:eastAsia="等线"/>
      <w:sz w:val="21"/>
    </w:rPr>
  </w:style>
  <w:style w:type="paragraph" w:styleId="27">
    <w:name w:val="Normal (Web)"/>
    <w:basedOn w:val="1"/>
    <w:autoRedefine/>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28">
    <w:name w:val="Title"/>
    <w:basedOn w:val="1"/>
    <w:next w:val="1"/>
    <w:link w:val="52"/>
    <w:qFormat/>
    <w:uiPriority w:val="10"/>
    <w:pPr>
      <w:spacing w:before="240" w:after="60"/>
      <w:jc w:val="center"/>
      <w:outlineLvl w:val="0"/>
    </w:pPr>
    <w:rPr>
      <w:rFonts w:ascii="等线 Light" w:hAnsi="等线 Light" w:eastAsia="等线 Light"/>
      <w:b/>
      <w:bCs/>
      <w:kern w:val="0"/>
      <w:sz w:val="32"/>
      <w:szCs w:val="32"/>
      <w:lang w:val="zh-CN"/>
    </w:rPr>
  </w:style>
  <w:style w:type="paragraph" w:styleId="29">
    <w:name w:val="annotation subject"/>
    <w:basedOn w:val="13"/>
    <w:next w:val="13"/>
    <w:link w:val="95"/>
    <w:autoRedefine/>
    <w:unhideWhenUsed/>
    <w:qFormat/>
    <w:uiPriority w:val="99"/>
    <w:rPr>
      <w:b/>
      <w:bCs/>
    </w:rPr>
  </w:style>
  <w:style w:type="table" w:styleId="31">
    <w:name w:val="Table Grid"/>
    <w:basedOn w:val="3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22"/>
    <w:rPr>
      <w:b/>
      <w:bCs/>
    </w:rPr>
  </w:style>
  <w:style w:type="character" w:styleId="34">
    <w:name w:val="page number"/>
    <w:autoRedefine/>
    <w:qFormat/>
    <w:uiPriority w:val="0"/>
  </w:style>
  <w:style w:type="character" w:styleId="35">
    <w:name w:val="FollowedHyperlink"/>
    <w:autoRedefine/>
    <w:unhideWhenUsed/>
    <w:qFormat/>
    <w:uiPriority w:val="99"/>
    <w:rPr>
      <w:color w:val="954F72"/>
      <w:u w:val="single"/>
    </w:rPr>
  </w:style>
  <w:style w:type="character" w:styleId="36">
    <w:name w:val="Hyperlink"/>
    <w:autoRedefine/>
    <w:unhideWhenUsed/>
    <w:qFormat/>
    <w:uiPriority w:val="99"/>
    <w:rPr>
      <w:color w:val="0563C1"/>
      <w:u w:val="single"/>
    </w:rPr>
  </w:style>
  <w:style w:type="character" w:styleId="37">
    <w:name w:val="annotation reference"/>
    <w:autoRedefine/>
    <w:semiHidden/>
    <w:unhideWhenUsed/>
    <w:qFormat/>
    <w:uiPriority w:val="99"/>
    <w:rPr>
      <w:sz w:val="21"/>
      <w:szCs w:val="21"/>
    </w:rPr>
  </w:style>
  <w:style w:type="character" w:customStyle="1" w:styleId="38">
    <w:name w:val="页眉 字符"/>
    <w:link w:val="20"/>
    <w:autoRedefine/>
    <w:qFormat/>
    <w:uiPriority w:val="99"/>
    <w:rPr>
      <w:sz w:val="18"/>
      <w:szCs w:val="18"/>
    </w:rPr>
  </w:style>
  <w:style w:type="character" w:customStyle="1" w:styleId="39">
    <w:name w:val="页脚 字符"/>
    <w:link w:val="19"/>
    <w:autoRedefine/>
    <w:qFormat/>
    <w:uiPriority w:val="99"/>
    <w:rPr>
      <w:sz w:val="18"/>
      <w:szCs w:val="18"/>
    </w:rPr>
  </w:style>
  <w:style w:type="paragraph" w:customStyle="1" w:styleId="40">
    <w:name w:val="一级标题"/>
    <w:basedOn w:val="1"/>
    <w:next w:val="1"/>
    <w:link w:val="42"/>
    <w:autoRedefine/>
    <w:qFormat/>
    <w:uiPriority w:val="0"/>
    <w:pPr>
      <w:numPr>
        <w:ilvl w:val="0"/>
        <w:numId w:val="1"/>
      </w:numPr>
      <w:adjustRightInd w:val="0"/>
      <w:snapToGrid w:val="0"/>
      <w:spacing w:line="288" w:lineRule="auto"/>
      <w:ind w:firstLine="113" w:firstLineChars="0"/>
      <w:outlineLvl w:val="0"/>
    </w:pPr>
    <w:rPr>
      <w:rFonts w:eastAsia="黑体"/>
      <w:b/>
      <w:sz w:val="44"/>
      <w:lang w:val="zh-CN"/>
    </w:rPr>
  </w:style>
  <w:style w:type="paragraph" w:customStyle="1" w:styleId="41">
    <w:name w:val="二级标题"/>
    <w:basedOn w:val="1"/>
    <w:next w:val="1"/>
    <w:link w:val="44"/>
    <w:autoRedefine/>
    <w:qFormat/>
    <w:uiPriority w:val="0"/>
    <w:pPr>
      <w:numPr>
        <w:ilvl w:val="1"/>
        <w:numId w:val="1"/>
      </w:numPr>
      <w:ind w:left="0" w:firstLineChars="0"/>
      <w:outlineLvl w:val="1"/>
    </w:pPr>
    <w:rPr>
      <w:rFonts w:eastAsia="黑体"/>
      <w:sz w:val="32"/>
      <w:lang w:val="zh-CN"/>
    </w:rPr>
  </w:style>
  <w:style w:type="character" w:customStyle="1" w:styleId="42">
    <w:name w:val="一级标题 字符"/>
    <w:link w:val="40"/>
    <w:autoRedefine/>
    <w:qFormat/>
    <w:uiPriority w:val="0"/>
    <w:rPr>
      <w:rFonts w:ascii="Times New Roman" w:hAnsi="Times New Roman" w:eastAsia="黑体"/>
      <w:b/>
      <w:kern w:val="2"/>
      <w:sz w:val="44"/>
      <w:szCs w:val="22"/>
      <w:lang w:val="zh-CN" w:eastAsia="zh-CN"/>
    </w:rPr>
  </w:style>
  <w:style w:type="paragraph" w:customStyle="1" w:styleId="43">
    <w:name w:val="三级标题"/>
    <w:basedOn w:val="1"/>
    <w:next w:val="1"/>
    <w:link w:val="46"/>
    <w:autoRedefine/>
    <w:qFormat/>
    <w:uiPriority w:val="0"/>
    <w:pPr>
      <w:numPr>
        <w:ilvl w:val="2"/>
        <w:numId w:val="1"/>
      </w:numPr>
      <w:ind w:left="0" w:firstLineChars="0"/>
      <w:outlineLvl w:val="2"/>
    </w:pPr>
    <w:rPr>
      <w:rFonts w:eastAsia="黑体"/>
      <w:sz w:val="28"/>
      <w:lang w:val="zh-CN"/>
    </w:rPr>
  </w:style>
  <w:style w:type="character" w:customStyle="1" w:styleId="44">
    <w:name w:val="二级标题 字符"/>
    <w:link w:val="41"/>
    <w:autoRedefine/>
    <w:qFormat/>
    <w:uiPriority w:val="0"/>
    <w:rPr>
      <w:rFonts w:ascii="Times New Roman" w:hAnsi="Times New Roman" w:eastAsia="黑体"/>
      <w:kern w:val="2"/>
      <w:sz w:val="32"/>
      <w:szCs w:val="22"/>
      <w:lang w:val="zh-CN" w:eastAsia="zh-CN"/>
    </w:rPr>
  </w:style>
  <w:style w:type="paragraph" w:customStyle="1" w:styleId="45">
    <w:name w:val="四级标题"/>
    <w:basedOn w:val="1"/>
    <w:next w:val="1"/>
    <w:link w:val="48"/>
    <w:autoRedefine/>
    <w:qFormat/>
    <w:uiPriority w:val="0"/>
    <w:pPr>
      <w:numPr>
        <w:ilvl w:val="3"/>
        <w:numId w:val="1"/>
      </w:numPr>
      <w:adjustRightInd w:val="0"/>
      <w:snapToGrid w:val="0"/>
      <w:spacing w:before="20" w:beforeLines="20" w:after="20" w:afterLines="20" w:line="240" w:lineRule="auto"/>
      <w:ind w:firstLineChars="0"/>
      <w:outlineLvl w:val="3"/>
    </w:pPr>
    <w:rPr>
      <w:rFonts w:eastAsia="黑体"/>
      <w:kern w:val="0"/>
      <w:szCs w:val="20"/>
      <w:lang w:val="zh-CN"/>
    </w:rPr>
  </w:style>
  <w:style w:type="character" w:customStyle="1" w:styleId="46">
    <w:name w:val="三级标题 字符"/>
    <w:link w:val="43"/>
    <w:autoRedefine/>
    <w:qFormat/>
    <w:uiPriority w:val="0"/>
    <w:rPr>
      <w:rFonts w:ascii="Times New Roman" w:hAnsi="Times New Roman" w:eastAsia="黑体"/>
      <w:kern w:val="2"/>
      <w:sz w:val="28"/>
      <w:szCs w:val="22"/>
      <w:lang w:val="zh-CN" w:eastAsia="zh-CN"/>
    </w:rPr>
  </w:style>
  <w:style w:type="paragraph" w:customStyle="1" w:styleId="47">
    <w:name w:val="表格名称"/>
    <w:basedOn w:val="1"/>
    <w:next w:val="1"/>
    <w:link w:val="50"/>
    <w:autoRedefine/>
    <w:qFormat/>
    <w:uiPriority w:val="0"/>
    <w:pPr>
      <w:adjustRightInd w:val="0"/>
      <w:snapToGrid w:val="0"/>
      <w:spacing w:before="20" w:beforeLines="20" w:after="60" w:line="240" w:lineRule="auto"/>
      <w:ind w:firstLine="0" w:firstLineChars="0"/>
      <w:jc w:val="center"/>
    </w:pPr>
    <w:rPr>
      <w:rFonts w:eastAsia="黑体"/>
      <w:lang w:val="zh-CN"/>
    </w:rPr>
  </w:style>
  <w:style w:type="character" w:customStyle="1" w:styleId="48">
    <w:name w:val="四级标题 字符"/>
    <w:link w:val="45"/>
    <w:autoRedefine/>
    <w:qFormat/>
    <w:uiPriority w:val="0"/>
    <w:rPr>
      <w:rFonts w:ascii="Times New Roman" w:hAnsi="Times New Roman" w:eastAsia="黑体"/>
      <w:sz w:val="24"/>
      <w:lang w:val="zh-CN" w:eastAsia="zh-CN"/>
    </w:rPr>
  </w:style>
  <w:style w:type="paragraph" w:customStyle="1" w:styleId="49">
    <w:name w:val="图名称"/>
    <w:basedOn w:val="47"/>
    <w:next w:val="1"/>
    <w:link w:val="51"/>
    <w:autoRedefine/>
    <w:qFormat/>
    <w:uiPriority w:val="0"/>
    <w:pPr>
      <w:spacing w:before="50" w:beforeLines="50" w:after="50" w:afterLines="50"/>
    </w:pPr>
  </w:style>
  <w:style w:type="character" w:customStyle="1" w:styleId="50">
    <w:name w:val="表格名称 字符"/>
    <w:link w:val="47"/>
    <w:autoRedefine/>
    <w:qFormat/>
    <w:uiPriority w:val="0"/>
    <w:rPr>
      <w:rFonts w:ascii="Times New Roman" w:hAnsi="Times New Roman" w:eastAsia="黑体"/>
      <w:kern w:val="2"/>
      <w:sz w:val="24"/>
      <w:szCs w:val="22"/>
      <w:lang w:val="zh-CN" w:eastAsia="zh-CN"/>
    </w:rPr>
  </w:style>
  <w:style w:type="character" w:customStyle="1" w:styleId="51">
    <w:name w:val="图名称 字符"/>
    <w:link w:val="49"/>
    <w:autoRedefine/>
    <w:qFormat/>
    <w:uiPriority w:val="0"/>
    <w:rPr>
      <w:rFonts w:ascii="Times New Roman" w:hAnsi="Times New Roman" w:eastAsia="黑体"/>
      <w:kern w:val="2"/>
      <w:sz w:val="24"/>
      <w:szCs w:val="22"/>
    </w:rPr>
  </w:style>
  <w:style w:type="character" w:customStyle="1" w:styleId="52">
    <w:name w:val="标题 字符"/>
    <w:link w:val="28"/>
    <w:autoRedefine/>
    <w:qFormat/>
    <w:uiPriority w:val="10"/>
    <w:rPr>
      <w:rFonts w:ascii="等线 Light" w:hAnsi="等线 Light" w:eastAsia="等线 Light" w:cs="Times New Roman"/>
      <w:b/>
      <w:bCs/>
      <w:sz w:val="32"/>
      <w:szCs w:val="32"/>
    </w:rPr>
  </w:style>
  <w:style w:type="paragraph" w:styleId="53">
    <w:name w:val="List Paragraph"/>
    <w:basedOn w:val="1"/>
    <w:autoRedefine/>
    <w:qFormat/>
    <w:uiPriority w:val="34"/>
    <w:pPr>
      <w:ind w:firstLine="420"/>
    </w:pPr>
  </w:style>
  <w:style w:type="character" w:customStyle="1" w:styleId="54">
    <w:name w:val="正文文本 字符"/>
    <w:link w:val="14"/>
    <w:autoRedefine/>
    <w:qFormat/>
    <w:uiPriority w:val="0"/>
    <w:rPr>
      <w:rFonts w:ascii="Times New Roman" w:hAnsi="Times New Roman" w:eastAsia="宋体"/>
      <w:kern w:val="2"/>
      <w:sz w:val="24"/>
      <w:szCs w:val="22"/>
    </w:rPr>
  </w:style>
  <w:style w:type="table" w:customStyle="1" w:styleId="55">
    <w:name w:val="Table Normal"/>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56">
    <w:name w:val="Table Normal1"/>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57">
    <w:name w:val="Table Normal2"/>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paragraph" w:customStyle="1" w:styleId="58">
    <w:name w:val="Table Paragraph"/>
    <w:basedOn w:val="1"/>
    <w:autoRedefine/>
    <w:qFormat/>
    <w:uiPriority w:val="1"/>
    <w:pPr>
      <w:spacing w:line="240" w:lineRule="auto"/>
      <w:ind w:firstLine="0" w:firstLineChars="0"/>
      <w:jc w:val="left"/>
    </w:pPr>
    <w:rPr>
      <w:rFonts w:ascii="Calibri" w:hAnsi="Calibri"/>
      <w:kern w:val="0"/>
      <w:sz w:val="22"/>
      <w:lang w:eastAsia="en-US"/>
    </w:rPr>
  </w:style>
  <w:style w:type="table" w:customStyle="1" w:styleId="59">
    <w:name w:val="Table Normal3"/>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0">
    <w:name w:val="Table Normal4"/>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1">
    <w:name w:val="Table Normal5"/>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2">
    <w:name w:val="Table Normal6"/>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3">
    <w:name w:val="Table Normal7"/>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4">
    <w:name w:val="Table Normal8"/>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5">
    <w:name w:val="Table Normal9"/>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6">
    <w:name w:val="Table Normal10"/>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7">
    <w:name w:val="Table Normal11"/>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8">
    <w:name w:val="Table Normal12"/>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69">
    <w:name w:val="Table Normal13"/>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0">
    <w:name w:val="Table Normal14"/>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1">
    <w:name w:val="Table Normal15"/>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2">
    <w:name w:val="Table Normal16"/>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character" w:customStyle="1" w:styleId="73">
    <w:name w:val="批注框文本 字符"/>
    <w:link w:val="18"/>
    <w:autoRedefine/>
    <w:semiHidden/>
    <w:qFormat/>
    <w:uiPriority w:val="99"/>
    <w:rPr>
      <w:rFonts w:ascii="Times New Roman" w:hAnsi="Times New Roman" w:eastAsia="宋体"/>
      <w:kern w:val="2"/>
      <w:sz w:val="18"/>
      <w:szCs w:val="18"/>
    </w:rPr>
  </w:style>
  <w:style w:type="table" w:customStyle="1" w:styleId="74">
    <w:name w:val="Table Normal17"/>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5">
    <w:name w:val="Table Normal18"/>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6">
    <w:name w:val="Table Normal19"/>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7">
    <w:name w:val="Table Normal20"/>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8">
    <w:name w:val="Table Normal21"/>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79">
    <w:name w:val="Table Normal22"/>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80">
    <w:name w:val="Table Normal23"/>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table" w:customStyle="1" w:styleId="81">
    <w:name w:val="Table Normal24"/>
    <w:autoRedefine/>
    <w:semiHidden/>
    <w:unhideWhenUsed/>
    <w:qFormat/>
    <w:uiPriority w:val="2"/>
    <w:pPr>
      <w:widowControl w:val="0"/>
    </w:pPr>
    <w:rPr>
      <w:rFonts w:ascii="Calibri" w:hAnsi="Calibri" w:eastAsia="宋体"/>
      <w:sz w:val="22"/>
      <w:szCs w:val="22"/>
      <w:lang w:eastAsia="en-US"/>
    </w:rPr>
    <w:tblPr>
      <w:tblCellMar>
        <w:top w:w="0" w:type="dxa"/>
        <w:left w:w="0" w:type="dxa"/>
        <w:bottom w:w="0" w:type="dxa"/>
        <w:right w:w="0" w:type="dxa"/>
      </w:tblCellMar>
    </w:tblPr>
  </w:style>
  <w:style w:type="character" w:customStyle="1" w:styleId="82">
    <w:name w:val="标题 1 字符"/>
    <w:link w:val="4"/>
    <w:autoRedefine/>
    <w:qFormat/>
    <w:uiPriority w:val="9"/>
    <w:rPr>
      <w:rFonts w:ascii="Times New Roman" w:hAnsi="Times New Roman" w:eastAsia="宋体"/>
      <w:b/>
      <w:bCs/>
      <w:kern w:val="44"/>
      <w:sz w:val="44"/>
      <w:szCs w:val="44"/>
    </w:rPr>
  </w:style>
  <w:style w:type="paragraph" w:customStyle="1" w:styleId="83">
    <w:name w:val="TOC 标题1"/>
    <w:basedOn w:val="4"/>
    <w:next w:val="1"/>
    <w:autoRedefine/>
    <w:unhideWhenUsed/>
    <w:qFormat/>
    <w:uiPriority w:val="39"/>
    <w:pPr>
      <w:widowControl/>
      <w:spacing w:before="240" w:after="0" w:line="259" w:lineRule="auto"/>
      <w:ind w:firstLine="0" w:firstLineChars="0"/>
      <w:jc w:val="left"/>
      <w:outlineLvl w:val="9"/>
    </w:pPr>
    <w:rPr>
      <w:rFonts w:ascii="等线 Light" w:hAnsi="等线 Light" w:eastAsia="等线 Light"/>
      <w:b w:val="0"/>
      <w:bCs w:val="0"/>
      <w:color w:val="2E74B5"/>
      <w:kern w:val="0"/>
      <w:sz w:val="32"/>
      <w:szCs w:val="32"/>
    </w:rPr>
  </w:style>
  <w:style w:type="character" w:customStyle="1" w:styleId="84">
    <w:name w:val="东华表格文字 Char"/>
    <w:link w:val="85"/>
    <w:autoRedefine/>
    <w:qFormat/>
    <w:uiPriority w:val="0"/>
    <w:rPr>
      <w:rFonts w:eastAsia="仿宋"/>
      <w:sz w:val="21"/>
      <w:szCs w:val="21"/>
    </w:rPr>
  </w:style>
  <w:style w:type="paragraph" w:customStyle="1" w:styleId="85">
    <w:name w:val="东华表格文字"/>
    <w:basedOn w:val="1"/>
    <w:link w:val="84"/>
    <w:autoRedefine/>
    <w:qFormat/>
    <w:uiPriority w:val="0"/>
    <w:pPr>
      <w:widowControl/>
      <w:adjustRightInd w:val="0"/>
      <w:snapToGrid w:val="0"/>
      <w:spacing w:line="240" w:lineRule="auto"/>
      <w:ind w:firstLine="0" w:firstLineChars="0"/>
      <w:jc w:val="center"/>
    </w:pPr>
    <w:rPr>
      <w:rFonts w:ascii="等线" w:hAnsi="等线" w:eastAsia="仿宋"/>
      <w:kern w:val="0"/>
      <w:sz w:val="21"/>
      <w:szCs w:val="21"/>
      <w:lang w:val="zh-CN"/>
    </w:rPr>
  </w:style>
  <w:style w:type="character" w:customStyle="1" w:styleId="86">
    <w:name w:val="文档结构图 字符"/>
    <w:link w:val="12"/>
    <w:autoRedefine/>
    <w:semiHidden/>
    <w:qFormat/>
    <w:uiPriority w:val="99"/>
    <w:rPr>
      <w:rFonts w:ascii="宋体" w:hAnsi="Times New Roman" w:eastAsia="宋体"/>
      <w:kern w:val="2"/>
      <w:sz w:val="18"/>
      <w:szCs w:val="18"/>
    </w:rPr>
  </w:style>
  <w:style w:type="character" w:customStyle="1" w:styleId="87">
    <w:name w:val="【表头】 Char"/>
    <w:link w:val="88"/>
    <w:autoRedefine/>
    <w:qFormat/>
    <w:uiPriority w:val="0"/>
    <w:rPr>
      <w:rFonts w:ascii="Times New Roman" w:hAnsi="Times New Roman" w:eastAsia="黑体"/>
      <w:b/>
      <w:sz w:val="24"/>
      <w:szCs w:val="24"/>
    </w:rPr>
  </w:style>
  <w:style w:type="paragraph" w:customStyle="1" w:styleId="88">
    <w:name w:val="【表头】"/>
    <w:basedOn w:val="1"/>
    <w:link w:val="87"/>
    <w:autoRedefine/>
    <w:qFormat/>
    <w:uiPriority w:val="0"/>
    <w:pPr>
      <w:spacing w:beforeLines="10" w:afterLines="10" w:line="240" w:lineRule="auto"/>
      <w:ind w:firstLine="0" w:firstLineChars="0"/>
      <w:jc w:val="center"/>
    </w:pPr>
    <w:rPr>
      <w:rFonts w:eastAsia="黑体"/>
      <w:b/>
      <w:kern w:val="0"/>
      <w:szCs w:val="24"/>
      <w:lang w:val="zh-CN"/>
    </w:rPr>
  </w:style>
  <w:style w:type="character" w:customStyle="1" w:styleId="89">
    <w:name w:val="表格文字 Char"/>
    <w:link w:val="90"/>
    <w:autoRedefine/>
    <w:qFormat/>
    <w:uiPriority w:val="0"/>
    <w:rPr>
      <w:rFonts w:ascii="Times New Roman" w:hAnsi="Times New Roman" w:eastAsia="宋体"/>
      <w:bCs/>
      <w:kern w:val="2"/>
      <w:sz w:val="21"/>
      <w:lang w:val="zh-CN"/>
    </w:rPr>
  </w:style>
  <w:style w:type="paragraph" w:customStyle="1" w:styleId="90">
    <w:name w:val="表格文字"/>
    <w:basedOn w:val="1"/>
    <w:link w:val="89"/>
    <w:autoRedefine/>
    <w:qFormat/>
    <w:uiPriority w:val="0"/>
    <w:pPr>
      <w:adjustRightInd w:val="0"/>
      <w:snapToGrid w:val="0"/>
      <w:spacing w:line="240" w:lineRule="auto"/>
      <w:ind w:firstLine="0" w:firstLineChars="0"/>
      <w:jc w:val="center"/>
    </w:pPr>
    <w:rPr>
      <w:bCs/>
      <w:sz w:val="21"/>
      <w:szCs w:val="20"/>
      <w:lang w:val="zh-CN"/>
    </w:rPr>
  </w:style>
  <w:style w:type="paragraph" w:customStyle="1" w:styleId="91">
    <w:name w:val="A表内容"/>
    <w:basedOn w:val="1"/>
    <w:autoRedefine/>
    <w:qFormat/>
    <w:uiPriority w:val="0"/>
    <w:pPr>
      <w:widowControl/>
      <w:adjustRightInd w:val="0"/>
      <w:snapToGrid w:val="0"/>
      <w:spacing w:line="340" w:lineRule="exact"/>
      <w:ind w:firstLine="0" w:firstLineChars="0"/>
      <w:jc w:val="center"/>
    </w:pPr>
    <w:rPr>
      <w:kern w:val="0"/>
      <w:sz w:val="21"/>
      <w:szCs w:val="21"/>
    </w:rPr>
  </w:style>
  <w:style w:type="character" w:customStyle="1" w:styleId="92">
    <w:name w:val="页脚 Char"/>
    <w:autoRedefine/>
    <w:qFormat/>
    <w:uiPriority w:val="99"/>
    <w:rPr>
      <w:lang w:eastAsia="zh-CN"/>
    </w:rPr>
  </w:style>
  <w:style w:type="character" w:customStyle="1" w:styleId="93">
    <w:name w:val="标题 2 字符"/>
    <w:link w:val="5"/>
    <w:autoRedefine/>
    <w:qFormat/>
    <w:uiPriority w:val="9"/>
    <w:rPr>
      <w:rFonts w:ascii="等线 Light" w:hAnsi="等线 Light" w:eastAsia="等线 Light" w:cs="Times New Roman"/>
      <w:b/>
      <w:bCs/>
      <w:kern w:val="2"/>
      <w:sz w:val="32"/>
      <w:szCs w:val="32"/>
    </w:rPr>
  </w:style>
  <w:style w:type="character" w:customStyle="1" w:styleId="94">
    <w:name w:val="批注文字 字符"/>
    <w:link w:val="13"/>
    <w:autoRedefine/>
    <w:semiHidden/>
    <w:qFormat/>
    <w:uiPriority w:val="99"/>
    <w:rPr>
      <w:rFonts w:ascii="Times New Roman" w:hAnsi="Times New Roman" w:eastAsia="宋体"/>
      <w:kern w:val="2"/>
      <w:sz w:val="24"/>
      <w:szCs w:val="22"/>
    </w:rPr>
  </w:style>
  <w:style w:type="character" w:customStyle="1" w:styleId="95">
    <w:name w:val="批注主题 字符"/>
    <w:link w:val="29"/>
    <w:autoRedefine/>
    <w:semiHidden/>
    <w:qFormat/>
    <w:uiPriority w:val="99"/>
    <w:rPr>
      <w:rFonts w:ascii="Times New Roman" w:hAnsi="Times New Roman" w:eastAsia="宋体"/>
      <w:b/>
      <w:bCs/>
      <w:kern w:val="2"/>
      <w:sz w:val="24"/>
      <w:szCs w:val="22"/>
    </w:rPr>
  </w:style>
  <w:style w:type="character" w:customStyle="1" w:styleId="96">
    <w:name w:val="标题 3 字符"/>
    <w:link w:val="6"/>
    <w:autoRedefine/>
    <w:qFormat/>
    <w:uiPriority w:val="9"/>
    <w:rPr>
      <w:rFonts w:ascii="Times New Roman" w:hAnsi="Times New Roman" w:eastAsia="宋体"/>
      <w:b/>
      <w:bCs/>
      <w:kern w:val="2"/>
      <w:sz w:val="32"/>
      <w:szCs w:val="32"/>
    </w:rPr>
  </w:style>
  <w:style w:type="paragraph" w:customStyle="1" w:styleId="97">
    <w:name w:val="修订1"/>
    <w:autoRedefine/>
    <w:hidden/>
    <w:semiHidden/>
    <w:qFormat/>
    <w:uiPriority w:val="99"/>
    <w:rPr>
      <w:rFonts w:ascii="Times New Roman" w:hAnsi="Times New Roman" w:eastAsia="宋体" w:cs="Times New Roman"/>
      <w:kern w:val="2"/>
      <w:sz w:val="24"/>
      <w:szCs w:val="22"/>
      <w:lang w:val="en-US" w:eastAsia="zh-CN" w:bidi="ar-SA"/>
    </w:rPr>
  </w:style>
  <w:style w:type="paragraph" w:customStyle="1" w:styleId="98">
    <w:name w:val="表头"/>
    <w:basedOn w:val="1"/>
    <w:next w:val="1"/>
    <w:autoRedefine/>
    <w:qFormat/>
    <w:uiPriority w:val="0"/>
    <w:pPr>
      <w:spacing w:line="240" w:lineRule="auto"/>
      <w:ind w:firstLine="0" w:firstLineChars="0"/>
      <w:jc w:val="center"/>
    </w:pPr>
    <w:rPr>
      <w:rFonts w:ascii="黑体" w:hAnsi="Calibri" w:eastAsia="黑体" w:cs="Calibri"/>
      <w:bCs/>
      <w:color w:val="000000"/>
      <w:kern w:val="0"/>
      <w:sz w:val="32"/>
      <w:szCs w:val="20"/>
    </w:rPr>
  </w:style>
  <w:style w:type="paragraph" w:customStyle="1" w:styleId="99">
    <w:name w:val="nilo_标题4"/>
    <w:basedOn w:val="1"/>
    <w:autoRedefine/>
    <w:qFormat/>
    <w:uiPriority w:val="0"/>
    <w:pPr>
      <w:numPr>
        <w:ilvl w:val="4"/>
        <w:numId w:val="3"/>
      </w:numPr>
      <w:tabs>
        <w:tab w:val="left" w:pos="210"/>
      </w:tabs>
      <w:ind w:firstLine="0" w:firstLineChars="0"/>
      <w:outlineLvl w:val="4"/>
    </w:pPr>
    <w:rPr>
      <w:rFonts w:ascii="黑体" w:hAnsi="宋体" w:eastAsia="黑体"/>
      <w:b/>
      <w:sz w:val="21"/>
      <w:szCs w:val="24"/>
    </w:rPr>
  </w:style>
  <w:style w:type="character" w:customStyle="1" w:styleId="100">
    <w:name w:val="表格文字 Char Char"/>
    <w:autoRedefine/>
    <w:qFormat/>
    <w:uiPriority w:val="0"/>
    <w:rPr>
      <w:rFonts w:eastAsia="宋体"/>
      <w:kern w:val="2"/>
      <w:sz w:val="24"/>
      <w:lang w:val="en-US" w:eastAsia="zh-CN" w:bidi="ar-SA"/>
    </w:rPr>
  </w:style>
  <w:style w:type="table" w:customStyle="1" w:styleId="101">
    <w:name w:val="网格型1"/>
    <w:basedOn w:val="30"/>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2">
    <w:name w:val="标题 4 字符"/>
    <w:link w:val="7"/>
    <w:autoRedefine/>
    <w:qFormat/>
    <w:uiPriority w:val="0"/>
    <w:rPr>
      <w:rFonts w:ascii="Cambria" w:hAnsi="Cambria" w:eastAsia="黑体"/>
      <w:b/>
      <w:bCs/>
      <w:sz w:val="28"/>
      <w:szCs w:val="28"/>
    </w:rPr>
  </w:style>
  <w:style w:type="character" w:customStyle="1" w:styleId="103">
    <w:name w:val="标题 5 字符"/>
    <w:link w:val="8"/>
    <w:autoRedefine/>
    <w:qFormat/>
    <w:uiPriority w:val="9"/>
    <w:rPr>
      <w:rFonts w:ascii="Times New Roman" w:hAnsi="Times New Roman" w:eastAsia="黑体"/>
      <w:b/>
      <w:bCs/>
      <w:color w:val="000000"/>
      <w:sz w:val="28"/>
      <w:szCs w:val="28"/>
    </w:rPr>
  </w:style>
  <w:style w:type="character" w:customStyle="1" w:styleId="104">
    <w:name w:val="标题 6 字符"/>
    <w:link w:val="9"/>
    <w:autoRedefine/>
    <w:qFormat/>
    <w:uiPriority w:val="9"/>
    <w:rPr>
      <w:rFonts w:ascii="Cambria" w:hAnsi="Cambria" w:eastAsia="黑体"/>
      <w:bCs/>
      <w:color w:val="000000"/>
      <w:sz w:val="28"/>
      <w:szCs w:val="24"/>
    </w:rPr>
  </w:style>
  <w:style w:type="character" w:customStyle="1" w:styleId="105">
    <w:name w:val="题注 字符"/>
    <w:link w:val="11"/>
    <w:autoRedefine/>
    <w:qFormat/>
    <w:uiPriority w:val="35"/>
    <w:rPr>
      <w:rFonts w:ascii="等线 Light" w:hAnsi="等线 Light" w:eastAsia="黑体"/>
      <w:kern w:val="2"/>
      <w:sz w:val="21"/>
    </w:rPr>
  </w:style>
  <w:style w:type="character" w:customStyle="1" w:styleId="106">
    <w:name w:val="正文文本缩进 字符"/>
    <w:link w:val="3"/>
    <w:autoRedefine/>
    <w:qFormat/>
    <w:uiPriority w:val="99"/>
    <w:rPr>
      <w:rFonts w:ascii="Times New Roman" w:hAnsi="Times New Roman" w:eastAsia="宋体"/>
      <w:color w:val="000000"/>
      <w:sz w:val="28"/>
      <w:szCs w:val="21"/>
    </w:rPr>
  </w:style>
  <w:style w:type="character" w:customStyle="1" w:styleId="107">
    <w:name w:val="页脚 字符1"/>
    <w:autoRedefine/>
    <w:qFormat/>
    <w:uiPriority w:val="99"/>
    <w:rPr>
      <w:sz w:val="18"/>
      <w:szCs w:val="18"/>
    </w:rPr>
  </w:style>
  <w:style w:type="character" w:customStyle="1" w:styleId="108">
    <w:name w:val="页眉 字符1"/>
    <w:autoRedefine/>
    <w:qFormat/>
    <w:uiPriority w:val="99"/>
    <w:rPr>
      <w:sz w:val="18"/>
      <w:szCs w:val="18"/>
    </w:rPr>
  </w:style>
  <w:style w:type="character" w:customStyle="1" w:styleId="109">
    <w:name w:val="副标题 字符"/>
    <w:autoRedefine/>
    <w:qFormat/>
    <w:uiPriority w:val="11"/>
    <w:rPr>
      <w:rFonts w:ascii="等线 Light" w:hAnsi="等线 Light" w:eastAsia="宋体" w:cs="Times New Roman"/>
      <w:b/>
      <w:bCs/>
      <w:kern w:val="28"/>
      <w:sz w:val="32"/>
      <w:szCs w:val="32"/>
    </w:rPr>
  </w:style>
  <w:style w:type="character" w:customStyle="1" w:styleId="110">
    <w:name w:val="副标题 字符2"/>
    <w:link w:val="23"/>
    <w:autoRedefine/>
    <w:qFormat/>
    <w:uiPriority w:val="11"/>
    <w:rPr>
      <w:rFonts w:ascii="Calibri" w:hAnsi="Calibri" w:eastAsia="黑体"/>
      <w:b/>
      <w:bCs/>
      <w:color w:val="000000"/>
      <w:kern w:val="28"/>
      <w:sz w:val="21"/>
      <w:szCs w:val="32"/>
    </w:rPr>
  </w:style>
  <w:style w:type="character" w:customStyle="1" w:styleId="111">
    <w:name w:val="正文首行缩进 2 字符"/>
    <w:link w:val="2"/>
    <w:autoRedefine/>
    <w:qFormat/>
    <w:uiPriority w:val="99"/>
    <w:rPr>
      <w:rFonts w:ascii="Calibri" w:hAnsi="Calibri" w:eastAsia="宋体"/>
      <w:color w:val="000000"/>
      <w:sz w:val="24"/>
      <w:szCs w:val="21"/>
    </w:rPr>
  </w:style>
  <w:style w:type="paragraph" w:styleId="112">
    <w:name w:val="No Spacing"/>
    <w:autoRedefine/>
    <w:qFormat/>
    <w:uiPriority w:val="1"/>
    <w:pPr>
      <w:widowControl w:val="0"/>
      <w:spacing w:line="276" w:lineRule="auto"/>
      <w:jc w:val="both"/>
    </w:pPr>
    <w:rPr>
      <w:rFonts w:ascii="Times New Roman" w:hAnsi="Times New Roman" w:eastAsia="宋体" w:cs="Times New Roman"/>
      <w:color w:val="000000"/>
      <w:sz w:val="21"/>
      <w:szCs w:val="21"/>
      <w:lang w:val="en-US" w:eastAsia="zh-CN" w:bidi="ar-SA"/>
    </w:rPr>
  </w:style>
  <w:style w:type="character" w:customStyle="1" w:styleId="113">
    <w:name w:val="不明显强调1"/>
    <w:autoRedefine/>
    <w:qFormat/>
    <w:uiPriority w:val="19"/>
    <w:rPr>
      <w:i/>
      <w:iCs/>
      <w:color w:val="000000"/>
    </w:rPr>
  </w:style>
  <w:style w:type="character" w:customStyle="1" w:styleId="114">
    <w:name w:val="内容 Char"/>
    <w:link w:val="115"/>
    <w:autoRedefine/>
    <w:qFormat/>
    <w:uiPriority w:val="0"/>
    <w:rPr>
      <w:rFonts w:ascii="宋体" w:cs="宋体"/>
      <w:color w:val="000000"/>
    </w:rPr>
  </w:style>
  <w:style w:type="paragraph" w:customStyle="1" w:styleId="115">
    <w:name w:val="内容"/>
    <w:basedOn w:val="1"/>
    <w:link w:val="114"/>
    <w:autoRedefine/>
    <w:qFormat/>
    <w:uiPriority w:val="0"/>
    <w:pPr>
      <w:spacing w:after="60" w:line="500" w:lineRule="exact"/>
      <w:jc w:val="left"/>
    </w:pPr>
    <w:rPr>
      <w:rFonts w:ascii="宋体" w:hAnsi="等线" w:eastAsia="等线" w:cs="宋体"/>
      <w:color w:val="000000"/>
      <w:kern w:val="0"/>
      <w:sz w:val="20"/>
      <w:szCs w:val="20"/>
    </w:rPr>
  </w:style>
  <w:style w:type="table" w:customStyle="1" w:styleId="116">
    <w:name w:val="表格样式1"/>
    <w:basedOn w:val="30"/>
    <w:autoRedefine/>
    <w:qFormat/>
    <w:uiPriority w:val="0"/>
    <w:pPr>
      <w:jc w:val="center"/>
    </w:pPr>
    <w:rPr>
      <w:rFonts w:ascii="Times New Roman" w:hAnsi="Times New Roman" w:eastAsia="宋体"/>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117">
    <w:name w:val="网格型2"/>
    <w:basedOn w:val="30"/>
    <w:autoRedefine/>
    <w:qFormat/>
    <w:uiPriority w:val="3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8">
    <w:name w:val="TOC 标题11"/>
    <w:basedOn w:val="4"/>
    <w:next w:val="1"/>
    <w:autoRedefine/>
    <w:unhideWhenUsed/>
    <w:qFormat/>
    <w:uiPriority w:val="39"/>
    <w:pPr>
      <w:keepNext w:val="0"/>
      <w:spacing w:before="240" w:after="0" w:line="259" w:lineRule="auto"/>
      <w:ind w:firstLine="0" w:firstLineChars="0"/>
      <w:jc w:val="left"/>
      <w:outlineLvl w:val="9"/>
    </w:pPr>
    <w:rPr>
      <w:rFonts w:ascii="Cambria" w:hAnsi="Cambria"/>
      <w:b w:val="0"/>
      <w:bCs w:val="0"/>
      <w:color w:val="365F91"/>
      <w:kern w:val="0"/>
      <w:sz w:val="32"/>
      <w:szCs w:val="32"/>
      <w:lang w:val="en-US"/>
    </w:rPr>
  </w:style>
  <w:style w:type="paragraph" w:styleId="119">
    <w:name w:val="Quote"/>
    <w:basedOn w:val="1"/>
    <w:next w:val="1"/>
    <w:link w:val="120"/>
    <w:autoRedefine/>
    <w:qFormat/>
    <w:uiPriority w:val="29"/>
    <w:pPr>
      <w:spacing w:line="240" w:lineRule="auto"/>
      <w:ind w:firstLine="0" w:firstLineChars="0"/>
    </w:pPr>
    <w:rPr>
      <w:rFonts w:ascii="Calibri" w:hAnsi="Calibri" w:eastAsia="Times New Roman"/>
      <w:iCs/>
      <w:color w:val="000000"/>
      <w:sz w:val="28"/>
    </w:rPr>
  </w:style>
  <w:style w:type="character" w:customStyle="1" w:styleId="120">
    <w:name w:val="引用 字符"/>
    <w:link w:val="119"/>
    <w:autoRedefine/>
    <w:qFormat/>
    <w:uiPriority w:val="29"/>
    <w:rPr>
      <w:rFonts w:ascii="Calibri" w:hAnsi="Calibri" w:eastAsia="Times New Roman"/>
      <w:iCs/>
      <w:color w:val="000000"/>
      <w:kern w:val="2"/>
      <w:sz w:val="28"/>
      <w:szCs w:val="22"/>
    </w:rPr>
  </w:style>
  <w:style w:type="character" w:customStyle="1" w:styleId="121">
    <w:name w:val="font61"/>
    <w:autoRedefine/>
    <w:qFormat/>
    <w:uiPriority w:val="0"/>
    <w:rPr>
      <w:rFonts w:ascii="宋体" w:hAnsi="宋体" w:eastAsia="宋体" w:cs="宋体"/>
      <w:color w:val="000000"/>
      <w:sz w:val="18"/>
      <w:szCs w:val="18"/>
      <w:u w:val="none"/>
    </w:rPr>
  </w:style>
  <w:style w:type="character" w:customStyle="1" w:styleId="122">
    <w:name w:val="font11"/>
    <w:autoRedefine/>
    <w:qFormat/>
    <w:uiPriority w:val="0"/>
    <w:rPr>
      <w:rFonts w:hint="default" w:ascii="Times New Roman" w:hAnsi="Times New Roman" w:cs="Times New Roman"/>
      <w:color w:val="000000"/>
      <w:sz w:val="18"/>
      <w:szCs w:val="18"/>
      <w:u w:val="none"/>
    </w:rPr>
  </w:style>
  <w:style w:type="character" w:customStyle="1" w:styleId="123">
    <w:name w:val="font31"/>
    <w:autoRedefine/>
    <w:qFormat/>
    <w:uiPriority w:val="0"/>
    <w:rPr>
      <w:rFonts w:ascii="宋体" w:hAnsi="宋体" w:eastAsia="宋体" w:cs="宋体"/>
      <w:color w:val="000000"/>
      <w:sz w:val="18"/>
      <w:szCs w:val="18"/>
      <w:u w:val="none"/>
    </w:rPr>
  </w:style>
  <w:style w:type="character" w:customStyle="1" w:styleId="124">
    <w:name w:val="font51"/>
    <w:autoRedefine/>
    <w:qFormat/>
    <w:uiPriority w:val="0"/>
    <w:rPr>
      <w:rFonts w:hint="default" w:ascii="Times New Roman" w:hAnsi="Times New Roman" w:cs="Times New Roman"/>
      <w:color w:val="000000"/>
      <w:sz w:val="18"/>
      <w:szCs w:val="18"/>
      <w:u w:val="none"/>
    </w:rPr>
  </w:style>
  <w:style w:type="character" w:customStyle="1" w:styleId="125">
    <w:name w:val="font71"/>
    <w:autoRedefine/>
    <w:qFormat/>
    <w:uiPriority w:val="0"/>
    <w:rPr>
      <w:rFonts w:hint="eastAsia" w:ascii="宋体" w:hAnsi="宋体" w:eastAsia="宋体" w:cs="宋体"/>
      <w:color w:val="000000"/>
      <w:sz w:val="18"/>
      <w:szCs w:val="18"/>
      <w:u w:val="none"/>
    </w:rPr>
  </w:style>
  <w:style w:type="character" w:customStyle="1" w:styleId="126">
    <w:name w:val="font41"/>
    <w:autoRedefine/>
    <w:qFormat/>
    <w:uiPriority w:val="0"/>
    <w:rPr>
      <w:rFonts w:hint="eastAsia" w:ascii="宋体" w:hAnsi="宋体" w:eastAsia="宋体" w:cs="宋体"/>
      <w:color w:val="000000"/>
      <w:sz w:val="18"/>
      <w:szCs w:val="18"/>
      <w:u w:val="none"/>
    </w:rPr>
  </w:style>
  <w:style w:type="character" w:customStyle="1" w:styleId="127">
    <w:name w:val="font81"/>
    <w:autoRedefine/>
    <w:qFormat/>
    <w:uiPriority w:val="0"/>
    <w:rPr>
      <w:rFonts w:hint="default" w:ascii="Times New Roman" w:hAnsi="Times New Roman" w:cs="Times New Roman"/>
      <w:color w:val="FF0000"/>
      <w:sz w:val="18"/>
      <w:szCs w:val="18"/>
      <w:u w:val="none"/>
    </w:rPr>
  </w:style>
  <w:style w:type="character" w:customStyle="1" w:styleId="128">
    <w:name w:val="font21"/>
    <w:autoRedefine/>
    <w:qFormat/>
    <w:uiPriority w:val="0"/>
    <w:rPr>
      <w:rFonts w:ascii="宋体" w:hAnsi="宋体" w:eastAsia="宋体" w:cs="宋体"/>
      <w:color w:val="FF0000"/>
      <w:sz w:val="18"/>
      <w:szCs w:val="18"/>
      <w:u w:val="none"/>
    </w:rPr>
  </w:style>
  <w:style w:type="character" w:customStyle="1" w:styleId="129">
    <w:name w:val="font91"/>
    <w:autoRedefine/>
    <w:qFormat/>
    <w:uiPriority w:val="0"/>
    <w:rPr>
      <w:rFonts w:hint="default" w:ascii="Times New Roman" w:hAnsi="Times New Roman" w:cs="Times New Roman"/>
      <w:color w:val="FF0000"/>
      <w:sz w:val="18"/>
      <w:szCs w:val="18"/>
      <w:u w:val="none"/>
    </w:rPr>
  </w:style>
  <w:style w:type="character" w:customStyle="1" w:styleId="130">
    <w:name w:val="font101"/>
    <w:autoRedefine/>
    <w:qFormat/>
    <w:uiPriority w:val="0"/>
    <w:rPr>
      <w:rFonts w:hint="default" w:ascii="Times New Roman" w:hAnsi="Times New Roman" w:cs="Times New Roman"/>
      <w:color w:val="000000"/>
      <w:sz w:val="12"/>
      <w:szCs w:val="12"/>
      <w:u w:val="none"/>
      <w:vertAlign w:val="superscript"/>
    </w:rPr>
  </w:style>
  <w:style w:type="character" w:customStyle="1" w:styleId="131">
    <w:name w:val="font01"/>
    <w:autoRedefine/>
    <w:qFormat/>
    <w:uiPriority w:val="0"/>
    <w:rPr>
      <w:rFonts w:hint="default" w:ascii="TimesNewRomanPSMT" w:hAnsi="TimesNewRomanPSMT" w:eastAsia="TimesNewRomanPSMT" w:cs="TimesNewRomanPSMT"/>
      <w:color w:val="000000"/>
      <w:sz w:val="18"/>
      <w:szCs w:val="18"/>
      <w:u w:val="none"/>
    </w:rPr>
  </w:style>
  <w:style w:type="paragraph" w:customStyle="1" w:styleId="132">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33">
    <w:name w:val="font5"/>
    <w:basedOn w:val="1"/>
    <w:autoRedefine/>
    <w:qFormat/>
    <w:uiPriority w:val="0"/>
    <w:pPr>
      <w:widowControl/>
      <w:spacing w:before="100" w:beforeAutospacing="1" w:after="100" w:afterAutospacing="1" w:line="240" w:lineRule="auto"/>
      <w:ind w:firstLine="0" w:firstLineChars="0"/>
      <w:jc w:val="left"/>
    </w:pPr>
    <w:rPr>
      <w:rFonts w:ascii="TimesNewRomanPSMT" w:hAnsi="TimesNewRomanPSMT" w:cs="宋体"/>
      <w:color w:val="000000"/>
      <w:kern w:val="0"/>
      <w:sz w:val="18"/>
      <w:szCs w:val="18"/>
    </w:rPr>
  </w:style>
  <w:style w:type="paragraph" w:customStyle="1" w:styleId="134">
    <w:name w:val="font6"/>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35">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3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TimesNewRomanPSMT" w:hAnsi="TimesNewRomanPSMT" w:cs="宋体"/>
      <w:color w:val="000000"/>
      <w:kern w:val="0"/>
      <w:sz w:val="18"/>
      <w:szCs w:val="18"/>
    </w:rPr>
  </w:style>
  <w:style w:type="paragraph" w:customStyle="1" w:styleId="13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138">
    <w:name w:val="xl68"/>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39">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NewRomanPSMT" w:hAnsi="TimesNewRomanPSMT" w:cs="宋体"/>
      <w:color w:val="000000"/>
      <w:kern w:val="0"/>
      <w:sz w:val="18"/>
      <w:szCs w:val="18"/>
    </w:rPr>
  </w:style>
  <w:style w:type="character" w:customStyle="1" w:styleId="140">
    <w:name w:val="fontstyle01"/>
    <w:autoRedefine/>
    <w:qFormat/>
    <w:uiPriority w:val="0"/>
    <w:rPr>
      <w:rFonts w:hint="eastAsia" w:ascii="黑体" w:hAnsi="黑体" w:eastAsia="黑体"/>
      <w:color w:val="000000"/>
      <w:sz w:val="24"/>
      <w:szCs w:val="24"/>
    </w:rPr>
  </w:style>
  <w:style w:type="paragraph" w:customStyle="1" w:styleId="141">
    <w:name w:val="font7"/>
    <w:basedOn w:val="1"/>
    <w:autoRedefine/>
    <w:qFormat/>
    <w:uiPriority w:val="0"/>
    <w:pPr>
      <w:widowControl/>
      <w:spacing w:before="100" w:beforeAutospacing="1" w:after="100" w:afterAutospacing="1" w:line="240" w:lineRule="auto"/>
      <w:ind w:firstLine="0" w:firstLineChars="0"/>
      <w:jc w:val="left"/>
    </w:pPr>
    <w:rPr>
      <w:rFonts w:ascii="TimesNewRomanPSMT" w:hAnsi="TimesNewRomanPSMT" w:cs="宋体"/>
      <w:color w:val="000000"/>
      <w:kern w:val="0"/>
      <w:sz w:val="12"/>
      <w:szCs w:val="12"/>
    </w:rPr>
  </w:style>
  <w:style w:type="paragraph" w:customStyle="1" w:styleId="14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eastAsia="等线" w:cs="宋体"/>
      <w:color w:val="000000"/>
      <w:kern w:val="0"/>
      <w:sz w:val="18"/>
      <w:szCs w:val="18"/>
    </w:rPr>
  </w:style>
  <w:style w:type="paragraph" w:customStyle="1" w:styleId="143">
    <w:name w:val="font8"/>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44">
    <w:name w:val="font9"/>
    <w:basedOn w:val="1"/>
    <w:autoRedefine/>
    <w:qFormat/>
    <w:uiPriority w:val="0"/>
    <w:pPr>
      <w:widowControl/>
      <w:spacing w:before="100" w:beforeAutospacing="1" w:after="100" w:afterAutospacing="1" w:line="240" w:lineRule="auto"/>
      <w:ind w:firstLine="0" w:firstLineChars="0"/>
      <w:jc w:val="left"/>
    </w:pPr>
    <w:rPr>
      <w:rFonts w:ascii="TimesNewRomanPSMT" w:hAnsi="TimesNewRomanPSMT" w:cs="宋体"/>
      <w:color w:val="000000"/>
      <w:kern w:val="0"/>
      <w:sz w:val="12"/>
      <w:szCs w:val="12"/>
    </w:rPr>
  </w:style>
  <w:style w:type="paragraph" w:customStyle="1" w:styleId="145">
    <w:name w:val="xl7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黑体" w:hAnsi="黑体" w:eastAsia="黑体" w:cs="宋体"/>
      <w:color w:val="000000"/>
      <w:kern w:val="0"/>
      <w:szCs w:val="24"/>
    </w:rPr>
  </w:style>
  <w:style w:type="paragraph" w:customStyle="1" w:styleId="146">
    <w:name w:val="xl72"/>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黑体" w:hAnsi="黑体" w:eastAsia="黑体" w:cs="宋体"/>
      <w:color w:val="000000"/>
      <w:kern w:val="0"/>
      <w:szCs w:val="24"/>
    </w:rPr>
  </w:style>
  <w:style w:type="paragraph" w:customStyle="1" w:styleId="147">
    <w:name w:val="xl7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黑体" w:hAnsi="黑体" w:eastAsia="黑体" w:cs="宋体"/>
      <w:color w:val="000000"/>
      <w:kern w:val="0"/>
      <w:szCs w:val="24"/>
    </w:rPr>
  </w:style>
  <w:style w:type="character" w:customStyle="1" w:styleId="148">
    <w:name w:val="副标题 字符1"/>
    <w:autoRedefine/>
    <w:qFormat/>
    <w:uiPriority w:val="11"/>
    <w:rPr>
      <w:rFonts w:ascii="Calibri" w:hAnsi="Calibri" w:eastAsia="黑体" w:cs="Times New Roman"/>
      <w:b/>
      <w:bCs/>
      <w:color w:val="000000"/>
      <w:kern w:val="28"/>
      <w:szCs w:val="32"/>
    </w:rPr>
  </w:style>
  <w:style w:type="character" w:customStyle="1" w:styleId="149">
    <w:name w:val="fontstyle11"/>
    <w:autoRedefine/>
    <w:qFormat/>
    <w:uiPriority w:val="0"/>
    <w:rPr>
      <w:rFonts w:hint="eastAsia" w:ascii="宋体" w:hAnsi="宋体" w:eastAsia="宋体"/>
      <w:color w:val="000000"/>
      <w:sz w:val="18"/>
      <w:szCs w:val="18"/>
    </w:rPr>
  </w:style>
  <w:style w:type="character" w:customStyle="1" w:styleId="150">
    <w:name w:val="正文文本首行缩进 2 字符"/>
    <w:autoRedefine/>
    <w:semiHidden/>
    <w:qFormat/>
    <w:uiPriority w:val="99"/>
  </w:style>
  <w:style w:type="character" w:customStyle="1" w:styleId="151">
    <w:name w:val="标题 4 字符1"/>
    <w:autoRedefine/>
    <w:qFormat/>
    <w:uiPriority w:val="0"/>
    <w:rPr>
      <w:rFonts w:eastAsia="黑体"/>
      <w:bCs/>
      <w:kern w:val="2"/>
      <w:sz w:val="28"/>
      <w:szCs w:val="28"/>
      <w:lang w:val="en-US" w:eastAsia="zh-CN" w:bidi="ar-SA"/>
    </w:rPr>
  </w:style>
  <w:style w:type="paragraph" w:customStyle="1" w:styleId="152">
    <w:name w:val="dydy正文"/>
    <w:basedOn w:val="1"/>
    <w:autoRedefine/>
    <w:qFormat/>
    <w:uiPriority w:val="99"/>
    <w:pPr>
      <w:widowControl/>
      <w:spacing w:line="500" w:lineRule="exact"/>
      <w:jc w:val="left"/>
    </w:pPr>
    <w:rPr>
      <w:rFonts w:eastAsia="华文中宋"/>
      <w:szCs w:val="24"/>
    </w:rPr>
  </w:style>
  <w:style w:type="character" w:customStyle="1" w:styleId="153">
    <w:name w:val="表格文字 字符"/>
    <w:autoRedefine/>
    <w:qFormat/>
    <w:uiPriority w:val="0"/>
    <w:rPr>
      <w:rFonts w:ascii="Times New Roman" w:hAnsi="Times New Roman" w:eastAsia="宋体"/>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8.emf"/><Relationship Id="rId98" Type="http://schemas.openxmlformats.org/officeDocument/2006/relationships/image" Target="media/image47.wmf"/><Relationship Id="rId97" Type="http://schemas.openxmlformats.org/officeDocument/2006/relationships/image" Target="media/image46.wmf"/><Relationship Id="rId96" Type="http://schemas.openxmlformats.org/officeDocument/2006/relationships/oleObject" Target="embeddings/oleObject12.bin"/><Relationship Id="rId95" Type="http://schemas.openxmlformats.org/officeDocument/2006/relationships/image" Target="media/image45.wmf"/><Relationship Id="rId94" Type="http://schemas.openxmlformats.org/officeDocument/2006/relationships/oleObject" Target="embeddings/oleObject11.bin"/><Relationship Id="rId93" Type="http://schemas.openxmlformats.org/officeDocument/2006/relationships/image" Target="media/image44.wmf"/><Relationship Id="rId92" Type="http://schemas.openxmlformats.org/officeDocument/2006/relationships/oleObject" Target="embeddings/oleObject10.bin"/><Relationship Id="rId91" Type="http://schemas.openxmlformats.org/officeDocument/2006/relationships/image" Target="media/image43.wmf"/><Relationship Id="rId90" Type="http://schemas.openxmlformats.org/officeDocument/2006/relationships/oleObject" Target="embeddings/oleObject9.bin"/><Relationship Id="rId9" Type="http://schemas.openxmlformats.org/officeDocument/2006/relationships/footer" Target="footer2.xml"/><Relationship Id="rId89" Type="http://schemas.openxmlformats.org/officeDocument/2006/relationships/image" Target="media/image42.wmf"/><Relationship Id="rId88" Type="http://schemas.openxmlformats.org/officeDocument/2006/relationships/oleObject" Target="embeddings/oleObject8.bin"/><Relationship Id="rId87" Type="http://schemas.openxmlformats.org/officeDocument/2006/relationships/image" Target="media/image41.wmf"/><Relationship Id="rId86" Type="http://schemas.openxmlformats.org/officeDocument/2006/relationships/oleObject" Target="embeddings/oleObject7.bin"/><Relationship Id="rId85" Type="http://schemas.openxmlformats.org/officeDocument/2006/relationships/image" Target="media/image40.wmf"/><Relationship Id="rId84" Type="http://schemas.openxmlformats.org/officeDocument/2006/relationships/oleObject" Target="embeddings/oleObject6.bin"/><Relationship Id="rId83" Type="http://schemas.openxmlformats.org/officeDocument/2006/relationships/image" Target="media/image39.wmf"/><Relationship Id="rId82" Type="http://schemas.openxmlformats.org/officeDocument/2006/relationships/oleObject" Target="embeddings/oleObject5.bin"/><Relationship Id="rId81" Type="http://schemas.openxmlformats.org/officeDocument/2006/relationships/image" Target="media/image38.png"/><Relationship Id="rId80" Type="http://schemas.openxmlformats.org/officeDocument/2006/relationships/image" Target="media/image37.wmf"/><Relationship Id="rId8" Type="http://schemas.openxmlformats.org/officeDocument/2006/relationships/footer" Target="footer1.xml"/><Relationship Id="rId79" Type="http://schemas.openxmlformats.org/officeDocument/2006/relationships/oleObject" Target="embeddings/oleObject4.bin"/><Relationship Id="rId78" Type="http://schemas.openxmlformats.org/officeDocument/2006/relationships/image" Target="media/image36.wmf"/><Relationship Id="rId77" Type="http://schemas.openxmlformats.org/officeDocument/2006/relationships/image" Target="media/image35.wmf"/><Relationship Id="rId76" Type="http://schemas.openxmlformats.org/officeDocument/2006/relationships/image" Target="media/image34.wmf"/><Relationship Id="rId75" Type="http://schemas.openxmlformats.org/officeDocument/2006/relationships/image" Target="media/image33.wmf"/><Relationship Id="rId74" Type="http://schemas.openxmlformats.org/officeDocument/2006/relationships/image" Target="media/image32.wmf"/><Relationship Id="rId73" Type="http://schemas.openxmlformats.org/officeDocument/2006/relationships/image" Target="media/image31.wmf"/><Relationship Id="rId72" Type="http://schemas.openxmlformats.org/officeDocument/2006/relationships/image" Target="media/image30.wmf"/><Relationship Id="rId71" Type="http://schemas.openxmlformats.org/officeDocument/2006/relationships/image" Target="media/image29.wmf"/><Relationship Id="rId70" Type="http://schemas.openxmlformats.org/officeDocument/2006/relationships/image" Target="media/image28.wmf"/><Relationship Id="rId7" Type="http://schemas.openxmlformats.org/officeDocument/2006/relationships/header" Target="header3.xml"/><Relationship Id="rId69" Type="http://schemas.openxmlformats.org/officeDocument/2006/relationships/image" Target="media/image27.wmf"/><Relationship Id="rId68" Type="http://schemas.openxmlformats.org/officeDocument/2006/relationships/image" Target="media/image26.png"/><Relationship Id="rId67" Type="http://schemas.openxmlformats.org/officeDocument/2006/relationships/image" Target="media/image25.wmf"/><Relationship Id="rId66" Type="http://schemas.openxmlformats.org/officeDocument/2006/relationships/oleObject" Target="embeddings/oleObject3.bin"/><Relationship Id="rId65" Type="http://schemas.openxmlformats.org/officeDocument/2006/relationships/image" Target="media/image24.wmf"/><Relationship Id="rId64" Type="http://schemas.openxmlformats.org/officeDocument/2006/relationships/oleObject" Target="embeddings/oleObject2.bin"/><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wmf"/><Relationship Id="rId45" Type="http://schemas.openxmlformats.org/officeDocument/2006/relationships/oleObject" Target="embeddings/oleObject1.bin"/><Relationship Id="rId44" Type="http://schemas.openxmlformats.org/officeDocument/2006/relationships/image" Target="media/image5.png"/><Relationship Id="rId43" Type="http://schemas.openxmlformats.org/officeDocument/2006/relationships/image" Target="media/image4.emf"/><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header" Target="header5.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51.png"/><Relationship Id="rId102" Type="http://schemas.openxmlformats.org/officeDocument/2006/relationships/image" Target="media/image50.png"/><Relationship Id="rId101" Type="http://schemas.openxmlformats.org/officeDocument/2006/relationships/image" Target="media/image49.wmf"/><Relationship Id="rId100" Type="http://schemas.openxmlformats.org/officeDocument/2006/relationships/oleObject" Target="embeddings/oleObject13.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中晟华远（北京）环境科技有限公司</Company>
  <Pages>226</Pages>
  <Words>5689</Words>
  <Characters>6030</Characters>
  <Lines>1264</Lines>
  <Paragraphs>356</Paragraphs>
  <TotalTime>6</TotalTime>
  <ScaleCrop>false</ScaleCrop>
  <LinksUpToDate>false</LinksUpToDate>
  <CharactersWithSpaces>6270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2024-01-22T03:28:00Z</dcterms:created>
  <dc:creator>Administrator</dc:creator>
  <cp:lastModifiedBy>风的自由</cp:lastModifiedBy>
  <cp:lastPrinted>2023-09-20T09:57:00Z</cp:lastPrinted>
  <dcterms:modified xsi:type="dcterms:W3CDTF">2025-01-17T03:08:50Z</dcterms:modified>
  <cp:revision>433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26DCE346294840D886B5CDF2692FDB4C_13</vt:lpwstr>
  </property>
  <property fmtid="{D5CDD505-2E9C-101B-9397-08002B2CF9AE}" pid="4" name="KSOTemplateDocerSaveRecord">
    <vt:lpwstr>eyJoZGlkIjoiOTM4ZGE5MjAwOTRjNzE3YmI3NzllODlkMzQzMmYzMzgiLCJ1c2VySWQiOiI1NTE5NjI2NTYifQ==</vt:lpwstr>
  </property>
</Properties>
</file>